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492760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518160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52705</wp:posOffset>
            </wp:positionV>
            <wp:extent cx="1228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8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70485</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3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(Mark One)</w:t>
      </w:r>
    </w:p>
    <w:p>
      <w:pPr>
        <w:spacing w:after="0" w:line="162" w:lineRule="exact"/>
        <w:rPr>
          <w:sz w:val="24"/>
          <w:szCs w:val="24"/>
          <w:color w:val="auto"/>
        </w:rPr>
      </w:pPr>
    </w:p>
    <w:p>
      <w:pPr>
        <w:ind w:left="4120" w:right="2080" w:hanging="3796"/>
        <w:spacing w:after="0" w:line="430" w:lineRule="auto"/>
        <w:tabs>
          <w:tab w:leader="none" w:pos="53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4" w:lineRule="exact"/>
        <w:rPr>
          <w:sz w:val="24"/>
          <w:szCs w:val="24"/>
          <w:color w:val="auto"/>
        </w:rPr>
      </w:pPr>
    </w:p>
    <w:p>
      <w:pPr>
        <w:ind w:left="3860" w:right="1720" w:hanging="3536"/>
        <w:spacing w:after="0" w:line="430" w:lineRule="auto"/>
        <w:tabs>
          <w:tab w:leader="none" w:pos="52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from________to________</w:t>
      </w:r>
    </w:p>
    <w:p>
      <w:pPr>
        <w:ind w:left="43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167640</wp:posOffset>
            </wp:positionV>
            <wp:extent cx="1228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ZoomInfo Technologies Inc.</w:t>
      </w:r>
    </w:p>
    <w:p>
      <w:pPr>
        <w:spacing w:after="0" w:line="4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91440</wp:posOffset>
            </wp:positionV>
            <wp:extent cx="1228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20" w:lineRule="exact"/>
        <w:rPr>
          <w:sz w:val="24"/>
          <w:szCs w:val="24"/>
          <w:color w:val="auto"/>
        </w:rPr>
      </w:pPr>
    </w:p>
    <w:tbl>
      <w:tblPr>
        <w:tblLayout w:type="fixed"/>
        <w:tblInd w:w="2060" w:type="dxa"/>
        <w:tblCellMar>
          <w:top w:w="0" w:type="dxa"/>
          <w:left w:w="0" w:type="dxa"/>
          <w:bottom w:w="0" w:type="dxa"/>
          <w:right w:w="0" w:type="dxa"/>
        </w:tblCellMar>
      </w:tblPr>
      <w:tr>
        <w:trPr>
          <w:trHeight w:val="210"/>
        </w:trPr>
        <w:tc>
          <w:tcPr>
            <w:tcW w:w="3900" w:type="dxa"/>
            <w:vAlign w:val="bottom"/>
          </w:tcPr>
          <w:p>
            <w:pPr>
              <w:jc w:val="center"/>
              <w:ind w:right="1986"/>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80" w:type="dxa"/>
            <w:vAlign w:val="bottom"/>
          </w:tcPr>
          <w:p>
            <w:pPr>
              <w:jc w:val="center"/>
              <w:ind w:left="2006"/>
              <w:spacing w:after="0"/>
              <w:rPr>
                <w:sz w:val="20"/>
                <w:szCs w:val="20"/>
                <w:color w:val="auto"/>
              </w:rPr>
            </w:pPr>
            <w:r>
              <w:rPr>
                <w:rFonts w:ascii="Times New Roman" w:cs="Times New Roman" w:eastAsia="Times New Roman" w:hAnsi="Times New Roman"/>
                <w:sz w:val="16"/>
                <w:szCs w:val="16"/>
                <w:b w:val="1"/>
                <w:bCs w:val="1"/>
                <w:color w:val="auto"/>
              </w:rPr>
              <w:t>87-3037521</w:t>
            </w:r>
          </w:p>
        </w:tc>
      </w:tr>
      <w:tr>
        <w:trPr>
          <w:trHeight w:val="192"/>
        </w:trPr>
        <w:tc>
          <w:tcPr>
            <w:tcW w:w="3900" w:type="dxa"/>
            <w:vAlign w:val="bottom"/>
          </w:tcPr>
          <w:p>
            <w:pPr>
              <w:jc w:val="center"/>
              <w:ind w:right="198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80" w:type="dxa"/>
            <w:vAlign w:val="bottom"/>
          </w:tcPr>
          <w:p>
            <w:pPr>
              <w:jc w:val="center"/>
              <w:ind w:left="2006"/>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3900" w:type="dxa"/>
            <w:vAlign w:val="bottom"/>
          </w:tcPr>
          <w:p>
            <w:pPr>
              <w:jc w:val="center"/>
              <w:ind w:right="198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80" w:type="dxa"/>
            <w:vAlign w:val="bottom"/>
          </w:tcPr>
          <w:p>
            <w:pPr>
              <w:jc w:val="center"/>
              <w:ind w:left="2006"/>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133350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9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330 W Columbia Way, Floor 8</w:t>
      </w:r>
    </w:p>
    <w:p>
      <w:pPr>
        <w:spacing w:after="0" w:line="2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Vancouver, Washington 98660</w:t>
      </w:r>
    </w:p>
    <w:p>
      <w:pPr>
        <w:spacing w:after="0" w:line="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Telephone: (800) 914-1220</w:t>
      </w:r>
    </w:p>
    <w:p>
      <w:pPr>
        <w:spacing w:after="0" w:line="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5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Title of Each Class</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4"/>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 par value $0.01 per share</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GTM</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5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66675</wp:posOffset>
            </wp:positionV>
            <wp:extent cx="1228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94"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a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8"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7" w:lineRule="exact"/>
        <w:rPr>
          <w:sz w:val="24"/>
          <w:szCs w:val="24"/>
          <w:color w:val="auto"/>
        </w:rPr>
      </w:pPr>
    </w:p>
    <w:p>
      <w:pPr>
        <w:jc w:val="both"/>
        <w:ind w:firstLine="318"/>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jc w:val="both"/>
        <w:ind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3" w:lineRule="exact"/>
        <w:rPr>
          <w:sz w:val="24"/>
          <w:szCs w:val="24"/>
          <w:color w:val="auto"/>
        </w:rPr>
      </w:pPr>
    </w:p>
    <w:p>
      <w:pPr>
        <w:jc w:val="both"/>
        <w:ind w:firstLine="318"/>
        <w:spacing w:after="0" w:line="29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2"/>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8"/>
        </w:trPr>
        <w:tc>
          <w:tcPr>
            <w:tcW w:w="16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53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13" w:lineRule="exact"/>
        <w:rPr>
          <w:sz w:val="24"/>
          <w:szCs w:val="24"/>
          <w:color w:val="auto"/>
        </w:rPr>
      </w:pPr>
    </w:p>
    <w:p>
      <w:pPr>
        <w:ind w:firstLine="318"/>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ind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210820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 w:name="page2"/>
    <w:bookmarkEnd w:id="1"/>
    <w:p>
      <w:pPr>
        <w:jc w:val="both"/>
        <w:ind w:right="20"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26" w:lineRule="exact"/>
        <w:rPr>
          <w:sz w:val="20"/>
          <w:szCs w:val="20"/>
          <w:color w:val="auto"/>
        </w:rPr>
      </w:pPr>
    </w:p>
    <w:p>
      <w:pPr>
        <w:jc w:val="both"/>
        <w:ind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90" w:lineRule="exact"/>
        <w:rPr>
          <w:sz w:val="20"/>
          <w:szCs w:val="20"/>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6"/>
          <w:szCs w:val="16"/>
          <w:color w:val="auto"/>
        </w:rPr>
        <w:t>As of June 30, 2025 (the last business day of the registrant’s most recently completed second fiscal quarter), the aggregate market value of the registrant’s voting and non-voting common equity held by non-affiliates was approximately $2.9 billion, based on the closing price per share of common stock on such date of $10.12 as reported on the Nasdaq Global Select Market.</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January 31, 2026, there were 305,294,644 shares of the registrant’s common stock outstanding.</w:t>
      </w:r>
    </w:p>
    <w:p>
      <w:pPr>
        <w:spacing w:after="0" w:line="1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the 2026 Annual Meeting of Stockholders of ZoomInfo Technologies Inc., which will be filed with the Securities and Exchange Commission within 120 days of December 31, 2025, are incorporated by reference in Item 10, Item 11, Item 12, Item 13 and Item 14 of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364490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149860</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5"/>
          </w:tcPr>
          <w:p>
            <w:pPr>
              <w:jc w:val="center"/>
              <w:ind w:left="67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0"/>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Glossary</w:t>
            </w:r>
          </w:p>
        </w:tc>
        <w:tc>
          <w:tcPr>
            <w:tcW w:w="8060" w:type="dxa"/>
            <w:vAlign w:val="bottom"/>
            <w:gridSpan w:val="27"/>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bottom w:val="single" w:sz="8" w:color="0000FF"/>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99"/>
              </w:rPr>
              <w:t>ii</w:t>
            </w:r>
          </w:p>
        </w:tc>
        <w:tc>
          <w:tcPr>
            <w:tcW w:w="80" w:type="dxa"/>
            <w:vAlign w:val="bottom"/>
            <w:gridSpan w:val="2"/>
          </w:tcPr>
          <w:p>
            <w:pPr>
              <w:spacing w:after="0"/>
              <w:rPr>
                <w:sz w:val="18"/>
                <w:szCs w:val="18"/>
                <w:color w:val="auto"/>
              </w:rPr>
            </w:pPr>
          </w:p>
        </w:tc>
      </w:tr>
      <w:tr>
        <w:trPr>
          <w:trHeight w:val="205"/>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40" w:type="dxa"/>
            <w:vAlign w:val="bottom"/>
            <w:tcBorders>
              <w:bottom w:val="single" w:sz="8" w:color="0000FF"/>
            </w:tcBorders>
            <w:gridSpan w:val="18"/>
          </w:tcPr>
          <w:p>
            <w:pPr>
              <w:spacing w:after="0" w:line="205" w:lineRule="exact"/>
              <w:rPr>
                <w:sz w:val="20"/>
                <w:szCs w:val="20"/>
                <w:color w:val="auto"/>
              </w:rPr>
            </w:pPr>
            <w:r>
              <w:rPr>
                <w:rFonts w:ascii="Times New Roman" w:cs="Times New Roman" w:eastAsia="Times New Roman" w:hAnsi="Times New Roman"/>
                <w:sz w:val="18"/>
                <w:szCs w:val="18"/>
                <w:color w:val="0000FF"/>
                <w:w w:val="97"/>
              </w:rPr>
              <w:t>Cautionary Statement Regarding Forward-Looking Statements</w:t>
            </w:r>
          </w:p>
        </w:tc>
        <w:tc>
          <w:tcPr>
            <w:tcW w:w="426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5"/>
              </w:rPr>
              <w:t>iv</w:t>
            </w:r>
          </w:p>
        </w:tc>
        <w:tc>
          <w:tcPr>
            <w:tcW w:w="80" w:type="dxa"/>
            <w:vAlign w:val="bottom"/>
            <w:gridSpan w:val="2"/>
          </w:tcPr>
          <w:p>
            <w:pPr>
              <w:spacing w:after="0"/>
              <w:rPr>
                <w:sz w:val="17"/>
                <w:szCs w:val="17"/>
                <w:color w:val="auto"/>
              </w:rPr>
            </w:pPr>
          </w:p>
        </w:tc>
      </w:tr>
      <w:tr>
        <w:trPr>
          <w:trHeight w:val="417"/>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13"/>
          </w:tcPr>
          <w:p>
            <w:pPr>
              <w:jc w:val="center"/>
              <w:ind w:right="4080"/>
              <w:spacing w:after="0"/>
              <w:rPr>
                <w:sz w:val="20"/>
                <w:szCs w:val="20"/>
                <w:color w:val="auto"/>
              </w:rPr>
            </w:pPr>
            <w:r>
              <w:rPr>
                <w:rFonts w:ascii="Times New Roman" w:cs="Times New Roman" w:eastAsia="Times New Roman" w:hAnsi="Times New Roman"/>
                <w:sz w:val="18"/>
                <w:szCs w:val="18"/>
                <w:color w:val="0000FF"/>
                <w:w w:val="96"/>
              </w:rPr>
              <w:t>Part I</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122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1.</w:t>
            </w:r>
          </w:p>
        </w:tc>
        <w:tc>
          <w:tcPr>
            <w:tcW w:w="420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Business</w:t>
            </w:r>
          </w:p>
        </w:tc>
        <w:tc>
          <w:tcPr>
            <w:tcW w:w="380" w:type="dxa"/>
            <w:vAlign w:val="bottom"/>
            <w:tcBorders>
              <w:top w:val="single" w:sz="8" w:color="0000FF"/>
            </w:tcBorders>
            <w:gridSpan w:val="3"/>
          </w:tcPr>
          <w:p>
            <w:pPr>
              <w:spacing w:after="0"/>
              <w:rPr>
                <w:sz w:val="17"/>
                <w:szCs w:val="17"/>
                <w:color w:val="auto"/>
              </w:rPr>
            </w:pPr>
          </w:p>
        </w:tc>
        <w:tc>
          <w:tcPr>
            <w:tcW w:w="4120" w:type="dxa"/>
            <w:vAlign w:val="bottom"/>
            <w:gridSpan w:val="9"/>
          </w:tcPr>
          <w:p>
            <w:pPr>
              <w:spacing w:after="0"/>
              <w:rPr>
                <w:sz w:val="17"/>
                <w:szCs w:val="17"/>
                <w:color w:val="auto"/>
              </w:rPr>
            </w:pPr>
          </w:p>
        </w:tc>
        <w:tc>
          <w:tcPr>
            <w:tcW w:w="960" w:type="dxa"/>
            <w:vAlign w:val="bottom"/>
            <w:gridSpan w:val="2"/>
          </w:tcPr>
          <w:p>
            <w:pPr>
              <w:jc w:val="center"/>
              <w:ind w:left="773"/>
              <w:spacing w:after="0" w:line="205" w:lineRule="exact"/>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66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9"/>
              </w:rPr>
              <w:t>Item 1A.</w:t>
            </w:r>
          </w:p>
        </w:tc>
        <w:tc>
          <w:tcPr>
            <w:tcW w:w="560" w:type="dxa"/>
            <w:vAlign w:val="bottom"/>
          </w:tcPr>
          <w:p>
            <w:pPr>
              <w:spacing w:after="0"/>
              <w:rPr>
                <w:sz w:val="17"/>
                <w:szCs w:val="17"/>
                <w:color w:val="auto"/>
              </w:rPr>
            </w:pPr>
          </w:p>
        </w:tc>
        <w:tc>
          <w:tcPr>
            <w:tcW w:w="90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7"/>
              </w:rPr>
              <w:t>Risk Factors</w:t>
            </w:r>
          </w:p>
        </w:tc>
        <w:tc>
          <w:tcPr>
            <w:tcW w:w="7800" w:type="dxa"/>
            <w:vAlign w:val="bottom"/>
            <w:gridSpan w:val="25"/>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64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8"/>
              </w:rPr>
              <w:t>Item 1B.</w:t>
            </w:r>
          </w:p>
        </w:tc>
        <w:tc>
          <w:tcPr>
            <w:tcW w:w="580" w:type="dxa"/>
            <w:vAlign w:val="bottom"/>
            <w:gridSpan w:val="2"/>
          </w:tcPr>
          <w:p>
            <w:pPr>
              <w:spacing w:after="0"/>
              <w:rPr>
                <w:sz w:val="17"/>
                <w:szCs w:val="17"/>
                <w:color w:val="auto"/>
              </w:rPr>
            </w:pPr>
          </w:p>
        </w:tc>
        <w:tc>
          <w:tcPr>
            <w:tcW w:w="202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Unresolved Staff Comments</w:t>
            </w:r>
          </w:p>
        </w:tc>
        <w:tc>
          <w:tcPr>
            <w:tcW w:w="6680" w:type="dxa"/>
            <w:vAlign w:val="bottom"/>
            <w:gridSpan w:val="20"/>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33</w:t>
            </w:r>
          </w:p>
        </w:tc>
        <w:tc>
          <w:tcPr>
            <w:tcW w:w="60" w:type="dxa"/>
            <w:vAlign w:val="bottom"/>
          </w:tcPr>
          <w:p>
            <w:pPr>
              <w:spacing w:after="0"/>
              <w:rPr>
                <w:sz w:val="17"/>
                <w:szCs w:val="17"/>
                <w:color w:val="auto"/>
              </w:rPr>
            </w:pPr>
          </w:p>
        </w:tc>
      </w:tr>
      <w:tr>
        <w:trPr>
          <w:trHeight w:val="205"/>
        </w:trPr>
        <w:tc>
          <w:tcPr>
            <w:tcW w:w="122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1C.</w:t>
            </w:r>
          </w:p>
        </w:tc>
        <w:tc>
          <w:tcPr>
            <w:tcW w:w="8700" w:type="dxa"/>
            <w:vAlign w:val="bottom"/>
            <w:gridSpan w:val="28"/>
          </w:tcPr>
          <w:p>
            <w:pPr>
              <w:spacing w:after="0" w:line="205" w:lineRule="exact"/>
              <w:rPr>
                <w:sz w:val="20"/>
                <w:szCs w:val="20"/>
                <w:color w:val="auto"/>
              </w:rPr>
            </w:pPr>
            <w:r>
              <w:rPr>
                <w:rFonts w:ascii="Times New Roman" w:cs="Times New Roman" w:eastAsia="Times New Roman" w:hAnsi="Times New Roman"/>
                <w:sz w:val="18"/>
                <w:szCs w:val="18"/>
                <w:color w:val="0000FF"/>
              </w:rPr>
              <w:t>Cybersecurity</w:t>
            </w:r>
          </w:p>
        </w:tc>
        <w:tc>
          <w:tcPr>
            <w:tcW w:w="1000" w:type="dxa"/>
            <w:vAlign w:val="bottom"/>
            <w:gridSpan w:val="4"/>
          </w:tcPr>
          <w:p>
            <w:pPr>
              <w:jc w:val="center"/>
              <w:ind w:left="733"/>
              <w:spacing w:after="0" w:line="205" w:lineRule="exact"/>
              <w:rPr>
                <w:sz w:val="20"/>
                <w:szCs w:val="20"/>
                <w:color w:val="auto"/>
              </w:rPr>
            </w:pPr>
            <w:r>
              <w:rPr>
                <w:rFonts w:ascii="Times New Roman" w:cs="Times New Roman" w:eastAsia="Times New Roman" w:hAnsi="Times New Roman"/>
                <w:sz w:val="18"/>
                <w:szCs w:val="18"/>
                <w:color w:val="0000FF"/>
                <w:w w:val="99"/>
              </w:rPr>
              <w:t>33</w:t>
            </w:r>
          </w:p>
        </w:tc>
        <w:tc>
          <w:tcPr>
            <w:tcW w:w="60" w:type="dxa"/>
            <w:vAlign w:val="bottom"/>
          </w:tcPr>
          <w:p>
            <w:pPr>
              <w:spacing w:after="0"/>
              <w:rPr>
                <w:sz w:val="17"/>
                <w:szCs w:val="17"/>
                <w:color w:val="auto"/>
              </w:rPr>
            </w:pPr>
          </w:p>
        </w:tc>
      </w:tr>
      <w:tr>
        <w:trPr>
          <w:trHeight w:val="205"/>
        </w:trPr>
        <w:tc>
          <w:tcPr>
            <w:tcW w:w="620" w:type="dxa"/>
            <w:vAlign w:val="bottom"/>
            <w:tcBorders>
              <w:top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Item 2.</w:t>
            </w:r>
          </w:p>
        </w:tc>
        <w:tc>
          <w:tcPr>
            <w:tcW w:w="600" w:type="dxa"/>
            <w:vAlign w:val="bottom"/>
            <w:gridSpan w:val="3"/>
          </w:tcPr>
          <w:p>
            <w:pPr>
              <w:spacing w:after="0"/>
              <w:rPr>
                <w:sz w:val="17"/>
                <w:szCs w:val="17"/>
                <w:color w:val="auto"/>
              </w:rPr>
            </w:pPr>
          </w:p>
        </w:tc>
        <w:tc>
          <w:tcPr>
            <w:tcW w:w="1000" w:type="dxa"/>
            <w:vAlign w:val="bottom"/>
            <w:tcBorders>
              <w:top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Properties</w:t>
            </w:r>
          </w:p>
        </w:tc>
        <w:tc>
          <w:tcPr>
            <w:tcW w:w="7700" w:type="dxa"/>
            <w:vAlign w:val="bottom"/>
            <w:gridSpan w:val="24"/>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top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36</w:t>
            </w:r>
          </w:p>
        </w:tc>
        <w:tc>
          <w:tcPr>
            <w:tcW w:w="60" w:type="dxa"/>
            <w:vAlign w:val="bottom"/>
          </w:tcPr>
          <w:p>
            <w:pPr>
              <w:spacing w:after="0"/>
              <w:rPr>
                <w:sz w:val="17"/>
                <w:szCs w:val="17"/>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122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3.</w:t>
            </w:r>
          </w:p>
        </w:tc>
        <w:tc>
          <w:tcPr>
            <w:tcW w:w="8700" w:type="dxa"/>
            <w:vAlign w:val="bottom"/>
            <w:gridSpan w:val="28"/>
          </w:tcPr>
          <w:p>
            <w:pPr>
              <w:spacing w:after="0" w:line="205" w:lineRule="exact"/>
              <w:rPr>
                <w:sz w:val="20"/>
                <w:szCs w:val="20"/>
                <w:color w:val="auto"/>
              </w:rPr>
            </w:pPr>
            <w:r>
              <w:rPr>
                <w:rFonts w:ascii="Times New Roman" w:cs="Times New Roman" w:eastAsia="Times New Roman" w:hAnsi="Times New Roman"/>
                <w:sz w:val="18"/>
                <w:szCs w:val="18"/>
                <w:color w:val="0000FF"/>
              </w:rPr>
              <w:t>Legal Proceedings</w:t>
            </w:r>
          </w:p>
        </w:tc>
        <w:tc>
          <w:tcPr>
            <w:tcW w:w="1000" w:type="dxa"/>
            <w:vAlign w:val="bottom"/>
            <w:gridSpan w:val="4"/>
          </w:tcPr>
          <w:p>
            <w:pPr>
              <w:jc w:val="center"/>
              <w:ind w:left="733"/>
              <w:spacing w:after="0" w:line="205" w:lineRule="exact"/>
              <w:rPr>
                <w:sz w:val="20"/>
                <w:szCs w:val="20"/>
                <w:color w:val="auto"/>
              </w:rPr>
            </w:pPr>
            <w:r>
              <w:rPr>
                <w:rFonts w:ascii="Times New Roman" w:cs="Times New Roman" w:eastAsia="Times New Roman" w:hAnsi="Times New Roman"/>
                <w:sz w:val="18"/>
                <w:szCs w:val="18"/>
                <w:color w:val="0000FF"/>
                <w:w w:val="99"/>
              </w:rPr>
              <w:t>36</w:t>
            </w:r>
          </w:p>
        </w:tc>
        <w:tc>
          <w:tcPr>
            <w:tcW w:w="60" w:type="dxa"/>
            <w:vAlign w:val="bottom"/>
          </w:tcPr>
          <w:p>
            <w:pPr>
              <w:spacing w:after="0"/>
              <w:rPr>
                <w:sz w:val="17"/>
                <w:szCs w:val="17"/>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122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4.</w:t>
            </w:r>
          </w:p>
        </w:tc>
        <w:tc>
          <w:tcPr>
            <w:tcW w:w="8700" w:type="dxa"/>
            <w:vAlign w:val="bottom"/>
            <w:gridSpan w:val="28"/>
          </w:tcPr>
          <w:p>
            <w:pPr>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1000" w:type="dxa"/>
            <w:vAlign w:val="bottom"/>
            <w:gridSpan w:val="4"/>
          </w:tcPr>
          <w:p>
            <w:pPr>
              <w:jc w:val="center"/>
              <w:ind w:left="733"/>
              <w:spacing w:after="0" w:line="205" w:lineRule="exact"/>
              <w:rPr>
                <w:sz w:val="20"/>
                <w:szCs w:val="20"/>
                <w:color w:val="auto"/>
              </w:rPr>
            </w:pPr>
            <w:r>
              <w:rPr>
                <w:rFonts w:ascii="Times New Roman" w:cs="Times New Roman" w:eastAsia="Times New Roman" w:hAnsi="Times New Roman"/>
                <w:sz w:val="18"/>
                <w:szCs w:val="18"/>
                <w:color w:val="0000FF"/>
                <w:w w:val="99"/>
              </w:rPr>
              <w:t>36</w:t>
            </w:r>
          </w:p>
        </w:tc>
        <w:tc>
          <w:tcPr>
            <w:tcW w:w="60" w:type="dxa"/>
            <w:vAlign w:val="bottom"/>
          </w:tcPr>
          <w:p>
            <w:pPr>
              <w:spacing w:after="0"/>
              <w:rPr>
                <w:sz w:val="17"/>
                <w:szCs w:val="17"/>
                <w:color w:val="auto"/>
              </w:rPr>
            </w:pPr>
          </w:p>
        </w:tc>
      </w:tr>
      <w:tr>
        <w:trPr>
          <w:trHeight w:val="417"/>
        </w:trPr>
        <w:tc>
          <w:tcPr>
            <w:tcW w:w="5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13"/>
          </w:tcPr>
          <w:p>
            <w:pPr>
              <w:jc w:val="center"/>
              <w:ind w:right="4100"/>
              <w:spacing w:after="0"/>
              <w:rPr>
                <w:sz w:val="20"/>
                <w:szCs w:val="20"/>
                <w:color w:val="auto"/>
              </w:rPr>
            </w:pPr>
            <w:r>
              <w:rPr>
                <w:rFonts w:ascii="Times New Roman" w:cs="Times New Roman" w:eastAsia="Times New Roman" w:hAnsi="Times New Roman"/>
                <w:sz w:val="18"/>
                <w:szCs w:val="18"/>
                <w:color w:val="0000FF"/>
                <w:w w:val="96"/>
              </w:rPr>
              <w:t>Part II</w:t>
            </w: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122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5.</w:t>
            </w:r>
          </w:p>
        </w:tc>
        <w:tc>
          <w:tcPr>
            <w:tcW w:w="8700" w:type="dxa"/>
            <w:vAlign w:val="bottom"/>
            <w:gridSpan w:val="28"/>
          </w:tcPr>
          <w:p>
            <w:pPr>
              <w:spacing w:after="0" w:line="205"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00" w:type="dxa"/>
            <w:vAlign w:val="bottom"/>
            <w:gridSpan w:val="4"/>
          </w:tcPr>
          <w:p>
            <w:pPr>
              <w:jc w:val="center"/>
              <w:ind w:left="733"/>
              <w:spacing w:after="0" w:line="205" w:lineRule="exact"/>
              <w:rPr>
                <w:sz w:val="20"/>
                <w:szCs w:val="20"/>
                <w:color w:val="auto"/>
              </w:rPr>
            </w:pPr>
            <w:r>
              <w:rPr>
                <w:rFonts w:ascii="Times New Roman" w:cs="Times New Roman" w:eastAsia="Times New Roman" w:hAnsi="Times New Roman"/>
                <w:sz w:val="18"/>
                <w:szCs w:val="18"/>
                <w:color w:val="0000FF"/>
                <w:w w:val="99"/>
              </w:rPr>
              <w:t>37</w:t>
            </w:r>
          </w:p>
        </w:tc>
        <w:tc>
          <w:tcPr>
            <w:tcW w:w="60" w:type="dxa"/>
            <w:vAlign w:val="bottom"/>
          </w:tcPr>
          <w:p>
            <w:pPr>
              <w:spacing w:after="0"/>
              <w:rPr>
                <w:sz w:val="17"/>
                <w:szCs w:val="17"/>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122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6.</w:t>
            </w:r>
          </w:p>
        </w:tc>
        <w:tc>
          <w:tcPr>
            <w:tcW w:w="8700" w:type="dxa"/>
            <w:vAlign w:val="bottom"/>
            <w:gridSpan w:val="28"/>
          </w:tcPr>
          <w:p>
            <w:pPr>
              <w:spacing w:after="0" w:line="205" w:lineRule="exact"/>
              <w:rPr>
                <w:sz w:val="20"/>
                <w:szCs w:val="20"/>
                <w:color w:val="auto"/>
              </w:rPr>
            </w:pPr>
            <w:r>
              <w:rPr>
                <w:rFonts w:ascii="Times New Roman" w:cs="Times New Roman" w:eastAsia="Times New Roman" w:hAnsi="Times New Roman"/>
                <w:sz w:val="18"/>
                <w:szCs w:val="18"/>
                <w:color w:val="0000FF"/>
              </w:rPr>
              <w:t>[Reserved]</w:t>
            </w:r>
          </w:p>
        </w:tc>
        <w:tc>
          <w:tcPr>
            <w:tcW w:w="1000" w:type="dxa"/>
            <w:vAlign w:val="bottom"/>
            <w:gridSpan w:val="4"/>
          </w:tcPr>
          <w:p>
            <w:pPr>
              <w:jc w:val="center"/>
              <w:ind w:left="733"/>
              <w:spacing w:after="0" w:line="205" w:lineRule="exact"/>
              <w:rPr>
                <w:sz w:val="20"/>
                <w:szCs w:val="20"/>
                <w:color w:val="auto"/>
              </w:rPr>
            </w:pPr>
            <w:r>
              <w:rPr>
                <w:rFonts w:ascii="Times New Roman" w:cs="Times New Roman" w:eastAsia="Times New Roman" w:hAnsi="Times New Roman"/>
                <w:sz w:val="18"/>
                <w:szCs w:val="18"/>
                <w:color w:val="0000FF"/>
                <w:w w:val="99"/>
              </w:rPr>
              <w:t>39</w:t>
            </w:r>
          </w:p>
        </w:tc>
        <w:tc>
          <w:tcPr>
            <w:tcW w:w="60" w:type="dxa"/>
            <w:vAlign w:val="bottom"/>
          </w:tcPr>
          <w:p>
            <w:pPr>
              <w:spacing w:after="0"/>
              <w:rPr>
                <w:sz w:val="17"/>
                <w:szCs w:val="17"/>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122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7.</w:t>
            </w:r>
          </w:p>
        </w:tc>
        <w:tc>
          <w:tcPr>
            <w:tcW w:w="8700" w:type="dxa"/>
            <w:vAlign w:val="bottom"/>
            <w:gridSpan w:val="28"/>
          </w:tcPr>
          <w:p>
            <w:pPr>
              <w:spacing w:after="0" w:line="20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gridSpan w:val="4"/>
          </w:tcPr>
          <w:p>
            <w:pPr>
              <w:jc w:val="center"/>
              <w:ind w:left="733"/>
              <w:spacing w:after="0" w:line="205" w:lineRule="exact"/>
              <w:rPr>
                <w:sz w:val="20"/>
                <w:szCs w:val="20"/>
                <w:color w:val="auto"/>
              </w:rPr>
            </w:pPr>
            <w:r>
              <w:rPr>
                <w:rFonts w:ascii="Times New Roman" w:cs="Times New Roman" w:eastAsia="Times New Roman" w:hAnsi="Times New Roman"/>
                <w:sz w:val="18"/>
                <w:szCs w:val="18"/>
                <w:color w:val="0000FF"/>
                <w:w w:val="99"/>
              </w:rPr>
              <w:t>40</w:t>
            </w:r>
          </w:p>
        </w:tc>
        <w:tc>
          <w:tcPr>
            <w:tcW w:w="60" w:type="dxa"/>
            <w:vAlign w:val="bottom"/>
          </w:tcPr>
          <w:p>
            <w:pPr>
              <w:spacing w:after="0"/>
              <w:rPr>
                <w:sz w:val="17"/>
                <w:szCs w:val="17"/>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122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7A.</w:t>
            </w:r>
          </w:p>
        </w:tc>
        <w:tc>
          <w:tcPr>
            <w:tcW w:w="4280" w:type="dxa"/>
            <w:vAlign w:val="bottom"/>
            <w:tcBorders>
              <w:bottom w:val="single" w:sz="8" w:color="0000FF"/>
            </w:tcBorders>
            <w:gridSpan w:val="17"/>
          </w:tcPr>
          <w:p>
            <w:pPr>
              <w:spacing w:after="0" w:line="20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420" w:type="dxa"/>
            <w:vAlign w:val="bottom"/>
            <w:gridSpan w:val="11"/>
          </w:tcPr>
          <w:p>
            <w:pPr>
              <w:spacing w:after="0"/>
              <w:rPr>
                <w:sz w:val="17"/>
                <w:szCs w:val="17"/>
                <w:color w:val="auto"/>
              </w:rPr>
            </w:pPr>
          </w:p>
        </w:tc>
        <w:tc>
          <w:tcPr>
            <w:tcW w:w="1000" w:type="dxa"/>
            <w:vAlign w:val="bottom"/>
            <w:gridSpan w:val="4"/>
          </w:tcPr>
          <w:p>
            <w:pPr>
              <w:jc w:val="center"/>
              <w:ind w:left="733"/>
              <w:spacing w:after="0" w:line="205" w:lineRule="exact"/>
              <w:rPr>
                <w:sz w:val="20"/>
                <w:szCs w:val="20"/>
                <w:color w:val="auto"/>
              </w:rPr>
            </w:pPr>
            <w:r>
              <w:rPr>
                <w:rFonts w:ascii="Times New Roman" w:cs="Times New Roman" w:eastAsia="Times New Roman" w:hAnsi="Times New Roman"/>
                <w:sz w:val="18"/>
                <w:szCs w:val="18"/>
                <w:color w:val="0000FF"/>
                <w:w w:val="99"/>
              </w:rPr>
              <w:t>64</w:t>
            </w:r>
          </w:p>
        </w:tc>
        <w:tc>
          <w:tcPr>
            <w:tcW w:w="60" w:type="dxa"/>
            <w:vAlign w:val="bottom"/>
          </w:tcPr>
          <w:p>
            <w:pPr>
              <w:spacing w:after="0"/>
              <w:rPr>
                <w:sz w:val="17"/>
                <w:szCs w:val="17"/>
                <w:color w:val="auto"/>
              </w:rPr>
            </w:pPr>
          </w:p>
        </w:tc>
      </w:tr>
      <w:tr>
        <w:trPr>
          <w:trHeight w:val="205"/>
        </w:trPr>
        <w:tc>
          <w:tcPr>
            <w:tcW w:w="122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8.</w:t>
            </w:r>
          </w:p>
        </w:tc>
        <w:tc>
          <w:tcPr>
            <w:tcW w:w="8700" w:type="dxa"/>
            <w:vAlign w:val="bottom"/>
            <w:gridSpan w:val="28"/>
          </w:tcPr>
          <w:p>
            <w:pPr>
              <w:spacing w:after="0" w:line="205"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00" w:type="dxa"/>
            <w:vAlign w:val="bottom"/>
            <w:gridSpan w:val="4"/>
          </w:tcPr>
          <w:p>
            <w:pPr>
              <w:jc w:val="center"/>
              <w:ind w:left="733"/>
              <w:spacing w:after="0" w:line="205" w:lineRule="exact"/>
              <w:rPr>
                <w:sz w:val="20"/>
                <w:szCs w:val="20"/>
                <w:color w:val="auto"/>
              </w:rPr>
            </w:pPr>
            <w:r>
              <w:rPr>
                <w:rFonts w:ascii="Times New Roman" w:cs="Times New Roman" w:eastAsia="Times New Roman" w:hAnsi="Times New Roman"/>
                <w:sz w:val="18"/>
                <w:szCs w:val="18"/>
                <w:color w:val="0000FF"/>
                <w:w w:val="99"/>
              </w:rPr>
              <w:t>66</w:t>
            </w:r>
          </w:p>
        </w:tc>
        <w:tc>
          <w:tcPr>
            <w:tcW w:w="60" w:type="dxa"/>
            <w:vAlign w:val="bottom"/>
          </w:tcPr>
          <w:p>
            <w:pPr>
              <w:spacing w:after="0"/>
              <w:rPr>
                <w:sz w:val="17"/>
                <w:szCs w:val="17"/>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122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9.</w:t>
            </w:r>
          </w:p>
        </w:tc>
        <w:tc>
          <w:tcPr>
            <w:tcW w:w="8700" w:type="dxa"/>
            <w:vAlign w:val="bottom"/>
            <w:gridSpan w:val="28"/>
          </w:tcPr>
          <w:p>
            <w:pPr>
              <w:spacing w:after="0" w:line="205"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00" w:type="dxa"/>
            <w:vAlign w:val="bottom"/>
            <w:gridSpan w:val="4"/>
          </w:tcPr>
          <w:p>
            <w:pPr>
              <w:jc w:val="center"/>
              <w:ind w:left="653"/>
              <w:spacing w:after="0" w:line="205" w:lineRule="exact"/>
              <w:rPr>
                <w:sz w:val="20"/>
                <w:szCs w:val="20"/>
                <w:color w:val="auto"/>
              </w:rPr>
            </w:pPr>
            <w:r>
              <w:rPr>
                <w:rFonts w:ascii="Times New Roman" w:cs="Times New Roman" w:eastAsia="Times New Roman" w:hAnsi="Times New Roman"/>
                <w:sz w:val="18"/>
                <w:szCs w:val="18"/>
                <w:color w:val="0000FF"/>
                <w:w w:val="96"/>
              </w:rPr>
              <w:t>116</w:t>
            </w:r>
          </w:p>
        </w:tc>
        <w:tc>
          <w:tcPr>
            <w:tcW w:w="60" w:type="dxa"/>
            <w:vAlign w:val="bottom"/>
          </w:tcPr>
          <w:p>
            <w:pPr>
              <w:spacing w:after="0"/>
              <w:rPr>
                <w:sz w:val="17"/>
                <w:szCs w:val="17"/>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66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9"/>
              </w:rPr>
              <w:t>Item 9A.</w:t>
            </w:r>
          </w:p>
        </w:tc>
        <w:tc>
          <w:tcPr>
            <w:tcW w:w="560" w:type="dxa"/>
            <w:vAlign w:val="bottom"/>
          </w:tcPr>
          <w:p>
            <w:pPr>
              <w:spacing w:after="0"/>
              <w:rPr>
                <w:sz w:val="17"/>
                <w:szCs w:val="17"/>
                <w:color w:val="auto"/>
              </w:rPr>
            </w:pPr>
          </w:p>
        </w:tc>
        <w:tc>
          <w:tcPr>
            <w:tcW w:w="178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6920" w:type="dxa"/>
            <w:vAlign w:val="bottom"/>
            <w:gridSpan w:val="21"/>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116</w:t>
            </w:r>
          </w:p>
        </w:tc>
        <w:tc>
          <w:tcPr>
            <w:tcW w:w="60" w:type="dxa"/>
            <w:vAlign w:val="bottom"/>
          </w:tcPr>
          <w:p>
            <w:pPr>
              <w:spacing w:after="0"/>
              <w:rPr>
                <w:sz w:val="17"/>
                <w:szCs w:val="17"/>
                <w:color w:val="auto"/>
              </w:rPr>
            </w:pPr>
          </w:p>
        </w:tc>
      </w:tr>
      <w:tr>
        <w:trPr>
          <w:trHeight w:val="205"/>
        </w:trPr>
        <w:tc>
          <w:tcPr>
            <w:tcW w:w="64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8"/>
              </w:rPr>
              <w:t>Item 9B.</w:t>
            </w:r>
          </w:p>
        </w:tc>
        <w:tc>
          <w:tcPr>
            <w:tcW w:w="580" w:type="dxa"/>
            <w:vAlign w:val="bottom"/>
            <w:gridSpan w:val="2"/>
          </w:tcPr>
          <w:p>
            <w:pPr>
              <w:spacing w:after="0"/>
              <w:rPr>
                <w:sz w:val="17"/>
                <w:szCs w:val="17"/>
                <w:color w:val="auto"/>
              </w:rPr>
            </w:pPr>
          </w:p>
        </w:tc>
        <w:tc>
          <w:tcPr>
            <w:tcW w:w="132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Other Information</w:t>
            </w:r>
          </w:p>
        </w:tc>
        <w:tc>
          <w:tcPr>
            <w:tcW w:w="7380" w:type="dxa"/>
            <w:vAlign w:val="bottom"/>
            <w:gridSpan w:val="23"/>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117</w:t>
            </w:r>
          </w:p>
        </w:tc>
        <w:tc>
          <w:tcPr>
            <w:tcW w:w="60" w:type="dxa"/>
            <w:vAlign w:val="bottom"/>
          </w:tcPr>
          <w:p>
            <w:pPr>
              <w:spacing w:after="0"/>
              <w:rPr>
                <w:sz w:val="17"/>
                <w:szCs w:val="17"/>
                <w:color w:val="auto"/>
              </w:rPr>
            </w:pPr>
          </w:p>
        </w:tc>
      </w:tr>
      <w:tr>
        <w:trPr>
          <w:trHeight w:val="225"/>
        </w:trPr>
        <w:tc>
          <w:tcPr>
            <w:tcW w:w="122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9C.</w:t>
            </w:r>
          </w:p>
        </w:tc>
        <w:tc>
          <w:tcPr>
            <w:tcW w:w="8700" w:type="dxa"/>
            <w:vAlign w:val="bottom"/>
            <w:gridSpan w:val="28"/>
          </w:tcPr>
          <w:p>
            <w:pPr>
              <w:spacing w:after="0" w:line="205"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00" w:type="dxa"/>
            <w:vAlign w:val="bottom"/>
            <w:gridSpan w:val="4"/>
          </w:tcPr>
          <w:p>
            <w:pPr>
              <w:jc w:val="center"/>
              <w:ind w:left="653"/>
              <w:spacing w:after="0" w:line="205" w:lineRule="exact"/>
              <w:rPr>
                <w:sz w:val="20"/>
                <w:szCs w:val="20"/>
                <w:color w:val="auto"/>
              </w:rPr>
            </w:pPr>
            <w:r>
              <w:rPr>
                <w:rFonts w:ascii="Times New Roman" w:cs="Times New Roman" w:eastAsia="Times New Roman" w:hAnsi="Times New Roman"/>
                <w:sz w:val="18"/>
                <w:szCs w:val="18"/>
                <w:color w:val="0000FF"/>
                <w:w w:val="96"/>
              </w:rPr>
              <w:t>117</w:t>
            </w:r>
          </w:p>
        </w:tc>
        <w:tc>
          <w:tcPr>
            <w:tcW w:w="60" w:type="dxa"/>
            <w:vAlign w:val="bottom"/>
          </w:tcPr>
          <w:p>
            <w:pPr>
              <w:spacing w:after="0"/>
              <w:rPr>
                <w:sz w:val="19"/>
                <w:szCs w:val="19"/>
                <w:color w:val="auto"/>
              </w:rPr>
            </w:pPr>
          </w:p>
        </w:tc>
      </w:tr>
      <w:tr>
        <w:trPr>
          <w:trHeight w:val="397"/>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gridSpan w:val="9"/>
          </w:tcPr>
          <w:p>
            <w:pPr>
              <w:jc w:val="center"/>
              <w:ind w:right="140"/>
              <w:spacing w:after="0"/>
              <w:rPr>
                <w:sz w:val="20"/>
                <w:szCs w:val="20"/>
                <w:color w:val="auto"/>
              </w:rPr>
            </w:pPr>
            <w:r>
              <w:rPr>
                <w:rFonts w:ascii="Times New Roman" w:cs="Times New Roman" w:eastAsia="Times New Roman" w:hAnsi="Times New Roman"/>
                <w:sz w:val="18"/>
                <w:szCs w:val="18"/>
                <w:color w:val="0000FF"/>
                <w:w w:val="97"/>
              </w:rPr>
              <w:t>Part III</w:t>
            </w:r>
          </w:p>
        </w:tc>
        <w:tc>
          <w:tcPr>
            <w:tcW w:w="390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5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9"/>
              </w:rPr>
              <w:t>Item 10.</w:t>
            </w:r>
          </w:p>
        </w:tc>
        <w:tc>
          <w:tcPr>
            <w:tcW w:w="640" w:type="dxa"/>
            <w:vAlign w:val="bottom"/>
            <w:gridSpan w:val="4"/>
          </w:tcPr>
          <w:p>
            <w:pPr>
              <w:spacing w:after="0"/>
              <w:rPr>
                <w:sz w:val="17"/>
                <w:szCs w:val="17"/>
                <w:color w:val="auto"/>
              </w:rPr>
            </w:pPr>
          </w:p>
        </w:tc>
        <w:tc>
          <w:tcPr>
            <w:tcW w:w="4140" w:type="dxa"/>
            <w:vAlign w:val="bottom"/>
            <w:gridSpan w:val="14"/>
          </w:tcPr>
          <w:p>
            <w:pPr>
              <w:spacing w:after="0" w:line="205"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00" w:type="dxa"/>
            <w:vAlign w:val="bottom"/>
            <w:tcBorders>
              <w:top w:val="single" w:sz="8" w:color="0000FF"/>
            </w:tcBorders>
            <w:gridSpan w:val="7"/>
          </w:tcPr>
          <w:p>
            <w:pPr>
              <w:spacing w:after="0"/>
              <w:rPr>
                <w:sz w:val="17"/>
                <w:szCs w:val="17"/>
                <w:color w:val="auto"/>
              </w:rPr>
            </w:pPr>
          </w:p>
        </w:tc>
        <w:tc>
          <w:tcPr>
            <w:tcW w:w="4060" w:type="dxa"/>
            <w:vAlign w:val="bottom"/>
            <w:gridSpan w:val="7"/>
          </w:tcPr>
          <w:p>
            <w:pPr>
              <w:spacing w:after="0"/>
              <w:rPr>
                <w:sz w:val="17"/>
                <w:szCs w:val="17"/>
                <w:color w:val="auto"/>
              </w:rPr>
            </w:pPr>
          </w:p>
        </w:tc>
        <w:tc>
          <w:tcPr>
            <w:tcW w:w="1000" w:type="dxa"/>
            <w:vAlign w:val="bottom"/>
            <w:gridSpan w:val="4"/>
          </w:tcPr>
          <w:p>
            <w:pPr>
              <w:jc w:val="center"/>
              <w:ind w:left="653"/>
              <w:spacing w:after="0" w:line="205" w:lineRule="exact"/>
              <w:rPr>
                <w:sz w:val="20"/>
                <w:szCs w:val="20"/>
                <w:color w:val="auto"/>
              </w:rPr>
            </w:pPr>
            <w:r>
              <w:rPr>
                <w:rFonts w:ascii="Times New Roman" w:cs="Times New Roman" w:eastAsia="Times New Roman" w:hAnsi="Times New Roman"/>
                <w:sz w:val="18"/>
                <w:szCs w:val="18"/>
                <w:color w:val="0000FF"/>
                <w:w w:val="96"/>
              </w:rPr>
              <w:t>118</w:t>
            </w:r>
          </w:p>
        </w:tc>
        <w:tc>
          <w:tcPr>
            <w:tcW w:w="60" w:type="dxa"/>
            <w:vAlign w:val="bottom"/>
          </w:tcPr>
          <w:p>
            <w:pPr>
              <w:spacing w:after="0"/>
              <w:rPr>
                <w:sz w:val="17"/>
                <w:szCs w:val="17"/>
                <w:color w:val="auto"/>
              </w:rPr>
            </w:pPr>
          </w:p>
        </w:tc>
      </w:tr>
      <w:tr>
        <w:trPr>
          <w:trHeight w:val="205"/>
        </w:trPr>
        <w:tc>
          <w:tcPr>
            <w:tcW w:w="5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9"/>
              </w:rPr>
              <w:t>Item 11.</w:t>
            </w:r>
          </w:p>
        </w:tc>
        <w:tc>
          <w:tcPr>
            <w:tcW w:w="640" w:type="dxa"/>
            <w:vAlign w:val="bottom"/>
            <w:gridSpan w:val="4"/>
          </w:tcPr>
          <w:p>
            <w:pPr>
              <w:spacing w:after="0"/>
              <w:rPr>
                <w:sz w:val="17"/>
                <w:szCs w:val="17"/>
                <w:color w:val="auto"/>
              </w:rPr>
            </w:pPr>
          </w:p>
        </w:tc>
        <w:tc>
          <w:tcPr>
            <w:tcW w:w="4020" w:type="dxa"/>
            <w:vAlign w:val="bottom"/>
            <w:tcBorders>
              <w:top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Executive Compensation</w:t>
            </w:r>
          </w:p>
        </w:tc>
        <w:tc>
          <w:tcPr>
            <w:tcW w:w="4680" w:type="dxa"/>
            <w:vAlign w:val="bottom"/>
            <w:gridSpan w:val="16"/>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118</w:t>
            </w:r>
          </w:p>
        </w:tc>
        <w:tc>
          <w:tcPr>
            <w:tcW w:w="60" w:type="dxa"/>
            <w:vAlign w:val="bottom"/>
          </w:tcPr>
          <w:p>
            <w:pPr>
              <w:spacing w:after="0"/>
              <w:rPr>
                <w:sz w:val="17"/>
                <w:szCs w:val="17"/>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5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9"/>
              </w:rPr>
              <w:t>Item 12.</w:t>
            </w:r>
          </w:p>
        </w:tc>
        <w:tc>
          <w:tcPr>
            <w:tcW w:w="640" w:type="dxa"/>
            <w:vAlign w:val="bottom"/>
            <w:gridSpan w:val="4"/>
          </w:tcPr>
          <w:p>
            <w:pPr>
              <w:spacing w:after="0"/>
              <w:rPr>
                <w:sz w:val="17"/>
                <w:szCs w:val="17"/>
                <w:color w:val="auto"/>
              </w:rPr>
            </w:pPr>
          </w:p>
        </w:tc>
        <w:tc>
          <w:tcPr>
            <w:tcW w:w="7160" w:type="dxa"/>
            <w:vAlign w:val="bottom"/>
            <w:tcBorders>
              <w:bottom w:val="single" w:sz="8" w:color="0000FF"/>
            </w:tcBorders>
            <w:gridSpan w:val="26"/>
          </w:tcPr>
          <w:p>
            <w:pPr>
              <w:spacing w:after="0" w:line="205" w:lineRule="exact"/>
              <w:rPr>
                <w:sz w:val="20"/>
                <w:szCs w:val="20"/>
                <w:color w:val="auto"/>
              </w:rPr>
            </w:pPr>
            <w:r>
              <w:rPr>
                <w:rFonts w:ascii="Times New Roman" w:cs="Times New Roman" w:eastAsia="Times New Roman" w:hAnsi="Times New Roman"/>
                <w:sz w:val="18"/>
                <w:szCs w:val="18"/>
                <w:color w:val="0000FF"/>
                <w:w w:val="97"/>
              </w:rPr>
              <w:t>Security Ownership of Certain Beneficial Owners and Management and Related Stockholder Matters</w:t>
            </w:r>
          </w:p>
        </w:tc>
        <w:tc>
          <w:tcPr>
            <w:tcW w:w="15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118</w:t>
            </w:r>
          </w:p>
        </w:tc>
        <w:tc>
          <w:tcPr>
            <w:tcW w:w="60" w:type="dxa"/>
            <w:vAlign w:val="bottom"/>
          </w:tcPr>
          <w:p>
            <w:pPr>
              <w:spacing w:after="0"/>
              <w:rPr>
                <w:sz w:val="17"/>
                <w:szCs w:val="17"/>
                <w:color w:val="auto"/>
              </w:rPr>
            </w:pPr>
          </w:p>
        </w:tc>
      </w:tr>
      <w:tr>
        <w:trPr>
          <w:trHeight w:val="205"/>
        </w:trPr>
        <w:tc>
          <w:tcPr>
            <w:tcW w:w="5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9"/>
              </w:rPr>
              <w:t>Item 13.</w:t>
            </w:r>
          </w:p>
        </w:tc>
        <w:tc>
          <w:tcPr>
            <w:tcW w:w="640" w:type="dxa"/>
            <w:vAlign w:val="bottom"/>
            <w:gridSpan w:val="4"/>
          </w:tcPr>
          <w:p>
            <w:pPr>
              <w:spacing w:after="0"/>
              <w:rPr>
                <w:sz w:val="17"/>
                <w:szCs w:val="17"/>
                <w:color w:val="auto"/>
              </w:rPr>
            </w:pPr>
          </w:p>
        </w:tc>
        <w:tc>
          <w:tcPr>
            <w:tcW w:w="5360" w:type="dxa"/>
            <w:vAlign w:val="bottom"/>
            <w:tcBorders>
              <w:bottom w:val="single" w:sz="8" w:color="0000FF"/>
            </w:tcBorders>
            <w:gridSpan w:val="23"/>
          </w:tcPr>
          <w:p>
            <w:pPr>
              <w:spacing w:after="0" w:line="205" w:lineRule="exact"/>
              <w:rPr>
                <w:sz w:val="20"/>
                <w:szCs w:val="20"/>
                <w:color w:val="auto"/>
              </w:rPr>
            </w:pPr>
            <w:r>
              <w:rPr>
                <w:rFonts w:ascii="Times New Roman" w:cs="Times New Roman" w:eastAsia="Times New Roman" w:hAnsi="Times New Roman"/>
                <w:sz w:val="18"/>
                <w:szCs w:val="18"/>
                <w:color w:val="0000FF"/>
                <w:w w:val="97"/>
              </w:rPr>
              <w:t>Certain Relationships and Related Transactions, and Director Independence</w:t>
            </w:r>
          </w:p>
        </w:tc>
        <w:tc>
          <w:tcPr>
            <w:tcW w:w="334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118</w:t>
            </w:r>
          </w:p>
        </w:tc>
        <w:tc>
          <w:tcPr>
            <w:tcW w:w="60" w:type="dxa"/>
            <w:vAlign w:val="bottom"/>
          </w:tcPr>
          <w:p>
            <w:pPr>
              <w:spacing w:after="0"/>
              <w:rPr>
                <w:sz w:val="17"/>
                <w:szCs w:val="17"/>
                <w:color w:val="auto"/>
              </w:rPr>
            </w:pPr>
          </w:p>
        </w:tc>
      </w:tr>
      <w:tr>
        <w:trPr>
          <w:trHeight w:val="205"/>
        </w:trPr>
        <w:tc>
          <w:tcPr>
            <w:tcW w:w="122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14.</w:t>
            </w:r>
          </w:p>
        </w:tc>
        <w:tc>
          <w:tcPr>
            <w:tcW w:w="8700" w:type="dxa"/>
            <w:vAlign w:val="bottom"/>
            <w:gridSpan w:val="28"/>
          </w:tcPr>
          <w:p>
            <w:pPr>
              <w:spacing w:after="0" w:line="205"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000" w:type="dxa"/>
            <w:vAlign w:val="bottom"/>
            <w:gridSpan w:val="4"/>
          </w:tcPr>
          <w:p>
            <w:pPr>
              <w:jc w:val="center"/>
              <w:ind w:left="653"/>
              <w:spacing w:after="0" w:line="205" w:lineRule="exact"/>
              <w:rPr>
                <w:sz w:val="20"/>
                <w:szCs w:val="20"/>
                <w:color w:val="auto"/>
              </w:rPr>
            </w:pPr>
            <w:r>
              <w:rPr>
                <w:rFonts w:ascii="Times New Roman" w:cs="Times New Roman" w:eastAsia="Times New Roman" w:hAnsi="Times New Roman"/>
                <w:sz w:val="18"/>
                <w:szCs w:val="18"/>
                <w:color w:val="0000FF"/>
                <w:w w:val="96"/>
              </w:rPr>
              <w:t>118</w:t>
            </w:r>
          </w:p>
        </w:tc>
        <w:tc>
          <w:tcPr>
            <w:tcW w:w="60" w:type="dxa"/>
            <w:vAlign w:val="bottom"/>
          </w:tcPr>
          <w:p>
            <w:pPr>
              <w:spacing w:after="0"/>
              <w:rPr>
                <w:sz w:val="17"/>
                <w:szCs w:val="17"/>
                <w:color w:val="auto"/>
              </w:rPr>
            </w:pPr>
          </w:p>
        </w:tc>
      </w:tr>
      <w:tr>
        <w:trPr>
          <w:trHeight w:val="417"/>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15"/>
          </w:tcPr>
          <w:p>
            <w:pPr>
              <w:jc w:val="center"/>
              <w:ind w:right="4060"/>
              <w:spacing w:after="0"/>
              <w:rPr>
                <w:sz w:val="20"/>
                <w:szCs w:val="20"/>
                <w:color w:val="auto"/>
              </w:rPr>
            </w:pPr>
            <w:r>
              <w:rPr>
                <w:rFonts w:ascii="Times New Roman" w:cs="Times New Roman" w:eastAsia="Times New Roman" w:hAnsi="Times New Roman"/>
                <w:sz w:val="18"/>
                <w:szCs w:val="18"/>
                <w:color w:val="0000FF"/>
                <w:w w:val="98"/>
              </w:rPr>
              <w:t>Part IV</w:t>
            </w: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5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9"/>
              </w:rPr>
              <w:t>Item 15.</w:t>
            </w:r>
          </w:p>
        </w:tc>
        <w:tc>
          <w:tcPr>
            <w:tcW w:w="640" w:type="dxa"/>
            <w:vAlign w:val="bottom"/>
            <w:gridSpan w:val="4"/>
          </w:tcPr>
          <w:p>
            <w:pPr>
              <w:spacing w:after="0"/>
              <w:rPr>
                <w:sz w:val="17"/>
                <w:szCs w:val="17"/>
                <w:color w:val="auto"/>
              </w:rPr>
            </w:pPr>
          </w:p>
        </w:tc>
        <w:tc>
          <w:tcPr>
            <w:tcW w:w="3040" w:type="dxa"/>
            <w:vAlign w:val="bottom"/>
            <w:tcBorders>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Exhibit and Financial Statement Schedules</w:t>
            </w:r>
          </w:p>
        </w:tc>
        <w:tc>
          <w:tcPr>
            <w:tcW w:w="1080" w:type="dxa"/>
            <w:vAlign w:val="bottom"/>
            <w:gridSpan w:val="3"/>
          </w:tcPr>
          <w:p>
            <w:pPr>
              <w:spacing w:after="0"/>
              <w:rPr>
                <w:sz w:val="17"/>
                <w:szCs w:val="17"/>
                <w:color w:val="auto"/>
              </w:rPr>
            </w:pPr>
          </w:p>
        </w:tc>
        <w:tc>
          <w:tcPr>
            <w:tcW w:w="520" w:type="dxa"/>
            <w:vAlign w:val="bottom"/>
            <w:tcBorders>
              <w:top w:val="single" w:sz="8" w:color="0000FF"/>
            </w:tcBorders>
            <w:gridSpan w:val="8"/>
          </w:tcPr>
          <w:p>
            <w:pPr>
              <w:spacing w:after="0"/>
              <w:rPr>
                <w:sz w:val="17"/>
                <w:szCs w:val="17"/>
                <w:color w:val="auto"/>
              </w:rPr>
            </w:pPr>
          </w:p>
        </w:tc>
        <w:tc>
          <w:tcPr>
            <w:tcW w:w="406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119</w:t>
            </w:r>
          </w:p>
        </w:tc>
        <w:tc>
          <w:tcPr>
            <w:tcW w:w="60" w:type="dxa"/>
            <w:vAlign w:val="bottom"/>
          </w:tcPr>
          <w:p>
            <w:pPr>
              <w:spacing w:after="0"/>
              <w:rPr>
                <w:sz w:val="17"/>
                <w:szCs w:val="17"/>
                <w:color w:val="auto"/>
              </w:rPr>
            </w:pPr>
          </w:p>
        </w:tc>
      </w:tr>
      <w:tr>
        <w:trPr>
          <w:trHeight w:val="205"/>
        </w:trPr>
        <w:tc>
          <w:tcPr>
            <w:tcW w:w="5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9"/>
              </w:rPr>
              <w:t>Item 16.</w:t>
            </w:r>
          </w:p>
        </w:tc>
        <w:tc>
          <w:tcPr>
            <w:tcW w:w="640" w:type="dxa"/>
            <w:vAlign w:val="bottom"/>
            <w:gridSpan w:val="4"/>
          </w:tcPr>
          <w:p>
            <w:pPr>
              <w:spacing w:after="0"/>
              <w:rPr>
                <w:sz w:val="17"/>
                <w:szCs w:val="17"/>
                <w:color w:val="auto"/>
              </w:rPr>
            </w:pPr>
          </w:p>
        </w:tc>
        <w:tc>
          <w:tcPr>
            <w:tcW w:w="8700" w:type="dxa"/>
            <w:vAlign w:val="bottom"/>
            <w:gridSpan w:val="28"/>
          </w:tcPr>
          <w:p>
            <w:pPr>
              <w:spacing w:after="0" w:line="205" w:lineRule="exact"/>
              <w:rPr>
                <w:sz w:val="20"/>
                <w:szCs w:val="20"/>
                <w:color w:val="auto"/>
              </w:rPr>
            </w:pPr>
            <w:r>
              <w:rPr>
                <w:rFonts w:ascii="Times New Roman" w:cs="Times New Roman" w:eastAsia="Times New Roman" w:hAnsi="Times New Roman"/>
                <w:sz w:val="18"/>
                <w:szCs w:val="18"/>
                <w:color w:val="0000FF"/>
              </w:rPr>
              <w:t>Form 10-K Summary</w:t>
            </w:r>
          </w:p>
        </w:tc>
        <w:tc>
          <w:tcPr>
            <w:tcW w:w="1060" w:type="dxa"/>
            <w:vAlign w:val="bottom"/>
            <w:gridSpan w:val="5"/>
          </w:tcPr>
          <w:p>
            <w:pPr>
              <w:jc w:val="center"/>
              <w:ind w:left="673"/>
              <w:spacing w:after="0" w:line="205" w:lineRule="exact"/>
              <w:rPr>
                <w:sz w:val="20"/>
                <w:szCs w:val="20"/>
                <w:color w:val="auto"/>
              </w:rPr>
            </w:pPr>
            <w:r>
              <w:rPr>
                <w:rFonts w:ascii="Times New Roman" w:cs="Times New Roman" w:eastAsia="Times New Roman" w:hAnsi="Times New Roman"/>
                <w:sz w:val="18"/>
                <w:szCs w:val="18"/>
                <w:color w:val="0000FF"/>
                <w:w w:val="96"/>
              </w:rPr>
              <w:t>123</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7180" w:type="dxa"/>
            <w:vAlign w:val="bottom"/>
            <w:gridSpan w:val="22"/>
          </w:tcPr>
          <w:p>
            <w:pPr>
              <w:spacing w:after="0"/>
              <w:rPr>
                <w:sz w:val="17"/>
                <w:szCs w:val="17"/>
                <w:color w:val="auto"/>
              </w:rPr>
            </w:pPr>
          </w:p>
        </w:tc>
        <w:tc>
          <w:tcPr>
            <w:tcW w:w="1060" w:type="dxa"/>
            <w:vAlign w:val="bottom"/>
            <w:gridSpan w:val="5"/>
          </w:tcPr>
          <w:p>
            <w:pPr>
              <w:jc w:val="center"/>
              <w:ind w:left="673"/>
              <w:spacing w:after="0" w:line="205" w:lineRule="exact"/>
              <w:rPr>
                <w:sz w:val="20"/>
                <w:szCs w:val="20"/>
                <w:color w:val="auto"/>
              </w:rPr>
            </w:pPr>
            <w:r>
              <w:rPr>
                <w:rFonts w:ascii="Times New Roman" w:cs="Times New Roman" w:eastAsia="Times New Roman" w:hAnsi="Times New Roman"/>
                <w:sz w:val="18"/>
                <w:szCs w:val="18"/>
                <w:color w:val="0000FF"/>
                <w:w w:val="96"/>
              </w:rPr>
              <w:t>124</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170180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80"/>
          </w:cols>
          <w:pgMar w:left="340" w:top="1391" w:right="5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used in this Annual Report on Form 10-K (this “Form 10-K”), the terms identified below have the meanings specified unless otherwise noted or the context indicates otherwise. References in this Form 10-K to “ZoomInfo Technologies Inc.” refer to ZoomInfo Technologies Inc. and not to any of its subsidiaries unless the context indicates otherwise. References in this Form 10-K to “ZoomInfo”, the “Company”, “we”, “us”, and “our” refer to ZoomInfo Technologies Inc. and its consolidated subsidiaries unless the context indicates otherwise.</w:t>
      </w:r>
    </w:p>
    <w:p>
      <w:pPr>
        <w:spacing w:after="0" w:line="114" w:lineRule="exact"/>
        <w:rPr>
          <w:sz w:val="20"/>
          <w:szCs w:val="20"/>
          <w:color w:val="auto"/>
        </w:rPr>
      </w:pPr>
    </w:p>
    <w:p>
      <w:pPr>
        <w:ind w:left="640" w:hanging="316"/>
        <w:spacing w:after="0" w:line="25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ACV</w:t>
      </w:r>
      <w:r>
        <w:rPr>
          <w:rFonts w:ascii="Times New Roman" w:cs="Times New Roman" w:eastAsia="Times New Roman" w:hAnsi="Times New Roman"/>
          <w:sz w:val="18"/>
          <w:szCs w:val="18"/>
          <w:color w:val="auto"/>
        </w:rPr>
        <w:t>” refers to annual contract value, or the total annualized value that a customer has agreed to pay for subscription services at any particular point in time under contract(s) that are or were enforceable at that point in time.</w:t>
      </w: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Companies</w:t>
      </w:r>
      <w:r>
        <w:rPr>
          <w:rFonts w:ascii="Times New Roman" w:cs="Times New Roman" w:eastAsia="Times New Roman" w:hAnsi="Times New Roman"/>
          <w:sz w:val="18"/>
          <w:szCs w:val="18"/>
          <w:color w:val="auto"/>
        </w:rPr>
        <w:t>” refers to certain Pre-IPO Owners that held equity units of ZoomInfo Holdings that are taxable as corporations for U.S. federal income tax purposes.</w:t>
      </w:r>
    </w:p>
    <w:p>
      <w:pPr>
        <w:spacing w:after="0" w:line="1" w:lineRule="exact"/>
        <w:rPr>
          <w:rFonts w:ascii="Times New Roman" w:cs="Times New Roman" w:eastAsia="Times New Roman" w:hAnsi="Times New Roman"/>
          <w:sz w:val="18"/>
          <w:szCs w:val="18"/>
          <w:color w:val="auto"/>
        </w:rPr>
      </w:pPr>
    </w:p>
    <w:p>
      <w:pPr>
        <w:ind w:left="640" w:hanging="316"/>
        <w:spacing w:after="0" w:line="23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Tax Receivable Agreement</w:t>
      </w:r>
      <w:r>
        <w:rPr>
          <w:rFonts w:ascii="Times New Roman" w:cs="Times New Roman" w:eastAsia="Times New Roman" w:hAnsi="Times New Roman"/>
          <w:sz w:val="18"/>
          <w:szCs w:val="18"/>
          <w:color w:val="auto"/>
        </w:rPr>
        <w:t>” refers to the Tax Receivable Agreement, and amendments thereto, entered into with certain Pre-IPO Owners that held equity units of ZoomInfo Holdings.</w:t>
      </w: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HoldCo Units</w:t>
      </w:r>
      <w:r>
        <w:rPr>
          <w:rFonts w:ascii="Times New Roman" w:cs="Times New Roman" w:eastAsia="Times New Roman" w:hAnsi="Times New Roman"/>
          <w:sz w:val="18"/>
          <w:szCs w:val="18"/>
          <w:color w:val="auto"/>
        </w:rPr>
        <w:t>” refers to the class of units of ZoomInfo Intermediate Holdings.</w:t>
      </w:r>
    </w:p>
    <w:p>
      <w:pPr>
        <w:spacing w:after="0" w:line="4"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HSKB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HSKB I</w:t>
      </w:r>
      <w:r>
        <w:rPr>
          <w:rFonts w:ascii="Times New Roman" w:cs="Times New Roman" w:eastAsia="Times New Roman" w:hAnsi="Times New Roman"/>
          <w:sz w:val="18"/>
          <w:szCs w:val="18"/>
          <w:color w:val="auto"/>
        </w:rPr>
        <w:t>” refers to HSKB Funds, LLC, a privately held limited liability company formed on February 9, 2016 for the purpose of issuing equity to certain persons who had performed and would continue to perform services for ZoomInfo Holdings.</w:t>
      </w:r>
    </w:p>
    <w:p>
      <w:pPr>
        <w:spacing w:after="0" w:line="1" w:lineRule="exact"/>
        <w:rPr>
          <w:rFonts w:ascii="Times New Roman" w:cs="Times New Roman" w:eastAsia="Times New Roman" w:hAnsi="Times New Roman"/>
          <w:sz w:val="18"/>
          <w:szCs w:val="18"/>
          <w:color w:val="auto"/>
        </w:rPr>
      </w:pPr>
    </w:p>
    <w:p>
      <w:pPr>
        <w:jc w:val="both"/>
        <w:ind w:left="640" w:hanging="316"/>
        <w:spacing w:after="0"/>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HSKB II</w:t>
      </w:r>
      <w:r>
        <w:rPr>
          <w:rFonts w:ascii="Times New Roman" w:cs="Times New Roman" w:eastAsia="Times New Roman" w:hAnsi="Times New Roman"/>
          <w:sz w:val="18"/>
          <w:szCs w:val="18"/>
          <w:color w:val="auto"/>
        </w:rPr>
        <w:t>” refers to HSKB Funds II, LLC, a privately held limited liability company formed on May 28, 2020 for the purpose of effecting a reorganization of HSKB I at the time of the IPO and to issue equity to certain persons who had performed and would continue to perform services for ZoomInfo Holdings.</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Pre-Acquisition ZI</w:t>
      </w:r>
      <w:r>
        <w:rPr>
          <w:rFonts w:ascii="Times New Roman" w:cs="Times New Roman" w:eastAsia="Times New Roman" w:hAnsi="Times New Roman"/>
          <w:sz w:val="18"/>
          <w:szCs w:val="18"/>
          <w:color w:val="auto"/>
        </w:rPr>
        <w:t>” refers to Zoom Information Inc.</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Pre-IPO Blocker Holders</w:t>
      </w:r>
      <w:r>
        <w:rPr>
          <w:rFonts w:ascii="Times New Roman" w:cs="Times New Roman" w:eastAsia="Times New Roman" w:hAnsi="Times New Roman"/>
          <w:sz w:val="17"/>
          <w:szCs w:val="17"/>
          <w:color w:val="auto"/>
        </w:rPr>
        <w:t>” refers to the Pre-IPO Owners that held their interests in us through the Blocker Companies immediately prior to the IPO.</w:t>
      </w:r>
    </w:p>
    <w:p>
      <w:pPr>
        <w:spacing w:after="0" w:line="16" w:lineRule="exact"/>
        <w:rPr>
          <w:rFonts w:ascii="Times New Roman" w:cs="Times New Roman" w:eastAsia="Times New Roman" w:hAnsi="Times New Roman"/>
          <w:sz w:val="17"/>
          <w:szCs w:val="17"/>
          <w:color w:val="auto"/>
        </w:rPr>
      </w:pPr>
    </w:p>
    <w:p>
      <w:pPr>
        <w:ind w:left="640" w:right="2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Owners</w:t>
      </w:r>
      <w:r>
        <w:rPr>
          <w:rFonts w:ascii="Times New Roman" w:cs="Times New Roman" w:eastAsia="Times New Roman" w:hAnsi="Times New Roman"/>
          <w:sz w:val="18"/>
          <w:szCs w:val="18"/>
          <w:color w:val="auto"/>
        </w:rPr>
        <w:t>” refers collectively to the Sponsors, the Founders, and the management and other equity holders who were the owners of ZoomInfo Holdings immediately prior to the Reorganization Transactions.</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Tax Receivable Agreement</w:t>
      </w:r>
      <w:r>
        <w:rPr>
          <w:rFonts w:ascii="Times New Roman" w:cs="Times New Roman" w:eastAsia="Times New Roman" w:hAnsi="Times New Roman"/>
          <w:sz w:val="18"/>
          <w:szCs w:val="18"/>
          <w:color w:val="auto"/>
        </w:rPr>
        <w:t>” refers to the Tax Receivable Agreement, and amendments thereto, entered into with the Pre-IPO Blocker Holders.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Transactions</w:t>
      </w:r>
      <w:r>
        <w:rPr>
          <w:rFonts w:ascii="Times New Roman" w:cs="Times New Roman" w:eastAsia="Times New Roman" w:hAnsi="Times New Roman"/>
          <w:sz w:val="18"/>
          <w:szCs w:val="18"/>
          <w:color w:val="auto"/>
        </w:rPr>
        <w:t>” refers to the following transactions in connection with the IPO:</w:t>
      </w:r>
    </w:p>
    <w:p>
      <w:pPr>
        <w:spacing w:after="0" w:line="5"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Holdings effected a four-for-one reverse unit split;</w:t>
      </w:r>
    </w:p>
    <w:p>
      <w:pPr>
        <w:spacing w:after="0" w:line="5" w:lineRule="exact"/>
        <w:rPr>
          <w:rFonts w:ascii="Times New Roman" w:cs="Times New Roman" w:eastAsia="Times New Roman" w:hAnsi="Times New Roman"/>
          <w:sz w:val="18"/>
          <w:szCs w:val="18"/>
          <w:color w:val="auto"/>
        </w:rPr>
      </w:pPr>
    </w:p>
    <w:p>
      <w:pPr>
        <w:jc w:val="both"/>
        <w:ind w:left="1280" w:hanging="320"/>
        <w:spacing w:after="0" w:line="245" w:lineRule="auto"/>
        <w:tabs>
          <w:tab w:leader="none" w:pos="127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Intermediate Inc. formed a new merger subsidiary with respect to each of the Blocker Companies through which certain of our Pre-IPO Blocker Holders held their interests in ZoomInfo Holdings, each merger subsidiary merged with and into the respective Blocker Companies in reverse-subsidiary mergers, and the surviving entities merged with and into ZoomInfo Intermediate Inc. (such mergers, the “Blocker Mergers”), which Blocker Mergers resulted in the Pre-IPO Blocker Holders receiving a combination of (i) shares of Class C common stock of ZoomInfo Intermediate Inc. and (ii) a cash amount in respect of reductions in such Pre-IPO Blocker Holders’ equity interests, based on the initial offering price of our Class A common stock in the IPO;</w:t>
      </w:r>
    </w:p>
    <w:p>
      <w:pPr>
        <w:spacing w:after="0" w:line="4" w:lineRule="exact"/>
        <w:rPr>
          <w:rFonts w:ascii="Times New Roman" w:cs="Times New Roman" w:eastAsia="Times New Roman" w:hAnsi="Times New Roman"/>
          <w:sz w:val="18"/>
          <w:szCs w:val="18"/>
          <w:color w:val="auto"/>
        </w:rPr>
      </w:pPr>
    </w:p>
    <w:p>
      <w:pPr>
        <w:jc w:val="both"/>
        <w:ind w:left="1280" w:hanging="320"/>
        <w:spacing w:after="0" w:line="248" w:lineRule="auto"/>
        <w:tabs>
          <w:tab w:leader="none" w:pos="127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Pre-IPO Owners acquired interests in ZoomInfo Intermediate Holdings as a result of the merger of an entity that held equity units of ZoomInfo Holdings on behalf of such Pre-IPO Owners into ZoomInfo Intermediate Holdings and the redemption of such units of ZoomInfo Holdings pursuant to which such holders received equity units of ZoomInfo Intermediate Holdings;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280" w:hanging="320"/>
        <w:spacing w:after="0" w:line="249" w:lineRule="auto"/>
        <w:tabs>
          <w:tab w:leader="none" w:pos="127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liability company agreement of each of ZoomInfo Holdings and ZoomInfo Intermediate Holdings was amended and restated to, among other things, modify their capital structure by reclassifying the interests held by the Pre-IPO Owners that held equity units of ZoomInfo Holdings, certain Pre-IPO Owners who continued to hold Class P units of ZoomInfo Holdings following the Reorganization Transactions and the IPO, and the Pre-IPO Owners of equity units of ZoomInfo Intermediate Holdings, resulting in equity units of ZoomInfo Holdings, Class P units (including, without limitation, any of such units indirectly held) of ZoomInfo Holdings, and equity units of ZoomInfo Intermediate Holdings, respectively (such reclassification, the “Reclassification”).</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refers collectively to investment funds associated with TA Associates, The Carlyle Group, and 22C Capital LLC and its predecessors.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 Agreements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TRA</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TRAs</w:t>
      </w:r>
      <w:r>
        <w:rPr>
          <w:rFonts w:ascii="Times New Roman" w:cs="Times New Roman" w:eastAsia="Times New Roman" w:hAnsi="Times New Roman"/>
          <w:sz w:val="18"/>
          <w:szCs w:val="18"/>
          <w:color w:val="auto"/>
        </w:rPr>
        <w:t>” refers collectively to the Exchange Tax Receivable Agreement and the Reorganization Tax Receivable Agreement.</w:t>
      </w:r>
    </w:p>
    <w:p>
      <w:pPr>
        <w:spacing w:after="0" w:line="1" w:lineRule="exact"/>
        <w:rPr>
          <w:rFonts w:ascii="Times New Roman" w:cs="Times New Roman" w:eastAsia="Times New Roman" w:hAnsi="Times New Roman"/>
          <w:sz w:val="18"/>
          <w:szCs w:val="18"/>
          <w:color w:val="auto"/>
        </w:rPr>
      </w:pPr>
    </w:p>
    <w:p>
      <w:pPr>
        <w:ind w:left="640" w:right="2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ZoomInfo Intermediate Holdings</w:t>
      </w:r>
      <w:r>
        <w:rPr>
          <w:rFonts w:ascii="Times New Roman" w:cs="Times New Roman" w:eastAsia="Times New Roman" w:hAnsi="Times New Roman"/>
          <w:sz w:val="18"/>
          <w:szCs w:val="18"/>
          <w:color w:val="auto"/>
        </w:rPr>
        <w:t>” refers to ZoomInfo Intermediate Holdings LLC, a Delaware limited liability company, and a direct subsidiary of ZoomInfo Intermediate Inc., prior to its merger with and into ZoomInfo Intermediate Inc., in August 2021.</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ZoomInfo Holdings</w:t>
      </w:r>
      <w:r>
        <w:rPr>
          <w:rFonts w:ascii="Times New Roman" w:cs="Times New Roman" w:eastAsia="Times New Roman" w:hAnsi="Times New Roman"/>
          <w:sz w:val="18"/>
          <w:szCs w:val="18"/>
          <w:color w:val="auto"/>
        </w:rPr>
        <w:t>” refers to ZoomInfo Holdings LLC, a Delaware limited liability company, and a direct subsidiary of ZoomInfo Technologies Inc. and ZoomInfo Intermediate Inc.</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ZoomInfo Intermediate</w:t>
      </w:r>
      <w:r>
        <w:rPr>
          <w:rFonts w:ascii="Times New Roman" w:cs="Times New Roman" w:eastAsia="Times New Roman" w:hAnsi="Times New Roman"/>
          <w:sz w:val="18"/>
          <w:szCs w:val="18"/>
          <w:color w:val="auto"/>
        </w:rPr>
        <w:t>” refers to ZoomInfo Intermediate Inc., a Delaware corporation, and a direct subsidiary of ZoomInfo Technologies Inc.</w:t>
      </w:r>
    </w:p>
    <w:p>
      <w:pPr>
        <w:spacing w:after="0" w:line="5"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ZoomInfo Tax Group</w:t>
      </w:r>
      <w:r>
        <w:rPr>
          <w:rFonts w:ascii="Times New Roman" w:cs="Times New Roman" w:eastAsia="Times New Roman" w:hAnsi="Times New Roman"/>
          <w:sz w:val="18"/>
          <w:szCs w:val="18"/>
          <w:color w:val="auto"/>
        </w:rPr>
        <w:t>” refers to, collectively, ZoomInfo Technologies Inc. and any member of its affiliated, consolidated, combined, or unitary tax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This Form 10-K contains forward-looking statements that reflect our current views with respect to, among other things, our operations and financial performance. These forward-looking statements are included throughout this Form 10-K, including in the sections entitled “Business”, “Risk Factors”, and “Management’s Discussion and Analysis of Financial Condition and Results of Operations”,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spacing w:after="0" w:line="14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based our forward-looking statements on beliefs and assumptions based on information available to us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 summary of some of the factors that could cause actual results to differ from those expressed or implied by our forward-looking statements, including forward-looking statements contained in this Form 10-K, is provided below under “Risk Factor Summary.” These factors should not be construed as exhaustive and should be read in conjunction with this Form 10-K and our other filings with the Securities and Exchange Commission (“SEC”), including the other cautionary statements that are included herein or therein.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You should not place undue reliance on our forward-looking statements.</w:t>
      </w:r>
    </w:p>
    <w:p>
      <w:pPr>
        <w:spacing w:after="0" w:line="1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53"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We are subject to various risks that could have a material adverse effect on our business, financial condition, results of operations or cash flows. The following is a summary of the principal factors that make investing in our securities risky and may cause our actual results to differ materially from historical results and those expressed in forward-looking statements included in this Form 10-K, or otherwise made by us or on our behalf, in filings with the SEC, press releases, communications with investors and oral statements. The risks and uncertainties described below are not the only ones we face. It is not possible to predict or identify all such factors. Additional risks and uncertainties that we are unaware of, or that we currently believe are not material, may also become important factors that affect us. Further, because the following is only a summary of the principal risks that may have a material adverse effect on our business, financial condition, results of operations and cash flows, the following should be read in conjunction with the more complete discussion of the risk factors we face, which are set forth in the section entitled “Risk Factors” in Part I, Item 1A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68" w:lineRule="exact"/>
        <w:rPr>
          <w:sz w:val="20"/>
          <w:szCs w:val="20"/>
          <w:color w:val="auto"/>
        </w:rPr>
      </w:pPr>
    </w:p>
    <w:p>
      <w:pPr>
        <w:ind w:left="640" w:hanging="316"/>
        <w:spacing w:after="0" w:line="257" w:lineRule="auto"/>
        <w:tabs>
          <w:tab w:leader="none" w:pos="63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current and potential customers may reduce spending on sales, marketing, recruiting and other technology and information as a result of weaker economic conditions, which could harm our revenue, results of operations, and cash flows;</w:t>
      </w:r>
    </w:p>
    <w:p>
      <w:pPr>
        <w:ind w:left="640" w:hanging="316"/>
        <w:spacing w:after="0" w:line="245" w:lineRule="auto"/>
        <w:tabs>
          <w:tab w:leader="none" w:pos="63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may be unable to attract new customers, renew existing subscriptions, expand subscriptions of current customers, and collect revenue from our customers, which could harm our revenue growth, cash flows, and profitability;</w:t>
      </w:r>
    </w:p>
    <w:p>
      <w:pPr>
        <w:spacing w:after="0" w:line="1" w:lineRule="exact"/>
        <w:rPr>
          <w:rFonts w:ascii="Times New Roman" w:cs="Times New Roman" w:eastAsia="Times New Roman" w:hAnsi="Times New Roman"/>
          <w:sz w:val="18"/>
          <w:szCs w:val="18"/>
          <w:b w:val="1"/>
          <w:bCs w:val="1"/>
          <w:i w:val="1"/>
          <w:iCs w:val="1"/>
          <w:color w:val="auto"/>
        </w:rPr>
      </w:pPr>
    </w:p>
    <w:p>
      <w:pPr>
        <w:ind w:left="640" w:hanging="316"/>
        <w:spacing w:after="0" w:line="245" w:lineRule="auto"/>
        <w:tabs>
          <w:tab w:leader="none" w:pos="63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we are not able to obtain and maintain accurate, comprehensive, or reliable data, we could experience reduced demand for our products and services, which would have a material adverse effect on our business, results of operations, and financial condition;</w:t>
      </w:r>
    </w:p>
    <w:p>
      <w:pPr>
        <w:spacing w:after="0" w:line="1" w:lineRule="exact"/>
        <w:rPr>
          <w:rFonts w:ascii="Times New Roman" w:cs="Times New Roman" w:eastAsia="Times New Roman" w:hAnsi="Times New Roman"/>
          <w:sz w:val="18"/>
          <w:szCs w:val="18"/>
          <w:b w:val="1"/>
          <w:bCs w:val="1"/>
          <w:i w:val="1"/>
          <w:iCs w:val="1"/>
          <w:color w:val="auto"/>
        </w:rPr>
      </w:pPr>
    </w:p>
    <w:p>
      <w:pPr>
        <w:jc w:val="both"/>
        <w:ind w:left="640" w:hanging="316"/>
        <w:spacing w:after="0" w:line="245" w:lineRule="auto"/>
        <w:tabs>
          <w:tab w:leader="none" w:pos="63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Other technology companies, including various small and medium-sized businesses who focus on B2B sales and marketing intelligence, have become, and larger and better-funded companies with significant resources may shift their existing business models to become, more competitive with us;</w:t>
      </w:r>
    </w:p>
    <w:p>
      <w:pPr>
        <w:spacing w:after="0" w:line="2" w:lineRule="exact"/>
        <w:rPr>
          <w:rFonts w:ascii="Times New Roman" w:cs="Times New Roman" w:eastAsia="Times New Roman" w:hAnsi="Times New Roman"/>
          <w:sz w:val="18"/>
          <w:szCs w:val="18"/>
          <w:b w:val="1"/>
          <w:bCs w:val="1"/>
          <w:i w:val="1"/>
          <w:iCs w:val="1"/>
          <w:color w:val="auto"/>
        </w:rPr>
      </w:pPr>
    </w:p>
    <w:p>
      <w:pPr>
        <w:jc w:val="both"/>
        <w:ind w:left="640" w:hanging="316"/>
        <w:spacing w:after="0" w:line="245" w:lineRule="auto"/>
        <w:tabs>
          <w:tab w:leader="none" w:pos="63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experience competition from other companies and technologies that allow businesses to gather and aggregate sales, marketing, recruiting, and other data, and we may in the future face competition from prominent large-language-model (LLM) providers and generative AI companies, and any of their competing products and services could provide greater appeal to our customers;</w:t>
      </w:r>
    </w:p>
    <w:p>
      <w:pPr>
        <w:spacing w:after="0" w:line="2" w:lineRule="exact"/>
        <w:rPr>
          <w:rFonts w:ascii="Times New Roman" w:cs="Times New Roman" w:eastAsia="Times New Roman" w:hAnsi="Times New Roman"/>
          <w:sz w:val="18"/>
          <w:szCs w:val="18"/>
          <w:b w:val="1"/>
          <w:bCs w:val="1"/>
          <w:i w:val="1"/>
          <w:iCs w:val="1"/>
          <w:color w:val="auto"/>
        </w:rPr>
      </w:pPr>
    </w:p>
    <w:p>
      <w:pPr>
        <w:jc w:val="both"/>
        <w:ind w:left="640" w:hanging="316"/>
        <w:spacing w:after="0" w:line="245" w:lineRule="auto"/>
        <w:tabs>
          <w:tab w:leader="none" w:pos="63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business is, and the markets in which we compete are, rapidly evolving, including with respect to AI and AI-enabled products, which make it difficult to forecast demand for our services and achieve an optimal resource allocation strategy, as we may not be able to effectively monetize our AI investments;</w:t>
      </w:r>
    </w:p>
    <w:p>
      <w:pPr>
        <w:spacing w:after="0" w:line="2" w:lineRule="exact"/>
        <w:rPr>
          <w:rFonts w:ascii="Times New Roman" w:cs="Times New Roman" w:eastAsia="Times New Roman" w:hAnsi="Times New Roman"/>
          <w:sz w:val="18"/>
          <w:szCs w:val="18"/>
          <w:b w:val="1"/>
          <w:bCs w:val="1"/>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platform integrates or otherwise works with third-party systems that we do not control;</w:t>
      </w:r>
    </w:p>
    <w:p>
      <w:pPr>
        <w:spacing w:after="0" w:line="5" w:lineRule="exact"/>
        <w:rPr>
          <w:rFonts w:ascii="Times New Roman" w:cs="Times New Roman" w:eastAsia="Times New Roman" w:hAnsi="Times New Roman"/>
          <w:sz w:val="18"/>
          <w:szCs w:val="18"/>
          <w:b w:val="1"/>
          <w:bCs w:val="1"/>
          <w:i w:val="1"/>
          <w:iCs w:val="1"/>
          <w:color w:val="auto"/>
        </w:rPr>
      </w:pPr>
    </w:p>
    <w:p>
      <w:pPr>
        <w:ind w:left="640" w:hanging="316"/>
        <w:spacing w:after="0" w:line="245" w:lineRule="auto"/>
        <w:tabs>
          <w:tab w:leader="none" w:pos="63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business could be negatively affected by changes in search engine algorithms, including search engine optimization (SEO), artificial intelligence optimization (AIO), and other traffic-generating arrangements and dynamics;</w:t>
      </w:r>
    </w:p>
    <w:p>
      <w:pPr>
        <w:spacing w:after="0" w:line="1" w:lineRule="exact"/>
        <w:rPr>
          <w:rFonts w:ascii="Times New Roman" w:cs="Times New Roman" w:eastAsia="Times New Roman" w:hAnsi="Times New Roman"/>
          <w:sz w:val="18"/>
          <w:szCs w:val="18"/>
          <w:b w:val="1"/>
          <w:bCs w:val="1"/>
          <w:color w:val="auto"/>
        </w:rPr>
      </w:pPr>
    </w:p>
    <w:p>
      <w:pPr>
        <w:ind w:left="640" w:hanging="316"/>
        <w:spacing w:after="0" w:line="245" w:lineRule="auto"/>
        <w:tabs>
          <w:tab w:leader="none" w:pos="63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depend on our executive officers and other key employees, and the loss of one or more of these employees or an inability to attract, integrate, and retain these and other highly skilled employees could harm our business;</w:t>
      </w:r>
    </w:p>
    <w:p>
      <w:pPr>
        <w:spacing w:after="0" w:line="1" w:lineRule="exact"/>
        <w:rPr>
          <w:rFonts w:ascii="Times New Roman" w:cs="Times New Roman" w:eastAsia="Times New Roman" w:hAnsi="Times New Roman"/>
          <w:sz w:val="18"/>
          <w:szCs w:val="18"/>
          <w:b w:val="1"/>
          <w:bCs w:val="1"/>
          <w:i w:val="1"/>
          <w:iCs w:val="1"/>
          <w:color w:val="auto"/>
        </w:rPr>
      </w:pPr>
    </w:p>
    <w:p>
      <w:pPr>
        <w:ind w:left="640" w:hanging="316"/>
        <w:spacing w:after="0" w:line="245" w:lineRule="auto"/>
        <w:tabs>
          <w:tab w:leader="none" w:pos="63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we fail to maintain, upgrade, or implement adequate operational and financial resources, including our IT systems, we may be unable to execute our business plan;</w:t>
      </w:r>
    </w:p>
    <w:p>
      <w:pPr>
        <w:spacing w:after="0" w:line="1" w:lineRule="exact"/>
        <w:rPr>
          <w:rFonts w:ascii="Times New Roman" w:cs="Times New Roman" w:eastAsia="Times New Roman" w:hAnsi="Times New Roman"/>
          <w:sz w:val="18"/>
          <w:szCs w:val="18"/>
          <w:b w:val="1"/>
          <w:bCs w:val="1"/>
          <w:i w:val="1"/>
          <w:iCs w:val="1"/>
          <w:color w:val="auto"/>
        </w:rPr>
      </w:pPr>
    </w:p>
    <w:p>
      <w:pPr>
        <w:jc w:val="both"/>
        <w:ind w:left="640" w:hanging="316"/>
        <w:spacing w:after="0" w:line="245" w:lineRule="auto"/>
        <w:tabs>
          <w:tab w:leader="none" w:pos="63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 and financial condition; and</w:t>
      </w:r>
    </w:p>
    <w:p>
      <w:pPr>
        <w:spacing w:after="0" w:line="2" w:lineRule="exact"/>
        <w:rPr>
          <w:rFonts w:ascii="Times New Roman" w:cs="Times New Roman" w:eastAsia="Times New Roman" w:hAnsi="Times New Roman"/>
          <w:sz w:val="18"/>
          <w:szCs w:val="18"/>
          <w:b w:val="1"/>
          <w:bCs w:val="1"/>
          <w:i w:val="1"/>
          <w:iCs w:val="1"/>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Sustainability and related reporting obligations, expose us to risks that could adversely affect our reputation and performance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Privacy, Technology, and Security</w:t>
      </w:r>
    </w:p>
    <w:p>
      <w:pPr>
        <w:spacing w:after="0" w:line="168" w:lineRule="exact"/>
        <w:rPr>
          <w:sz w:val="20"/>
          <w:szCs w:val="20"/>
          <w:color w:val="auto"/>
        </w:rPr>
      </w:pPr>
    </w:p>
    <w:p>
      <w:pPr>
        <w:jc w:val="both"/>
        <w:ind w:left="640" w:hanging="316"/>
        <w:spacing w:after="0" w:line="253" w:lineRule="auto"/>
        <w:tabs>
          <w:tab w:leader="none" w:pos="63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ind w:left="640" w:hanging="316"/>
        <w:spacing w:after="0" w:line="245" w:lineRule="auto"/>
        <w:tabs>
          <w:tab w:leader="none" w:pos="63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may be subject to litigation for any variety of claims, which could harm our reputation and adversely affect our business, results of operations, and financial condition;</w:t>
      </w:r>
    </w:p>
    <w:p>
      <w:pPr>
        <w:spacing w:after="0" w:line="1" w:lineRule="exact"/>
        <w:rPr>
          <w:rFonts w:ascii="Times New Roman" w:cs="Times New Roman" w:eastAsia="Times New Roman" w:hAnsi="Times New Roman"/>
          <w:sz w:val="18"/>
          <w:szCs w:val="18"/>
          <w:b w:val="1"/>
          <w:bCs w:val="1"/>
          <w:i w:val="1"/>
          <w:iCs w:val="1"/>
          <w:color w:val="auto"/>
        </w:rPr>
      </w:pPr>
    </w:p>
    <w:p>
      <w:pPr>
        <w:jc w:val="both"/>
        <w:ind w:left="640" w:hanging="316"/>
        <w:spacing w:after="0" w:line="245" w:lineRule="auto"/>
        <w:tabs>
          <w:tab w:leader="none" w:pos="63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New or changing laws and regulations may diminish the demand for our platform, restrict access to our platform, constrain the range of services we can provide, or require us to disclose or provide access to information in our possession, which could harm our business, results of operations, and financial condition;</w:t>
      </w:r>
    </w:p>
    <w:p>
      <w:pPr>
        <w:spacing w:after="0" w:line="2" w:lineRule="exact"/>
        <w:rPr>
          <w:rFonts w:ascii="Times New Roman" w:cs="Times New Roman" w:eastAsia="Times New Roman" w:hAnsi="Times New Roman"/>
          <w:sz w:val="18"/>
          <w:szCs w:val="18"/>
          <w:b w:val="1"/>
          <w:bCs w:val="1"/>
          <w:i w:val="1"/>
          <w:iCs w:val="1"/>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may not be able to adequately protect or enforce our proprietary and intellectual property rights in our data or technology;</w:t>
      </w:r>
    </w:p>
    <w:p>
      <w:pPr>
        <w:spacing w:after="0" w:line="5" w:lineRule="exact"/>
        <w:rPr>
          <w:rFonts w:ascii="Times New Roman" w:cs="Times New Roman" w:eastAsia="Times New Roman" w:hAnsi="Times New Roman"/>
          <w:sz w:val="18"/>
          <w:szCs w:val="18"/>
          <w:b w:val="1"/>
          <w:bCs w:val="1"/>
          <w:i w:val="1"/>
          <w:iCs w:val="1"/>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Investing in our AI capability introduces risks, which, if realized, could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hanging="316"/>
        <w:spacing w:after="0" w:line="257" w:lineRule="auto"/>
        <w:tabs>
          <w:tab w:leader="none" w:pos="63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ind w:left="640" w:hanging="316"/>
        <w:spacing w:after="0"/>
        <w:tabs>
          <w:tab w:leader="none" w:pos="64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Cyber-attacks and security vulnerabilities could result in serious harm to our reputation, business, and financial condition; and</w:t>
      </w:r>
    </w:p>
    <w:p>
      <w:pPr>
        <w:spacing w:after="0" w:line="5" w:lineRule="exact"/>
        <w:rPr>
          <w:rFonts w:ascii="Times New Roman" w:cs="Times New Roman" w:eastAsia="Times New Roman" w:hAnsi="Times New Roman"/>
          <w:sz w:val="18"/>
          <w:szCs w:val="18"/>
          <w:b w:val="1"/>
          <w:bCs w:val="1"/>
          <w:i w:val="1"/>
          <w:iCs w:val="1"/>
          <w:color w:val="auto"/>
        </w:rPr>
      </w:pPr>
    </w:p>
    <w:p>
      <w:pPr>
        <w:jc w:val="both"/>
        <w:ind w:left="640" w:hanging="316"/>
        <w:spacing w:after="0" w:line="248" w:lineRule="auto"/>
        <w:tabs>
          <w:tab w:leader="none" w:pos="63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Technical problems or disruptions that affect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Financial, Accounting and Credit Matters</w:t>
      </w:r>
    </w:p>
    <w:p>
      <w:pPr>
        <w:spacing w:after="0" w:line="168" w:lineRule="exact"/>
        <w:rPr>
          <w:sz w:val="20"/>
          <w:szCs w:val="20"/>
          <w:color w:val="auto"/>
        </w:rPr>
      </w:pPr>
    </w:p>
    <w:p>
      <w:pPr>
        <w:ind w:left="640" w:hanging="316"/>
        <w:spacing w:after="0" w:line="257" w:lineRule="auto"/>
        <w:tabs>
          <w:tab w:leader="none" w:pos="63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generate revenue from sales of subscriptions to our platform and data, and any decline in demand for the types of products and services we offer would negatively impact our business;</w:t>
      </w:r>
    </w:p>
    <w:p>
      <w:pPr>
        <w:ind w:left="640" w:hanging="316"/>
        <w:spacing w:after="0" w:line="245" w:lineRule="auto"/>
        <w:tabs>
          <w:tab w:leader="none" w:pos="63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 w:lineRule="exact"/>
        <w:rPr>
          <w:rFonts w:ascii="Times New Roman" w:cs="Times New Roman" w:eastAsia="Times New Roman" w:hAnsi="Times New Roman"/>
          <w:sz w:val="18"/>
          <w:szCs w:val="18"/>
          <w:b w:val="1"/>
          <w:bCs w:val="1"/>
          <w:i w:val="1"/>
          <w:iCs w:val="1"/>
          <w:color w:val="auto"/>
        </w:rPr>
      </w:pPr>
    </w:p>
    <w:p>
      <w:pPr>
        <w:ind w:left="640" w:hanging="316"/>
        <w:spacing w:after="0" w:line="245" w:lineRule="auto"/>
        <w:tabs>
          <w:tab w:leader="none" w:pos="63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Failure to maintain effective internal controls over financial reporting in accordance with Section 404 of SOX could impair our ability to produce timely and accurate financial statements or comply with applicable regulations and have a material adverse effect on our business;</w:t>
      </w:r>
    </w:p>
    <w:p>
      <w:pPr>
        <w:spacing w:after="0" w:line="1" w:lineRule="exact"/>
        <w:rPr>
          <w:rFonts w:ascii="Times New Roman" w:cs="Times New Roman" w:eastAsia="Times New Roman" w:hAnsi="Times New Roman"/>
          <w:sz w:val="18"/>
          <w:szCs w:val="18"/>
          <w:b w:val="1"/>
          <w:bCs w:val="1"/>
          <w:i w:val="1"/>
          <w:iCs w:val="1"/>
          <w:color w:val="auto"/>
        </w:rPr>
      </w:pPr>
    </w:p>
    <w:p>
      <w:pPr>
        <w:ind w:left="640" w:hanging="316"/>
        <w:spacing w:after="0" w:line="245" w:lineRule="auto"/>
        <w:tabs>
          <w:tab w:leader="none" w:pos="63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Because we recognize subscription revenue over the subscription term, downturns or upturns in new sales and renewals are not immediately reflected in full within our results of operations;</w:t>
      </w:r>
    </w:p>
    <w:p>
      <w:pPr>
        <w:spacing w:after="0" w:line="1" w:lineRule="exact"/>
        <w:rPr>
          <w:rFonts w:ascii="Times New Roman" w:cs="Times New Roman" w:eastAsia="Times New Roman" w:hAnsi="Times New Roman"/>
          <w:sz w:val="18"/>
          <w:szCs w:val="18"/>
          <w:b w:val="1"/>
          <w:bCs w:val="1"/>
          <w:i w:val="1"/>
          <w:iCs w:val="1"/>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anticipate increasing operating expenses in the future, and we may not be able to maintain profitability;</w:t>
      </w:r>
    </w:p>
    <w:p>
      <w:pPr>
        <w:spacing w:after="0" w:line="5" w:lineRule="exact"/>
        <w:rPr>
          <w:rFonts w:ascii="Times New Roman" w:cs="Times New Roman" w:eastAsia="Times New Roman" w:hAnsi="Times New Roman"/>
          <w:sz w:val="18"/>
          <w:szCs w:val="18"/>
          <w:b w:val="1"/>
          <w:bCs w:val="1"/>
          <w:i w:val="1"/>
          <w:iCs w:val="1"/>
          <w:color w:val="auto"/>
        </w:rPr>
      </w:pPr>
    </w:p>
    <w:p>
      <w:pPr>
        <w:ind w:left="640" w:hanging="316"/>
        <w:spacing w:after="0" w:line="245" w:lineRule="auto"/>
        <w:tabs>
          <w:tab w:leader="none" w:pos="63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a significant amount of goodwill and intangible assets on our balance sheet, and our results of operations may be adversely affected if we fail to realize the full value of our goodwill and intangible assets;</w:t>
      </w:r>
    </w:p>
    <w:p>
      <w:pPr>
        <w:spacing w:after="0" w:line="1" w:lineRule="exact"/>
        <w:rPr>
          <w:rFonts w:ascii="Times New Roman" w:cs="Times New Roman" w:eastAsia="Times New Roman" w:hAnsi="Times New Roman"/>
          <w:sz w:val="18"/>
          <w:szCs w:val="18"/>
          <w:b w:val="1"/>
          <w:bCs w:val="1"/>
          <w:i w:val="1"/>
          <w:iCs w:val="1"/>
          <w:color w:val="auto"/>
        </w:rPr>
      </w:pPr>
    </w:p>
    <w:p>
      <w:pPr>
        <w:ind w:left="640" w:hanging="316"/>
        <w:spacing w:after="0" w:line="245" w:lineRule="auto"/>
        <w:tabs>
          <w:tab w:leader="none" w:pos="63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a substantial amount of debt, which could adversely affect our financial condition and our ability to raise additional capital and prevent us from fulfilling our obligations;</w:t>
      </w:r>
    </w:p>
    <w:p>
      <w:pPr>
        <w:spacing w:after="0" w:line="1" w:lineRule="exact"/>
        <w:rPr>
          <w:rFonts w:ascii="Times New Roman" w:cs="Times New Roman" w:eastAsia="Times New Roman" w:hAnsi="Times New Roman"/>
          <w:sz w:val="18"/>
          <w:szCs w:val="18"/>
          <w:b w:val="1"/>
          <w:bCs w:val="1"/>
          <w:i w:val="1"/>
          <w:iCs w:val="1"/>
          <w:color w:val="auto"/>
        </w:rPr>
      </w:pPr>
    </w:p>
    <w:p>
      <w:pPr>
        <w:ind w:left="640" w:hanging="316"/>
        <w:spacing w:after="0" w:line="245" w:lineRule="auto"/>
        <w:tabs>
          <w:tab w:leader="none" w:pos="63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may not be able to generate sufficient cash to service all of our indebtedness, and may be forced to take other actions to satisfy our obligations under our indebtedness, which may not be successful;</w:t>
      </w:r>
    </w:p>
    <w:p>
      <w:pPr>
        <w:spacing w:after="0" w:line="1" w:lineRule="exact"/>
        <w:rPr>
          <w:rFonts w:ascii="Times New Roman" w:cs="Times New Roman" w:eastAsia="Times New Roman" w:hAnsi="Times New Roman"/>
          <w:sz w:val="18"/>
          <w:szCs w:val="18"/>
          <w:b w:val="1"/>
          <w:bCs w:val="1"/>
          <w:i w:val="1"/>
          <w:iCs w:val="1"/>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Interest rate fluctuations may affect our results of operations and financial condition; and</w:t>
      </w:r>
    </w:p>
    <w:p>
      <w:pPr>
        <w:spacing w:after="0" w:line="5" w:lineRule="exact"/>
        <w:rPr>
          <w:rFonts w:ascii="Times New Roman" w:cs="Times New Roman" w:eastAsia="Times New Roman" w:hAnsi="Times New Roman"/>
          <w:sz w:val="18"/>
          <w:szCs w:val="18"/>
          <w:b w:val="1"/>
          <w:bCs w:val="1"/>
          <w:i w:val="1"/>
          <w:iCs w:val="1"/>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Changes in our credit and other ratings could adversely impact our operations and lower our profitability.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Taxation</w:t>
      </w:r>
    </w:p>
    <w:p>
      <w:pPr>
        <w:spacing w:after="0" w:line="168" w:lineRule="exact"/>
        <w:rPr>
          <w:sz w:val="20"/>
          <w:szCs w:val="20"/>
          <w:color w:val="auto"/>
        </w:rPr>
      </w:pPr>
    </w:p>
    <w:p>
      <w:pPr>
        <w:ind w:left="640" w:hanging="316"/>
        <w:spacing w:after="0" w:line="257" w:lineRule="auto"/>
        <w:tabs>
          <w:tab w:leader="none" w:pos="635"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are a multinational organization faced with increasingly complex tax issues in many jurisdictions, and global tax developments may have a material impact to our business, cash flows, tax liabilities and results of operations;</w:t>
      </w:r>
    </w:p>
    <w:p>
      <w:pPr>
        <w:ind w:left="640" w:hanging="316"/>
        <w:spacing w:after="0" w:line="260" w:lineRule="auto"/>
        <w:tabs>
          <w:tab w:leader="none" w:pos="635" w:val="left"/>
        </w:tabs>
        <w:numPr>
          <w:ilvl w:val="0"/>
          <w:numId w:val="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Changes in tax laws or regulations applicable to our business, including for example, the enactment of the One Big Beautiful Bill Act on July 4, 2025, have in the past, and may in the future, result in a material adverse effect on our results of operations, cash flows and financial condition; and</w:t>
      </w:r>
    </w:p>
    <w:p>
      <w:pPr>
        <w:ind w:left="640" w:hanging="316"/>
        <w:spacing w:after="0" w:line="251" w:lineRule="auto"/>
        <w:tabs>
          <w:tab w:leader="none" w:pos="635"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results of operations may be adversely affected if we are required to collect sales or other related taxes for purchases of our products and services in jurisdictions where we have not historically done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Geopolitical and Macroeconomic Factors</w:t>
      </w:r>
    </w:p>
    <w:p>
      <w:pPr>
        <w:spacing w:after="0" w:line="168"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Operations and sales outside the United States expose us to risks inherent in international operations; and</w:t>
      </w:r>
    </w:p>
    <w:p>
      <w:pPr>
        <w:spacing w:after="0" w:line="24" w:lineRule="exact"/>
        <w:rPr>
          <w:rFonts w:ascii="Times New Roman" w:cs="Times New Roman" w:eastAsia="Times New Roman" w:hAnsi="Times New Roman"/>
          <w:sz w:val="18"/>
          <w:szCs w:val="18"/>
          <w:b w:val="1"/>
          <w:bCs w:val="1"/>
          <w:i w:val="1"/>
          <w:iCs w:val="1"/>
          <w:color w:val="auto"/>
        </w:rPr>
      </w:pPr>
    </w:p>
    <w:p>
      <w:pPr>
        <w:jc w:val="both"/>
        <w:ind w:left="640" w:hanging="316"/>
        <w:spacing w:after="0" w:line="248" w:lineRule="auto"/>
        <w:tabs>
          <w:tab w:leader="none" w:pos="63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Global economic uncertainty and catastrophic events, including global pandemics, continued hostilities between Russia and Ukraine, and Israel and Hamas, as well as other geopolitical conflicts, have and may disrupt our business and adversely impact our business and future results of operations and financial condition.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Organizational Structure</w:t>
      </w:r>
    </w:p>
    <w:p>
      <w:pPr>
        <w:spacing w:after="0" w:line="168" w:lineRule="exact"/>
        <w:rPr>
          <w:sz w:val="20"/>
          <w:szCs w:val="20"/>
          <w:color w:val="auto"/>
        </w:rPr>
      </w:pPr>
    </w:p>
    <w:p>
      <w:pPr>
        <w:jc w:val="both"/>
        <w:ind w:left="640" w:hanging="316"/>
        <w:spacing w:after="0" w:line="253" w:lineRule="auto"/>
        <w:tabs>
          <w:tab w:leader="none" w:pos="63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ZoomInfo Technologies Inc. is a holding company, its only material assets are its interests in ZoomInfo Intermediate Inc. and ZoomInfo Holdings LLC, and ZoomInfo Technologies Inc. is accordingly dependent upon distributions from ZoomInfo Intermediate Inc. and its subsidiaries to pay taxes, make payments under the Tax Receivable Agreements, and pay dividends;</w:t>
      </w:r>
    </w:p>
    <w:p>
      <w:pPr>
        <w:jc w:val="both"/>
        <w:ind w:left="640" w:hanging="316"/>
        <w:spacing w:after="0" w:line="260" w:lineRule="auto"/>
        <w:tabs>
          <w:tab w:leader="none" w:pos="635" w:val="left"/>
        </w:tabs>
        <w:numPr>
          <w:ilvl w:val="0"/>
          <w:numId w:val="1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ZoomInfo Technologies Inc. is required to pay our Pre-IPO Owners for most of the benefits relating to any additional tax deductions and tax attributes that we may claim as a result of the ZoomInfo Tax Group’s share of existing tax basis acquired in the IPO and increases in its share of existing tax basis, including tax basis received in connection with sales or exchanges of units of ZoomInfo Holdings LLC that occurred after the IPO;</w:t>
      </w:r>
    </w:p>
    <w:p>
      <w:pPr>
        <w:ind w:left="640" w:right="20" w:hanging="316"/>
        <w:spacing w:after="0" w:line="245" w:lineRule="auto"/>
        <w:tabs>
          <w:tab w:leader="none" w:pos="63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certain cases, payments under our Tax Receivable Agreements may be accelerated and/or significantly exceed the actual benefits the ZoomInfo Tax Group realizes in respect of the tax attributes subject to such agreements; and</w:t>
      </w:r>
    </w:p>
    <w:p>
      <w:pPr>
        <w:spacing w:after="0" w:line="1" w:lineRule="exact"/>
        <w:rPr>
          <w:rFonts w:ascii="Times New Roman" w:cs="Times New Roman" w:eastAsia="Times New Roman" w:hAnsi="Times New Roman"/>
          <w:sz w:val="18"/>
          <w:szCs w:val="18"/>
          <w:b w:val="1"/>
          <w:bCs w:val="1"/>
          <w:i w:val="1"/>
          <w:iCs w:val="1"/>
          <w:color w:val="auto"/>
        </w:rPr>
      </w:pPr>
    </w:p>
    <w:p>
      <w:pPr>
        <w:ind w:left="640" w:hanging="316"/>
        <w:spacing w:after="0" w:line="251" w:lineRule="auto"/>
        <w:tabs>
          <w:tab w:leader="none" w:pos="63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acceleration of payments under our Tax Receivable Agreements in the case of certain changes of control may impair our ability to consummate change of control transactions or negatively impact the value received by owners of our common stock.</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Ownership of Our Common Stock</w:t>
      </w:r>
    </w:p>
    <w:p>
      <w:pPr>
        <w:spacing w:after="0" w:line="168"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Certain parties to our stockholders agreement continue to have influence over us, and their interests may conflict with ours or yours in the future; and</w:t>
      </w:r>
    </w:p>
    <w:p>
      <w:pPr>
        <w:spacing w:after="0" w:line="35" w:lineRule="exact"/>
        <w:rPr>
          <w:rFonts w:ascii="Times New Roman" w:cs="Times New Roman" w:eastAsia="Times New Roman" w:hAnsi="Times New Roman"/>
          <w:sz w:val="17"/>
          <w:szCs w:val="17"/>
          <w:b w:val="1"/>
          <w:bCs w:val="1"/>
          <w:i w:val="1"/>
          <w:iCs w:val="1"/>
          <w:color w:val="auto"/>
        </w:rPr>
      </w:pPr>
    </w:p>
    <w:p>
      <w:pPr>
        <w:ind w:left="640" w:hanging="316"/>
        <w:spacing w:after="0" w:line="251" w:lineRule="auto"/>
        <w:tabs>
          <w:tab w:leader="none" w:pos="63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Anti-takeover provisions in our organizational documents and Delaware law might discourage or delay acquisition attempts for us that you might consider favorable.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53"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The Company intends to use its website as a distribution channel of material company information. Financial and other important information regarding the Company is routinely posted on and accessible through the Company’s website. Accordingly, we encourage investors and other persons interested in ZoomInfo to monitor the investor relations portion of our website at https://ir.zoominfo.com and to follow our press releases, SEC filings, and public conference calls and webcasts (which are not incorporated herein or otherwise a part of this Form 10-K). In addition, you may automatically receive email alerts and other information about the Company when you enroll your email address by visiting the “Email Alerts” section of our investor relations page at https://ir.zoominfo.com. The information on or that can be accessed through our website is not incorporated herein or otherwise a part of this Form 10-K, and the inclusion of our website address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References to the Company being a leader in a market or product category, and the Company’s total addressable market size, refer to our belief that we have a leading market share position in each specified market and certain beliefs that we have about our market, respectively, unless the context otherwise requires, which are based upon our own analyses, industry and general publications, surveys and studies conducted by third parties, as the case may be. Industry and general publications, studies and surveys generally state that the information contained therein has been obtained from sources believed to be reliable, but the accuracy and completeness of such information, or the information that we have formulated based upon our own analysis is not guaranteed. The Company and/or these third parties may, in the future, alter the manner in which surveys and studies regarding the markets in which the Company operates are conducted. As a result, you should carefully consider the inherent risks and uncertainties associated with statements relating to industry and market positioning contained in this Form 10-K, including those discussed in Part I,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ZoomInfo is a global leader in modern go-to-market software, data, and intelligence for sales, marketing, operations, and recruiting teams. Our go-to-market intelligence platform empowers businesses with AI-ready insights, trusted data, agent-assisted selling and advanced automation providing sales, marketing, operations, and recruiting professionals accurate information and insights on the organizations and professionals they target. This enables our customers to shorten sales cycles and increase win rates by empowering sellers, marketers, and recruiters to efficiently deliver the right message to the right person at the right time in the right way.</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ZoomInfo is the modern go-to-market intelligence platform, consisting of three distinct layers that build upon each other:</w:t>
      </w:r>
    </w:p>
    <w:p>
      <w:pPr>
        <w:spacing w:after="0" w:line="162" w:lineRule="exact"/>
        <w:rPr>
          <w:sz w:val="20"/>
          <w:szCs w:val="20"/>
          <w:color w:val="auto"/>
        </w:rPr>
      </w:pPr>
    </w:p>
    <w:p>
      <w:pPr>
        <w:ind w:left="640" w:hanging="316"/>
        <w:spacing w:after="0" w:line="276"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Intelligence Layer </w:t>
      </w:r>
      <w:r>
        <w:rPr>
          <w:rFonts w:ascii="Times New Roman" w:cs="Times New Roman" w:eastAsia="Times New Roman" w:hAnsi="Times New Roman"/>
          <w:sz w:val="18"/>
          <w:szCs w:val="18"/>
          <w:color w:val="auto"/>
        </w:rPr>
        <w:t>is the foundation of our data-driven strategy. Our best-in-class data, curated through first- and third-party sources,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billions of data points about companies and contacts, such as intent, hierarchy, location, and financial information.</w:t>
      </w:r>
    </w:p>
    <w:p>
      <w:pPr>
        <w:spacing w:after="0" w:line="106"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Orchestration Layer </w:t>
      </w:r>
      <w:r>
        <w:rPr>
          <w:rFonts w:ascii="Times New Roman" w:cs="Times New Roman" w:eastAsia="Times New Roman" w:hAnsi="Times New Roman"/>
          <w:sz w:val="18"/>
          <w:szCs w:val="18"/>
          <w:color w:val="auto"/>
        </w:rPr>
        <w:t>integrates and enriches our data sources. At this stage, our products assign and route data, leads, and insights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people. This creates a dataset that is continuously updated and can be used to power automated business workflows. Our services connect with major CRM system providers enabling sales operations professionals to access a suite of products, services, and solutions to ingest, match, enrich, and connect data feeds into multiple systems.</w:t>
      </w:r>
    </w:p>
    <w:p>
      <w:pPr>
        <w:spacing w:after="0" w:line="123"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Engagement Layer </w:t>
      </w:r>
      <w:r>
        <w:rPr>
          <w:rFonts w:ascii="Times New Roman" w:cs="Times New Roman" w:eastAsia="Times New Roman" w:hAnsi="Times New Roman"/>
          <w:sz w:val="18"/>
          <w:szCs w:val="18"/>
          <w:color w:val="auto"/>
        </w:rPr>
        <w:t>allows sales, marketing, operations, and recruiting professionals to put data-driven insights into action to identify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communicate with prospects and customers. Go-to-market professionals use our engagement layer for multi-touch and multi-channel sales engagement, web meeting recording, transcription, insight generation, and coaching. Marketers drive awareness, lead generation, and deal acceleration campaigns through account-based marketing, advertising, and onsite conversion optimization solutions including chat functionality. Recruiters and talent acquisition professionals can locate and reach more better suited candidates, use pipeline management tools to collaborate and organize the hiring process, and automate aspects of the candidate outreach process by more efficiently finding and engaging candidates.</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able to deliver high-quality intelligence at scale by leveraging an artificial intelligence (“AI”) and machine learning (“ML”) powered engine that gathers billions of data points about companies and contact information from millions of sources and standardizes, matches to entities, verifies, cleans, and applies the processed data to companies and people. This data engine along with our team of research analysts and data scientists enrich our platform by providing deep insights. Our customers access insights directly in our platform and can also integrate our data and insights directly into their CRM system or sales and marketing automation systems, to improve their existing go-to-market processes.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modern, cloud-based operating system for revenue professionals delivers comprehensive and high-quality intelligence and analytics to provide sales, marketing, operations, and recruiting professionals accurate information and insights on the organizations and professionals they target.</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enhance the breadth of this intelligence with deep insights, such as personnel moves, pain points, or planned investments, technologies used by companies, intent signals, decision-maker contact information, advanced attributes (such as time series growth, granular department and location information, and employee trends), organizational charts, news and events, hierarchy information, locations, and funding details. All of this can be integrated directly into our customers’ CRM and sales and marketing automation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360-degree view of key business insights provides our users with a detailed understanding of their customers and prospects, and coupled with our analytics, shortens sales cycles and increases win rates by enabling sellers, marketers, and recruiters to deliver the right message, to the right person, at the right time, in the right way. Our intelligence is kept up-to-date in real time. This is accomplished through a combination of robust systems and processes leveraging AI, ML, and our proprietary human-in-the-loop approach.</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Engine</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deliver high-quality intelligence at scale by leveraging an AI and ML-powered engine that gathers data from millions of sources and standardizes, matches to entities, verifies, cleans, and applies the processed data to companies and people. We aggregate and extract distinct types of data, such as revenue, locations, technologies, keywords, contact information, including email addresses, titles, and phone numbers, and many others, from millions of public and proprietary sources. Our evidence-based ML algorithm scores, ranks, and makes determinations about these billions of data points each week. To help train our AI and ML technologies and augment our contributory network, we have a team of research analysts and data scientists with deep expertise in cleaning business-to-business data. This human-in-the-loop team plays a strategic role, focusing on quality assurance and addressing data and intelligence gaps that technology alone cannot solve. We have processes in place to use our research team to tag anomalies in data, review data pieces that require additional manual verification, identify patterns to transform this understanding into algorithms, and identify methods to automate data gathering. We are able to provide a contractual guarantee of the accuracy of certain data points as a result of our focus on quality.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believe there are currently no competitors who offer a sales, marketing, operations, and recruiting intelligence platform as comprehensive as ours. We are able to provide revenue improvement; accurate and comprehensive data coverage; unique data points to leverage insights; and a platform that can be integrated and automated with a variety of CRM, marketing, operations, or recruiting platforms. In limited circumstances, we will see other vendors that focus on specific use-cases, niche end-markets, or leveraging legacy and/or inaccurate data sets try to compete in potential deals. These potential competitors include LinkedIn Sales Navigator, D&amp;B Hoovers, and TechTarget, as well as prominent large-language-model (LLM) providers and generative AI companies who may incorporate business contact information and intelligence into their platforms.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the principal factors that drive competition between vendors in the market include:</w:t>
      </w:r>
    </w:p>
    <w:p>
      <w:pPr>
        <w:spacing w:after="0" w:line="164"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platform offering;</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accuracy of data;</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data;</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deployment;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tangible benefits relative to pricing and ROI for customers;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integrate with customers’ CRM and sales and marketing automation systems;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sophistication of solutions used to manage, maintain, and combine intelligence.</w:t>
      </w:r>
    </w:p>
    <w:p>
      <w:pPr>
        <w:spacing w:after="0" w:line="1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believe we compete favorably across these factors. For additional information regarding the competitive business conditions we face, see “Risk Factors” in Part I, Item 1A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large and diversified customer base spans a wide variety of industry verticals, including software, business services, manufacturing, telecommunications, financial services, media and internet, transportation, education, hospitality, insurance, and real estate. Our customers range from the largest global enterprises, to mid-market companies, down to small businesses.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sell access to our platform to both new and existing customers. We price our subscriptions based on the functionality, users, and records under management that are included in each product edition. Our core paid products are ZoomInfo Copilot, ZoomInfo Sales, ZoomInfo Marketing, ZoomInfo Operations, and ZoomInfo Talent (with add-on options for some products), and we have a free community edition, ZoomInfo Lite.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Protecting our intellectual property and proprietary technology is an important aspect of our business. We rely on a combination of patent, copyright, trademark and trade secret laws in the United States and other jurisdictions, as well as written agreements and other contractual provisions, to protect our proprietary technology, processes, and other intellectual property.</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own a number of patents, registered trademarks (including ZOOMINFO and DISCOVERORG, among others), and copyrights in the United States.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have a portfolio of registered domain names (including zoominfo.com) for websites that we use in our business.</w:t>
      </w:r>
    </w:p>
    <w:p>
      <w:pPr>
        <w:spacing w:after="0" w:line="1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we generally enter into confidentiality agreements and invention or work product assignment agreements with employees and contractors involved in the development of our proprietary intellectual property.</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Protection</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business contact information and other data we collect and process are an integral part of our products and services. Our respect for laws and regulations regarding the collection and processing of personal data underlies our commitment to stringent compliance standards as well as our strategy to improve our customer experience and build trust. Our privacy team is devoted to processing and fulfilling any requests regarding access to and deletion of their contact information in our platform. In particular, we have developed a “Trust Center” on our website as a one-stop-shop for any person to submit access requests, request opt-out, or delete their information from our database. We have implemented a program for providing direct notifications to individuals. In addition, we endeavor to honor opt-out requests across our entire database.</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privacy and legal teams are focused on any applicable privacy laws and regulations and monitor changes to such laws and regulations with a view to implementing what we believe are best practices in the industry. Our sales, privacy, and data practices teams are well versed in helping customers and prospective customers navigate relevant privacy concerns and requirements with respect to our platform.</w:t>
      </w:r>
    </w:p>
    <w:p>
      <w:pPr>
        <w:spacing w:after="0" w:line="12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For more information, please read “</w:t>
      </w:r>
      <w:r>
        <w:rPr>
          <w:rFonts w:ascii="Times New Roman" w:cs="Times New Roman" w:eastAsia="Times New Roman" w:hAnsi="Times New Roman"/>
          <w:sz w:val="18"/>
          <w:szCs w:val="18"/>
          <w:i w:val="1"/>
          <w:iCs w:val="1"/>
          <w:color w:val="auto"/>
        </w:rPr>
        <w:t>Risk Factors – Risks Related to Privacy, Technology, and Security - Changes in laws, regulations, and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 </w:t>
      </w:r>
      <w:r>
        <w:rPr>
          <w:rFonts w:ascii="Times New Roman" w:cs="Times New Roman" w:eastAsia="Times New Roman" w:hAnsi="Times New Roman"/>
          <w:sz w:val="18"/>
          <w:szCs w:val="18"/>
          <w:color w:val="auto"/>
        </w:rPr>
        <w:t>in Part I, Item 1A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2025, we had 3,180 employees, consisting of 662 in cost of service, 1,370 in sales and marketing, 763 in research and development, and 385 in general and administrative. Of these, 72% of our employees were located in North America, while 9%, 16%, 3%, were located in the Middle East, Asia, and Europe, respectively.</w:t>
      </w:r>
    </w:p>
    <w:p>
      <w:pPr>
        <w:spacing w:after="0" w:line="125"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believe in the power of the team. Winning teams look for the best talent, regardless of background. We know that employees are our greatest asset, and we are proud of the culture that we foster in our workplaces.</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January 2025, we recommitted to being a signatory to the United Nations Global Compact, a global initiative that calls on companies to align their business practices with ten principles related to human rights, labor, environment, and anti-corruption.</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publicly committed to the California Equal Pay Pledge, ensuring that fair and equitable pay, regardless of race or gender, is a normal business imperative. We are also signatories of the Anti-Defamation League's Pledge to Fight Antisemitism.</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2025, approximately 28% of our U.S. workforce self-identified in one or more of the following groups: Black or African American, Hispanic or Latinx, Asian, Native American or Alaska Native, Native Hawaiian or Pacific Islander, or Two or More Races or Ethnicities. In addition, 32% of the Company’s U.S. workforce identified as female, and less than 1% identified as not specified.</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Compensation Committee of our Board of Directors reviews and oversees our incentive compensation plans, while the Nominating and Corporate Governance Committee of our Board of Directors oversees and approves the management continuity planning process.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Safety, and Wellness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aim to offer fair compensation and benefits that encourage employee well-being, as well as attract and retain top talent. Our compensation packages provide a competitive salary and bonus, medical, dental, vision, retirement benefits, and generous paid time off.</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believe that in-person connections are fundamental to cross-functional partnerships, driving innovation, facilitating professional growth, and establishing critical relationships. We have adopted a hybrid model, which allows employees who are assigned to an office to split their time between working at the office and at home.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 and Development</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Ensuring our employees have access to development opportunities and understand how to grow their careers at ZoomInfo is a key tenet of our talent and engagement practices. As part of our efforts, we invest in robust learning offerings for all employees, consisting of both online courses and live training on a variety of topics (with targeted learning programs for individual contributors and leaders). To enable continuous development, growth, and recognition, we also run a comprehensive annual performance and talent review process, which enables professional development of our employees to drive their professional development in a way that also aligns with our company objectives and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primary website address is https://www.zoominfo.com. Our Annual Report on Form 10-K, Quarterly Reports on Form 10-Q, Current Reports on Form 8-K, and other filings with the SEC, and all amendments to these filings, can be obtained free of charge from our website at http://ir.zoominfo.com/financial-information/sec-filings or by contacting our Investor Relations department at our office address listed above following our filing of any of these reports with the SEC. The SEC maintains an internet site that contains reports, proxy and information statements, and other information regarding issuers that file electronically with the SEC at www.sec.gov. The contents of these websites are not incorporated into this filing. Further, the Company’s references to the URLs for these websites are intended solely as inactive textual references.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We are subject to various risks that could have a material adverse effect on our business, financial condition, results of operations, or cash flows.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also materially adversely affect our business, financial condition, results of operations or cash flows. You should carefully review the information provided in this section before making an investment in our common stock.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current and potential customers may reduce spending on sales, marketing, recruiting and other technology and information as a result of weaker economic conditions, which could harm our revenue, results of operations, and cash flows.</w:t>
      </w:r>
    </w:p>
    <w:p>
      <w:pPr>
        <w:spacing w:after="0" w:line="107"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Our revenue, results of operations, and cash flows depend on the overall demand for and use of technology and information for sales, marketing, and recruiting professionals, which depends in part on the amount of spending allocated by our customers or potential customers for professionals engaged in such activities. This spending depends on various factors, including, but not limited to, macroeconomic and geopolitical conditions. Accordingly, the effect of significant macroeconomic and geopolitical downturns, including falling demand for a variety of goods and services, inflation (including wage inflation), labor market constraints, fluctuating or uncertain interest rates, liquidity constraints, volatility in credit, equity, and foreign exchange markets, bankruptcies, global pandemics, wars, trade tensions, and catastrophic events, could impact the demand for and use of our products. Market volatility, decreased consumer confidence, and diminished growth expectations in both the U.S. and global economy as a result of the foregoing events, or other unforeseen events, may affect the rate of information technology (“IT”) spending and adversely affect our current and potential customers’ ability or willingness to renew or expand subscriptions or purchase our services, delay prospective customers’ purchasing decisions and thereby elongate our sales cycles, reduce the value or duration of their subscription contracts, or affect attrition rates, all of which could adversely affect our future sales and operating results. Weaker economic conditions can result in customers seeking to utilize free or lower-cost information or services that are available from alternative sources. Prolonged economic slowdowns may result in requests to renegotiate existing contracts on less advantageous terms to us than those currently in place, payment defaults on existing contracts, elongated sales cycles resulting in delays and increased sales costs, or non-renewal at the end of a contract term.</w:t>
      </w:r>
    </w:p>
    <w:p>
      <w:pPr>
        <w:spacing w:after="0" w:line="13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as part of our growth strategy, we will continue to focus on expanding our enterprise customer base, which presents additional risks and challenges, including, but not limited to, longer and more complex average sales cycles and significant investments in sales talent, product capabilities, and operational infrastructure. Further, if the overall demand for and use of technology and information for sales, marketing, and recruiting professionals declines, or if there is a general decline of macroeconomic conditions, our revenue and cash flows may decline or grow less quickly than anticipated,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attract new customers, renew existing subscriptions, expand subscriptions of current customers, and collect revenue from our customers, which could harm our revenue growth, cash flows, and profitability.</w:t>
      </w:r>
    </w:p>
    <w:p>
      <w:pPr>
        <w:spacing w:after="0" w:line="10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To increase our revenue and cash flows, and to achieve and maintain profitability, we must attract new customers, renew existing subscriptions, grow the subscriptions of existing customers, and collect revenue from our customers. Our go-to-market efforts are intended to identify and attract prospective customers and convert them into paying customers. In addition, we seek to renew existing subscriptions and expand existing customer subscriptions by adding new users, additional data entitlements, or additional products or services, including through expanding the adoption of our platform into other departments of our existing customers. We cannot predict with any certainty whether we will continue to achieve similar client acquisition and customer subscription renewal and growth rates in the future as we have in the past, in particular as it relates to attracting new, and retaining existing, enterprise customers.</w:t>
      </w:r>
    </w:p>
    <w:p>
      <w:pPr>
        <w:spacing w:after="0" w:line="11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Numerous factors may impede our ability to add new customers, renew and grow existing customer subscriptions, and collect revenue from our customers, including, but not limited to, our ability to continually enhance and improve our platform and the features, integrations, and capabilities we offer, and to introduce compelling new features, integrations, and capabilities to our products and services; our customers’ creditworthiness and our ability to timely manage the collection of accounts receivable; our ability to maintain our strong brand recognition and reputation as a leader in modern go-to-market software, data, and intelligence; our failure to attract and effectively train new sales and marketing personnel despite increasing our sales efforts; our failure to retain and motivate our current sales and marketing personnel; our ability to develop or expand relationships with partners; our failure to provide quality customer experience, including our ability to provide effective training and educational support to enable our customers to maximize the utility of our platform; customer consolidation or decreases in the number of users at the organization; our pricing or pricing structure; the pricing or capabilities of the products and services offered by our competitors; failure to diversify our customer base across industries, geographies and among enterprise, mid-market, and small business customers; failure to expand our sales and operations outside the United States, or if we experience challenges expanding or operating internationally; or our ability to ensure the effectiveness of our go-to-market programs. Additionally, in 2024, we deployed a new business risk model to flag and require upfront pre-payment from prospects at the greatest risk of non-payment. While this model is intended to mitigate the risk of non-payment and reduce future write-offs, it could limit our total addressable market by excluding potential customers. If our model inaccurately assesses risk or fails to properly balance risk mitigation with growth opportunities, our financial performance and competitive position may be adversely affected. Additionally, as we strive to continue to expand both our existing and prospective enterprise customer base across various industries, such efforts require increasingly sophisticated and costly sales and account management efforts targeted at senior management and other personnel. Further, sales to enterprise customers often require longer sales cycles. If our efforts to sell to organizations are not successful, do not generate additional revenue, or require longer periods to realize revenue, then our business will suffer. If customers do not renew their subscriptions or renew on less favorable terms, including, but not limited to, price compressions, or fail to add more users, if we fail to expand subscriptions of existing customers, or if we fail to collect on our accounts receivable, our revenue and cash flows may decline or grow less quickly than anticipated, which would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and maintain accurate, comprehensive, or reliable data, we could experience reduced demand for our products and services, which would have a material adverse effect on our business, results of operations, and financial condition.</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success depends on our customers’ confidence in the depth, breadth, and accuracy of our data. The task of establishing and maintaining accurate data is challenging and expensive. The depth, breadth, and accuracy of our data differentiates us from our competitors. Our standard contract with customers includes a quality guarantee pursuant to which a customer would have the right to terminate its subscription and we could be obligated to reimburse certain payments if the accuracy of our data were to fall below a certain threshold. If our data, including the data we obtain from third parties and our data extraction, cleaning, and insights, is not current, accurate, comprehensive, or reliable, or is otherwise actually, or perceived to be, of a lower standard than our competitors, it would increase the likelihood of negative customer experiences, which in turn would reduce the likelihood of customers renewing or upgrading their subscriptions and harm our reputation, making it more difficult to obtain new customers. In addition, if we are no longer able to maintain our high level of accuracy, we may face reimbursement or legal claims by our customers which could have an adverse effect on our business, results of operations, and financial condition.</w:t>
      </w:r>
    </w:p>
    <w:p>
      <w:pPr>
        <w:spacing w:after="0" w:line="13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also have a number of sources contributing to the depth, breadth, and accuracy of the data on our platform, including our contributory network. We provide a “freemium” product, ZoomInfo Lite, which provides users with a set amount of monthly credits to use to access our contact data and, if the user elects, they may also participate in our contributory network in order to receive additional monthly credits. Similarly, many of our paying customers participate in our contributory network to improve the quality of the data within their CRM and similar systems. ZoomInfo Lite users may cease to participate in our contributory network. Our paying customers, including those who have migrated from ZoomInfo Lite, may elect not to participate for various reasons, including their sensitivity to sharing information within our contributory network or their determination that the benefits from sharing do not outweigh the potential harm from sharing. If we are not able to attract new participants or maintain existing participants in our contributory network, our ability to effectively gather new data and update and maintain the accuracy of our database could be adversely affected. Additionally, state laws currently in effect and those coming into effect in 2026, as well as other legal and regulatory changes are making, or will make, it easier for individuals to opt-out of having their personal data collected and processed. Although we already honor opt-out requests globally, such legal and regulatory changes could increase public awareness of this option, resulting in higher opt-out rates. Further, certain third-party intermediaries have emerged with services that enable individuals to opt out of their personal data being collected at scale (i.e., from multiple platforms, including ours). Consequently, our ability to grow our business may be harmed and our results of operations and financial condition could suffer.</w:t>
      </w:r>
    </w:p>
    <w:p>
      <w:pPr>
        <w:spacing w:after="0" w:line="23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Other technology companies, including various small and medium-sized businesses who focus on B2B sales and marketing intelligence, have become, and larger and better-funded companies with significant resources may shift their existing business models to become, more competitive with us.</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Technology companies, including those that operate in related industries, such as CRM, business software, or advertising, including Salesforce, Oracle, Google, or Microsoft/LinkedIn, may choose to compete with us in the B2B sales and marketing intelligence space, and in such an event, would have access to greater resources and benefit from greater brand recognition. We cannot anticipate how rapidly such a potential competitor could create products or services that would take significant market share from us or even surpass our products or services in quality. If a large, well-funded competitor entered our space, it could reduce the demand for our products and services and reduce the amount we could demand for subscription renewals or upgrades from existing customers, and the amount we could demand from new subscribers to our products and services, reducing our revenue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many of our potential competitors, particularly those with greater financial and operating resources, including larger sales and marketing budgets, as well as small and medium-sized businesses who focus on B2B sales and marketing intelligence, may have the ability to respond more quickly and effectively to new or changing opportunities, technologies, such as AI and ML, standards or customer requirements. Many of our potential competitors may have established relationships with independent software vendors, partners, and customers, greater customer experience resources, greater resources to make acquisitions, lower labor and development costs, larger and more mature intellectual property portfolios, and substantially greater financial, technical, and other resources. New competitors, mergers and acquisitions in the technology industry, or alliances among competitors may emerge and rapidly acquire significant market share due to these or other factors. Companies resulting from these possible consolidations may create more compelling product offerings and be able to offer more attractive pricing options, making it more difficult for us to compete effectively. As a result, even if our products and services are more effective than the products and services that our competitors offer, potential customers might select competitive products and services in lieu of our services.</w:t>
      </w:r>
    </w:p>
    <w:p>
      <w:pPr>
        <w:spacing w:after="0" w:line="14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existing and potential competitors in our industry may be able to offer more flexible pricing models that better align with the actual usage and realized value obtained by customers, including pay-as-you-go models or other bespoke pricing packages, that may be more desirable for small and mid-market customers who are more likely to be affected by budget constraints. Further, as AI-powered agents become more sophisticated, individual users may become substantially more productive, enabling customers to achieve similar outcomes with fewer seats accessing our platform. This AI-driven seat compression could result in customers reducing seat counts at renewal, negatively impacting our revenue even as they derive equal or greater value from our products and services.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Any of the foregoing risks could impact the demand for our products and services, and our ability to renew and/or grow our customer base, which could have an adverse effect on our business, results of operations, and financial condition.</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experience competition from other companies and technologies that allow businesses to gather and aggregate sales, marketing, recruiting, and other data, and we may in the future face competition from prominent large-language-model (LLM) providers and generative AI companies, and any of their competing products and services could provide greater appeal to our customers.</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market for sales, marketing, and recruiting technology and data requires continuous innovation. Our industry is highly competitive, rapidly evolving, and fragmented. There are low barriers to entry, shifting customer needs and strategies, and frequent introductions of new technologies and of new products and services. Many prospective customers have invested substantial resources to implement, and gained substantial familiarity with, competing solutions, and therefore may be reluctant or unwilling to migrate from their current solution to ours. Many prospective customers may not appreciate differences in quality between our products and services and those of lower-priced competitors, and many prospects and current customers may not learn the best ways to use our products and services, making them less likely to obtain them or renew their subscriptions. New technologies and products may be or become better or more attractive to current or prospective customers than our products and services in one or more ways. Many current or prospective customers may find competing products or services more attractive, and many may choose or switch to competing products even if we do our best to innovate and provide superior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current competitors include:</w:t>
      </w:r>
    </w:p>
    <w:p>
      <w:pPr>
        <w:spacing w:after="0" w:line="164" w:lineRule="exact"/>
        <w:rPr>
          <w:sz w:val="20"/>
          <w:szCs w:val="20"/>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online and offline sources of information on companies and business professionals, including government records, telephone books, company websites, and open online databases of business professionals, such as LinkedIn;</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customers’ internal and homegrown business contact databases;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sales and marketing data providers, including platforms that offer integration with predictive analytics and customer data or sales and marketing vendors, which may specialize in appointment setting, online ad targeting, email marketing, or other outsource go-to-market functions;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of sales automation, conversation or other artificial intelligence, and chat software;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third-party company attributes, technology attributes, and business contact information;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online content consumption data for predictive sales and marketing analytics;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user-based networks of companies and/or business professionals.</w:t>
      </w:r>
    </w:p>
    <w:p>
      <w:pPr>
        <w:spacing w:after="0" w:line="11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addition, the rapid advancement and widespread adoption of LLMs and generative AI technologies could result in new competitors in our industry. Prominent LLM providers and other leading generative AI companies, are developing increasingly sophisticated AI capabilities, and such technologies may incorporate business contact information, company intelligence and market insights directly into their models or make such data readily accessible through AI-enabled tools at substantially lower costs than our products and services, or even at no incremental cost to their end users. These LLM providers may aggregate and synthesize publicly available data sources, licensed datasets, or user-contributed information to generate business intelligence that overlaps with or competes directly with our products and services. As LLM capabilities improve, the quality, accuracy, and comprehensiveness of the business data they provide may approach or match levels that customers find acceptable for their go-to-market activities.</w:t>
      </w:r>
    </w:p>
    <w:p>
      <w:pPr>
        <w:spacing w:after="0" w:line="13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These risks could be exacerbated by weak macroeconomic and uncertain geopolitical conditions (including due to global pandemics or such as those related to the Russia-Ukraine war, and the conflict between Israel and Hamas, including after giving effect to the October 2025 Gaza Peace Plan, as well as related and other conflicts due to rising tensions in the Middle East and South America, including with respect to Iran, and U.S. relations with members of the European Union and Venezuela) and lower customer spending on sales and marketing. Weakened macroeconomic and uncertain geopolitical conditions could also disproportionately increase the likelihood that any given current or prospective customer would choose a lower-price alternative even if our products or services are superior. Some current and potential customers, particularly large organizations, have elected in the past, and may elect in the future, to rely on internal and homegrown databases, develop, or acquire their own software, programs, tools, and internal data quality teams that would reduce or eliminate the demand for our products and services.</w:t>
      </w:r>
    </w:p>
    <w:p>
      <w:pPr>
        <w:spacing w:after="0" w:line="13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If we fail to respond to changes in data technology, competitors may be able to develop products and services that will take market share from us, and the demand for our products and services, the delivery of our products and services, or our market reputation could be adversely affected. If demand for our platform declines for any of these or other reasons,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Our business is, and the markets in which we compete are, rapidly evolving, including with respect to AI and AI-enabled products, which make it difficult to forecast demand for our services and achieve an optimal resource allocation strategy, as we may not be able to effectively monetize our AI investments.</w:t>
      </w:r>
    </w:p>
    <w:p>
      <w:pPr>
        <w:spacing w:after="0" w:line="8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markets in which we compete are rapidly evolving, accordingly our future financial performance will depend in large part on the allocation of spending in traditional software as a service (“SaaS”) products and our ability to adapt to new market demands. In recent years and continuing through today, an increasing number of customers have been allocating their spending toward AI, ML, and generative AI capabilities. The SaaS market for artificial intelligence, machine learning, and generative AI workloads is expected to be an intensely competitive and rapidly evolving market, and our future financial performance may depend on our ability to adapt to, and capture new spending, in this market. However, our estimates of the market opportunity, including our forecast of the demand for our products and our ability to capture new spending, are subject to significant uncertainty and are based on assumptions and estimates that may not prove to be accurate. In addition, if the markets in which we compete experience a shift in customer demand, or if customers in these markets focus their new spending on, or shift their existing spending to, public cloud solutions or other solutions that do not interoperate with our solutions more quickly or more extensively than expected, our solutions may not compete as effectively, if at all.</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increasing reliance on, and continued capital investments in, AI and ML technologies exposes us to additional risks and uncertainties. The development and deployment of AI capabilities, including our Copilot, GTM Workspace and GTM Studio products, as well as other AI-enabled features, involves complex technical challenges and substantial infrastructure investments. If our AI models produce inaccurate, biased, or unreliable outputs, or if we fail to properly train or maintain these models, it could harm our reputation and customer relationships. Additionally, the costs of AI infrastructure, including computing resources and specialized talent, may increase more rapidly than anticipated, potentially affecting our margins and profitability. While we aim to maintain leadership in AI-driven go-to-market solutions, the AI technology landscape is rapidly evolving and highly competitive, with both established companies and new entrants making significant investments in competing technologies.</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in order to maintain our market-leading position in AI-driven go-to-market products and services, we have invested, and will continue to invest, in the AI-capabilities of our workforce. As a result of this strategy, we have made substantial capital investments and have committed significant resources, including engineering personnel, to build AI-capabilities and scale the infrastructure required to enable our workforce to utilize and integrate such capabilities into their workflows. However, despite our substantial investments in the AI-capabilities of our workforce, we may not realize an expected return if the products our teams develop do not generate sufficient customer demand or incremental revenue to justify the costs, or if the productivity improvements from our AI-capabilities do not offset the costs of building and maintaining AI-capable teams.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Therefore, if we are unable to meet the demands of a rapidly evolving market, including as it relates to our AI capabilities, if our estimates of the market opportunity, including our forecast of the demand for our products prove to be incorrect, or if our workforce is unable to achieve the expected gains in productivity or innovation, our revenue and cash flows may decline or grow less quickly than anticipated, and we may not be able to achieve a return on our investment in our AI and AI-enabled solutions, which could have a material adverse effect on our business, financial condition, and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platform integrates or otherwise works with third-party systems that we do not control.</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technologies that allow our platform to interoperate with various third-party applications (which we call “integrations”) are critically important to our business. Many of our customers use our integrations to access our data from within, or send data to, CRM, marketing automation, applicant tracking, sales enablement, and other systems, including Salesforce, Marketo, HubSpot, Microsoft Dynamics, Oracle Sales Cloud, and a variety of other commonly used tools. The functionality of these integrations depends upon access to these systems, which is not within our control. Some of our competitors own, develop, operate, or distribute CRM and similar systems or have material business relationships with companies that own, develop, operate, or distribute CRM and similar systems that our platform integrates into. Moreover, some of these competitors have inherent advantages developing products and services that more tightly integrate with their CRM and similar systems or those of their business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Third-party systems are constantly evolving, and it is difficult to predict with certainty the challenges that we may encounter in developing our platform for use in conjunction with such third-party systems, including as it relates to any deficiencies caused by, or originated from, such third-party systems. We may not be able to modify our integrations to assure compatibility with the systems of other third parties following any of their changes to their systems. Some operators of CRM and similar systems may cease to permit our access to, or the integration of our platform with, their systems. For example, if Salesforce were to refuse to permit our integration to access its APIs, this integration would not function, and our customers’ experience would be hampered. Accordingly, this could leave our customers without a convenient way to integrate our products and services with the CRM.</w:t>
      </w:r>
    </w:p>
    <w:p>
      <w:pPr>
        <w:spacing w:after="0" w:line="2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changes in search engine algorithms, including search engine optimization (SEO), artificial intelligence optimization (AIO), and other traffic-generating arrangements and dynamics.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historically relied heavily on internet search engines, such as Google, including through the purchase of SEO tools that leverage sales and marketing-related keywords and the indexing of our public-facing directory pages and other web pages, to generate a significant portion of the traffic to our website. Search engines frequently update and change the logic that determines the placement and display of results of a user’s search, and our competitors may implement certain search engine optimization efforts, such that the purchased or algorithmic placement of links to our website can be negatively affected. In addition, a significant amount of traffic is directed to our website through participation in pay-per-click and display advertising campaigns on search engines, including Google.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w:t>
      </w:r>
    </w:p>
    <w:p>
      <w:pPr>
        <w:spacing w:after="0" w:line="13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addition, in recent years, customer behavior and traffic acquisition dynamics have shifted, and may continue to shift, due to the increasing adoption of AI-powered search experiences and LLM models that provide responses without directing users to third-party websites, which could reduce click-through rates and materially diminish the value of traditional SEO strategies. If we are unable to ensure that our products and services, as well as our website and brand, continue to be visible and utilized by AI-powered search experiences and LLM models, or if we are unable to address and capitalize on online traffic dynamics resulting from AIO strategies, we may experience reduced inbound lead volume, higher customer acquisition costs, and greater reliance on more expensive marketing channels that may be less efficient or scalable. Any sustained decline in inbound demand could adversely affect our pipeline, customer acquisition costs, and revenue growth.</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If a major search engine or LLM model changes its algorithms or results in a manner that negatively affects our website’s search engine ranking or AIO placement, respectively, or if competitive dynamics impact the costs or effectiveness of SEO and/or AIO, marketing efforts relating to SEO and/or AIO strategies, or other traffic-generating arrangements in a negative manner, our business and financial performance would be adversely affected.</w:t>
      </w:r>
    </w:p>
    <w:p>
      <w:pPr>
        <w:spacing w:after="0" w:line="2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or an inability to attract, integrate, and retain these and other highly skilled employees could harm our business.</w:t>
      </w:r>
    </w:p>
    <w:p>
      <w:pPr>
        <w:spacing w:after="0" w:line="10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Our success depends largely upon the continued services of our executive officers and other key employees, including newly hired personnel. We rely on our leadership team in the areas of research and development, operations, security, analytics, marketing, sales, customer experience, and general and administrative functions and on individual contributors in our research and development and operations. From time to time, there have been, and may continue to be, changes in our executive management team resulting from the hiring or departure of executives, which could disrupt our business. The loss of one or more of our executive officers or key employees could harm our business. Changes in our executive management team, or failure or delay in integrating new members of the executive management team and other key employees into our business, may also cause disruptions in, and harm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continues to be led by our CEO and co-founder, Henry Schuck, who plays an important role in driving the Company’s culture, determining the strategy, and executing against that strategy across the Company. If Mr. Schuck’s services became unavailable to the Company for any reason, it may be difficult or impossible for the Company to find an adequate replacement, which could cause us to be less successful in maintaining our culture and developing and effectively executing on our company strategies.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highly skilled personnel in our industry can be intense. Competitors for technical and sales talent increasingly seek to hire our employees, and the availability of flexible, hybrid, or work-from-home arrangements has both intensified and expanded competition. Our increased emphasis on in-office work and associated hiring plans may reduce the talent pools from which we recruit and can increase the difficulty of hiring the highest quality personnel in efficient timeframes.</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Also, as we continue to grow, we face challenges of integrating, developing, training, and motivating our employee base, and maintaining our company culture around the world. If we fail to hire and retain highly skilled employees or fail to manage organizational change in a manner that preserves our efficacy and the key aspects of our corporate culture, the quality of our products and services may suffer, which could negatively affect our brand and reputation and harm our ability to attract users, employees, and organizations.</w:t>
      </w:r>
    </w:p>
    <w:p>
      <w:pPr>
        <w:spacing w:after="0" w:line="22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upgrade, or implement adequate operational and financial resources, including our IT systems, we may be unable to execute our business plan.</w:t>
      </w:r>
    </w:p>
    <w:p>
      <w:pPr>
        <w:spacing w:after="0" w:line="1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experienced, and expect to continue to experience, growth, which has placed, and may continue to place, significant demands on our management and our operational and financial resources. One area of growth has been in the number of customers using our products and services and in the amount of data in our databases. In addition, our organizational structure has become more complex as we have scaled our operational, financial, and management controls, as well as our reporting systems and procedures, and expanded internationally.</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manage growth in our operations and personnel, we will need to continue to grow and improve our operational, financial, and management controls and our reporting systems and procedures, including our IT systems. We will continue to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anticipate that significant additional investments will be required to scale our operations and increase productivity, to address the needs of our customers, to further develop and enhance our products and services,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also depend on IT systems to operate our business, and issues with maintaining, upgrading or implementing these systems could have a material adverse effect on our business. Our business has grown and continues to grow in size and complexity, which places significant demands on our IT systems. To effectively manage this growth and to ensure interoperability of our IT systems, our information systems and applications require an ongoing commitment of significant resources to maintain, protect, enhance and upgrade existing systems and develop and implement new systems, some of which may be costly, to keep pace with changing technology and our business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If the information we rely upon to run our business is found to be inaccurate or unreliable, if we fail to maintain or protect our IT systems and data integrity effectively, if we fail to develop and implement new or upgraded systems to meet our business needs in a timely manner, or if we fail to anticipate, plan for or manage significant disruptions to these systems, our competitive position could be harmed, we could have operational disruptions, we could lose existing customers, have difficulty preventing, detecting, and controlling fraud, have disputes with customers, have regulatory sanctions or penalties imposed or other legal problems, incur increased operating and administrative expenses, lose revenues as a result of a data privacy breach or theft of intellectual property or suffer other adverse consequences, any of which could have a material adverse effect on our business, results of operations, financial condition or cash flows.</w:t>
      </w:r>
    </w:p>
    <w:p>
      <w:pPr>
        <w:spacing w:after="0" w:line="2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 and financial condition.</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from time to time we make investments in, or acquisitions of, complementary businesses, services, databases, and technologies, and we expect that we will continue to make such investments and acquisitions in the future to further grow our business and our product and service offerings. Our strategy to make selective acquisitions to complement or expand our platform depends on our ability to identify, and the availability of, suitable acquisition candidates. We may not be able to find suitable acquisition candidates and we may not be able to complete acquisitions on favorable terms, if at all.</w:t>
      </w:r>
    </w:p>
    <w:p>
      <w:pPr>
        <w:spacing w:after="0" w:line="13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Acquisitions and other transactions, arrangements, and investments also involve numerous risks and could create unforeseen operating difficulties and expenditures, including, but not limited to:</w:t>
      </w:r>
    </w:p>
    <w:p>
      <w:pPr>
        <w:spacing w:after="0" w:line="110"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to achieve the expected benefits on a timely basis or at all;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the cost of, integrating operations, technologies, services, and platforms;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managerial resources from existing operations;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entry into new markets in which we have little or no experience or where competitors may have stronger market positions;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acquired assets or investments and potential financial and credit risks associated with acquired customers;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 maintaining the security standards for acquired technology consistent with our other services;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and regulatory risks associated with foreign countries and potential additional cybersecurity and compliance risks resulting from entry into new markets;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challenges by governmental authorities, including the Federal Trade Commission (the “FTC”) and the Department of Justice, for anti-competitive or other reasons.</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Any of these risks could harm our business. In addition, to facilitate these acquisitions or investments we may seek additional equity or debt financing, which may not be available on terms favorable to us or at all, which may affect our ability to complete subsequent acquisitions or investments and may affect the risks of owning our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and related reporting obligations, expose us to risks that could adversely affect our reputation and performance.</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U.S. and international regulators, investors and other stakeholders are increasingly focused on sustainability matters. We have established and publicly announced certain sustainability goals. Our ability to achieve any sustainability objective is subject to numerous risks, many of which are outside of our control. Examples of those risks include our ability to accurately track Scope 1, 2 and 3 greenhouse gas emissions, the evolving regulatory requirements affecting environmental and sustainability standards or disclosures and our ability to recruit, develop and retain diverse talent in our workforce. These statements reflect current plans and aspirations and are not guarantees that the Company will be able to achieve them. The failure to accomplish or accurately track and report on these goals on a timely basis, or at all, could adversely affect our reputation, financial performance, and growth, and expose the Company to increased scrutiny from the investment community and enforcement authorities.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Privacy, Technology, and Security</w:t>
      </w:r>
    </w:p>
    <w:p>
      <w:pPr>
        <w:spacing w:after="0" w:line="2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spacing w:after="0" w:line="121"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The business contact information and other data we collect and process are an integral part of our products and services. Regulators around the world have adopted or proposed requirements regarding the collection, use, transfer, security, storage, destruction, and other processing of personal data. Our products and services rely heavily on the collection and use of information to provide effective insights to our customers and users. In recent years, there has been an increase in attention to and regulation of data protection and data privacy across the globe, including the enactment of the GDPR, the United Kingdom’s transposition of GDPR into its domestic laws following Brexit in January 2021, India’s Digital Personal Data Protection Act passed in August 2023, the California Consumer Privacy Act as amended by the California Privacy Rights Act, and similar comprehensive privacy laws adopted in a growing number of other states (approximately twenty as of January 2026). For example, as a result of such initiatives aimed at data protection and data privacy, California established the Delete Request and Opt-out Platform (DROP) following the state’s enactment of the Delete Act SB 362, which launched on January 1, 2026, allowing consumers to submit a single deletion request to all registered data brokers, and other states, including New Hampshire, have already or are likely to adopt similar programs. Meanwhile, around the world there are ongoing discussions about how best to revise and modernize existing laws in jurisdictions such as Canada and Australia. Laws such as these give rise to an increasingly complex set of compliance obligations on us, as well as on many of our customers. These laws are not always uniform in the way they define and treat certain data types, including business-to-business data, biometric data, sensitive data, and we must often update our consumer notices and adapt our compliance programs to account for the differences between applicable laws. These laws can impose restrictions on our ability to gather personal data and provide such personal data to our customers, provide individuals with additional rights around their personal data, and place downstream obligations on our customers relating to their use of the information we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Domestically, as members of the Republican Party now control both the White House and Congress, the national landscape has shifted. It is unclear whether members of Congress will have enough votes to pass a Federal privacy law and while AI remains a major topic of discussion in Congress, members of the Republican Party and the White House have indicated a pivot from comprehensive regulations in favor of fewer restrictions. In particular, on December 11, 2025, the Administration signed Executive Order 14365, “Ensuring a National Policy Framework for Artificial Intelligence”, that seeks to limit the ability of states to regulate AI under their existing legal frameworks, and to deter them from passing new AI laws. Pursuant to the Executive Order, the Administration has stated that it will seek to establish an AI Litigation Task Force which will be responsible for challenging any state-level AI laws inconsistent with the policy set forth in Executive Order. Nevertheless, at Federal agencies, it remains unclear as to what the current Administration’s enforcement priorities will be and how the push to move away from additional regulations will be reflected at each relevant agency, including the extent to which agencies emphasize established statutory authorities (e.g., children’s privacy and data security) versus broader theories. As a result, certain states will continue to pursue both AI and privacy legislation. As of December 31, 2025, twenty states have implemented comprehensive privacy laws, and recently, additional states have pending legislation for both AI and privacy.</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These complex laws may be implemented, interpreted, or enforced in a non-uniform, inconsistent, or a rapidly evolving way across jurisdictions and we may not be aware of every development that impacts our business in a timely manner. These laws may also require us to make additional changes to our services in order for us or our customers to comply with such legal requirements. It may also increase our potential liability as a result of higher potential penalties for noncompliance.</w:t>
      </w:r>
    </w:p>
    <w:p>
      <w:pPr>
        <w:spacing w:after="0" w:line="12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These and other legal requirements could reduce our ability to gather personal data used in our products and services. They could reduce demand for our services, require us to take on more onerous obligations in our contracts, require us to add new provisions in our customer contracts related to the processing of personal information, and restrict our ability to store, transfer and process personal data. In some cases, it may impact our ability or our customers’ ability to offer our services in certain locations, to deploy our solutions, to reach current and prospective customers, or to derive insights from data globally. One area of particular risk remains data transfers between the United States and the European Union. On July 10, 2023, the European Commission adopted its adequacy decision for the EU-US DPF, 18 months after its predecessor, the EU-US Privacy Shield, was invalidated. While this does, for the time being, assert that entities operating in the United States who have certified to the DPF ensure an adequate level of protection for transferring personal data from the European Union to the United States, the DPF has already been tested in court and remains subject to ongoing legal and regulatory scrutiny. On September 3, 2025, the EU General Court dismissed an action seeking to annul the adequacy decision (Latombe v. Commission), and an appeal to the Court of Justice of the European Union has been reported, creating continued uncertainty. The privacy advocacy organization NOYB, which previously challenged and facilitated the demise of both the Safe Harbor (Schrems I) and Privacy Shield (Schrems II) has already criticized the DPF for not doing enough to provide non-US citizens with reasonable privacy protections afforded to US citizens, and has publicly indicated its intent to pursue further challenges to the DPF. The NOYB has more recently called the validity of the DPF into question in light of changes the White House is making to the members of the U.S. Privacy and Civil Liberties Oversight Board, which is tasked with overseeing U.S. surveillance practices and addressing complaints from EU citizens under the DPF. ZoomInfo is certified under the DPF, however, it still utilizes Standard Contractual Clauses as its cross-border transfer mechanism due to the uncertain future of the DPF and the possibility that the DPF could be modified, suspended, or invalidated by regulators or courts. In the event that any court blocks personal data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The cost of complying with existing or new data privacy or data protection laws and regulations may limit our ability to gather the personal data needed to provide our products and services. For example, on January 13, 2026, the Commonwealth of Virginia introduced VA HB638, a bill that seeks to regulate data brokers by the end of the second quarter of 2027, requiring companies to provide, among other things, detailed information relating to their data collection practices, as well as mandating a $100,000 registration fee. Compliance requirements and their associated costs could negatively impact the use or adoption of our products and services or products and services similar to ours; reduce overall demand for our products and services, or products and services similar to ours; make it more difficult for us or competitive solutions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Furthermore, the uncertain and shifting regulatory environment and trust climate may cause concerns regarding data privacy and may cause our vendors, customers, users, or our customers’ customers to decline to provide the data necessary to allow us to offer our services to our customers and users effectively, or could prompt individuals to opt out of our collection of their personal data.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the regulatory landscape is particularly complex and rapidly evolving with respect to AI technologies. New regulations specifically targeting AI development, deployment, and data usage are being proposed and implemented across various jurisdictions. These regulations may impose additional obligations related to algorithmic transparency, bias testing, and specific data protection measures for AI systems. Our AI-driven products and services may be subject to increased scrutiny under these new frameworks.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Our actual or alleged failure to comply with applicable privacy or data protection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2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for any variety of claims, which could harm our reputation and adversely affect our business, results of operations, and financial condition.</w:t>
      </w:r>
    </w:p>
    <w:p>
      <w:pPr>
        <w:spacing w:after="0" w:line="1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market, and litigation, based on allegations of infringement or other violations of intellectual property, is frequent in software and internet-based industries. We may receive communications from third parties, including practicing entities and non-practicing entities, claiming that we have infringed their intellectual property rights.</w:t>
      </w:r>
    </w:p>
    <w:p>
      <w:pPr>
        <w:spacing w:after="0" w:line="12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we may be sued by third parties for breach of contract, defamation, negligence, unfair competition, data breaches, privacy compliance, or copyright or trademark infringement or claims based on other theories. We could also be subject to claims that the collection or provision of certain information, including personal information by us or by third-parties with whom we interact breached laws or regulations relating to privacy or data protection. 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 expenses or may require us to restrict our business activities and limit our ability to deliver our products and services and/or certain features, integrations, and capabilities of our platform. As a result, we may also be required to develop alternative non-infringing technology, which could require significant effort and expense and/or cause us to alter our products or services, which could negatively affect our business. In addition, many of our subscription agreements require us to indemnify our customers for third-party intellectual property infringement claims, so any alleged infringement by us resulting in claims against such customers would increase our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exposure to risks associated with various claims may be greater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claims after we have acquired a company or technology that had not been asserted prior to our acquisition.</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protection and privacy, intellectual property,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In addition, we have entered into indemnification agreements with each of our directors and officers, pursuant to which we have agreed to indemnify our directors and officers to the fullest extent permitted by Delaware law. As a result, any claims for indemnification by our directors and officers may reduce our available funds to satisfy successful third-party claims against us and may reduce the amount of money available to us. As litigation is inherently unpredictable, we cannot assure you that any potential claims or disputes will not have a material adverse effect on our business, results of operations, and financial condition. Any claims or litigation, even if fully indemnified or insured, could make it more difficult to compete effectively or to obtain adequate insurance in the future.</w:t>
      </w:r>
    </w:p>
    <w:p>
      <w:pPr>
        <w:spacing w:after="0" w:line="14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we may be required to spend significant resources to monitor and protect our contractual,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Furthermore,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an adverse effect on our business, results of operations, and financial condition or injure our reputation.</w:t>
      </w:r>
    </w:p>
    <w:p>
      <w:pPr>
        <w:spacing w:after="0" w:line="2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New or changing laws and regulations may diminish the demand for our platform, restrict access to our platform, constrain the range of services we can provide, or require us to disclose or provide access to information in our possession, which could harm our business, results of operations, and financial condition.</w:t>
      </w:r>
    </w:p>
    <w:p>
      <w:pPr>
        <w:spacing w:after="0" w:line="1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platform depends on the ability of our users to access the internet and our platform could be blocked or restricted in some countries for various reasons. Further, it is possible that governments of one or more foreign countries may seek to limit access to or certain features of our platform in their countries, or impose other restrictions that may affect the availability of our platform, or certain features of our platform, in their countries for an extended period of time or indefinitely. In addition, governments in certain countries may seek to restrict or prohibit access to our platform if they consider us to be in violation of their laws (including privacy laws) and may require us to disclose or provide access to information in our possession. If we fail to anticipate developments in the law or fail for any reason to comply with relevant law, our platform could be further blocked or restricted and we could be exposed to significant liability that could harm our business. In the event that access to our platform is restricted, in whole or in part, in one or more countries or our competitors are able to successfully penetrate geographic markets that we cannot access, our ability to add new customers or renew or grow the subscriptions of existing customers may be adversely affected, we may not be able to maintain or grow our revenue as anticipated and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New laws and regulations in the area of AI may also impact our business. For example, the European Union’s Artificial Intelligence Act (“AI Act”), which went into effect on August 1, 2024 (with phased application dates beginning in 2025), introduced a regulatory landscape that businesses need to navigate with caution. The AI Act's stringent measures against certain AI applications may impact businesses in our sector. Such measures include prohibitions on AI technologies that utilize sensitive personal attributes for biometric categorization, restrictions on indiscriminate collection of facial images for recognition databases, and limitations on emotion recognition systems that could be employed in consumer analysis or employee monitoring. Businesses must also be aware of the comprehensive transparency requirements mandated for general-purpose AI systems. This entails maintaining detailed technical documentation and ensuring compliance with EU copyright laws, with even more rigorous standards for high-impact general AI models, including provider transparency and copyright-related obligations (which begin to apply in 2025), as well as even more rigorous standards for general-purpose AI models with systemic risk. These models require exhaustive evaluations, risk assessments related to systemic impacts, adversarial testing, and reporting on aspects like energy efficiency, indicating a significant compliance burden for businesses. The scale of penalties for non-compliance range up to €35 million or 7% of global turnover, underscoring the importance of adherence to the new regulations where applicable. The AI Act demands a proactive approach to regulatory compliance, risk management, and an investment in infrastructure to align with the EU’s vision of a safe and ethical AI environment.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or enforce our proprietary and intellectual property rights in our data or technology.</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success is dependent, in part, upon our ability to protect and enforce our intellectual property rights, including in our proprietary information and technology. No assurance can be given that our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may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Current laws may not provide for adequate protection of our platform or data. In addition, legal standards relating to the validity, enforceability, and scope of protection of proprietary rights in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may be unenforceable under the laws of certain jurisdictions. Further, the laws of some countries do not protect proprietary rights to the same extent as the laws of the United States, and mechanisms for enforcement of intellectual property rights in some foreign countries may be inadequate. To the extent we expand our international activities, our exposure to unauthorized copying and use of our data or certain aspects of our platform, or our data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To monitor and protect our intellectual property rights, we may be required to spend significant resources, and we may or may not be able to detect infringement by our customers or third parties. Litigation has been and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which may not be available on commercially reasonable terms, or at all, and our inability to license this technology could harm our ability to compete.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AI capability introduces risks, which, if realized, could adversely impact our business.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introduction of AI technologies into new or existing products may result in new or enhanced governmental or regulatory scrutiny, litigation, privacy, confidentiality or security risks, ethical concerns, legal liability, or other complications that could adversely affect our business, reputation, or financial results. The intellectual property ownership and license rights, including copyright, surrounding AI technologies has not been fully addressed by laws or regulations, and the use or adoption of third-party AI technologies into our business operations, products and services may result in exposure to claims of copyright infringement or other intellectual property misappropriation, as well as potential liability to customers.</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AI technologies may use algorithms, datasets, or training methodologies that may be flawed or contain deficiencies that may be difficult to detect during testing. AI technologies, including generative AI, may create content that appears correct but is factually inaccurate, flawed or biased. Use of such content may be to the detriment of the user, or it may lead to discriminatory or other adverse outcomes, which may expose us to brand or reputational harm, competitive harm, and/or legal liability (including regulatory investigations, enforcement actions, or private claims). The use of AI technologies presents emerging ethical and social issues (including concerns regarding transparency, explainability, accountability, and intellectual property) that may result in brand or reputational harm, competitive harm, and/or legal liability.</w:t>
      </w:r>
    </w:p>
    <w:p>
      <w:pPr>
        <w:spacing w:after="0" w:line="2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Because our data includes the direct contact information for millions of individuals and businesses, our platform and data could be misused by customers, or by parties who have obtained access to our data without authorization, to contact individuals for purposes that we would not permit, including uses unrelated to B2B communication or recruiting, such as to harass or annoy individuals or to perpetrate scams. Our customers could use our products or services for purposes beyond the scope of their contractual terms or applicable laws or regulations. Our customers’ or third parties’ misuse of our data in any manner that is inconsistent with its permitted use, could result in reputational damage, adversely affect our ability to attract new customers and cause existing customers to reduce or discontinue the use of our platform, any of which could harm our business and operating results.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brand may be negatively affected by the actions of persons using our platform that are hostile or inappropriate, by the actions of individuals acting under false or inauthentic identities, by the use of our products or services to disseminate information that is misleading (or intended to manipulate opinions), by perceived or actual efforts by governments to obtain access to user information for security-related purposes or to censor certain content on our platform or by the use of our products or services for illicit, objectionable, or illegal ends. Further, we may fail to respond expeditiously or appropriately to any of the foregoing misuses, or to otherwise address customer and individual concerns, which could erode confidence in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Cyber-attacks and security vulnerabilities could result in serious harm to our reputation, business, and financial condition.</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Threats to network and data security are constantly evolving and becoming increasingly diverse and sophisticated and have increased in scope and frequency. Our products and services, as well as our servers and computer systems and those of third parties that we rely on in our operations could be vulnerable to cybersecurity risks and threats or other events that could disrupt our IT systems and/or subject us to liability, such as manmade or natural disasters (including those as a result of climate change) or software vulnerabilities. In addition, many of our employees work remotely, which increases our cyber security risk, creates data accessibility concerns, and makes us more susceptible to security breaches or business disruptions (including through compromised credentials or the use of unmanaged or personal devices and networks).</w:t>
      </w:r>
    </w:p>
    <w:p>
      <w:pPr>
        <w:spacing w:after="0" w:line="21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in the past been the target of attempts, and experienced incidents of attempts, to identify and exploit system vulnerabilities and/or penetrate or bypass our security measures in order to gain unauthorized access to our systems, including to use our platform and data for purposes other than its intended purpose or to create products that compete with our platform. We employ multiple methods at different layers of our systems designed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We expect that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We may experience breaches of our security measures due to human error, malfeasance, system errors or vulnerabilities, or other irregularities including attempts by former, current or future employees to misuse their authorized access and/or gain unauthorized access to our systems.</w:t>
      </w:r>
    </w:p>
    <w:p>
      <w:pPr>
        <w:spacing w:after="0" w:line="13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Such events could result in the release to the public of confidential information about our operations and financial condition and performance. Actual or perceived breaches of our security could subject us to regulatory investigations and orders, litigation, indemnity obligations, damages, penalties, fines and other costs in connection with actual and alleged contractual breaches, violations of applicable laws and regulations and other liabilities. Moreover, a security compromise or ransomware event could require us to devote significant management resources to address the problems created by the issue and to expend significant additional resources to upgrade further the security measures we employ to guard personal and confidential information against cyber-attacks and other attempts to access or otherwise compromise such information and could result in a disruption of our operations, particularly our digital operations. Any such incident could also materially damage our reputation and harm our business, results of operations and financial condition.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we may be subject to additional liability risks associated with data security breaches or other incidents by virtue of the private right of action granted to individuals under certain data privacy laws for actions arising from certain data security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Technical problems or disruptions that affect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business, brand, reputation, and ability to attract and retain users and customers depend upon the satisfactory performance, reliability, and availability of our websites, which in turn depend upon the availability of the internet and our service providers. Interruptions and slowdown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products or services. In addition, the software, internal applications, and systems underlying our products and services are complex and may not be error-free. We may encounter technical problems when we attempt to enhance our software, internal applications, and systems. Any inefficiencies, errors, or technical problems with our software, internal applications, and systems could reduce the quality of our products and services or interfere with our customers’ use of our products and services, which could reduce demand, lower our revenues, and increase our costs.</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systems and operations, and those of vendors critical to our services, are vulnerable to damage or interruption from fire, flood, earthquakes, power loss, security breaches, computer viruses, telecommunications failures, terrorist attacks, acts of war, electronic and physical break-ins and similar events. The occurrence of any of the foregoing events could result in damage to or failure of our systems and hardware. These risks may be increased with respect to operations housed at facilities outside of our direct control, and the majority of the communications, network, and computer hardware used to operate the cloud for our platform are located at facilities maintained by Google or Amazon, which we do not own or control.</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problems faced or caused by our IT service providers, including content distribution service providers, private network providers, internet providers, third-party web-hosting providers, third-party data center hosting facilities, and cloud computing platform providers. or with the systems by which they allocate capacity among their customers (as applicable), could adversely affect the experience of our users.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Accounting and Credit Matters</w:t>
      </w:r>
    </w:p>
    <w:p>
      <w:pPr>
        <w:spacing w:after="0" w:line="2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generate revenue from sales of subscriptions to our platform and data, and any decline in demand for the types of products and services we offer would negatively impact our business.</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historically derived substantially all of our revenue from subscription services and expect to continue to generate revenue from the sale of subscriptions to our platform and data. As a result, the continued use of telephones and email as a primary means of B2B sales, marketing, and recruiting, and the continued use of internet cloud-based platforms to access telephone, email, and related information for such purposes, is critical to our future growth and success. If the sales and marketing information market fails to grow, or grows more slowly than we currently anticipate, or if there is a decrease in the use of telephones and email as primary means of B2B communication, demand for our platform and data would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Changes in user preferences for sales, marketing, and recruiting platforms may have a disproportionately greater impact on us than if we offered disparate products and services. Demand for sales, marketing, and recruiting platforms in general, and our platform and data in particular, is affected by a number of factors, many of which are beyond our control. Some of these potential factors include:</w:t>
      </w:r>
    </w:p>
    <w:p>
      <w:pPr>
        <w:spacing w:after="0" w:line="72" w:lineRule="exact"/>
        <w:rPr>
          <w:sz w:val="20"/>
          <w:szCs w:val="20"/>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and acceptance of the sales, marketing, and recruiting platform categories generally, and the growth, contraction and evolution of the categories;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features, and user experience, and the development and acceptance of new features, integrations, and capabilities;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accessibility across several devices, operating system, and applications;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CRM and other related technologies; and</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the development of new systems and protocols for B2B communication.</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market is subject to rapidly changing user demand and preference trends. If we fail to successfully predict and address these changes and trends, meet user demands or achieve more widespread market acceptance of our platform and data, our business, results of operations, and financial condition could be harmed.</w:t>
      </w:r>
    </w:p>
    <w:p>
      <w:pPr>
        <w:spacing w:after="0" w:line="2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existing senior secured credit facilities restrict our ability to, and the terms on which we may, incur additional indebtedness, and our ability to, and the terms on which we may, make certain restricted payments, including investments. See “</w:t>
      </w:r>
      <w:r>
        <w:rPr>
          <w:rFonts w:ascii="Times New Roman" w:cs="Times New Roman" w:eastAsia="Times New Roman" w:hAnsi="Times New Roman"/>
          <w:sz w:val="18"/>
          <w:szCs w:val="18"/>
          <w:i w:val="1"/>
          <w:iCs w:val="1"/>
          <w:color w:val="auto"/>
        </w:rPr>
        <w:t>We have a substantial amount of debt, which could adversely affect our financial condition and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ability to raise additional capital and prevent us from fulfilling our obligations</w:t>
      </w:r>
      <w:r>
        <w:rPr>
          <w:rFonts w:ascii="Times New Roman" w:cs="Times New Roman" w:eastAsia="Times New Roman" w:hAnsi="Times New Roman"/>
          <w:sz w:val="18"/>
          <w:szCs w:val="18"/>
          <w:color w:val="auto"/>
        </w:rPr>
        <w:t>” below. The terms of any additional debt financing may be similar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controls over financial reporting in accordance with Section 404 of SOX could impair our ability to produce timely and accurate financial statements or comply with applicable regulations and have a material adverse effect on our business.</w:t>
      </w:r>
    </w:p>
    <w:p>
      <w:pPr>
        <w:spacing w:after="0" w:line="10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As a public company, we are required by Section 404 of the Sarbanes-Oxley Act of 2002 to evaluate and determine the effectiveness of our internal controls over financial reporting and provide a management report on the internal controls over financial reporting, which must be attested to by our independent registered public accounting firm.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We have previously identified and reported a material weakness, and we may identify additional material weaknesses in internal controls in future periods, which could have a material adverse effect on our business, financial condition, and results of operations. Specifically, if we were to have another material weakness in our internal controls over financial reporting, we may not detect errors on a timely basis and our financial statements may be materially misstated. There could also be a negative reaction in the financial markets due to a loss of investor confidence in us and the reliability of our consolidated financial statements,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subscription revenue over the subscription term, downturns or upturns in new sales and renewals are not immediately reflected in full within our results of operations.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recognize revenue from subscriptions to our platform on a ratable basis over the term of the contract subscription period beginning on the date access to the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 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result in our inability to attain profitability in any given period.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anticipate increasing operating expenses in the future, and we may not be able to maintain profitability.</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may not continue to achieve or maintain profitability in the future. Because the market for our platform is rapidly evolving, it is difficult for us to predict our future results of operations or the limits of our market opportunity. We expect our operating expenses to increase over the next several years as we aim to hire additional personnel, expand our partnerships, operations and infrastructure, both domestically and internationally, continue to enhance our platform and develop and expand its features, integrations, and capabilities, and expand and improve our platform. We also intend to continue to build and enhance our platform through both internal research and development and selectively pursuing acquisitions that can contribute to the capabilities of our platform. In addition, as we grow, we will incur additional significant legal, accounting, and other expenses. If our revenue does not increase to offset the expected increases in our operating expenses, we may not be profitable in future periods. In future periods, our revenue growth could slow or our revenue could decline for a number of reasons, including any failure to increase the number of organizations on our platform, any failure to increase our number of paying customers, a decrease in the growth of our overall market, our failure, for any reason, to continue to capitalize on growth opportunities, slowing demand for our platform, additional regulatory burdens, or increasing competition. As a result, our past financial performance may not be indicative of our future performance. Any failure by us to sustain profitability on a consistent basis could cause the value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10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Our Consolidated Balance Sheets reflect significant amounts of goodwill and intangible assets.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including for example, as a result of sustained periods of declines in our stock price and market capitalization. Acquired intangible assets with definite lives are amortized on a straight-line basis over the estimated period over which we expect to realize economic value related to the intangible asset. In addition, we review long-lived assets, including operating lease right-of-use assets, for impairment whenever events or changes in circumstances indicate that the carrying value of an asset might not be recoverable. Recoverability of assets to be held and used is measured by a comparison of the carrying amount of an asset to the undiscounted future cash flows expected to be generated by the asset or group of assets.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73"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relative to historical or projected future operating results;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manner of our use of acquired assets or the strategy for our overall business;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industry or economic trends; or</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our market capitalization relative to net book value for a sustained period.</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materially and adversely affect our business, results of operations, and financial condition.</w:t>
      </w:r>
    </w:p>
    <w:p>
      <w:pPr>
        <w:spacing w:after="0" w:line="2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debt, which could adversely affect our financial condition and our ability to raise additional capital and prevent us from fulfilling our obligations.</w:t>
      </w:r>
    </w:p>
    <w:p>
      <w:pPr>
        <w:spacing w:after="0" w:line="1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2025, we had total outstanding indebtedness of $1,332.2 million consisting of outstanding borrowings under our first lien credit facilities and senior notes. Additionally, we had $150.0 million of availability under our first lien revolving credit facility as of December 31, 2025. Our substantial indebtedness may:</w:t>
      </w:r>
    </w:p>
    <w:p>
      <w:pPr>
        <w:spacing w:after="0" w:line="125" w:lineRule="exact"/>
        <w:rPr>
          <w:sz w:val="20"/>
          <w:szCs w:val="20"/>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difficult for us to satisfy our financial obligations, including with respect to our indebtedness;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for working capital, capital expenditures, acquisitions, or other general business purposes;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use a substantial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interest rates as certain of our borrowings, including under our secured credit facilities, are at variable rates of interest;</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pay dividends (although we historically have not paid, and currently do not anticipate paying, any cash dividends on our common stock (see the section entitled “Dividend Policy”);</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or react to, changes in our business and industry;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with our less-leveraged competitors;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the impact of adverse economic, competitive, and industry conditions;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11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the credit agreement governing our secured credit facilities contains, and the agreements governing our future indebtedness may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Furthermore, we may be able to incur substantial additional indebtedness in the future. The terms of the credit agreements governing our indebtedness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 If new indebtedness is added to our current debt levels, the related risks that we now face could intensify.</w:t>
      </w:r>
    </w:p>
    <w:p>
      <w:pPr>
        <w:spacing w:after="0" w:line="22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due on our debt obligations or to refinance our debt obligations depends on our financial condition and operating performance, which are subject to prevailing economic, industry, and competitive conditions and to certain financial, business, legislative, regulatory, and other factors beyond our control, including those discussed elsewhere in this “Risk Factors” section. We may be unable to maintain a level of cash flow sufficient to permit us to pay the principal, premium, if any, and interest on our indebtedness.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If our cash flow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If we cannot make payments on our debt obligations, we will be in default and all outstanding principal and interest on our debt may be declared due and payable, the lenders under our secured credit facilities could terminate their commitments to loan money, our secured lenders (including the lenders under our secured credit facilities) could foreclose against the assets securing their borrowings, and we could be forced into bankruptcy or liquidation. In addition, any event of default or declaration of acceleration under one debt instrument could result in an event of default under one or more of our other debt instruments.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fluctuations may affect our results of operations and financial condition.</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Because a substantial portion of our debt is variable-rate debt, fluctuations in interest rates could have a material effect on our business. During 2022 and 2023, the United States Federal Reserve raised interest rates significantly, and has maintained such increased interest rates generally through the fourth quarter of 2025, as compared to pre-2022 levels, in an attempt to combat historically high inflation. While the U.S. Federal Reserve has started to, and signaled its intention to continue to, lower interest rates, macroeconomic circumstances may change, resulting in delays or reversal of such actions, including by central banks around the world, which may result in a prolonged high-interest rate environment. As a result, we may incur higher interest costs if interest rates were to increase again in the future or if high interest rates continue to be maintained. We currently utilize, and may in the future utilize, derivative financial instruments such as interest rate swaps to hedge some of our exposure to interest rate fluctuations, but such instruments may not be effective in reducing our exposure to interest fluctuations, and we may discontinue utilizing them at any time. Further, there can be no assurance that the United States Federal Reserve will not raise rates in the future, and any such increase in interest costs could have a material adverse effect on our financial condition and the levels of cash we maintain for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and other ratings could adversely impact our operations and lower our profitability.</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Credit rating and other rating agencies continually revise their ratings and ratings methodologies for the companies that they follow, including us. These rating agencies also evaluate our industry as a whole and may change their credit and other ratings for us based on their overall view of our industry. Failure to maintain our credit ratings on long-term and short-term indebtedness could increase our cost of borrowing, reduce our ability to obtain intra-day borrowing, which we may need to operate our business, and adversely impact our results of operations.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68"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a multinational organization faced with increasingly complex tax issues in many jurisdictions, and global tax developments may have a material impact to our business, cash flows, tax liabilities and results of operations.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not established a taxable nexus, often referred to as a “permanent establishment” under international tax treaties, any of which could have a material adverse effect on our business, financial condition or cash flows.</w:t>
      </w:r>
    </w:p>
    <w:p>
      <w:pPr>
        <w:spacing w:after="0" w:line="137"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Global tax developments applicable to multinational businesses may have an adverse effect to our business, including certain approaches in addressing taxation of the digital economy. Rules proposed or enacted by the Organisation for Economic Co-operation and Development (“OECD”), the European Commission or tax authorities in the jurisdictions in which we operate or may operate in the future could have a material adverse effect to our profitability, cash flows, or results of operations. The OECD in particular has proposed significant changes to the international tax law framework in the form of the Pillar Two model rules which seek to implement a global minimum tax of 15%. While it is uncertain whether the United States will enact legislation to adopt Pillar Two, certain countries in which we operate have adopted legislation, and other countries are in the process of introducing legislation to implement Pillar Two. The potential effects of Pillar Two may vary depending on the specific provisions and rules implemented by each country that adopts it.</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also subject to tax examinations in multiple jurisdictions. While we regularly evaluate new information that may change our judgment resulting in recognition, derecognition, or changes in measurement of a tax position taken, there can be no assurance that the final determination of any examinations will not have an adverse effect on our operating results and financial condition. As our brand becomes increasingly recognizable both domestically and internationally, our tax planning structure and corresponding profile may be subject to increased scrutiny and if we are perceived negatively, we may experience brand or reputational harm.</w:t>
      </w:r>
    </w:p>
    <w:p>
      <w:pPr>
        <w:spacing w:after="0" w:line="2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applicable to our business, including for example, the enactment of the One Big Beautiful Bill Act on July 4, 2025, have in the past, and may in the future, result in a material adverse effect on our results of operations, cash flows and financial condition.</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other jurisdictions. Our income tax obligations are generally determined based on our business operations in each jurisdiction. Significant judgment is often required in the determination of our worldwide provision for income taxes. Our effective tax rate could be impacted by changes in our earnings and losses in countries with differing statutory tax rates, changes in non-deductible expenses, changes in excess tax benefits of stock-based compensation, changes in the valuation of deferred tax assets and liabilities and our ability to utilize them, the applicability of withholding taxes, effects from acquisitions, changes in accounting principles, and tax laws in jurisdictions where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New income, sales, use, value add or other tax laws, statutes, rules, regulations, or ordinances could be enacted at any time. Further, existing laws, statutes, rules, regulations or ordinances could be interpreted, changed, modified or applied unfavorably to us. These actions could apply on either a retroactive or prospective basis and could give rise to additional tax liabilities, fines, interest and/or penalties, causing harm to our global business operations, financial results, and financial condition. If we raise our prices to offset the cost of these changes, existing and potential future customers may elect not to purchase our products and services in the future. Additionally, new, changed, modified, or newly interpreted or applied tax laws could increase our compliance, operating, and other costs, as well as the cost of our products and services.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Additionally, the application of U.S. federal, state, local, and international tax laws to services provided electronically is vague and continually evolving. Existing tax laws, statutes, rules, regulations, or ordinances could be interpreted or applied adversely to us, possibly with retroactive effect, which could require us to pay additional tax amounts, as well as require us to pay interest, fines or penalties for amounts deemed past-due. If we are unsuccessful in collecting such taxes due from our customers, we could be held liable for such costs, thereby adversely affecting our future cash flows and results of operations.</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can result in an increase in our tax obligations or cash taxes paid, adversely affecting our cash flows and financial results.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could harm us and our results of operations.</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Furthermore, as our employees continue to work remotely from geographic locations across the United States and internationally, we may become subject to additional taxes and our compliance burdens with respect to the tax laws of additional jurisdictions may increase. Any of the foregoing tax related impacts could have a material adverse effect on our results of operations, cash flows and financial condition.</w:t>
      </w:r>
    </w:p>
    <w:p>
      <w:pPr>
        <w:spacing w:after="0" w:line="2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adversely affected if we are required to collect sales or other related taxes for purchases of our products and services in jurisdictions where we have not historically done so.</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State, local, and non-U.S. jurisdictions have differing rules and regulations governing sales and use, value added, digital service and other taxes. The rules regarding tax nexus are complex and related regulations are subject to varying interpretations that may change over time. The application of the rules and regulations to products and services provided electronically is evolving and uncertain. We collect and remit U.S. sales tax, value-added tax (“VAT”), and goods and services tax (“GST”) in a number of jurisdictions. It is possible that we could face sales tax, VAT, or other tax audits and that our liability for these taxes could exceed our estimates if tax authorities assert that we are obligated to collect additional tax amounts from our customers and remit those taxes to the government. We could also be subject to audits in states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material tax liabilities for past sales, as well as the imposition of interest and penalties. This could have the effect of discouraging organizations from subscribing to our products and services, or otherwise harm our business, results of operations, and financial condition. Any successful action by state, foreign, or other authorities to compel us to collect and remit sales tax, VAT, or other taxes, either retroactively, prospectively, or both, could have a material adverse effect on our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Geopolitical and Macroeconomic Factors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sales outside the United States expose us to risks inherent in international operations.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expand our sales and operations outside of the United States. Any new markets or countries into which we attempt to sell subscriptions to our platform may not be as receptive to our products and services as we anticipate. We may also experience challenges expanding and operating internationally. A significant increase in international customers or an expansion of our operations into other countries, either directly or through third parties, could create additional risks and challenges, including:</w:t>
      </w:r>
    </w:p>
    <w:p>
      <w:pPr>
        <w:spacing w:after="0" w:line="127" w:lineRule="exact"/>
        <w:rPr>
          <w:sz w:val="20"/>
          <w:szCs w:val="20"/>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need to localize our products and services, including translation into foreign languages and associated expenses;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local incumbents that have a better understanding of the local market, customs, and culture, which may allow them to market and operate more effectively, resulting in greater local affinity or awareness;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need to comply with foreign regulatory frameworks or business practices (including with respect to data privacy and security), which among other things may favor local competitors;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domestic and international tax environments;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controls, which may make our products and services more expensive for international customers and could add volatility to our operating results;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vetting and monitoring internal or external sales or customer experience resources in new and evolving markets to confirm they maintain standards consistent with our brand and reputation;</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or lesser protection of our intellectual property;</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violations of domestic and international anti-corruption laws, export controls, anti-bribery laws, and sanctions regulations, which likelihood may increase with an increase of sales and operations in foreign jurisdictions;</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imposition of new trade restrictions, trade protection measures, including tariffs and retaliatory tariffs, as well as any direct and indirect economic effects on the domestic and international markets, import or export requirements, trade embargoes, and other trade barriers; and</w:t>
      </w:r>
    </w:p>
    <w:p>
      <w:pPr>
        <w:spacing w:after="0" w:line="71"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beyond our control, such as terrorism, war, natural disasters, climate change and pandemics, could result in restrictions on business activity, or materially affect our targeted return to operations timeline after one of these declared incidents, which may vary significantly by region.</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Any of these factors could negatively impact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Global economic uncertainty and catastrophic events, including global pandemics, continued hostilities between Russia and Ukraine, and Israel and Hamas, as well as other geopolitical conflicts, have and may disrupt our business and adversely impact our business and future results of operations and financial condition.</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Macroeconomic events, including significant global inflation, liquidity events affecting financial institutions, supply chain disruption, the Russia-Ukraine war, the conflict between Israel and Hamas, including after giving effect to the October 2025 Gaza Peace Plan, as well as related and other conflicts due to rising tensions in the Middle East, including with respect to Iran, and U.S. relations with members of the European Union, have adversely impacted and may continue to adversely impact global financial markets, economies, and business practices. These types of unpredictable events have adversely affected and could adversely affect our business and future results of operations, our ability to access funds from financial institutions and capital markets, and our financial condition due to cancellations and reductions in spend from customers in impacted industries, increases in our costs, or other disruption to our business. We experienced and may continue to experience longer sales cycles and more intense scrutiny, particularly for larger purchases and upgrades as customers and prospects re-assess their growth trajectory in light of the changing economic environment.</w:t>
      </w:r>
    </w:p>
    <w:p>
      <w:pPr>
        <w:spacing w:after="0" w:line="1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global economic uncertainty and catastrophic events harm our business and results of operations, many of the other risks described in this Part I, Item 1A of this report may be heightened.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2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ZoomInfo Technologies Inc. is a holding company, its only material assets are its interests in ZoomInfo Intermediate Inc. and ZoomInfo Holdings LLC, and ZoomInfo Technologies Inc. is accordingly dependent upon distributions from ZoomInfo Intermediate Inc. and its subsidiaries to pay taxes, make payments under the Tax Receivable Agreements, and pay dividends.</w:t>
      </w:r>
    </w:p>
    <w:p>
      <w:pPr>
        <w:spacing w:after="0" w:line="1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ZoomInfo Technologies Inc. is a holding company and has no material assets other than its ownership of common stock of ZoomInfo Intermediate and of units of ZoomInfo Holdings. ZoomInfo Technologies Inc. has no independent means of generating revenue. Although we have no current plans to pay cash dividends on our common stock, deterioration in the financial condition, earnings or cash flow of ZoomInfo Intermediate and its subsidiaries for any reason could limit or impair their ability to pay such distributions in the future. Additionally, to the extent that ZoomInfo Technologies Inc. needs funds, and ZoomInfo Intermediate or its subsidiaries are restricted from making such distributions under applicable law or regulation or under the terms of our financing arrangements, or is otherwise unable to provide such funds, it could materially adversely affect our liquidity and financial condition.</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have no current plans to pay cash dividends on our common stock. 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Our existing secured credit facilities include, and any financing arrangement that we enter into in the future may include, restrictive covenants that limit our ability to pay dividends. In addition, ZoomInfo Midco LLC is generally prohibited under Delaware law from making a distribution to a member to the extent that, at the time of the distribution, after giving effect to the distribution, liabilities of ZoomInfo Midco LLC (with certain exceptions) exceed the fair value of its assets. Subsidiaries of ZoomInfo Midco LLC are generally subject to similar legal limitations on their ability to make distributions to ZoomInfo Midco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ZoomInfo Technologies Inc. is required to pay our Pre-IPO Owners for most of the benefits relating to any additional tax deductions and tax attributes that we may claim as a result of the ZoomInfo Tax Group’s share of existing tax basis acquired in the IPO and increases in its share of existing tax basis, including tax basis received in connection with sales or exchanges of units of ZoomInfo Holdings LLC that occurred after the IPO.</w:t>
      </w:r>
    </w:p>
    <w:p>
      <w:pPr>
        <w:spacing w:after="0" w:line="121"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In connection with the IPO, we entered into two tax receivable agreements. We entered into (i) the Exchange Tax Receivable Agreement with certain of our Pre-IPO Owners of equity units of ZoomInfo Holdings and (ii) the Reorganization Tax Receivable Agreement with the Pre-IPO Blocker Holders. These tax receivable agreements provide for the payment by members of the ZoomInfo Tax Group to certain Pre-IPO Owners and Pre-IPO Owners that held HoldCo Units immediately prior to the IPO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Owners of equity units of ZoomInfo Holdings and certain Pre-IPO Owners that held HoldCo Units immediately prior to the IPO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increased the tax basis of the tangible and intangible assets of the ZoomInfo Tax Group as a result of sales or exchanges of units of ZoomInfo Holdings for shares of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Owners that held HoldCo Units immediately prior to the IPO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w:t>
      </w:r>
    </w:p>
    <w:p>
      <w:pPr>
        <w:spacing w:after="0" w:line="14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each case, these increases in existing tax basis and tax basis adjustments generated over time may increase (for tax purposes) depreciation and amortization deductions and, therefore, may reduce the amount of tax that the ZoomInfo Tax Group would otherwise be required to pay in the future. The U.S. Internal Revenue Service (the “IRS”) may challenge all or part of the validity of that tax basis, and a court could sustain such a challenge. Actual tax benefits realized by the ZoomInfo Tax Group may differ from tax benefits calculated under the Tax Receivable Agreements as a result of the use of certain assumptions in the TRAs, including the use of an assumed weighted-average state and local income tax rate to calculate tax benefits. The payment obligations under the TRAs are an obligation of members of the ZoomInfo Tax Group, but not of ZoomInfo Holdings. While the amount of existing tax basis, the anticipated tax basis adjustments, and the actual amount and utilization of tax attributes, as well as the amount and timing of any payments under the TRAs will vary depending upon a number of factors, including the amount and timing of our income, we expect that as a result of the size of the transfers and increases in the tax basis of the tangible and intangible assets of ZoomInfo Holdings and our possible utilization of tax attributes, including existing tax basis acquired at the time of the IPO, the payments that the members of the ZoomInfo Tax Group may make under the TRAs will be substantial. The payments under the TRAs are not conditioned upon continued ownership of us by the exchanging holders of units of ZoomInfo Holdings or the prior owners of the Blocker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our Tax Receivable Agreements may be accelerated and/or significantly exceed the actual benefits the ZoomInfo Tax Group realizes in respect of the tax attributes subject to such agreements.</w:t>
      </w:r>
    </w:p>
    <w:p>
      <w:pPr>
        <w:spacing w:after="0" w:line="10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Members of the ZoomInfo Tax Group’s payment obligations under the TRAs may be accelerated in the event of certain changes of control and will be accelerated in the event such members elect to terminate the TRAs early. The accelerated payments will relate to all relevant tax attributes that would subsequently be available to the ZoomInfo Tax Group. The accelerated payments required in such circumstances will be calculated by reference to the present value (at a discount rate equal to a per annum rate of the lesser of (i) 6.5% and (ii) LIBOR, or its successor rate, plus 100 basis points) of all future payments that holders of units of ZoomInfo Holdings or other recipients would have been entitled to receive under the TRAs, and such accelerated payments and any other future payments under the TRAs will utilize certain valuation assumptions, including that the ZoomInfo Tax Group will have sufficient taxable income to fully utilize the deductions arising from the increased tax deductions and tax basis and other benefits related to entering into the TRAs and sufficient taxable income to fully utilize any remaining net operating losses subject to such agreements on a straight line basis over the shorter of the statutory expiration period for such net operating losses and the five-year period after the early termination or change of control. In addition, recipients of payments under our Tax Receivable Agreements will not be required to reimburse us for any payments previously made under such agreements if their tax basis and the ZoomInfo Tax Group’s utilization of certain tax attributes is successfully challenged by the IRS (although any such detriment would be taken into account in future payments under the Tax Receivable Agreements). The ZoomInfo Tax Group’s ability to achieve benefits from any existing tax basis, tax basis adjustments or other tax attributes, and the payments to be made under the Tax Receivable Agreements, will depend upon a number of factors, including the timing and amount of our future income. As a result, even in the absence of a change of control or an election to terminate the Tax Receivable Agreements, payments under such agreements could be in excess of 85% of the ZoomInfo Tax Group’s actual cash tax benefits.</w:t>
      </w:r>
    </w:p>
    <w:p>
      <w:pPr>
        <w:spacing w:after="0" w:line="14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Accordingly, it is possible that the actual cash tax benefits realized by the ZoomInfo Tax Group may be significantly less than any corresponding Tax Receivable Agreement payments or any payments under the Tax Receivable Agreements that may have been made years in advance of the actual realization, if any, of the anticipated future tax benefits. There may be a material negative effect on our liquidity if the payments under the Tax Receivable Agreements exceed the actual cash tax benefits that the ZoomInfo Tax Group realizes in respect of the tax attributes subject to the Tax Receivable Agreements and/or payments to ZoomInfo Technologies Inc. by ZoomInfo Midco LLC are not sufficient to permit ZoomInfo Technologies Inc. to make payments under such agreements after it has paid taxes and other expenses. We may need to incur additional indebtedness to finance payments under the Tax Receivable Agreements to the extent our cash resources are insufficient to meet our obligations under such agreements as a result of timing discrepancies or otherwise, and these obligations could have the effect of delaying, deferring, or preventing certain mergers, asset sales, other forms of business combinations, or other changes of control.</w:t>
      </w:r>
    </w:p>
    <w:p>
      <w:pPr>
        <w:spacing w:after="0" w:line="23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acceleration of payments under our Tax Receivable Agreements in the case of certain changes of control may impair our ability to consummate change of control transactions or negatively impact the value received by owners of our common stock.</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the case of certain changes of control, payments under our Tax Receivable Agreements may be accelerated and may significantly exceed the actual benefits the ZoomInfo Tax Group realizes in respect of the tax attributes subject to the Tax Receivable Agreements. We expect that the payments that we may make under the Tax Receivable Agreements in the event of a change of control will be substantial. As a result, our accelerated payment obligations and/or the assumptions adopted under the Tax Receivable Agreements in the case of a change of control may impair our ability to consummate change of control transactions or negatively impact the value received by owners of our common stock in a change of control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parties to our stockholders agreement continue to have influence over us, and their interests may conflict with ours or yours in the future.</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Pursuant to the terms of our stockholders agreement, Henry Schuck, our Chief Executive Officer, and Kirk Brown (collectively, our “Founders”), have the right to designate at least one member of our Board of Directors for so long as they beneficially own at least 5% of the voting power of all shares of our outstanding capital stock entitled to vote generally in the election of our directors. As of the Company’s fiscal year ended December 31, 2025, our Founders continue to have such designation right, and have designated Mr. Schuck to serve as a director on our Board of Directors. For so long as our Founders have a designee continuing to serve on our Board of Directors, our Founders will be able to significantly influence our management, business plans, and policies, including the appointment and removal of our officers, the composition of our Board of Directors, and decisions about whether to enter or not enter into significant transactions. The rights provided under the terms of the stockholders agreement could deprive you of an opportunity to receive a premium for your shares of our common stock as part of a sale of our Company and ultimately might affect the market price of our common stock.</w:t>
      </w:r>
    </w:p>
    <w:p>
      <w:pPr>
        <w:spacing w:after="0" w:line="23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and amended and restated bylaws contain provisions that may make a merger with or acquisition of our Company more difficult without the approval of our Board of Directors. Among other things, these provisions:</w:t>
      </w:r>
    </w:p>
    <w:p>
      <w:pPr>
        <w:spacing w:after="0" w:line="57" w:lineRule="exact"/>
        <w:rPr>
          <w:sz w:val="20"/>
          <w:szCs w:val="20"/>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divided into three classes, as nearly equal in size as possible, with directors in each class serving three-year terms and with terms of the directors of only one class expiring in any given year;</w:t>
      </w:r>
    </w:p>
    <w:p>
      <w:pPr>
        <w:spacing w:after="0" w:line="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removal of directors only for cause and only upon the affirmative vote of the holders of at least 66⅔% in voting power of the 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18" w:lineRule="exact"/>
        <w:rPr>
          <w:rFonts w:ascii="Times New Roman" w:cs="Times New Roman" w:eastAsia="Times New Roman" w:hAnsi="Times New Roman"/>
          <w:sz w:val="18"/>
          <w:szCs w:val="18"/>
          <w:color w:val="auto"/>
        </w:rPr>
      </w:pPr>
    </w:p>
    <w:p>
      <w:pPr>
        <w:jc w:val="both"/>
        <w:ind w:left="640" w:hanging="316"/>
        <w:spacing w:after="0" w:line="281" w:lineRule="auto"/>
        <w:tabs>
          <w:tab w:leader="none" w:pos="63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our common stock;</w:t>
      </w:r>
    </w:p>
    <w:p>
      <w:pPr>
        <w:spacing w:after="0" w:line="2" w:lineRule="exact"/>
        <w:rPr>
          <w:rFonts w:ascii="Times New Roman" w:cs="Times New Roman" w:eastAsia="Times New Roman" w:hAnsi="Times New Roman"/>
          <w:sz w:val="17"/>
          <w:szCs w:val="17"/>
          <w:color w:val="auto"/>
        </w:rPr>
      </w:pPr>
    </w:p>
    <w:p>
      <w:pPr>
        <w:jc w:val="both"/>
        <w:ind w:left="640" w:hanging="316"/>
        <w:spacing w:after="0" w:line="259"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by holders of our common stock from and after the date on which the parties to our stockholders agreement cease to beneficially own at least 50% of the total voting power of all then-outstanding shares of our capital stock entitled to vote generally in the election of directors unless such action is recommended by all directors then in office;</w:t>
      </w:r>
    </w:p>
    <w:p>
      <w:pPr>
        <w:spacing w:after="0" w:line="1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certain limitations on convening special stockholder meetings;</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 that the Board of Directors is expressly authorized to make, alter, or repeal our bylaws and (ii) that our stockholders may only amend our bylaws with the approval of 66⅔% or more of all of then-outstanding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21"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certain provisions of our second amended and restated certificate of incorporation may be amended only by the affirmative vote of the holders of at least 66⅔% in voting power of then-outstanding shares of our capital stock entitled to vote if the parties to our stockholders agreement beneficially own less than 50% of the total voting power of all then-outstanding shares of our capital stock entitled to vote generally in the election of directors; and</w:t>
      </w:r>
    </w:p>
    <w:p>
      <w:pPr>
        <w:spacing w:after="0" w:line="2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our Board of Directors or for proposing matters that can be acted upon by stockholders at stockholder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Further, as a Delaware corporation, we are subject to provisions of Delaware law, which may impede or discourage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Second Amended and Restated Certificate of Incorporation and Amended and Restated Bylaws and Certain Provisions of Delaware Law” in Exhibit 4.1 to this Form 10-K.</w:t>
      </w:r>
    </w:p>
    <w:p>
      <w:pPr>
        <w:spacing w:after="0" w:line="13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addition, our second amended and restated certificate of incorporation provides that the Delaware Court of Chancery will be the exclusive forum for certain types of legal action and, unless we consent in writing to the selection of an alternative forum, the federal district courts of the United States of America shall be the exclusive forum for the resolution of any complaint asserting a cause of action arising under the Exchange Act or the Securities Act of 1933. This provision may make it more difficult for you and other stockholders to challenge certain corporate actions we take, by limiting your and other stockholders’ ability to obtain favorable or convenient judicial forums for disputes with us or our directors, officers, employees, agents or other stockholders.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 to Security</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Security is a foundation on which ZoomInfo builds and maintains customers’ trust. We are committed to protecting our information and our customers’ information from both intentional and unintentional misuse and have implemented a robust Information Security Management System (“ISMS”) that meets the ISO 27001 Standard requirements as well as the ISO 27701 (Privacy) and ISO 27017 (Cloud Security) standards. We have also earned AICPA’s SOC 2 attestation regarding the security, availability, and confidentiality controls around our services and meet the security requirements of the Cloud Security Alliance STAR program.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Framework</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security program is risk-driven and integrated into our overall enterprise risk management process. We emphasize risk detection, which serves as the foundation for risk management-related business decisions. Our ISMS provides the structure for our overall security program and serves to assess, manage, monitor, and minimize our cybersecurity risks. The program includes:</w:t>
      </w:r>
    </w:p>
    <w:p>
      <w:pPr>
        <w:spacing w:after="0" w:line="125" w:lineRule="exact"/>
        <w:rPr>
          <w:sz w:val="20"/>
          <w:szCs w:val="20"/>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Context of the organization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evaluation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ISMS consists of a set of policies and procedures that serve as a foundation for risk identification and remediation across all company assets. ZoomInfo’s ISMS implementation allows for the appropriate integration of security controls into existing or newly created business processes. ZoomInfo’s risk management platform is loosely based on the ISO 31000 Risk Management Standard, and continuous risk assessment activities are conducted in partnership and coordination with risk owners in various functions.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Team and Internal Operations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cybersecurity team is comprised of a diverse group of security veterans with experience managing all facets of information risk including, but not limited to, Application Security, Data Governance, Security Engineering, Security Processes and Services, Secure Software Development, Governance Risk and Compliance, Risk Management, Cyber Threat Intelligence, Breach Readiness, Cyber Defense Center for monitoring, Offensive Security, and Security Awareness.</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also consult with outside experts to identify and implement best practices, help gauge the security climate, and identify effective methods for related skill development and information sharing.</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information security policies outline the roles and responsibilities within the organization, and our security team works directly with specific members of senior management we call “security ambassadors” to help ensure that the various information security directives are executed as required in their respective departments. Our security partners help to establish, assess, and enhance business processes by ensuring the required information security risk management practices are suitably embedded within their respective processes.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All employees and contractors are required to participate in continuous and dynamic security awareness training. The training includes an overview of key security topics, policies, and responsibilities. Regular security bulletins are disseminated to employees and contractors with security alerts, tips and best practices, external resources, security procedures, and contact information so that they can ask security-related questions or raise concerns.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Prevention, Detection, and Response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ZoomInfo has implemented preventative security and detection measures, including asset protection and access controls in the following key areas:</w:t>
      </w:r>
    </w:p>
    <w:p>
      <w:pPr>
        <w:spacing w:after="0" w:line="164" w:lineRule="exact"/>
        <w:rPr>
          <w:sz w:val="20"/>
          <w:szCs w:val="20"/>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Assets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Protection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Security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Security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Point Devices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Perimeter Defense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Protection</w:t>
      </w:r>
    </w:p>
    <w:p>
      <w:pPr>
        <w:spacing w:after="0" w:line="1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also maintain written incident response plans and conduct periodic cross-functional tabletop exercises to help assess our incident response plans, processes, and capabilities in addressing cybersecurity threats.</w:t>
      </w:r>
    </w:p>
    <w:p>
      <w:pPr>
        <w:spacing w:after="0" w:line="11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As part of our security framework and evaluation of our supply chain risks, we review our service providers’ security practices and require appropriate certifications from them. We also perform an analysis of controls to manage our third-party 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information related to whether risks from cybersecurity threats have materially affected or are reasonably likely to materially affect ZoomInfo, see “Risk Factors—Cyber-attacks and security vulnerabilities could result in serious harm to our reputation, business, and financial condition” in Part I, Item 1A of this Form 10-K.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Oversight of Risk Management Generally</w:t>
      </w:r>
    </w:p>
    <w:p>
      <w:pPr>
        <w:spacing w:after="0" w:line="1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Board has extensive involvement in the oversight of risk management related to us and our business. The Board accomplishes this oversight both directly and through its Audit Committee, Compensation Committee, Nominating and Corporate Governance Committee, and Privacy, Security, and Technology Committee, each of which assists the Board in overseeing a part of our overall risk management and regularly reports to the Board. The Audit Committee represents the Board by periodically reviewing our accounting, reporting and financial practices, including the integrity of our financial statements, the oversight of administrative and financial controls, our compliance with legal and regulatory requirements and our policies with respect to risk assessment and risk management. Through its regular meetings with management, including the finance, legal, and internal audit functions, the Audit Committee reviews and discusses significant areas of our business and related risks and summarizes for the Board areas of risk and any mitigating factors. The Compensation Committee considers, and discusses with management, management’s assessment of certain risks, including whether any risks arising from our compensation policies and practices for our employees are reasonably likely to have a material adverse effect on us. The Nominating and Corporate Governance Committee oversees and evaluates programs and risks associated with Board organization, membership and structure, succession planning and corporate governance. In addition, our Board receives periodic detailed operating performance reviews from management. The Privacy, Security, and Technology Committee represents the Board by periodically reviewing and discussing with management the Company’s major risk exposures relating to privacy, cybersecurity, and technology, and the steps the Company takes to detect, monitor, and actively manage such exposures.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 of Privacy, Cybersecurity and Technology Risks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Board recognizes the importance of maintaining the trust and confidence of our customers and employees. As a part of its independent oversight of the key risks facing our company, the Board, primarily through its Privacy, Security, and Technology Committee, devotes significant time and attention to the oversight of privacy, cybersecurity, and technology risks. The Privacy, Security, and Technology Committee oversees management’s approach to controls, policies, processes, and practices to gauge and address privacy, cybersecurity, and technology risks. The Privacy, Security, and Technology Committee regularly reports to the full Board and discusses the significant privacy, cybersecurity, and technology issues at the Board level.</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cybersecurity program is managed by our chief information security officer (“CISO”). Our CISO is informed about and monitors awareness, prevention, detection, mitigation, and remediation efforts through regular communication and reporting from members of the information security team. Our CISO has served in global information security roles for over 20 years, including serving as the Chief Information Security Officer for a leading cloud-based security company and other organizations. In addition, our chief information officer (“CIO”) has served in various leadership roles in the information technology field and has over 25 years of experience across multiple industries, including at adTech, semiconductor, consumer electronics, retail, software, and data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CISO, CIO, chief technology officer, general counsel, and other members of management are part of an executive-level Security Steering Committee, along with subcommittees comprised of cross-functional representatives focused on evaluating ZoomInfo’s data governance, cybersecurity incident response framework, security culture, and product and application security, among other areas. Members of the executive-level Security Steering Committee provide updates and analysis regarding cybersecurity, data privacy, and related security topics to the Board’s Privacy, Security, and Technology Committee at each meeting. In addition, our legal, privacy, and compliance teams are focused on applicable cybersecurity laws and regulations and monitor changes to such laws and regulations with a view to implementing what we believe are best practices in the industry.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corporate headquarters is located in Vancouver, Washington and consists of approximately 0.1 million square feet of occupied space under a lease agreement that expires on May 31, 2041.</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maintain additional offices in Waltham, Massachusetts; Bethesda, Maryland; Austin, Texas; Ra’anana, Israel; Toronto, Canada; Chennai, India; Bangalore, India; Dublin, Ireland and London, England.</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Our infrastructure operates out of third-party data centers hosted by Google and Amazon Web Services.</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believe our facilities are adequate and suitable for our current needs. We intend to add incremental facilities or expand existing facilities as we continue to expand geographically, and we believe that suitable additional or substitute space will be available as needed to accommodate any such expansion of our operations. In certain geographies, we anticipate that we will endeavor to sublease some of our committed space where the lease provides more space than we will require during certain periods of the lease.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a description of certain legal and regulatory proceedings, please read “Legal matters” in Note 9 - Commitments and Contingencies of our audited consolidated financial statements included in Part II, Item 8 of this Form 10-K, which is incorporated herein by reference.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common stock is listed and traded on the Nasdaq Stock Market under the trading symbol “GTM”.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January 31, 2026, there were 8 holders of record of our common stock. The actual number of stockholders of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no current plans to pay dividends on our common stock. The declaration, amount, and payment of any future dividends on shares of common stock is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6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The following shall not be deemed “filed” with the SEC for purposes of Section 18 of the Exchange Act, or otherwise subject to the liabilities under that section, and shall not be deemed to be incorporated by reference into any of our other filings under the Securities Act of 1933 or the Exchange Act.</w:t>
      </w:r>
    </w:p>
    <w:p>
      <w:pPr>
        <w:spacing w:after="0" w:line="10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our common stock with the cumulative total return on the S&amp;P 500 Index (^GSPC) and the Nasdaq Computer Index (^IXCO), assuming an initial investment of $100 at the market close on December 31, 2020. Data for the S&amp;P 500 Index and the Nasdaq Computer Index assume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149225</wp:posOffset>
            </wp:positionV>
            <wp:extent cx="5250180" cy="2818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50180" cy="281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shares of common stock purchased by the Company during the periods indicated: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2025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2025</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2025</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Maximum Number (or</w:t>
            </w:r>
          </w:p>
        </w:tc>
      </w:tr>
      <w:tr>
        <w:trPr>
          <w:trHeight w:val="212"/>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Approximate Dollar Value) of</w:t>
            </w:r>
          </w:p>
        </w:tc>
      </w:tr>
      <w:tr>
        <w:trPr>
          <w:trHeight w:val="212"/>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Shares that May Yet be</w:t>
            </w:r>
          </w:p>
        </w:tc>
      </w:tr>
      <w:tr>
        <w:trPr>
          <w:trHeight w:val="209"/>
        </w:trPr>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8"/>
                <w:szCs w:val="18"/>
                <w:color w:val="auto"/>
              </w:rPr>
            </w:pP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Weighted Average Price</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Purchased as 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Purchased Under the Plan or</w:t>
            </w:r>
          </w:p>
        </w:tc>
      </w:tr>
      <w:tr>
        <w:trPr>
          <w:trHeight w:val="262"/>
        </w:trPr>
        <w:tc>
          <w:tcPr>
            <w:tcW w:w="19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22"/>
                <w:szCs w:val="22"/>
                <w:b w:val="1"/>
                <w:bCs w:val="1"/>
                <w:color w:val="auto"/>
                <w:vertAlign w:val="superscript"/>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Paid Per Share</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Announced Plans or Programs</w:t>
            </w:r>
            <w:r>
              <w:rPr>
                <w:rFonts w:ascii="Times New Roman" w:cs="Times New Roman" w:eastAsia="Times New Roman" w:hAnsi="Times New Roman"/>
                <w:sz w:val="22"/>
                <w:szCs w:val="22"/>
                <w:b w:val="1"/>
                <w:bCs w:val="1"/>
                <w:color w:val="auto"/>
                <w:w w:val="96"/>
                <w:vertAlign w:val="superscript"/>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4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Programs (in millions)</w:t>
            </w:r>
          </w:p>
        </w:tc>
      </w:tr>
      <w:tr>
        <w:trPr>
          <w:trHeight w:val="213"/>
        </w:trPr>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2,891,945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18"/>
                <w:szCs w:val="18"/>
                <w:color w:val="auto"/>
              </w:rPr>
            </w:pPr>
          </w:p>
        </w:tc>
        <w:tc>
          <w:tcPr>
            <w:tcW w:w="2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2,891,945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w:t>
            </w:r>
          </w:p>
        </w:tc>
      </w:tr>
      <w:tr>
        <w:trPr>
          <w:trHeight w:val="225"/>
        </w:trPr>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r>
      <w:tr>
        <w:trPr>
          <w:trHeight w:val="230"/>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4,313,059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20"/>
                <w:szCs w:val="20"/>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4,312,834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r>
      <w:tr>
        <w:trPr>
          <w:trHeight w:val="218"/>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7,705,531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7,704,779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-327660</wp:posOffset>
            </wp:positionV>
            <wp:extent cx="7134860" cy="142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-621665</wp:posOffset>
            </wp:positionV>
            <wp:extent cx="7134860" cy="1511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432" w:lineRule="exact"/>
        <w:rPr>
          <w:sz w:val="20"/>
          <w:szCs w:val="20"/>
          <w:color w:val="auto"/>
        </w:rPr>
      </w:pPr>
    </w:p>
    <w:p>
      <w:pPr>
        <w:sectPr>
          <w:pgSz w:w="11900" w:h="16838" w:orient="portrait"/>
          <w:cols w:equalWidth="0" w:num="2">
            <w:col w:w="1280" w:space="720"/>
            <w:col w:w="9240"/>
          </w:cols>
          <w:pgMar w:left="320" w:top="121" w:right="339" w:bottom="1440" w:gutter="0" w:footer="0" w:header="0"/>
          <w:type w:val="continuous"/>
        </w:sectPr>
      </w:pPr>
    </w:p>
    <w:p>
      <w:pPr>
        <w:ind w:left="320" w:hanging="314"/>
        <w:spacing w:after="0" w:line="247"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that were not purchased as part of publicly announced plans or programs were acquired through the withholding of shares to satisfy tax withholding obligations incurred upon the vesting of HSKB Phantom Units awarded under the HSKB Funds, LLC 2019 Phantom Unit Plan.</w:t>
      </w:r>
    </w:p>
    <w:p>
      <w:pPr>
        <w:spacing w:after="0" w:line="1" w:lineRule="exact"/>
        <w:rPr>
          <w:rFonts w:ascii="Times New Roman" w:cs="Times New Roman" w:eastAsia="Times New Roman" w:hAnsi="Times New Roman"/>
          <w:sz w:val="16"/>
          <w:szCs w:val="16"/>
          <w:color w:val="auto"/>
        </w:rPr>
      </w:pPr>
    </w:p>
    <w:p>
      <w:pPr>
        <w:jc w:val="both"/>
        <w:ind w:left="320" w:hanging="314"/>
        <w:spacing w:after="0" w:line="250"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2023, the Board authorized a program to repurchase the Company’s common stock (the “Share Repurchase Program”). In February 2025, the Board authorized an additional $500.0 million bringing the aggregate total authorizations as of December 31, 2025 to $1.6 billion. 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6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consolidated financial statements and related notes included elsewhere in this Form 10-K. This discussion contains forward-looking statements that involve risks and uncertainties. Our actual results could differ materially from those discussed below. Factors that could cause or contribute to such difference include, but are not limited to, those identified below and those discussed in the sections titled “Cautionary Statement Regarding Forward-Looking Statements” and “Risk Factors” included elsewhere in this Form 10-K.</w:t>
      </w:r>
    </w:p>
    <w:p>
      <w:pPr>
        <w:spacing w:after="0" w:line="12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Numerical figures included in this Form 10-K are subject to immaterial rounding adjustments. Accordingly, numerical figures shown as totals in various tables may not be arithmetic aggregations of the figures that precede them.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ZoomInfo is a global leader in modern go-to-market software, data, and intelligence for sales, marketing, operations, and recruiting teams. Our go-to-market intelligence platform empowers businesses with AI-ready insights, trusted data, agent-assisted selling and advanced automation providing sales, marketing, operations, and recruiting professionals accurate information and insights on the organizations and professionals they target. This enables our customers to shorten sales cycles and increase win rates by empowering sellers, marketers, and recruiters to efficiently deliver the right message to the right person at the right time in the right way.</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ZoomInfo is the modern go-to-market intelligence platform, consisting of three distinct layers that build upon each other:</w:t>
      </w:r>
    </w:p>
    <w:p>
      <w:pPr>
        <w:spacing w:after="0" w:line="162" w:lineRule="exact"/>
        <w:rPr>
          <w:sz w:val="20"/>
          <w:szCs w:val="20"/>
          <w:color w:val="auto"/>
        </w:rPr>
      </w:pPr>
    </w:p>
    <w:p>
      <w:pPr>
        <w:ind w:left="640" w:hanging="316"/>
        <w:spacing w:after="0" w:line="276"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Intelligence Layer </w:t>
      </w:r>
      <w:r>
        <w:rPr>
          <w:rFonts w:ascii="Times New Roman" w:cs="Times New Roman" w:eastAsia="Times New Roman" w:hAnsi="Times New Roman"/>
          <w:sz w:val="18"/>
          <w:szCs w:val="18"/>
          <w:color w:val="auto"/>
        </w:rPr>
        <w:t>is the foundation of our data-driven strategy. Our best-in-class data, curated through first- and third-party sources,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billions of data points about companies and contacts, such as intent, hierarchy, location, and financial information.</w:t>
      </w:r>
    </w:p>
    <w:p>
      <w:pPr>
        <w:spacing w:after="0" w:line="106"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Orchestration Layer </w:t>
      </w:r>
      <w:r>
        <w:rPr>
          <w:rFonts w:ascii="Times New Roman" w:cs="Times New Roman" w:eastAsia="Times New Roman" w:hAnsi="Times New Roman"/>
          <w:sz w:val="18"/>
          <w:szCs w:val="18"/>
          <w:color w:val="auto"/>
        </w:rPr>
        <w:t>integrates and enriches our data sources. At this stage, our products assign and route data, leads, and insights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people. This creates a dataset that is continuously updated and can be used to power automated business workflows. Our services connect with major CRM system providers enabling sales operations professionals to access a suite of products, services, and solutions to ingest, match, enrich, and connect data feeds into multiple systems.</w:t>
      </w:r>
    </w:p>
    <w:p>
      <w:pPr>
        <w:spacing w:after="0" w:line="123"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Engagement Layer </w:t>
      </w:r>
      <w:r>
        <w:rPr>
          <w:rFonts w:ascii="Times New Roman" w:cs="Times New Roman" w:eastAsia="Times New Roman" w:hAnsi="Times New Roman"/>
          <w:sz w:val="18"/>
          <w:szCs w:val="18"/>
          <w:color w:val="auto"/>
        </w:rPr>
        <w:t>allows sales, marketing, operations, and recruiting professionals to put data-driven insights into action to identify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communicate with prospects and customers. Go-to-market professionals use our engagement layer for multi-touch and multi-channel sales engagement, web meeting recording, transcription, insight generation, and coaching. Marketers drive awareness, lead generation, and deal acceleration campaigns through account-based marketing, advertising, and onsite conversion optimization solutions including chat functionality. Recruiters and talent acquisition professionals can locate and reach more better suited candidates, use pipeline management tools to collaborate and organize the hiring process, and automate aspects of the candidate outreach process by more efficiently finding and engaging candidates.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generate substantially all of our revenue from sales of subscriptions to our platform. Subscriptions include the use of our platform and access to customer support. Subscriptions generally range from one to three years in length. About 53% of customer contracts (based on annualized value) are multi-year agreements. We typically bill our customers at the beginning of each annual, semi-annual, or quarterly period and recognize revenue ratably over the term of the subscription period.</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sell access to our platform to both new and existing customers. We price our subscriptions based on the functionality, users, and records under management that are included in each product edition. Our core paid products are ZoomInfo Copilot, ZoomInfo Sales, ZoomInfo Marketing, ZoomInfo Operations, and ZoomInfo Talent (with add-on options for some products), and we have a free community edition, ZoomInfo Lite.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software, insights, and data enable over 35,000 companies to go-to-market more effectively and efficiently. Our customers are primarily businesses that sell to other businesses and operate in almost every industry vertical. They range from the largest global enterprises, to mid-market companies, down to small businesses. The top five industries that we serve, as measured by ACV, as of December 31, 2025 are software, which comprised 32% of ACV (compared to 32% a year prior), non-IT business services, which comprised 18% of ACV (compared to 20% a year prior), IT business services, which comprised 8% of ACV (compared to 8% a year prior), financial, insurance &amp; real estate, which comprised 9% of ACV (compared to 8% a year prior), and manufacturing, which comprised 7% of ACV (compared to 6% a year prior).</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2025, no single customer contributed more than 10% of revenue. Revenues derived from customers and partners located outside the United States, as determined based on the address provided by our customers and partners, accounted for approximately 12%, 12%, and 13% of total revenue for the years ended December 31, 2025, 2024, and 2023, respectively. As of December 31, 2025 and 2024, our number of customers with over $100,000 in ACV was 1,921 and 1,867, respectively.</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generated revenue of $1,249.5 million for the year ended December 31, 2025, as compared to revenue for the year ended December 31, 2024 of $1,214.3 million, and GAAP income from operations of $225.7 million for the year ended December 31, 2025, as compared to GAAP income from operations of $97.4 million for the year ended December 31, 2024. GAAP operating income margin was 18% for the year ended December 31, 2025, as compared to 8% for the year ended December 31, 2024. GAAP net income for the year ended December 31, 2025 was $124.2 million, as compared to GAAP net income of $29.1 million for the year ended December 31, 2024. In addition to our consolidated U.S. GAAP financial measures, we review various non-GAAP financial measures, including Adjusted Operating Income, Adjusted Operating Income Margin, and Adjusted Net Income. See “Non-GAAP Financial Measures” below for definitions. Our Non-GAAP Adjusted Operating Income was $445.9 million for the year ended December 31, 2025, as compared to $428.5 million for the year ended December 31, 2024. Our Non-GAAP Adjusted Operating Income Margin was 36% for the year ended December 31, 2025, as compared to 35% in 2024. Non-GAAP Adjusted Net Income was $369.2 million for the year ended December 31, 2025, as compared to $363.8 million for the year ended December 31, 2024.</w:t>
      </w:r>
    </w:p>
    <w:p>
      <w:pPr>
        <w:spacing w:after="0" w:line="14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discussion of our financial condition and results of operations for the year ended December 31, 2024 compared to the year ended December 31, 2023, included in Item 7. Management’s Discussion and Analysis of Financial Condition and Results of Operations, can be found in the Annual Report on Form 10-K for the year ended December 31,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Conditions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business and financial condition have and may continue to be impacted by adverse macroeconomic conditions. See “Risk Related to Geopolitical and Macroeconomic Factors” in Part I, Item 1A of this Form 10-K for further discussion of the possible impact of these issues on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June 2025, the Company announced a reduction in force (the “Plan”) to support the Company’s broader efforts to move upmarket and support durable and efficient growth. The Plan included a reduction of employees by approximately 6% in the second quarter of 2025. The Plan was substantially completed as of June 30,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Revolving Credit Facility</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May 2025, the Company drew $100.0 million of the $250.0 million available under its First Lien Revolving Credit Facility. The proceeds from this borrowing were used to fund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February 2025, our board of directors authorized an additional $500.0 million in repurchases under the Share Repurchase Program. See Note 10 - Stockholders' Equity of our audited consolidated financial statements included in Part II, Item 8 of this Form 10-K for further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including the following: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6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are focused on continuing to grow the number of customers using our platform in the United States and around the world, and efficiently transacting with those customers. Acquiring new customers while optimizing the profile of those customers and the go-to-market channels we use to attract these customers will play a part in determining our operating results and growth prospects in the future. Acquiring new customers also strengthens the power of our contributory networks. We plan to continue to invest in our efficient go-to-market effort to expand our customer base. As of December 31, 2025, 2024 and 2023, we had over 35,000 customers. We define a customer as a company that maintains one or more active paid subscriptions to our platform.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Usage of Our Platform</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believe that expanding the value that we provide to our customers and the corresponding revenue generated as a result is an important measure of the health of our business. We monitor net revenue retention to measure that growth. Net revenue retention is a metric that we calculate based on customers of ZoomInfo at the beginning of the twelve-month period, and is calculated as: (a) the total annual contract value ("ACV") for those customers at the end of the twelve-month period, divided by (b) the total ACV for those customers at the beginning of the twelve-month period. Our net revenue retention rate was 90% and 87% as of December 31, 2025 and 2024, respectively. In the near term, we expect our net retention rate to be impacted by macroeconomic conditions. See the caption above entitled “—Recent Developments — Impact of Macroeconomic Conditions.” Over the long term, we expect our net revenue retention rate to be influenced by our ability to move upmarket, as larger customers have historically exhibited higher net revenue retention. We also measure our success in expanding relationships with existing customers by the number of customers that contract for $100,000 or greater in ACV. As of December 31, 2025, 2024 and 2023, our customers with $100,000 or greater in ACV was 1,921, 1,867, and 1,820, respectively. Customers with $100,000 or greater in ACV comprised over 50% of total Company ACV as of December 31, 2025.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the Mix of Our Customer Base and Reducing Write-offs and Bad Debts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second quarter of 2024, we deployed a new business risk model to flag and require upfront prepayment from prospects at the greatest risk of non-payment. This process was implemented to mitigate the risk of future write-offs and to invest in the long-term health of the Company. Concurrently, our efforts have shifted to customers more likely to pay, renew, and grow with us over time.</w:t>
      </w:r>
    </w:p>
    <w:p>
      <w:pPr>
        <w:spacing w:after="0" w:line="12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As a result, we recorded an incremental charge during the second quarter of 2024 impacting our reported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expenses on our Consolidated Statements of Operations. The charge represents a revision to our reserves for uncollectible accounts receivable, made up primarily of historical transactions with our SMB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derive primarily all of our revenue from subscription services and the remainder from recurring usage-based services and other revenue. Our subscription services primarily consist of our SaaS applications. Pricing of our subscription contracts are generally based on the functionality provided, the number of users that access our applications, and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Subscription revenue is generally recognized ratably over the contract term starting with when our service is made available to the customer. Recurring usage-based revenue is recognized in the period services are utilized by our customers. Other revenue, comprised largely of implementation and professional services fees, is recognized as services are delivered. The amount of revenue recognized reflects the consideration we expect to be entitled to receive in exchange for these services. We record a contract asset when revenue recognized on a contract exceeds the billings to date for that contract.</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contract timing within the period. The unearned revenue balance does not represent the total contract value of annual or multi-year, non-cancelable subscription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6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Cost of service</w:t>
      </w:r>
      <w:r>
        <w:rPr>
          <w:rFonts w:ascii="Times New Roman" w:cs="Times New Roman" w:eastAsia="Times New Roman" w:hAnsi="Times New Roman"/>
          <w:sz w:val="18"/>
          <w:szCs w:val="18"/>
          <w:color w:val="auto"/>
        </w:rPr>
        <w:t>. Cost of service includes direct expenses related to the support and operations of our services and research teams including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equity-based compensation, and related expenses, such as employer taxes, allocated overhead for facilities, technology, third-party hosting fees, third-party data costs, amortization of internally developed capitalized software, and restructuring and transaction-related expenses.</w:t>
      </w:r>
    </w:p>
    <w:p>
      <w:pPr>
        <w:spacing w:after="0" w:line="12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continued investment in cost of service, with cost of service as a percentage of revenue expected to slightly increase in the near term. This is driven by rising AI consumption costs and customer onboarding expenses for offerings such as ZoomInfo Copilot and ZoomInfo GTM Studio.</w:t>
      </w:r>
    </w:p>
    <w:p>
      <w:pPr>
        <w:spacing w:after="0" w:line="108"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Amortization of acquired technology. </w:t>
      </w:r>
      <w:r>
        <w:rPr>
          <w:rFonts w:ascii="Times New Roman" w:cs="Times New Roman" w:eastAsia="Times New Roman" w:hAnsi="Times New Roman"/>
          <w:sz w:val="18"/>
          <w:szCs w:val="18"/>
          <w:color w:val="auto"/>
        </w:rPr>
        <w:t>Amortization of acquired technology includes amortization expense for technology acquired in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amortization of acquired technology will increase if we make additional acquisitions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Gross profit is revenue less cost of revenue,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Our operating expenses consist of sales and marketing, research and development, general and administrative, and amortization of other acquired intangibles.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marketing, litigation settlements, and restructuring and transaction-related expenses. We anticipate that restructuring and transaction-related expenses, including potential impairments, will be influenced by activities related to potential future acquisitions, strategic restructuring efforts, and leased spaces that we plan to sublease, which could cause these costs to vary, potentially significantly, from our historic levels.</w:t>
      </w:r>
    </w:p>
    <w:p>
      <w:pPr>
        <w:spacing w:after="0" w:line="11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primarily consist of employee compensation such as salaries, bonuses, sales commissions, equity-based compensation, and other employee-related benefits for our sales and marketing teams, as well as overhead costs, technology, marketing programs, and restructuring and transaction-related expenses. Sales commissions and related payroll taxes directly related to contract acquisition are capitalized and recognized as expenses over the estimated period of benefit.</w:t>
      </w:r>
    </w:p>
    <w:p>
      <w:pPr>
        <w:spacing w:after="0" w:line="12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anticipate that we will continue to invest in sales and marketing capacity to enable future growth. We anticipate that sales and marketing expense excluding equity-based compensation and restructuring and transaction-related expenses as a percentage of revenue will fluctuate from period to period depending on the interplay of our investments in sales and marketing capacity, the recognition of revenue, and the amortization of deferred commissions costs.</w:t>
      </w:r>
    </w:p>
    <w:p>
      <w:pPr>
        <w:spacing w:after="0" w:line="10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support our efforts to enhance our existing platform and develop new software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expenses primarily consist of employee compensation such as salaries, bonuses, equity-based compensation, and other employee-related benefits for our engineering and product management teams, as well as overhead costs, technology, and restructuring and transaction-related expenses. Research and development expenses do not reflect amortization of internally developed capitalized software. We believe that our core technologies and ongoing innovation represent a significant competitive advantage for us.</w:t>
      </w:r>
    </w:p>
    <w:p>
      <w:pPr>
        <w:spacing w:after="0" w:line="13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anticipate that we will continue to invest in research and development in order to develop new features and functionality to drive incremental customer value in the future and that research and development expense as a percentage of revenue in the short-term will be flat to a moderate increase, but will modestly decrease in the long-term as we drive efficiencies in that organization.</w:t>
      </w:r>
    </w:p>
    <w:p>
      <w:pPr>
        <w:spacing w:after="0" w:line="12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primarily consist of employee-related costs such as salaries, bonuses, equity-based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compensation, and other employee related benefits for our executive, finance, legal, human resources, IT, and business operations and administrative teams, as well as overhead costs. Additionally, we incur expenses related to bad debt and collections, as well as for professional fees including legal services, accounting, banking, and other consulting services. General and administrative expenses also include restructuring and transaction-related expenses, such as impairment charges associated with our leasing activity. Refer to Note 12 - Leases of our audited consolidated financial statements included in Part II, Item 8 of this Form 10-K for further information. We also incur charges associated with litigation settlements, such as the settlement of the Class Action settlement previously disclosed, which are presented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expenses as a percentage of revenue may fluctuate during periods when we incur non-recurring restructuring and transaction-related expenses, such as those associated with acquisitions or impairments. Excluding these non-recurring items, we expect a more stable or declining trend over time.</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Amortization of other acquired intangibles</w:t>
      </w:r>
      <w:r>
        <w:rPr>
          <w:rFonts w:ascii="Times New Roman" w:cs="Times New Roman" w:eastAsia="Times New Roman" w:hAnsi="Times New Roman"/>
          <w:sz w:val="17"/>
          <w:szCs w:val="17"/>
          <w:color w:val="auto"/>
        </w:rPr>
        <w:t>. Amortization of acquired intangibles consists of amortization of customer relationships and brand portfolios.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amortization of other acquired intangibles will increase if we make additional acquisitions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represents the interest payable on our debt obligations and the amortization of debt discounts and debt issuance costs, less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w:t>
      </w:r>
    </w:p>
    <w:p>
      <w:pPr>
        <w:spacing w:after="0" w:line="10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interest expense could be impacted by changes in variable interest rates, the issuance of additional debt, or changes in our interest rate hedging strategies, such as entering into new hedging arrangements or the expiration of existing interest rate swaps.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modification and extinguishment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Loss on debt modification and extinguishment </w:t>
      </w:r>
      <w:r>
        <w:rPr>
          <w:rFonts w:ascii="Times New Roman" w:cs="Times New Roman" w:eastAsia="Times New Roman" w:hAnsi="Times New Roman"/>
          <w:sz w:val="18"/>
          <w:szCs w:val="18"/>
          <w:color w:val="auto"/>
        </w:rPr>
        <w:t>consists of prepayment penalties and impairment of deferred financing costs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modification or extinguishment of debt, as well as new fees incurred with third parties in connection with debt modifications.</w:t>
      </w:r>
    </w:p>
    <w:p>
      <w:pPr>
        <w:spacing w:after="0" w:line="10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losses related to debt modification and extinguishment will only occur if we extinguish indebtedness before the contractual repayment dates or amend our existing financing arrangements.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Other (income) loss, net </w:t>
      </w:r>
      <w:r>
        <w:rPr>
          <w:rFonts w:ascii="Times New Roman" w:cs="Times New Roman" w:eastAsia="Times New Roman" w:hAnsi="Times New Roman"/>
          <w:sz w:val="18"/>
          <w:szCs w:val="18"/>
          <w:color w:val="auto"/>
        </w:rPr>
        <w:t>consists primarily of the remeasurement of TRA liabilities, investment income, and realized and unrealized gains and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impact of transactions denominated in a foreign currency.</w:t>
      </w:r>
    </w:p>
    <w:p>
      <w:pPr>
        <w:spacing w:after="0" w:line="10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Changes to existing tax law, including changes to corporate income tax rates or the Company’s state tax footprint could lead to substantial remeasurement of the TRA liability recorded through </w:t>
      </w:r>
      <w:r>
        <w:rPr>
          <w:rFonts w:ascii="Times New Roman" w:cs="Times New Roman" w:eastAsia="Times New Roman" w:hAnsi="Times New Roman"/>
          <w:sz w:val="18"/>
          <w:szCs w:val="18"/>
          <w:i w:val="1"/>
          <w:iCs w:val="1"/>
          <w:color w:val="auto"/>
        </w:rPr>
        <w:t>Other (income) loss, net</w:t>
      </w:r>
      <w:r>
        <w:rPr>
          <w:rFonts w:ascii="Times New Roman" w:cs="Times New Roman" w:eastAsia="Times New Roman" w:hAnsi="Times New Roman"/>
          <w:sz w:val="18"/>
          <w:szCs w:val="18"/>
          <w:color w:val="auto"/>
        </w:rPr>
        <w:t xml:space="preserve">. Additionally, the magnitude of </w:t>
      </w:r>
      <w:r>
        <w:rPr>
          <w:rFonts w:ascii="Times New Roman" w:cs="Times New Roman" w:eastAsia="Times New Roman" w:hAnsi="Times New Roman"/>
          <w:sz w:val="18"/>
          <w:szCs w:val="18"/>
          <w:i w:val="1"/>
          <w:iCs w:val="1"/>
          <w:color w:val="auto"/>
        </w:rPr>
        <w:t>Other (income) loss, net</w:t>
      </w:r>
      <w:r>
        <w:rPr>
          <w:rFonts w:ascii="Times New Roman" w:cs="Times New Roman" w:eastAsia="Times New Roman" w:hAnsi="Times New Roman"/>
          <w:sz w:val="18"/>
          <w:szCs w:val="18"/>
          <w:color w:val="auto"/>
        </w:rPr>
        <w:t xml:space="preserve"> may increase as we expand operations internationally and add complexity to our operations. Refer to the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section below for further information regarding remeasurement of TRA liability and deferred tax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various foreign jurisdictions. We recognize deferred tax assets and liabilities based on temporary differences between the financial statement and tax basis of assets and liabilities, as well as from net operating loss and tax credit carryforwards. We have significant U.S. federal and state deferred tax assets, including deferred tax assets created by various historical restructuring events. The preponderance of our deferred tax assets have long lives or are otherwise indefinite. We evaluate recoverability of these deferred tax assets by assessing future expected taxable income from all sources, including reversing taxable temporary differences, forecasted and historical earnings, available carryback and carryforward periods, and prudent and feasible tax planning strategies. A valuation allowance is established only if it is more likely than not that all or a portion of the deferred tax asset will not be realized. As of December 31, 2025, a valuation allowance continues to be recorded against certain state-level 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We regularly remeasure our deferred tax assets for statutory changes and other guidance, such as the One Big Beautiful Bill Act (OBBBA) passed on July 4, 2025, as well as changes in our state apportionment factors. Given the magnitude of our deferred tax assets, minor changes can materially affect our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Upon a remeasurement of our deferred tax assets, the TRA liability is typically concurrently remeasured with a partially offsetting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impact within </w:t>
      </w:r>
      <w:r>
        <w:rPr>
          <w:rFonts w:ascii="Times New Roman" w:cs="Times New Roman" w:eastAsia="Times New Roman" w:hAnsi="Times New Roman"/>
          <w:sz w:val="18"/>
          <w:szCs w:val="18"/>
          <w:i w:val="1"/>
          <w:iCs w:val="1"/>
          <w:color w:val="auto"/>
        </w:rPr>
        <w:t>Other (income) loss, net</w:t>
      </w:r>
      <w:r>
        <w:rPr>
          <w:rFonts w:ascii="Times New Roman" w:cs="Times New Roman" w:eastAsia="Times New Roman" w:hAnsi="Times New Roman"/>
          <w:sz w:val="18"/>
          <w:szCs w:val="18"/>
          <w:color w:val="auto"/>
        </w:rPr>
        <w:t xml:space="preserve"> on the Consolidated Statements of Operations.</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We have regularly taken tax positions, including with respect to our various corporate events and restructurings, in determining our </w:t>
      </w:r>
      <w:r>
        <w:rPr>
          <w:rFonts w:ascii="Times New Roman" w:cs="Times New Roman" w:eastAsia="Times New Roman" w:hAnsi="Times New Roman"/>
          <w:sz w:val="18"/>
          <w:szCs w:val="18"/>
          <w:i w:val="1"/>
          <w:iCs w:val="1"/>
          <w:color w:val="auto"/>
        </w:rPr>
        <w:t>Provision for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We recognize the tax benefit of an uncertain tax position only if it is more likely than not the position will be sustainable upon examination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taxing authority based on technical merits. We regularly review our tax positions with consideration of a number of factors, including changes in facts or circumstances, changes in tax law or guidance, correspondence with tax authorities during the course of audits and effective settlement of audit issues. Changes in the recognition or measurement of uncertain tax positions could result in material increases or decreases in our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in the period in which we make the change, which could have a material impact on our effective tax rate.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years ended December 31, 2025, 2024, and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1,239.5</w:t>
            </w:r>
          </w:p>
        </w:tc>
        <w:tc>
          <w:tcPr>
            <w:tcW w:w="0" w:type="dxa"/>
            <w:vAlign w:val="bottom"/>
          </w:tcPr>
          <w:p>
            <w:pPr>
              <w:spacing w:after="0"/>
              <w:rPr>
                <w:sz w:val="1"/>
                <w:szCs w:val="1"/>
                <w:color w:val="auto"/>
              </w:rPr>
            </w:pPr>
          </w:p>
        </w:tc>
      </w:tr>
      <w:tr>
        <w:trPr>
          <w:trHeight w:val="225"/>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2"/>
                <w:szCs w:val="22"/>
                <w:color w:val="auto"/>
                <w:vertAlign w:val="superscript"/>
              </w:rPr>
              <w:t>(1)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25"/>
        </w:trPr>
        <w:tc>
          <w:tcPr>
            <w:tcW w:w="60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8"/>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1,061.0</w:t>
            </w:r>
          </w:p>
        </w:tc>
        <w:tc>
          <w:tcPr>
            <w:tcW w:w="0" w:type="dxa"/>
            <w:vAlign w:val="bottom"/>
          </w:tcPr>
          <w:p>
            <w:pPr>
              <w:spacing w:after="0"/>
              <w:rPr>
                <w:sz w:val="1"/>
                <w:szCs w:val="1"/>
                <w:color w:val="auto"/>
              </w:rPr>
            </w:pPr>
          </w:p>
        </w:tc>
      </w:tr>
      <w:tr>
        <w:trPr>
          <w:trHeight w:val="225"/>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408.5</w:t>
            </w:r>
          </w:p>
        </w:tc>
        <w:tc>
          <w:tcPr>
            <w:tcW w:w="0" w:type="dxa"/>
            <w:vAlign w:val="bottom"/>
          </w:tcPr>
          <w:p>
            <w:pPr>
              <w:spacing w:after="0"/>
              <w:rPr>
                <w:sz w:val="1"/>
                <w:szCs w:val="1"/>
                <w:color w:val="auto"/>
              </w:rPr>
            </w:pPr>
          </w:p>
        </w:tc>
      </w:tr>
      <w:tr>
        <w:trPr>
          <w:trHeight w:val="225"/>
        </w:trPr>
        <w:tc>
          <w:tcPr>
            <w:tcW w:w="6040" w:type="dxa"/>
            <w:vAlign w:val="bottom"/>
            <w:gridSpan w:val="2"/>
          </w:tcPr>
          <w:p>
            <w:pPr>
              <w:ind w:left="240"/>
              <w:spacing w:after="0" w:line="225"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191.5</w:t>
            </w: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25"/>
        </w:trPr>
        <w:tc>
          <w:tcPr>
            <w:tcW w:w="60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8"/>
        </w:trPr>
        <w:tc>
          <w:tcPr>
            <w:tcW w:w="320" w:type="dxa"/>
            <w:vAlign w:val="bottom"/>
            <w:shd w:val="clear" w:color="auto" w:fill="CCEEFF"/>
          </w:tcPr>
          <w:p>
            <w:pPr>
              <w:spacing w:after="0"/>
              <w:rPr>
                <w:sz w:val="19"/>
                <w:szCs w:val="19"/>
                <w:color w:val="auto"/>
              </w:rPr>
            </w:pPr>
          </w:p>
        </w:tc>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801.5</w:t>
            </w:r>
          </w:p>
        </w:tc>
        <w:tc>
          <w:tcPr>
            <w:tcW w:w="0" w:type="dxa"/>
            <w:vAlign w:val="bottom"/>
          </w:tcPr>
          <w:p>
            <w:pPr>
              <w:spacing w:after="0"/>
              <w:rPr>
                <w:sz w:val="1"/>
                <w:szCs w:val="1"/>
                <w:color w:val="auto"/>
              </w:rPr>
            </w:pPr>
          </w:p>
        </w:tc>
      </w:tr>
      <w:tr>
        <w:trPr>
          <w:trHeight w:val="21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25"/>
        </w:trPr>
        <w:tc>
          <w:tcPr>
            <w:tcW w:w="6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loss, net</w:t>
            </w: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1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219"/>
        </w:trPr>
        <w:tc>
          <w:tcPr>
            <w:tcW w:w="6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124.2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107.3</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__________________</w:t>
            </w: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4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Amounts include equity-based compensation expense, as follows: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0" w:type="dxa"/>
            <w:vAlign w:val="bottom"/>
          </w:tcPr>
          <w:p>
            <w:pPr>
              <w:spacing w:after="0"/>
              <w:rPr>
                <w:sz w:val="19"/>
                <w:szCs w:val="19"/>
                <w:color w:val="auto"/>
              </w:rPr>
            </w:pPr>
          </w:p>
        </w:tc>
        <w:tc>
          <w:tcPr>
            <w:tcW w:w="5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equity-based compensation expense</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center"/>
              <w:ind w:right="96"/>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versus Year Ended December 31, 2024</w:t>
      </w:r>
    </w:p>
    <w:p>
      <w:pPr>
        <w:spacing w:after="0" w:line="16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Revenue was $1,249.5 million for the year ended December 31, 2025, an increase of $35.2 million, or 3%, as compared to $1,214.3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2024. The increase was primarily due to the effects of the operational changes implemented during the second quarter of 2024. Refer to the Factors Affecting the Comparability of Our Results of Operations section above.</w:t>
      </w:r>
    </w:p>
    <w:p>
      <w:pPr>
        <w:spacing w:after="0" w:line="12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was $199.6 million for the year ended December 31, 2025, an increase of $9.8 million, or 5%,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$189.8 million for the year ended December 31, 2024. Excluding equity-based compensation expense, cost of revenue was $188.5 million for the year ended December 31, 2025, an increase of $9.2 million, or 5%, as compared to $179.3 million for the year ended December 31, 2024. The increase was primarily due to hosting and infrastructure expense and depreciation expense on internally developed capitalized software, partially offset by decreased charges incurred related to lease restructuring activities.</w:t>
      </w:r>
    </w:p>
    <w:p>
      <w:pPr>
        <w:spacing w:after="0" w:line="128"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for the year ended December 31, 2025 was $1,049.9 million and represented a gross margin of 84%. Gross profit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was $1,024.5 million and represented a gross margin of 84%. The increase in gross profit in the year ended December 31, 2025 relative to the year ended December 31, 2024 was an increase of $25.4 million, or 2%. The increase in gross profit in the year ended December 31, 2025 was primarily due to increased revenues, as described above, and decreased charges related to lease restructuring activities, partially offset by the increase of hosting and infrastructure expense and depreciation expense on internally developed capitalized software.</w:t>
      </w:r>
    </w:p>
    <w:p>
      <w:pPr>
        <w:spacing w:after="0" w:line="12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were $824.2 million for the year ended December 31, 2025, a decrease of $102.9 million, or 11%,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$927.1 million for the year ended December 31, 2024. Excluding equity-based compensation expense, operating expenses were $719.1 million for the year ended December 31, 2025, a decrease of $80.5 million, or 10%, as compared to $799.6 million for the year ended December 31, 2024.</w:t>
      </w:r>
    </w:p>
    <w:p>
      <w:pPr>
        <w:spacing w:after="0" w:line="122" w:lineRule="exact"/>
        <w:rPr>
          <w:sz w:val="20"/>
          <w:szCs w:val="20"/>
          <w:color w:val="auto"/>
        </w:rPr>
      </w:pPr>
    </w:p>
    <w:p>
      <w:pPr>
        <w:jc w:val="both"/>
        <w:ind w:left="640" w:hanging="316"/>
        <w:spacing w:after="0" w:line="252" w:lineRule="auto"/>
        <w:tabs>
          <w:tab w:leader="none" w:pos="63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Sales and marketing for the year ended December 31, 2025 was $414.6 million, relatively flat as compared to $414.1 million for the year ended December 31, 2024. Sales and marketing, excluding equity-based compensation expense, for the year ended December 31, 2025 was $372.6 million representing an increase of $8.8 million, or 2%, as compared to $363.8 million for the year ended December 31, 2024 primarily due to increased employee compensation expenses, technology expense, and payroll tax and benefit expense, partially offset by decreased charges related to lease restructuring activities.</w:t>
      </w:r>
    </w:p>
    <w:p>
      <w:pPr>
        <w:spacing w:after="0" w:line="132" w:lineRule="exact"/>
        <w:rPr>
          <w:rFonts w:ascii="Times New Roman" w:cs="Times New Roman" w:eastAsia="Times New Roman" w:hAnsi="Times New Roman"/>
          <w:sz w:val="18"/>
          <w:szCs w:val="18"/>
          <w:i w:val="1"/>
          <w:iCs w:val="1"/>
          <w:color w:val="auto"/>
        </w:rPr>
      </w:pPr>
    </w:p>
    <w:p>
      <w:pPr>
        <w:jc w:val="both"/>
        <w:ind w:left="640" w:hanging="316"/>
        <w:spacing w:after="0" w:line="274" w:lineRule="auto"/>
        <w:tabs>
          <w:tab w:leader="none" w:pos="6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and development for the year ended December 31, 2025 was $182.0 million representing a decrease of $14.1 million, or 7%, as compared to $196.1 million for the year ended December 31, 2024. Research and development, excluding equity-based compensation expense, for the year ended December 31, 2025 was $148.8 million representing a decrease of $6.8 million, or 4%, as compared to $155.6 million for the year ended December 31, 2024 primarily due to decreases in both employee compensation expense and charges incurred related to lease restructuring activities.</w:t>
      </w:r>
    </w:p>
    <w:p>
      <w:pPr>
        <w:spacing w:after="0" w:line="114" w:lineRule="exact"/>
        <w:rPr>
          <w:rFonts w:ascii="Times New Roman" w:cs="Times New Roman" w:eastAsia="Times New Roman" w:hAnsi="Times New Roman"/>
          <w:sz w:val="17"/>
          <w:szCs w:val="17"/>
          <w:color w:val="auto"/>
        </w:rPr>
      </w:pPr>
    </w:p>
    <w:p>
      <w:pPr>
        <w:jc w:val="both"/>
        <w:ind w:left="640" w:hanging="316"/>
        <w:spacing w:after="0" w:line="271" w:lineRule="auto"/>
        <w:tabs>
          <w:tab w:leader="none" w:pos="6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and administrative for the year ended December 31, 2025 was $206.7 million representing a decrease of $88.6 million, or 30%, as compared to $295.3 million for the year ended December 31, 2024. General and administrative, excluding equity-based compensation expense, for the year ended December 31, 2025 was $176.8 million representing a decrease of $81.8 million, or 32%, as compared to $258.6 million for the year ended December 31, 2024 primarily due to decreases in charges related to lease restructuring activities and charges incurred related to the Class Actions. Additionally, bad debt expense was lower year over year due to the prior year impact of the revision to reserves for uncollectible accounts receivable.</w:t>
      </w:r>
    </w:p>
    <w:p>
      <w:pPr>
        <w:spacing w:after="0" w:line="115" w:lineRule="exact"/>
        <w:rPr>
          <w:rFonts w:ascii="Times New Roman" w:cs="Times New Roman" w:eastAsia="Times New Roman" w:hAnsi="Times New Roman"/>
          <w:sz w:val="17"/>
          <w:szCs w:val="17"/>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other acquired intangibles was $20.9 million, representing a decrease of $0.7 million, or 3%, for the year ended December 31, 2025 as compared to $21.6 million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83" w:lineRule="auto"/>
        <w:rPr>
          <w:sz w:val="20"/>
          <w:szCs w:val="20"/>
          <w:color w:val="auto"/>
        </w:rPr>
      </w:pPr>
      <w:r>
        <w:rPr>
          <w:rFonts w:ascii="Times New Roman" w:cs="Times New Roman" w:eastAsia="Times New Roman" w:hAnsi="Times New Roman"/>
          <w:sz w:val="17"/>
          <w:szCs w:val="17"/>
          <w:i w:val="1"/>
          <w:iCs w:val="1"/>
          <w:color w:val="auto"/>
        </w:rPr>
        <w:t>Equity-based compensation expense</w:t>
      </w:r>
      <w:r>
        <w:rPr>
          <w:rFonts w:ascii="Times New Roman" w:cs="Times New Roman" w:eastAsia="Times New Roman" w:hAnsi="Times New Roman"/>
          <w:sz w:val="17"/>
          <w:szCs w:val="17"/>
          <w:color w:val="auto"/>
        </w:rPr>
        <w:t>. Equity-based compensation expense was $116.2 million for the year ended December 31, 2025, a decrease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$21.8 million, or 16%, as compared to $138.0 million for the year ended December 31, 2024, primarily due to lower weighted average grant date fair values of grants being amortized in the current period compared to those that were amortized in the prior year and higher capitalization of equity-based compensation.</w:t>
      </w:r>
    </w:p>
    <w:p>
      <w:pPr>
        <w:spacing w:after="0" w:line="103"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Income from operations was $225.7 million for the year ended December 31, 2025, an increase of $128.3 million, or 132%,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$97.4 million for the year ended December 31, 2024. The increase was primarily due to an increase in revenue and lower operating expenses, primarily driven by decreases in charges related to lease restructuring activities, charges incurred related to the Class Actions, as well as the prior year impact of the revision to reserves for uncollectible accounts receivable. Operating income margin was 18% for the year ended December 31, 2025 as compared to 8% for the year ended December 31, 2024.</w:t>
      </w:r>
    </w:p>
    <w:p>
      <w:pPr>
        <w:spacing w:after="0" w:line="12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was $42.6 million for the year ended December 31, 2025, an increase of $3.3 million, or 8%,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$39.3 million for the year ended December 31, 2024. The increase was primarily due to both lower interest income and increase expense from incremental borrowings, partially offset by lower interest rates.</w:t>
      </w:r>
    </w:p>
    <w:p>
      <w:pPr>
        <w:spacing w:after="0" w:line="12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loss, net. </w:t>
      </w:r>
      <w:r>
        <w:rPr>
          <w:rFonts w:ascii="Times New Roman" w:cs="Times New Roman" w:eastAsia="Times New Roman" w:hAnsi="Times New Roman"/>
          <w:sz w:val="18"/>
          <w:szCs w:val="18"/>
          <w:color w:val="auto"/>
        </w:rPr>
        <w:t>Other income, net was $11.2 million for the year ended December 31, 2025 which primarily consists of the TRA remeasurement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of $6.9 million and investment income of $0.6 million, as compared to other loss, net of $26.1 million for the year ended December 31, 2024 which primarily consists of the TRA remeasurement loss of $38.5 million, partially offset by investment income of $9.5 million.</w:t>
      </w:r>
    </w:p>
    <w:p>
      <w:pPr>
        <w:spacing w:after="0" w:line="12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Company is subject to income taxes in the United States and various foreign jurisdictions. Provision for income taxes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2025 was $70.1 million, representing an effective tax rate of 36.1%, as compared to a provision for income taxes of $2.2 million, representing an effective tax rate of 7.2%, for the year ended December 31, 2024. The increase in income tax expense was primarily due to the remeasurement of the deferred tax assets resulting from state tax law and apportionment changes and an increase in income before income taxes. The effective tax rate differed from the U.S. statutory rate of 21% primarily due to shortfalls in tax-deductible equity compensation compared to amounts recognized in our financial statements and U.S. state taxes, including the remeasurement of deferred tax assets for the effect of state tax law and apportionment changes, partially offset by research and development tax credits. Refer to Note 16 - Income Taxes of our audited consolidated financial statements included in Part II, Item 8 of this Form 10-K for additional information.</w:t>
      </w:r>
    </w:p>
    <w:p>
      <w:pPr>
        <w:spacing w:after="0" w:line="13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was $124.2 million for the year ended December 31, 2025, an increase of $95.1 million or 327%, as compared to $29.1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2024. The increase was primarily due to the increase in revenue and lower operating expense, primarily driven by decreases in charges related to lease restructuring activities, charges incurred related to the Class Actions, as well as the prior year impact of the revision to reserves for uncollectible accounts receivable.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and Adjusted Net Income and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view Adjusted Operating Income, Adjusted Operating Income Margin, Adjusted EBITDA, and Adjusted Net Income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U.S. GAAP. There are limitations to these non-GAAP financial measures because they are not prepared in accordance with U.S.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U.S. GAAP.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and Adjusted Operating Income Margin</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define Adjusted Operating Income as income (loss) from operations adjusted for, as applicable, (i) the impact of fair value adjustments to acquired unearned revenue, (ii) amortization of acquired technology and other acquired intangibles, (iii) equity-based compensation expense, (iv) restructuring and transaction-related expenses, (v) integration costs and acquisition-related expenses, and (vi) litigation settlement. We exclude the impact of fair value adjustments to acquired unearned revenue and amortization of acquired technology and other acquired intangibles, as well as equity-based compensation expense,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We have also excluded charges associated with litigation settlements related to class actions because we believe it represents an extraordinary litigation expense outside of our ordinary course of business and is not indicative of our operative performance.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We define Adjusted Operating Income Margin as Adjusted Operating Income divided by the sum of revenue and the impact of fair value adjustments to acquired unearned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xml:space="preserve"> to Adjusted Operating Income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18"/>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unaudited)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 (GAAP)</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r>
      <w:tr>
        <w:trPr>
          <w:trHeight w:val="225"/>
        </w:trPr>
        <w:tc>
          <w:tcPr>
            <w:tcW w:w="6560" w:type="dxa"/>
            <w:vAlign w:val="bottom"/>
          </w:tcPr>
          <w:p>
            <w:pPr>
              <w:ind w:left="180"/>
              <w:spacing w:after="0" w:line="225" w:lineRule="exact"/>
              <w:rPr>
                <w:sz w:val="20"/>
                <w:szCs w:val="20"/>
                <w:color w:val="auto"/>
              </w:rPr>
            </w:pPr>
            <w:r>
              <w:rPr>
                <w:rFonts w:ascii="Times New Roman" w:cs="Times New Roman" w:eastAsia="Times New Roman" w:hAnsi="Times New Roman"/>
                <w:sz w:val="18"/>
                <w:szCs w:val="18"/>
                <w:color w:val="auto"/>
              </w:rPr>
              <w:t>Impact of fair value adjustments to acquired unearned revenue</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5"/>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5"/>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25"/>
        </w:trPr>
        <w:tc>
          <w:tcPr>
            <w:tcW w:w="6560" w:type="dxa"/>
            <w:vAlign w:val="bottom"/>
          </w:tcPr>
          <w:p>
            <w:pPr>
              <w:ind w:left="180"/>
              <w:spacing w:after="0" w:line="225" w:lineRule="exact"/>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(2)</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5"/>
        </w:trPr>
        <w:tc>
          <w:tcPr>
            <w:tcW w:w="6560" w:type="dxa"/>
            <w:vAlign w:val="bottom"/>
            <w:shd w:val="clear" w:color="auto" w:fill="CCEEFF"/>
          </w:tcPr>
          <w:p>
            <w:pPr>
              <w:ind w:left="180"/>
              <w:spacing w:after="0" w:line="225" w:lineRule="exact"/>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(Non-GAAP)</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8"/>
        </w:trPr>
        <w:tc>
          <w:tcPr>
            <w:tcW w:w="6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5"/>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(GAAP)</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w:t>
            </w:r>
          </w:p>
        </w:tc>
      </w:tr>
      <w:tr>
        <w:trPr>
          <w:trHeight w:val="225"/>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 of fair value adjustments to acquired unearned revenue</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for adjusted operating margin calculation (Non-GAAP)</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1,239.7</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8"/>
        </w:trPr>
        <w:tc>
          <w:tcPr>
            <w:tcW w:w="6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5"/>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Income Margin (GAAP)</w:t>
            </w:r>
          </w:p>
        </w:tc>
        <w:tc>
          <w:tcPr>
            <w:tcW w:w="34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Adjusted Operating Income Margin (Non-GAAP)</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p>
    <w:p>
      <w:pPr>
        <w:jc w:val="both"/>
        <w:ind w:left="320" w:hanging="314"/>
        <w:spacing w:after="0" w:line="247" w:lineRule="auto"/>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6"/>
          <w:szCs w:val="16"/>
          <w:color w:val="auto"/>
        </w:rPr>
      </w:pPr>
    </w:p>
    <w:p>
      <w:pPr>
        <w:jc w:val="both"/>
        <w:ind w:left="320" w:hanging="314"/>
        <w:spacing w:after="0" w:line="250" w:lineRule="auto"/>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year ended December 31, 2025, this expense is primarily related to impairment charges related to Vancouver and Ra’anana and employee severance and termination benefits. For the year ended December 31, 2024, this expense is primarily related to lease impairment and abandonment charges as well as lease restructuring activities. For the year ended December 31, 2023, this expense is primarily related to costs associated with a June 2023 reduction in force, and impairment charges related to the Ra’anana office and other offices. This expense is included in cost of service, sales and marketing, research and development, and general and administrative as follows:</w:t>
      </w:r>
    </w:p>
    <w:p>
      <w:pPr>
        <w:spacing w:after="0" w:line="36"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6"/>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120" w:type="dxa"/>
            <w:vAlign w:val="bottom"/>
            <w:tcBorders>
              <w:bottom w:val="single" w:sz="8" w:color="auto"/>
            </w:tcBorders>
          </w:tcPr>
          <w:p>
            <w:pPr>
              <w:spacing w:after="0"/>
              <w:rPr>
                <w:sz w:val="19"/>
                <w:szCs w:val="19"/>
                <w:color w:val="auto"/>
              </w:rPr>
            </w:pPr>
          </w:p>
        </w:tc>
      </w:tr>
      <w:tr>
        <w:trPr>
          <w:trHeight w:val="232"/>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32"/>
        </w:trPr>
        <w:tc>
          <w:tcPr>
            <w:tcW w:w="5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restructuring and transaction-related expenses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320" w:hanging="314"/>
        <w:spacing w:after="0" w:line="290" w:lineRule="auto"/>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legal settlements and legal fees. For the year ended December 31, 2024, these charges are primarily related to costs incurred due to the Class Actions.</w:t>
      </w:r>
    </w:p>
    <w:p>
      <w:pPr>
        <w:spacing w:after="0" w:line="9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Adjusted Operating Income for the year ended December 31, 2025 was $445.9 million and represented an Adjusted Operating Income Margin of 36%. Adjusted Operating Income for the year ended December 31, 2024 was $428.5 million and represented an Adjusted Operating Income Margin of 35%. The change in Adjusted Operating Income in the year ended December 31, 2025 relative to the year ended December 31, 2024 was an increase of $17.4 million, or 4%, and primarily due to higher revenue in the current period as well as the prior year impact of the revision to reserves for uncollectible accounts receivable, partially offset by increased technology expense and hosting and infrastructure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define Adjusted Net Income as net income (loss) adjusted for, as applicable, (i) the impact of fair value adjustments to acquired unearned revenue, (ii) loss on debt modification and extinguishment, (iii) amortization of acquired technology and other acquired intangibles, (iv) equity-based compensation expense, (v) restructuring and transaction-related expenses, (vi) integration costs and acquisition-related expenses, (vii) litigation settlement, (viii) TRA liability remeasurement (benefit) expense, (ix) other (income) loss, net and (x) tax impacts of adjustments to net income (loss).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xml:space="preserve"> to Adjusted Net Income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18"/>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unaudited)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5"/>
        </w:trPr>
        <w:tc>
          <w:tcPr>
            <w:tcW w:w="656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Impact of fair value adjustments to acquired unearned revenue</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5"/>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5"/>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5"/>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25"/>
        </w:trPr>
        <w:tc>
          <w:tcPr>
            <w:tcW w:w="656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(2)</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5"/>
        </w:trPr>
        <w:tc>
          <w:tcPr>
            <w:tcW w:w="656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(3)</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 liability remeasurement (benefit)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r>
      <w:tr>
        <w:trPr>
          <w:trHeight w:val="225"/>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loss (income),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56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Tax impacts of adjustments to net income</w:t>
            </w:r>
            <w:r>
              <w:rPr>
                <w:rFonts w:ascii="Times New Roman" w:cs="Times New Roman" w:eastAsia="Times New Roman" w:hAnsi="Times New Roman"/>
                <w:sz w:val="22"/>
                <w:szCs w:val="22"/>
                <w:color w:val="auto"/>
                <w:vertAlign w:val="superscript"/>
              </w:rPr>
              <w:t>(4)</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r>
      <w:tr>
        <w:trPr>
          <w:trHeight w:val="21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(Non-GAAP)</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w:t>
            </w: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p>
    <w:p>
      <w:pPr>
        <w:jc w:val="both"/>
        <w:ind w:left="320" w:hanging="314"/>
        <w:spacing w:after="0" w:line="247" w:lineRule="auto"/>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6"/>
          <w:szCs w:val="16"/>
          <w:color w:val="auto"/>
        </w:rPr>
      </w:pPr>
    </w:p>
    <w:p>
      <w:pPr>
        <w:jc w:val="both"/>
        <w:ind w:left="320" w:hanging="314"/>
        <w:spacing w:after="0" w:line="250" w:lineRule="auto"/>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year ended December 31, 2025, this expense is primarily related to impairment charges related to Vancouver and Ra’anana and employee severance and termination benefits. For the year ended December 31, 2024, this expense is primarily related to lease impairment and abandonment charges as well as lease restructuring activities. For the year ended December 31, 2023, this expense is primarily related to costs associated with a June 2023 reduction in force, and impairment charges related to the Ra’anana office and other offices. This expense is included in cost of service, sales and marketing, research and development, and general and administrative as follows:</w:t>
      </w:r>
    </w:p>
    <w:p>
      <w:pPr>
        <w:spacing w:after="0" w:line="36"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6"/>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120" w:type="dxa"/>
            <w:vAlign w:val="bottom"/>
            <w:tcBorders>
              <w:bottom w:val="single" w:sz="8" w:color="auto"/>
            </w:tcBorders>
          </w:tcPr>
          <w:p>
            <w:pPr>
              <w:spacing w:after="0"/>
              <w:rPr>
                <w:sz w:val="19"/>
                <w:szCs w:val="19"/>
                <w:color w:val="auto"/>
              </w:rPr>
            </w:pPr>
          </w:p>
        </w:tc>
      </w:tr>
      <w:tr>
        <w:trPr>
          <w:trHeight w:val="232"/>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32"/>
        </w:trPr>
        <w:tc>
          <w:tcPr>
            <w:tcW w:w="5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restructuring and transaction-related expenses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320" w:hanging="314"/>
        <w:spacing w:after="0" w:line="290" w:lineRule="auto"/>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legal settlements and associated legal fees. For the year ended December 31, 2024, these charges are primarily related to costs incurred due to the Class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320" w:hanging="314"/>
        <w:spacing w:after="0" w:line="250" w:lineRule="auto"/>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tax expense associated with Net income (GAAP) excluded from Adjusted Net Income (Non-GAAP). The Company calculates the tax impacts of adjustments to net income (loss) by taking the total gross value of the adjustments and multiplying it by the Company’s U.S. federal and state statutory tax rate. We then recalculate the tax impact of book-tax differences related to equity compensation, the tax receivable agreements, restructuring and transaction-related expenses, and items that are deemed to be unrelated to current year operating income or are one-time in nature, such as provision to return true-ups. For the year ended December 31, 2025, the tax impacts of adjustments to net income between GAAP and Non-GAAP are presented based on the specific rate reconciliation categories established under ASU 2023-09. For the year ended December 31, 2025, these primarily relate to recognizing $61.1 million of tax benefit related to the amortization of tax goodwill associated with historical corporate structure simplification, and adjusting out $10.3 million of tax expense from non-deductible stock-based compensation. For the year ended December 31, 2024, these primarily relate to adjusting out $30.1 million of tax benefit from the effects of changes in state tax law and apportionment, recognizing $63.6 million of tax benefit related to the amortization of tax goodwill associated with historical corporate structure simplification, and adjusting out $17.5 million of tax expense from non-deductible stock-based compensation. For the year ended December 31, 2023, these primarily relate to adjusting out $138.4 million of tax expense from the effects of changes in state tax law and apportionment, recognizing $60.0 million of tax benefit related to the amortization of tax goodwill associated with historical corporate structure simplification, and adjusting out $23.4 million of tax expense from non-deductible stock-based compensation. We believe the exclusion of these adjustments provides investors with useful information about the Company’s underlying results and trends, allowing them to better understand and compare net income (loss) related to ongoing operations and the related current and deferred income tax expense.</w:t>
      </w:r>
    </w:p>
    <w:p>
      <w:pPr>
        <w:spacing w:after="0" w:line="13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Adjusted Net Income for the year ended December 31, 2025 was $369.2 million, an increase of $5.4 million, or 1%, relative to $363.8 million for the year ended December 31, 2024. This increase was primarily due to higher revenue in current period, mostly offset by higher income tax expense and increased interest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EBITDA is defined as earnings before interest, taxes, depreciation, and amortization. Management further adjusts EBITDA to exclude certain items of a significant or unusual nature, including other (income) expense, net, loss on debt modification and extinguishment, impact of certain non-cash items, such as fair value adjustments to acquired unearned revenue and equity-based compensation expense, restructuring and transaction-related expenses, integration costs and acquisition-related expenses, and litigation settlement. We exclude these items because these are either non-cash expenses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xml:space="preserve"> to Adjusted EBITDA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18"/>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unaudited)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5"/>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r>
      <w:tr>
        <w:trPr>
          <w:trHeight w:val="225"/>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5"/>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5"/>
        </w:trPr>
        <w:tc>
          <w:tcPr>
            <w:tcW w:w="656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Depreciation expense</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5"/>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5"/>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5"/>
        </w:trPr>
        <w:tc>
          <w:tcPr>
            <w:tcW w:w="656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Other (income) loss, net</w:t>
            </w:r>
            <w:r>
              <w:rPr>
                <w:rFonts w:ascii="Times New Roman" w:cs="Times New Roman" w:eastAsia="Times New Roman" w:hAnsi="Times New Roman"/>
                <w:sz w:val="22"/>
                <w:szCs w:val="22"/>
                <w:color w:val="auto"/>
                <w:vertAlign w:val="superscript"/>
              </w:rPr>
              <w:t>(2)</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25"/>
        </w:trPr>
        <w:tc>
          <w:tcPr>
            <w:tcW w:w="656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Impact of fair value adjustments to acquired unearned revenue</w:t>
            </w:r>
            <w:r>
              <w:rPr>
                <w:rFonts w:ascii="Times New Roman" w:cs="Times New Roman" w:eastAsia="Times New Roman" w:hAnsi="Times New Roman"/>
                <w:sz w:val="22"/>
                <w:szCs w:val="22"/>
                <w:color w:val="auto"/>
                <w:vertAlign w:val="superscript"/>
              </w:rPr>
              <w:t>(3)</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25"/>
        </w:trPr>
        <w:tc>
          <w:tcPr>
            <w:tcW w:w="656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Restructuring and transaction-related expenses</w:t>
            </w:r>
            <w:r>
              <w:rPr>
                <w:rFonts w:ascii="Times New Roman" w:cs="Times New Roman" w:eastAsia="Times New Roman" w:hAnsi="Times New Roman"/>
                <w:sz w:val="22"/>
                <w:szCs w:val="22"/>
                <w:color w:val="auto"/>
                <w:vertAlign w:val="superscript"/>
              </w:rPr>
              <w:t>(4)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5"/>
        </w:trPr>
        <w:tc>
          <w:tcPr>
            <w:tcW w:w="6560" w:type="dxa"/>
            <w:vAlign w:val="bottom"/>
            <w:tcBorders>
              <w:bottom w:val="single" w:sz="8" w:color="CCEEFF"/>
            </w:tcBorders>
          </w:tcPr>
          <w:p>
            <w:pPr>
              <w:ind w:left="100"/>
              <w:spacing w:after="0" w:line="225" w:lineRule="exact"/>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(5)</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(Non-GAAP)</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p>
    <w:p>
      <w:pPr>
        <w:ind w:left="320" w:hanging="314"/>
        <w:spacing w:after="0" w:line="244" w:lineRule="auto"/>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for the year ended December 31, 2025 and 2024 exclude the accelerated depreciation associated with the Waltham Lease Restructuring. Refer to Note 4 - Property and Equipment and Note 12 - Leases of our audited consolidated financial statements included in Part II, Item 8 of this Form 10-K for further information.</w:t>
      </w:r>
    </w:p>
    <w:p>
      <w:pPr>
        <w:spacing w:after="0" w:line="1"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represents revaluations on tax receivable agreement liability and foreign exchange remeasurement gains and losses.</w:t>
      </w:r>
    </w:p>
    <w:p>
      <w:pPr>
        <w:spacing w:after="0" w:line="10" w:lineRule="exact"/>
        <w:rPr>
          <w:rFonts w:ascii="Times New Roman" w:cs="Times New Roman" w:eastAsia="Times New Roman" w:hAnsi="Times New Roman"/>
          <w:sz w:val="16"/>
          <w:szCs w:val="16"/>
          <w:color w:val="auto"/>
        </w:rPr>
      </w:pPr>
    </w:p>
    <w:p>
      <w:pPr>
        <w:jc w:val="both"/>
        <w:ind w:left="320" w:hanging="314"/>
        <w:spacing w:after="0" w:line="247" w:lineRule="auto"/>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6"/>
          <w:szCs w:val="16"/>
          <w:color w:val="auto"/>
        </w:rPr>
      </w:pPr>
    </w:p>
    <w:p>
      <w:pPr>
        <w:jc w:val="both"/>
        <w:ind w:left="320" w:hanging="314"/>
        <w:spacing w:after="0" w:line="250" w:lineRule="auto"/>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year ended December 31, 2025, this expense is primarily related to impairment charges related to Vancouver and Ra’anana and employee severance and termination benefits. For the year ended December 31, 2024, this expense is primarily related to lease impairment and abandonment charges as well as lease restructuring activities. For the year ended December 31, 2023, this expense is primarily related to costs associated with a June 2023 reduction in force, and impairment charges related to the Ra’anana office and other offices. This expense is included in cost of service, sales and marketing, research and development, and general and administrative as follows:</w:t>
      </w:r>
    </w:p>
    <w:p>
      <w:pPr>
        <w:spacing w:after="0" w:line="36"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6"/>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120" w:type="dxa"/>
            <w:vAlign w:val="bottom"/>
            <w:tcBorders>
              <w:bottom w:val="single" w:sz="8" w:color="auto"/>
            </w:tcBorders>
          </w:tcPr>
          <w:p>
            <w:pPr>
              <w:spacing w:after="0"/>
              <w:rPr>
                <w:sz w:val="19"/>
                <w:szCs w:val="19"/>
                <w:color w:val="auto"/>
              </w:rPr>
            </w:pPr>
          </w:p>
        </w:tc>
      </w:tr>
      <w:tr>
        <w:trPr>
          <w:trHeight w:val="232"/>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32"/>
        </w:trPr>
        <w:tc>
          <w:tcPr>
            <w:tcW w:w="5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restructuring and transaction-related expenses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320" w:hanging="314"/>
        <w:spacing w:after="0" w:line="290" w:lineRule="auto"/>
        <w:tabs>
          <w:tab w:leader="none" w:pos="3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legal settlements and legal fees. For the year ended December 31, 2024, these charges are primarily related to costs incurred due to the Class Actions.</w:t>
      </w:r>
    </w:p>
    <w:p>
      <w:pPr>
        <w:spacing w:after="0" w:line="9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Adjusted EBITDA for the year ended December 31, 2025 was $475.7 million, an increase of $23.3 million, or 5%, relative to $452.4 million for the year ended December 31, 2024. This increase was primarily due to increased revenues, partially offset by an increase in technology expense and hosting and infrastructure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2025, we had $175.9 million of cash and cash equivalents, $4.0 million of short-term investments, and $150.0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2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believe that our cash flows from operations and existing available cash and cash equivalents, together with our other available external financing sources, will be adequate to fund our operating and capital needs for at least the next 12 months and for the foreseeable future. We are currently in compliance with the covenants under the credit agreements governing our secured credit facilities, and we expect to remain in compliance with our covenants.</w:t>
      </w:r>
    </w:p>
    <w:p>
      <w:pPr>
        <w:spacing w:after="0" w:line="10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typically invoice our subscription customers for services annually, semi-annually, or quarterly in advance of delivery. Therefore, a substantial source of our cash is from such prepayments, which are included on our Consolidated Balance Sheets as unearned revenue. Unearned revenue consists of billed fees for our subscriptions, prior to satisfying the criteria for revenue recognition, which are subsequently recognized as revenue in accordance with our revenue recognition policy. As of December 31, 2025, we had unearned revenue of $477.8 million, of which $474.6 million was recorded as a current liability and is expected to be recorded as revenue in the next 12 months, provided all other revenue recognition criteria have been met.</w:t>
      </w:r>
    </w:p>
    <w:p>
      <w:pPr>
        <w:spacing w:after="0" w:line="13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ZoomInfo Technologies Inc. is a holding company with no material assets other than its ownership of common stock of ZoomInfo Intermediate Inc. and units of ZoomInfo Holdings and has no independent means of generating revenue. Although we have no current plans to pay cash dividends on our common stock, in the event ZoomInfo Technologies Inc. were to declare any cash dividend, ZoomInfo Technologies Inc. may have to cause ZoomInfo Intermediate Inc. and ZoomInfo Holdings and their subsidiaries to make distributions to ZoomInfo Technologies Inc. in part through distributions to ZoomInfo Intermediate Inc. and ZoomInfo Holdings, in an amount sufficient to cover such cash dividends declared by us. Deterioration in the financial condition, earnings, or cash flow of ZoomInfo Intermediate Inc. and its subsidiaries for any reason could limit or impair their ability to pay such distributions. In addition, the terms of our financing arrangements contain covenants that may restrict ZoomInfo Intermediate Inc., ZoomInfo Holdings and their subsidiaries from paying such distributions, subject to certain exceptions. Further, ZoomInfo Midco LLC is generally prohibited under Delaware law from making a distribution to a member to the extent that, at the time of the distribution, after giving effect to the distribution, liabilities of ZoomInfo Midco LLC (with certain exceptions), as applicable, exceed the fair value of its assets. Subsidiaries of ZoomInfo Midco LLC are generally subject to similar legal limitations on their ability to make distributions to ZoomInfo Midco LLC. See “Risk Factors - Organizational Structure Risk Factors” in Part I, Item 1A of this Form 10-K.</w:t>
      </w:r>
    </w:p>
    <w:p>
      <w:pPr>
        <w:spacing w:after="0" w:line="12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6"/>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Pr>
          <w:p>
            <w:pPr>
              <w:spacing w:after="0"/>
              <w:rPr>
                <w:sz w:val="20"/>
                <w:szCs w:val="20"/>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6"/>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r>
      <w:tr>
        <w:trPr>
          <w:trHeight w:val="218"/>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was $465.4 million for the year ended December 31, 2025 as a result of net income of $124.2 million, adjusted by non-cash charges of $398.9 million, and the net change in our operating assets and liabilities of $57.7 million. The non-cash charges are primarily comprised of equity-based compensation expense of $116.2 million, amortization of deferred commission costs of $90.2 million, depreciation and amortization of $88.8 million, deferred taxes net of deferred tax liabilities of $61.4 million, asset impairments and lease abandonment of $23.7 million, provision for bad debt expense of $23.0 million, and tax receivable agreement remeasurement of $6.9 million. The net change in operating assets and liabilities was primarily the result of an increase in deferred costs and other assets of $86.5 million, as well as an increase in accrued expenses and other liabilities of $21.1 million and an increase in accounts payable of $10.3 million.</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was $369.4 million for the year ended December 31, 2024 as a result of net income of $29.1 million, adjusted by non-cash charges of $425.3 million, and the net change in our operating assets and liabilities of $85.0 million. The non-cash charges are primarily comprised of equity-based compensation expense of $138.0 million, depreciation and amortization of $85.7 million, amortization of deferred commission costs of $67.6 million, asset impairments of $57.4 million, provision for bad debt expense of $42.8 million, and tax receivable agreement remeasurement of $38.5 million. The net change in operating assets and liabilities was primarily the result of a decrease in accrued expenses and other liabilities of $43.4 million, an increase in deferred costs and other assets of $35.5 million, a decrease in accounts payable of $17.7 million, and an increase in accounts receivable of $16.9 million, as well as an increase in unearned revenue of $36.1 million.</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may continue to make future acquisitions as part of our business strategy which may require the use of capital resources and drive additional future restructuring and transaction-related cash expenditures as well as integration and acquisition-related cash costs. During the years ended December 31, 2025, 2024, and 2023 we incurred the following cash expenditures: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interest expense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25"/>
        </w:trPr>
        <w:tc>
          <w:tcPr>
            <w:tcW w:w="63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and transaction-related expenses paid in cash</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5"/>
        </w:trPr>
        <w:tc>
          <w:tcPr>
            <w:tcW w:w="63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Integration costs and acquisition-related expenses paid in cash</w:t>
            </w:r>
            <w:r>
              <w:rPr>
                <w:rFonts w:ascii="Times New Roman" w:cs="Times New Roman" w:eastAsia="Times New Roman" w:hAnsi="Times New Roman"/>
                <w:sz w:val="22"/>
                <w:szCs w:val="22"/>
                <w:color w:val="auto"/>
                <w:vertAlign w:val="superscript"/>
              </w:rPr>
              <w:t>(2)</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302"/>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settlement payments</w:t>
            </w:r>
            <w:r>
              <w:rPr>
                <w:rFonts w:ascii="Times New Roman" w:cs="Times New Roman" w:eastAsia="Times New Roman" w:hAnsi="Times New Roman"/>
                <w:sz w:val="22"/>
                <w:szCs w:val="22"/>
                <w:color w:val="auto"/>
                <w:vertAlign w:val="superscript"/>
              </w:rPr>
              <w:t>(3)</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p>
    <w:p>
      <w:pPr>
        <w:jc w:val="both"/>
        <w:ind w:left="320" w:hanging="314"/>
        <w:spacing w:after="0" w:line="248"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directly associated with acquisition or disposal activities, including employee severance and termination benefits, contract termination fees and penalties, and other exit or disposal costs. For the year ended December 31, 2025, these payments related primarily to employee severance and termination benefits payments and Waltham Lease Restructuring charges. For the year ended December 31, 2024, these payments related primarily to the Waltham Lease Restructuring. See Note 12 - Leases of our audited consolidated financial statements included in Part II, Item 8 of this Form 10-K for further information. For the year ended December 31, 2023, these payments related primarily to a June 2023 reduction in force, legal costs paid related to 2021 and 2022 acquisitions, and Waltham sublease costs.</w:t>
      </w:r>
    </w:p>
    <w:p>
      <w:pPr>
        <w:spacing w:after="0" w:line="3" w:lineRule="exact"/>
        <w:rPr>
          <w:rFonts w:ascii="Times New Roman" w:cs="Times New Roman" w:eastAsia="Times New Roman" w:hAnsi="Times New Roman"/>
          <w:sz w:val="16"/>
          <w:szCs w:val="16"/>
          <w:color w:val="auto"/>
        </w:rPr>
      </w:pPr>
    </w:p>
    <w:p>
      <w:pPr>
        <w:ind w:left="320" w:hanging="314"/>
        <w:spacing w:after="0" w:line="250"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directly associated with integration activities for acquisitions and acquisition-related compensation, which includes transaction bonuses and retention awards. For the years ended December 31, 2024 and 2023, these payments related to deferred compensation from the acquisition of Insent.</w:t>
      </w:r>
    </w:p>
    <w:p>
      <w:pPr>
        <w:ind w:left="320" w:hanging="314"/>
        <w:spacing w:after="0" w:line="266"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for legal settlements and associated legal fees. For the year ended December 31, 2024, these payments are primarily related to costs incurred due to the Class Actions.</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6"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was $80.8 million, primarily consisting of purchases of property and equipment and other assets of $76.1 million, and purchases of investments of $15.2 million, as well as maturities of investments of $11.0 million.</w:t>
      </w:r>
    </w:p>
    <w:p>
      <w:pPr>
        <w:spacing w:after="0" w:line="110"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2024 was $13.4 million, primarily consisting of maturities of investments of $82.2 million, as well as purchases of property and equipment and other assets of $64.9 million, and payments of initial direct costs of $3.4 million.</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we continue to grow and invest in our business, we expect to continue to invest in property and equipment and opportunistically pursue acquisitions.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2025 was $347.9 million which was primarily comprised of payments relating to the repurchase of common stock of $411.1 million, TRA payments of $23.6 million, payment of taxes related to net share settlement of equity awards of $7.2 million, as well as proceeds from revolving credit loans of $100.0 million.</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2024 was $690.0 million which was primarily comprised of payments relating to the repurchase of common stock of $565.6 million, TRA payments of $94.0 million, and payment of taxes related to net share settlement of equity awards of $22.8 million.</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Note 6 - Financing Arrangements of our audited consolidated financial statements included in Part II, Item 8 of this Form 10-K for additional information related to each of our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shares of Common Stock proposed to be acquired in the share repurchase program may be repurchased from time to time in open market transactions or by other means in accordance with federal securities laws. The Company intends to fund repurchases from available working capital, cash provided by operating activities, and, as appropriate, borrowings under its existing credit facilities or other sources of financing. The timing, as well as the number and value of shares of Common Stock repurchased under the program, will be determined by the Company at its discretion and will depend on a variety of factors, including management’s assessment of the intrinsic value of the Company’s shares of Common Stock, the market price of the Company’s Common Stock, general market and economic conditions, available liquidity, alternative investment opportunities, compliance with the Company’s debt and other agreements, and applicable legal requirements. The exact number of shares of Common Stock to be repurchased by the Company is not guaranteed, and the program may be suspended, modified, or discontinued at any time without prior notice.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of December 31, 2025, the aggregate balance of $100.0 million under the First Lien Revolving Credit Facility is due, in its entirety, at the contractual maturity date of February 28, 2028. As of December 31, 2025, the aggregate remaining balance of $650.0 million of 3.875% Senior Notes is due, in its entirety, at the contractual maturity date of February 1, 2029. Interest on the Senior Notes is payable semi-annually in arrears beginning on August 1, 2021. As of December 31, 2025, the Company has a remaining balance of $582.2 million with respect to its First Lien Term Loan. The Company is obligated to make principal payments each quarter in the amount of 0.25% of the aggregate initial outstanding amount, with the remaining balance due at the contractual maturity date of February 28, 2030. The foregoing currently represent the only existing required future debt principal repayment obligations that will require future uses of the Company’s cash.</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First Lien Term Loan has a variable interest rate whereby the Company can elect to use a Base Rate or SOFR plus an applicable rate. The applicable rate is 0.75% for Base Rate loans or 1.75% for SOFR loans. The effective interest rate on the First Lien Term Loan was 5.71% and 6.56% as of December 31, 2025 and December 31, 2024, respectively.</w:t>
      </w:r>
    </w:p>
    <w:p>
      <w:pPr>
        <w:spacing w:after="0" w:line="12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have historically used derivative financial instruments, primarily interest rate swap contracts designated as cash flow hedges, to manage a portion of our exposure to changes in interest rates. We do not enter into derivative transactions for speculative or trading purposes. As our existing interest rate swaps mature, our exposure to changes in interest rates on our floating rate debt will increase to the extent we do not enter into new interest rate swap contracts.</w:t>
      </w:r>
    </w:p>
    <w:p>
      <w:pPr>
        <w:spacing w:after="0" w:line="10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First Lien Revolving Credit Facility, which has $100.0 million outstanding as of December 31, 2025,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 The effective interest rate on the First Lien Revolving Credit Facility was 6.12% as of December 31, 2025. There was no outstanding balance under the First Lien Revolving Credit Facility as of December 31, 2024.</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total net leverage ratio to Adjusted EBITDA is defined as total contractual maturity of outstanding indebtedness less cash, cash equivalents, and investments (as applicable), divided by trailing twelve months Adjusted EBITDA. Adjusted EBITDA for the twelve months ended December 31, 2025 was $475.7 million. Our total net leverage ratio to Adjusted EBITDA as of December 31, 2025 was 2.4x.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leverage ratios)</w:t>
            </w:r>
          </w:p>
        </w:tc>
        <w:tc>
          <w:tcPr>
            <w:tcW w:w="1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outstanding indebtedness</w:t>
            </w:r>
          </w:p>
        </w:tc>
        <w:tc>
          <w:tcPr>
            <w:tcW w:w="118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1,332.2</w:t>
            </w:r>
          </w:p>
        </w:tc>
      </w:tr>
      <w:tr>
        <w:trPr>
          <w:trHeight w:val="225"/>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and investments</w:t>
            </w:r>
          </w:p>
        </w:tc>
        <w:tc>
          <w:tcPr>
            <w:tcW w:w="1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18"/>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contractual maturity of outstanding indebtedness</w:t>
            </w:r>
          </w:p>
        </w:tc>
        <w:tc>
          <w:tcPr>
            <w:tcW w:w="118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w:t>
            </w:r>
          </w:p>
        </w:tc>
      </w:tr>
      <w:tr>
        <w:trPr>
          <w:trHeight w:val="218"/>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Trailing Twelve Months (TTM) Adjusted EBITDA</w:t>
            </w:r>
          </w:p>
        </w:tc>
        <w:tc>
          <w:tcPr>
            <w:tcW w:w="118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475.7</w:t>
            </w:r>
          </w:p>
        </w:tc>
      </w:tr>
      <w:tr>
        <w:trPr>
          <w:trHeight w:val="244"/>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leverage ratio to Adjusted EBITDA</w:t>
            </w:r>
          </w:p>
        </w:tc>
        <w:tc>
          <w:tcPr>
            <w:tcW w:w="118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Consolidated First Lien Net Leverage Ratio is defined in the agreement governing our existing first lien credit facilities (the “First Lien Credit Agreement”) as total contractual maturity of outstanding First Lien indebtedness less cash, cash equivalents and investments (as applicable),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twelve months ended December 31, 2025 was $484.7 million. Our Consolidated First Lien Net Leverage Ratio as of December 31, 2025 was 1.0x.</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leverage ratios)</w:t>
            </w: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First Lien indebtedness</w:t>
            </w:r>
          </w:p>
        </w:tc>
        <w:tc>
          <w:tcPr>
            <w:tcW w:w="124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r>
      <w:tr>
        <w:trPr>
          <w:trHeight w:val="225"/>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and investments</w:t>
            </w:r>
          </w:p>
        </w:tc>
        <w:tc>
          <w:tcPr>
            <w:tcW w:w="1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18"/>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contractual maturity of First Lien indebtedness</w:t>
            </w:r>
          </w:p>
        </w:tc>
        <w:tc>
          <w:tcPr>
            <w:tcW w:w="1240" w:type="dxa"/>
            <w:vAlign w:val="bottom"/>
            <w:tcBorders>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w:t>
            </w:r>
          </w:p>
        </w:tc>
      </w:tr>
      <w:tr>
        <w:trPr>
          <w:trHeight w:val="21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Trailing Twelve Months (TTM) Cash EBITDA</w:t>
            </w:r>
          </w:p>
        </w:tc>
        <w:tc>
          <w:tcPr>
            <w:tcW w:w="1240" w:type="dxa"/>
            <w:vAlign w:val="bottom"/>
            <w:tcBorders>
              <w:bottom w:val="single" w:sz="8" w:color="auto"/>
            </w:tcBorders>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r>
      <w:tr>
        <w:trPr>
          <w:trHeight w:val="24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Consolidated First Lien Net Leverage Ratio</w:t>
            </w:r>
          </w:p>
        </w:tc>
        <w:tc>
          <w:tcPr>
            <w:tcW w:w="12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total net leverage ratio to Cash EBITDA (defined as Consolidated EBITDA in our Credit Agreements) is defined as total contractual maturity of outstanding indebtedness less cash, cash equivalents, and investments (as applicable), divided by trailing twelve months Cash EBITDA. Cash EBITDA for the twelve months ended December 31, 2025 was $484.7 million. Our total net leverage ratio to Cash EBITDA as of December 31, 2025 was 2.4x.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leverage ratios)</w:t>
            </w:r>
          </w:p>
        </w:tc>
        <w:tc>
          <w:tcPr>
            <w:tcW w:w="1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outstanding indebtedness</w:t>
            </w:r>
          </w:p>
        </w:tc>
        <w:tc>
          <w:tcPr>
            <w:tcW w:w="118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1,332.2</w:t>
            </w:r>
          </w:p>
        </w:tc>
      </w:tr>
      <w:tr>
        <w:trPr>
          <w:trHeight w:val="225"/>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and investments</w:t>
            </w:r>
          </w:p>
        </w:tc>
        <w:tc>
          <w:tcPr>
            <w:tcW w:w="1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18"/>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contractual maturity of outstanding indebtedness</w:t>
            </w:r>
          </w:p>
        </w:tc>
        <w:tc>
          <w:tcPr>
            <w:tcW w:w="118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w:t>
            </w:r>
          </w:p>
        </w:tc>
      </w:tr>
      <w:tr>
        <w:trPr>
          <w:trHeight w:val="218"/>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Trailing Twelve Months (TTM) Cash EBITDA</w:t>
            </w:r>
          </w:p>
        </w:tc>
        <w:tc>
          <w:tcPr>
            <w:tcW w:w="118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r>
      <w:tr>
        <w:trPr>
          <w:trHeight w:val="244"/>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leverage ratio to Cash EBITDA</w:t>
            </w:r>
          </w:p>
        </w:tc>
        <w:tc>
          <w:tcPr>
            <w:tcW w:w="118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860" cy="151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expense</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34860" cy="142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2"/>
          <w:szCs w:val="22"/>
          <w:color w:val="auto"/>
          <w:vertAlign w:val="superscript"/>
        </w:rPr>
        <w:t>(2)</w:t>
      </w:r>
    </w:p>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4860" cy="142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20"/>
        <w:spacing w:after="0" w:line="230" w:lineRule="auto"/>
        <w:rPr>
          <w:sz w:val="20"/>
          <w:szCs w:val="20"/>
          <w:color w:val="auto"/>
        </w:rPr>
      </w:pPr>
      <w:r>
        <w:rPr>
          <w:rFonts w:ascii="Times New Roman" w:cs="Times New Roman" w:eastAsia="Times New Roman" w:hAnsi="Times New Roman"/>
          <w:sz w:val="17"/>
          <w:szCs w:val="17"/>
          <w:color w:val="auto"/>
        </w:rPr>
        <w:t>Restructuring and transaction-related expenses</w:t>
      </w:r>
      <w:r>
        <w:rPr>
          <w:rFonts w:ascii="Times New Roman" w:cs="Times New Roman" w:eastAsia="Times New Roman" w:hAnsi="Times New Roman"/>
          <w:sz w:val="21"/>
          <w:szCs w:val="21"/>
          <w:color w:val="auto"/>
          <w:vertAlign w:val="superscript"/>
        </w:rPr>
        <w:t>(3)</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Litigation settlement</w:t>
      </w:r>
      <w:r>
        <w:rPr>
          <w:rFonts w:ascii="Times New Roman" w:cs="Times New Roman" w:eastAsia="Times New Roman" w:hAnsi="Times New Roman"/>
          <w:sz w:val="22"/>
          <w:szCs w:val="22"/>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7134860" cy="151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EBITDA (Non-GAAP)</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Unearned revenue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Cash rent adjustment</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lender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8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EBITDA (Non-GAAP)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220" w:type="dxa"/>
            <w:vAlign w:val="bottom"/>
          </w:tcPr>
          <w:p>
            <w:pPr>
              <w:spacing w:after="0"/>
              <w:rPr>
                <w:sz w:val="19"/>
                <w:szCs w:val="19"/>
                <w:color w:val="auto"/>
              </w:rPr>
            </w:pPr>
          </w:p>
        </w:tc>
        <w:tc>
          <w:tcPr>
            <w:tcW w:w="26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Trailing Twelve Months as of</w:t>
            </w:r>
          </w:p>
        </w:tc>
      </w:tr>
      <w:tr>
        <w:trPr>
          <w:trHeight w:val="232"/>
        </w:trPr>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3"/>
        </w:trPr>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25"/>
        </w:trPr>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25"/>
        </w:trPr>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25"/>
        </w:trPr>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5"/>
        </w:trPr>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5"/>
        </w:trPr>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5"/>
        </w:trPr>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5"/>
        </w:trPr>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31"/>
        </w:trPr>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64"/>
        </w:trPr>
        <w:tc>
          <w:tcPr>
            <w:tcW w:w="22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3"/>
        </w:trPr>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r>
      <w:tr>
        <w:trPr>
          <w:trHeight w:val="225"/>
        </w:trPr>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8"/>
        </w:trPr>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80" w:space="720"/>
            <w:col w:w="2840"/>
          </w:cols>
          <w:pgMar w:left="320" w:top="121" w:right="339" w:bottom="1440" w:gutter="0" w:footer="0" w:header="0"/>
        </w:sectPr>
      </w:pP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p>
    <w:p>
      <w:pPr>
        <w:ind w:left="320" w:hanging="314"/>
        <w:spacing w:after="0" w:line="244" w:lineRule="auto"/>
        <w:tabs>
          <w:tab w:leader="none" w:pos="3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for the trailing twelve months ended December 31, 2025 exclude the accelerated depreciation associated with the Waltham Lease Restructuring. Refer to Note 4 - Property and Equipment and Note 12 - Leases of our audited consolidated financial statements included in Part II, Item 8 of this Form 10-K for further information.</w:t>
      </w:r>
    </w:p>
    <w:p>
      <w:pPr>
        <w:spacing w:after="0" w:line="1"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represents revaluations on tax receivable agreement liability and foreign exchange remeasurement gains and losses.</w:t>
      </w:r>
    </w:p>
    <w:p>
      <w:pPr>
        <w:spacing w:after="0" w:line="10" w:lineRule="exact"/>
        <w:rPr>
          <w:rFonts w:ascii="Times New Roman" w:cs="Times New Roman" w:eastAsia="Times New Roman" w:hAnsi="Times New Roman"/>
          <w:sz w:val="16"/>
          <w:szCs w:val="16"/>
          <w:color w:val="auto"/>
        </w:rPr>
      </w:pPr>
    </w:p>
    <w:p>
      <w:pPr>
        <w:jc w:val="both"/>
        <w:ind w:left="320" w:hanging="314"/>
        <w:spacing w:after="0" w:line="247" w:lineRule="auto"/>
        <w:tabs>
          <w:tab w:leader="none" w:pos="3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trailing twelve months ended December 31, 2025, this expense is primarily related to impairment charges related to Vancouver and Ra’anana and employee severance and termination benefits.</w:t>
      </w:r>
    </w:p>
    <w:p>
      <w:pPr>
        <w:spacing w:after="0" w:line="1"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legal settlements and associated legal fees.</w:t>
      </w:r>
    </w:p>
    <w:p>
      <w:pPr>
        <w:spacing w:after="0" w:line="15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the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68"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Capital expenditures increased by $11.2 million, or 17%, to $76.1 million in the year ended December 31, 2025 compared to the year ended December 31, 2024, as a result of increased capitalization of development expenses and increased expenditures related to new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entered into two Tax Receivable Agreements. We entered into (i) the Exchange Tax Receivable Agreement with certain Pre-IPO Owners of equity units of ZoomInfo Holdings and (ii) the Reorganization Tax Receivable Agreement with the Pre-IPO Blocker Holders. These Tax Receivable Agreements provide for the payment by members of the ZoomInfo Tax Group to such Pre-IPO Owners and certain Pre-IPO Owners that held HoldCo Units immediately prior to the IPO of 85% of the benefits, if any, that the ZoomInfo Tax Group actually realizes, or is deemed to realize in certain circumstances, as a result of utilization or deemed utilization of certain tax attributes and benefits covered by the Tax Receivable Agreements.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tax attributes and benefits covered by the Exchange Tax Receivable Agreement include (i) the ZoomInfo Tax Group’s allocable share of existing tax basis acquired in the IPO and (ii) increases in the ZoomInfo Tax Group’s allocable share of existing tax basis and tax basis adjustments that increased the tax basis of the tangible and intangible assets of the ZoomInfo Tax Group as a result of sales or exchanges of units of ZoomInfo Holdings for shares of common stock after the IPO, as well as certain other tax benefits, including tax benefits attributable to payments under the Exchange Tax Receivable Agreement.</w:t>
      </w:r>
    </w:p>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tax attributes and benefits covered by the Reorganization Tax Receivable Agreement include certain tax attributes of the Blocker Companies (including the ZoomInfo Tax Group’s allocable share of existing tax basis acquired in the Reorganization Transactions), and certain other tax benefits.</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each case, these increases in existing tax basis and tax basis adjustments generated over time may increase the ZoomInfo Tax Group’s depreciation and amortization deductions for tax purposes and, therefore, may reduce the amount of tax that the ZoomInfo Tax Group would otherwise be required to pay in the future, although the IRS may challenge all or part of the validity of that tax basis, and a court could sustain such a challenge.</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ZoomInfo Tax Group’s allocable share of existing tax basis acquired in the IPO and the increase in the ZoomInfo Tax Group’s allocable share of existing tax basis and the tax basis adjustments upon exchanges of units of ZoomInfo Holdings LLC for shares of common stock may also decrease gains (or increase losses) on future dispositions of certain capital assets to the extent tax basis is allocated to those capital assets. The ZoomInfo Tax Group expects to benefit from the remaining 15% of realized cash tax benefits.</w:t>
      </w:r>
    </w:p>
    <w:p>
      <w:pPr>
        <w:spacing w:after="0" w:line="12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 tax receivable agreements not been entered into and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The term of each tax receivable agreement will continue until all such tax benefits have been utilized or expired, unless (i) ZoomInfo Tax Group exercises its right to terminate one or both tax receivable agreements for an amount based on the agreed payments remaining to be made under the agreement, (ii) ZoomInfo Tax Group breaches any of its material obligations under one or both tax receivable agreements in which case all obligations (including any additional interest due relating to any deferred payments) generally will be accelerated and due as if ZoomInfo Tax Group had exercised its right to terminate the tax receivable agreements, or (iii) there is a change of control of ZoomInfo Tax Group,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our blended federal and state tax rate, the amount and timing of our income and deductions, and situations where no net benefit is received from the tax 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expect that as a result of the size of the ZoomInfo Tax Group’s allocable share of existing tax basis acquired in the IPO, the increase in the ZoomInfo Tax Group’s allocable share of existing tax basis and the tax basis adjustment of the tangible and intangible assets of the ZoomInfo Tax Group upon the exchange of units of ZoomInfo Holdings LLC for shares of common stock and our expected utilization of certain tax attributes, the payments that ZoomInfo Tax Group may make under the tax receivable agreements will be substantial. As of December 31, 2025, the Company had a liability of $2,731.9 million related to its projected obligations under the Tax Receivable Agreements in connection with the Reorganization Transactions and units of ZoomInfo Holdings LLC. During the years ended December 31, 2025 and 2024, $23.6 million and $94.0 million, was paid to TRA holders pursuant to the Tax Receivable Agreements, respectively. The payments under the tax receivable agreements are not conditioned upon continued ownership of us by the exchanging holders of units of ZoomInfo Holdings LLC. Refer to Note 15 - Tax Receivable Agreements of our audited consolidated financial statements included in Part II, Item 8 of this Form 10-K for additional information.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material contractual obligations as of December 31, 2025 and the years in which these obligations are due: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8"/>
                <w:szCs w:val="18"/>
                <w:b w:val="1"/>
                <w:bCs w:val="1"/>
                <w:color w:val="auto"/>
                <w:w w:val="97"/>
              </w:rPr>
              <w:t>Less than one</w:t>
            </w:r>
          </w:p>
        </w:tc>
        <w:tc>
          <w:tcPr>
            <w:tcW w:w="140" w:type="dxa"/>
            <w:vAlign w:val="bottom"/>
          </w:tcPr>
          <w:p>
            <w:pPr>
              <w:spacing w:after="0"/>
              <w:rPr>
                <w:sz w:val="14"/>
                <w:szCs w:val="14"/>
                <w:color w:val="auto"/>
              </w:rPr>
            </w:pPr>
          </w:p>
        </w:tc>
        <w:tc>
          <w:tcPr>
            <w:tcW w:w="1260" w:type="dxa"/>
            <w:vAlign w:val="bottom"/>
            <w:gridSpan w:val="2"/>
          </w:tcPr>
          <w:p>
            <w:pPr>
              <w:ind w:left="40"/>
              <w:spacing w:after="0" w:line="165" w:lineRule="exact"/>
              <w:rPr>
                <w:sz w:val="20"/>
                <w:szCs w:val="20"/>
                <w:color w:val="auto"/>
              </w:rPr>
            </w:pPr>
            <w:r>
              <w:rPr>
                <w:rFonts w:ascii="Times New Roman" w:cs="Times New Roman" w:eastAsia="Times New Roman" w:hAnsi="Times New Roman"/>
                <w:sz w:val="18"/>
                <w:szCs w:val="18"/>
                <w:b w:val="1"/>
                <w:bCs w:val="1"/>
                <w:color w:val="auto"/>
              </w:rPr>
              <w:t>One to three</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8"/>
                <w:szCs w:val="18"/>
                <w:b w:val="1"/>
                <w:bCs w:val="1"/>
                <w:color w:val="auto"/>
                <w:w w:val="97"/>
              </w:rPr>
              <w:t>Three to five</w:t>
            </w:r>
          </w:p>
        </w:tc>
        <w:tc>
          <w:tcPr>
            <w:tcW w:w="120" w:type="dxa"/>
            <w:vAlign w:val="bottom"/>
          </w:tcPr>
          <w:p>
            <w:pPr>
              <w:spacing w:after="0"/>
              <w:rPr>
                <w:sz w:val="14"/>
                <w:szCs w:val="14"/>
                <w:color w:val="auto"/>
              </w:rPr>
            </w:pPr>
          </w:p>
        </w:tc>
        <w:tc>
          <w:tcPr>
            <w:tcW w:w="1180" w:type="dxa"/>
            <w:vAlign w:val="bottom"/>
          </w:tcPr>
          <w:p>
            <w:pPr>
              <w:jc w:val="right"/>
              <w:ind w:right="72"/>
              <w:spacing w:after="0" w:line="165" w:lineRule="exact"/>
              <w:rPr>
                <w:sz w:val="20"/>
                <w:szCs w:val="20"/>
                <w:color w:val="auto"/>
              </w:rPr>
            </w:pPr>
            <w:r>
              <w:rPr>
                <w:rFonts w:ascii="Times New Roman" w:cs="Times New Roman" w:eastAsia="Times New Roman" w:hAnsi="Times New Roman"/>
                <w:sz w:val="18"/>
                <w:szCs w:val="18"/>
                <w:b w:val="1"/>
                <w:bCs w:val="1"/>
                <w:color w:val="auto"/>
                <w:w w:val="99"/>
              </w:rPr>
              <w:t>Greater than</w:t>
            </w:r>
          </w:p>
        </w:tc>
        <w:tc>
          <w:tcPr>
            <w:tcW w:w="0" w:type="dxa"/>
            <w:vAlign w:val="bottom"/>
          </w:tcPr>
          <w:p>
            <w:pPr>
              <w:spacing w:after="0"/>
              <w:rPr>
                <w:sz w:val="1"/>
                <w:szCs w:val="1"/>
                <w:color w:val="auto"/>
              </w:rPr>
            </w:pP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8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4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20" w:type="dxa"/>
            <w:vAlign w:val="bottom"/>
          </w:tcPr>
          <w:p>
            <w:pPr>
              <w:spacing w:after="0"/>
              <w:rPr>
                <w:sz w:val="20"/>
                <w:szCs w:val="20"/>
                <w:color w:val="auto"/>
              </w:rPr>
            </w:pPr>
          </w:p>
        </w:tc>
        <w:tc>
          <w:tcPr>
            <w:tcW w:w="11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five years</w:t>
            </w:r>
          </w:p>
        </w:tc>
        <w:tc>
          <w:tcPr>
            <w:tcW w:w="0" w:type="dxa"/>
            <w:vAlign w:val="bottom"/>
          </w:tcPr>
          <w:p>
            <w:pPr>
              <w:spacing w:after="0"/>
              <w:rPr>
                <w:sz w:val="1"/>
                <w:szCs w:val="1"/>
                <w:color w:val="auto"/>
              </w:rPr>
            </w:pPr>
          </w:p>
        </w:tc>
      </w:tr>
      <w:tr>
        <w:trPr>
          <w:trHeight w:val="218"/>
        </w:trPr>
        <w:tc>
          <w:tcPr>
            <w:tcW w:w="4320" w:type="dxa"/>
            <w:vAlign w:val="bottom"/>
            <w:tcBorders>
              <w:top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Long-term indebtedness</w:t>
            </w:r>
            <w:r>
              <w:rPr>
                <w:rFonts w:ascii="Times New Roman" w:cs="Times New Roman" w:eastAsia="Times New Roman" w:hAnsi="Times New Roman"/>
                <w:sz w:val="22"/>
                <w:szCs w:val="22"/>
                <w:color w:val="auto"/>
                <w:vertAlign w:val="superscript"/>
              </w:rPr>
              <w:t>(1)</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3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2"/>
                <w:szCs w:val="22"/>
                <w:color w:val="auto"/>
                <w:vertAlign w:val="superscript"/>
              </w:rPr>
              <w:t>(2)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0" w:type="dxa"/>
            <w:vAlign w:val="bottom"/>
          </w:tcPr>
          <w:p>
            <w:pPr>
              <w:spacing w:after="0"/>
              <w:rPr>
                <w:sz w:val="1"/>
                <w:szCs w:val="1"/>
                <w:color w:val="auto"/>
              </w:rPr>
            </w:pPr>
          </w:p>
        </w:tc>
      </w:tr>
      <w:tr>
        <w:trPr>
          <w:trHeight w:val="225"/>
        </w:trPr>
        <w:tc>
          <w:tcPr>
            <w:tcW w:w="43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p>
    <w:p>
      <w:pPr>
        <w:jc w:val="both"/>
        <w:ind w:left="320" w:hanging="314"/>
        <w:spacing w:after="0" w:line="247" w:lineRule="auto"/>
        <w:tabs>
          <w:tab w:leader="none" w:pos="3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future principal payments on long-term indebtedness through the scheduled maturity dates thereof. Indebtedness is discussed in Note 6 - Financing Arrangements of our audited consolidated financial statements included in Part II, Item 8 of this Form 10-K. Interest incurred on amounts we borrow is based on relative borrowing levels, fluctuations in the variable interest rates, and the spread we pay over those interest rates. As such, we are unable to quantify our future obligations relating to interest and therefore no amounts have been included in the above table.</w:t>
      </w:r>
    </w:p>
    <w:p>
      <w:pPr>
        <w:spacing w:after="0" w:line="2"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future payments on existing operating leases, including future tenant improvement allowance reimbursements through the scheduled expiration dates thereof.</w:t>
      </w:r>
    </w:p>
    <w:p>
      <w:pPr>
        <w:spacing w:after="0" w:line="10"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third-party cloud hosting and software as a service arrangements.</w:t>
      </w:r>
    </w:p>
    <w:p>
      <w:pPr>
        <w:spacing w:after="0" w:line="13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amounts included in the table above represent agreements that are enforceable and legally binding. Any obligations under contracts that we can cancel without significant penalty are not included here, because the ultimate timing of these liabilities cannot be determined; therefore, we have excluded these amounts from the contractual obligations table above. Purchase orders issued in the ordinary course of business are not included in the table above as they represent authorizations to purchase the items rather than binding agreements. However, if such claims arise in the future, they could have a material effect on our financial condition, results of operations, and cash flows.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payments that we may be required to make under the tax receivable agreements that we entered into may be significant and are not reflected in the contractual obligations tables set forth above, as we are currently unable to estimate the amounts and timing of the payments that may be due thereunder.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accounting principles generally accepted in the United States of America (“U.S. GAAP”). Our critical accounting policies are those that we believe have the most significant impact to the presentation of our financial condition and results of operations and that require the most difficult, subjective, or complex judgments. In many cases, the accounting treatment of a transaction is specifically dictated by U.S. GAAP with no need for the application of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certain circumstances, however, 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1 - Business, Basis of Presentation, and Summary of Significant Accounting Policies of our audited consolidated financial statements included in Part II, Item 8 of this Form 10-K, we believe the following topics reflect our critical accounting policies and our more significant judgment and estimates used in the preparation of our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our IPO, we entered into two Tax Receivable Agreements with certain non-controlling interest holders (the “TRA Holders”). The TRAs generally provide for payment by the Company to the TRA Holders of 85% of the net cash savings, if any, in U.S. federal, state and local income tax or franchise tax based on income that the Company actually realizes or is deemed to realize in certain circumstances. The Company will retain the benefit of the remaining 15% of these net cash savings.</w:t>
      </w:r>
    </w:p>
    <w:p>
      <w:pPr>
        <w:spacing w:after="0" w:line="12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We account for amounts payable under the TRA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Amounts payable under the TRA are accrued by a charge to income when it is probable that a liability has been incurred and the amount is estimable. As such, subsequent changes to the measurement of the TRA liability are recognized in the Consolidated Statements of Operations as a component of </w:t>
      </w: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 net</w:t>
      </w:r>
      <w:r>
        <w:rPr>
          <w:rFonts w:ascii="Times New Roman" w:cs="Times New Roman" w:eastAsia="Times New Roman" w:hAnsi="Times New Roman"/>
          <w:sz w:val="18"/>
          <w:szCs w:val="18"/>
          <w:color w:val="auto"/>
        </w:rPr>
        <w:t>. Refer to Note 15 - Tax Receivable Agreements of our audited consolidated financial statements included in Part II, Item 8 of this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ZoomInfo Technologies Inc. is a corporation, and it and its U.S. affiliates are subject to U.S. federal and state income tax. Additionally, our operations in Canada, India, Ireland, Israel, and the U.K. are subject to local country income taxes.</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temporary differences between the financial statement and tax basis of assets and liabilities. Deferred tax assets and liabilities are measured using enacted tax rates in effect for the year in which the differences are expected to reverse. The effect on deferred tax assets and liabilities of a change in tax law is recognized in the Consolidated Statements of Operations in the period that includes the enactment date.</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reviews all available evidence to evaluate the realizability of its deferred tax assets, including consideration of both positive and negative evidence,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 Our judgment regarding future profitability may change due to many factors, including future market conditions and the ability to successfully execute our business plans and tax planning strategies. If there is a change in our ability to recover certain deferred tax assets, our income tax provision would increase or decrease in the period in which the assessment is changed.</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the tax benefit of an uncertain tax position only if it is more likely than not that the position is sustainable upon examination by the taxing authority, based solely on its technical merits. The tax benefit recognized is measured as the largest amount of benefit which is greater than 50 percent likely to be realized upon settlement with the taxing authority. The Company recognizes interest and penalties within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on the Consolidated Statements of Operations. Refer to Note 16 - Income Taxes of our audited consolidated financial statements included in Part II, Item 8 of this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Refer to Note 1 - Business, Basis of Presentation, and Summary of Significant Accounting Policies of our audited consolidated financial statements included in Part II, Item 8 of this Form 10-K regarding recently issued and adopted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operations in the United States and internationally, and we are exposed to market risk in the ordinary course of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do not believe that inflation has had a material direct effect on our business, financial condition, or results of operations. Our business, financial condition, or results of operations may be impacted by macroeconomic conditions, including underlying factors such as inflation. See “Risk Factors - Risks Related to Geopolitical and Macroeconomic Factors” in Part I, Item 1A of this Form 10-K for further discussion of the possible impact of these issues on our business.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operating results are subject to market risk from interest rate fluctuations on both our First Lien Term Loan and First Lien Revolving Credit Facility, which bear a variable interest rate based on SOFR. As of December 31, 2025, the total principal balance outstanding on our First Lien Term Loan was $582.2 million. We have implemented a hedging strategy to mitigate the interest rate risk on our First Lien Term Loan by entering into certain derivative instruments (refer to Note 7 - Derivatives and Hedging Activities of our audited consolidated financial statements included in Part II, Item 8 of this Form 10-K). Based on the outstanding balances and interest rates of our debt as of December 31, 2025, a hypothetical relative increase or decrease in our effective interest rate by 100 basis points or 1% would have caused an immaterial corresponding change over the next 12 months.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Additionally, from time to time, we have dedesignated certain cash flow hedging relationships due to repricing of the terms and partial prepayment of the outstanding principal of our First Lien Term Loan since loan inception. As of December 31, 2025, all cash flow hedging relationships are designated as accounting hedges.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Subsequent to December 31, 2025, our interest rate swaps matured, increasing our exposure to interest rate variability. While we may enter into new hedging arrangements in the future, to the extent we do not hedge our interest rate exposure, our interest expense will fluctuate based on changes in market interest rates, which could adversely affect our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date, our sales contracts have primarily been denominated in U.S. dollars. We have foreign entities established in Israel, Canada, the United Kingdom, Ireland, and India. The functional currency of these foreign subsidiaries is the U.S. dollar. A stronger U.S. dollar could make our solution more expensive outside the United States and therefore reduce demand, while a weaker U.S. dollar could have the opposite effect. Such economic exposure to currency fluctuations is difficult to measure or predict because our sales are influenced by many factors in addition to the impact of currency fluctuations.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manage the foreign currency exchange rate risk and to reduce the volatility associated with the fluctuation of foreign currencies, we may use foreign exchange forward contracts or other financial instruments from time to time. In the second quarter of 2025, the Company re-initiated a foreign currency hedging program (see Note 7 - Derivatives and Hedging Activities of our audited consolidated financial statements included in Part II, Item 8 of this Form 10-K). This program aimed to mitigate potential adverse effects on our financial results from significant currency movements.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w:t>
      </w:r>
      <w:r>
        <w:rPr>
          <w:rFonts w:ascii="Times New Roman" w:cs="Times New Roman" w:eastAsia="Times New Roman" w:hAnsi="Times New Roman"/>
          <w:sz w:val="18"/>
          <w:szCs w:val="18"/>
          <w:i w:val="1"/>
          <w:iCs w:val="1"/>
          <w:color w:val="auto"/>
        </w:rPr>
        <w:t>Other (income) loss, net</w:t>
      </w:r>
      <w:r>
        <w:rPr>
          <w:rFonts w:ascii="Times New Roman" w:cs="Times New Roman" w:eastAsia="Times New Roman" w:hAnsi="Times New Roman"/>
          <w:sz w:val="18"/>
          <w:szCs w:val="18"/>
          <w:color w:val="auto"/>
        </w:rPr>
        <w:t xml:space="preserve"> on our Consolidated Statements of Operations. Although the impact of currency fluctuations on our financial results has been immaterial in the past and we believe that for the reasons cited above, currency fluctuations will not be significant in the future, there can be no guarantee that the impact of currency fluctuations or our hedging activities will not be material in the future.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investments, and trade and other receivables. We hold cash with reputable financial institutions that often exceed federally insured limits. We manage our credit risk by concentrating our cash deposits with multiple high-quality financial institutions and periodically evaluating the credit quality of those institutions. The carrying value of cash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7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0"/>
                <w:szCs w:val="20"/>
                <w:color w:val="auto"/>
              </w:rPr>
            </w:pPr>
          </w:p>
        </w:tc>
      </w:tr>
      <w:tr>
        <w:trPr>
          <w:trHeight w:val="371"/>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8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of ZoomInfo Technologies Inc. and Subsidiaries</w:t>
            </w:r>
          </w:p>
        </w:tc>
        <w:tc>
          <w:tcPr>
            <w:tcW w:w="180" w:type="dxa"/>
            <w:vAlign w:val="bottom"/>
          </w:tcPr>
          <w:p>
            <w:pPr>
              <w:spacing w:after="0"/>
              <w:rPr>
                <w:sz w:val="24"/>
                <w:szCs w:val="24"/>
                <w:color w:val="auto"/>
              </w:rPr>
            </w:pPr>
          </w:p>
        </w:tc>
      </w:tr>
      <w:tr>
        <w:trPr>
          <w:trHeight w:val="449"/>
        </w:trPr>
        <w:tc>
          <w:tcPr>
            <w:tcW w:w="20" w:type="dxa"/>
            <w:vAlign w:val="bottom"/>
          </w:tcPr>
          <w:p>
            <w:pPr>
              <w:spacing w:after="0"/>
              <w:rPr>
                <w:sz w:val="24"/>
                <w:szCs w:val="24"/>
                <w:color w:val="auto"/>
              </w:rPr>
            </w:pPr>
          </w:p>
        </w:tc>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(KPMG LLP; Portland, Oregon; Auditor Firm ID: 185)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3051F2"/>
                <w:w w:val="88"/>
              </w:rPr>
              <w:t>67</w:t>
            </w:r>
          </w:p>
        </w:tc>
      </w:tr>
      <w:tr>
        <w:trPr>
          <w:trHeight w:val="205"/>
        </w:trPr>
        <w:tc>
          <w:tcPr>
            <w:tcW w:w="20" w:type="dxa"/>
            <w:vAlign w:val="bottom"/>
          </w:tcPr>
          <w:p>
            <w:pPr>
              <w:spacing w:after="0"/>
              <w:rPr>
                <w:sz w:val="17"/>
                <w:szCs w:val="17"/>
                <w:color w:val="auto"/>
              </w:rPr>
            </w:pPr>
          </w:p>
        </w:tc>
        <w:tc>
          <w:tcPr>
            <w:tcW w:w="2060" w:type="dxa"/>
            <w:vAlign w:val="bottom"/>
            <w:tcBorders>
              <w:top w:val="single" w:sz="8" w:color="0000FF"/>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2080" w:type="dxa"/>
            <w:vAlign w:val="bottom"/>
            <w:tcBorders>
              <w:top w:val="single" w:sz="8" w:color="0000FF"/>
            </w:tcBorders>
            <w:gridSpan w:val="5"/>
          </w:tcPr>
          <w:p>
            <w:pPr>
              <w:spacing w:after="0"/>
              <w:rPr>
                <w:sz w:val="17"/>
                <w:szCs w:val="17"/>
                <w:color w:val="auto"/>
              </w:rPr>
            </w:pPr>
          </w:p>
        </w:tc>
        <w:tc>
          <w:tcPr>
            <w:tcW w:w="6540" w:type="dxa"/>
            <w:vAlign w:val="bottom"/>
            <w:gridSpan w:val="2"/>
          </w:tcPr>
          <w:p>
            <w:pPr>
              <w:spacing w:after="0"/>
              <w:rPr>
                <w:sz w:val="17"/>
                <w:szCs w:val="17"/>
                <w:color w:val="auto"/>
              </w:rPr>
            </w:pPr>
          </w:p>
        </w:tc>
        <w:tc>
          <w:tcPr>
            <w:tcW w:w="180" w:type="dxa"/>
            <w:vAlign w:val="bottom"/>
            <w:tcBorders>
              <w:top w:val="single" w:sz="8" w:color="3051F2"/>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70</w:t>
            </w:r>
          </w:p>
        </w:tc>
      </w:tr>
      <w:tr>
        <w:trPr>
          <w:trHeight w:val="205"/>
        </w:trPr>
        <w:tc>
          <w:tcPr>
            <w:tcW w:w="20" w:type="dxa"/>
            <w:vAlign w:val="bottom"/>
          </w:tcPr>
          <w:p>
            <w:pPr>
              <w:spacing w:after="0"/>
              <w:rPr>
                <w:sz w:val="17"/>
                <w:szCs w:val="17"/>
                <w:color w:val="auto"/>
              </w:rPr>
            </w:pPr>
          </w:p>
        </w:tc>
        <w:tc>
          <w:tcPr>
            <w:tcW w:w="1068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71</w:t>
            </w:r>
          </w:p>
        </w:tc>
      </w:tr>
      <w:tr>
        <w:trPr>
          <w:trHeight w:val="20"/>
        </w:trPr>
        <w:tc>
          <w:tcPr>
            <w:tcW w:w="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68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Comprehensive Income</w:t>
            </w:r>
          </w:p>
        </w:tc>
        <w:tc>
          <w:tcPr>
            <w:tcW w:w="7000" w:type="dxa"/>
            <w:vAlign w:val="bottom"/>
            <w:gridSpan w:val="3"/>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72</w:t>
            </w:r>
          </w:p>
        </w:tc>
      </w:tr>
      <w:tr>
        <w:trPr>
          <w:trHeight w:val="205"/>
        </w:trPr>
        <w:tc>
          <w:tcPr>
            <w:tcW w:w="20" w:type="dxa"/>
            <w:vAlign w:val="bottom"/>
          </w:tcPr>
          <w:p>
            <w:pPr>
              <w:spacing w:after="0"/>
              <w:rPr>
                <w:sz w:val="17"/>
                <w:szCs w:val="17"/>
                <w:color w:val="auto"/>
              </w:rPr>
            </w:pPr>
          </w:p>
        </w:tc>
        <w:tc>
          <w:tcPr>
            <w:tcW w:w="430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Changes in Stockholders' Equity</w:t>
            </w:r>
          </w:p>
        </w:tc>
        <w:tc>
          <w:tcPr>
            <w:tcW w:w="6380" w:type="dxa"/>
            <w:vAlign w:val="bottom"/>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73</w:t>
            </w:r>
          </w:p>
        </w:tc>
      </w:tr>
      <w:tr>
        <w:trPr>
          <w:trHeight w:val="205"/>
        </w:trPr>
        <w:tc>
          <w:tcPr>
            <w:tcW w:w="20" w:type="dxa"/>
            <w:vAlign w:val="bottom"/>
          </w:tcPr>
          <w:p>
            <w:pPr>
              <w:spacing w:after="0"/>
              <w:rPr>
                <w:sz w:val="17"/>
                <w:szCs w:val="17"/>
                <w:color w:val="auto"/>
              </w:rPr>
            </w:pPr>
          </w:p>
        </w:tc>
        <w:tc>
          <w:tcPr>
            <w:tcW w:w="282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7860" w:type="dxa"/>
            <w:vAlign w:val="bottom"/>
            <w:gridSpan w:val="5"/>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74</w:t>
            </w:r>
          </w:p>
        </w:tc>
      </w:tr>
      <w:tr>
        <w:trPr>
          <w:trHeight w:val="205"/>
        </w:trPr>
        <w:tc>
          <w:tcPr>
            <w:tcW w:w="20" w:type="dxa"/>
            <w:vAlign w:val="bottom"/>
          </w:tcPr>
          <w:p>
            <w:pPr>
              <w:spacing w:after="0"/>
              <w:rPr>
                <w:sz w:val="17"/>
                <w:szCs w:val="17"/>
                <w:color w:val="auto"/>
              </w:rPr>
            </w:pPr>
          </w:p>
        </w:tc>
        <w:tc>
          <w:tcPr>
            <w:tcW w:w="310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7580" w:type="dxa"/>
            <w:vAlign w:val="bottom"/>
            <w:gridSpan w:val="4"/>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ZoomInfo Technologies Inc.:</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ZoomInfo Technologies Inc. and subsidiaries (the Company) as of December 31, 2025 and 2024, the related consolidated statements of operations, comprehensive income, changes in stockholders’ equity,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issued by the Committee of Sponsoring Organizations of the Treadway Commission.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Evaluation of the realizability of deferred tax assets</w:t>
      </w:r>
    </w:p>
    <w:p>
      <w:pPr>
        <w:spacing w:after="0" w:line="166"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As discussed in Note 16 to the consolidated financial statements, at December 31, 2025, the Company had deferred tax assets of $3,753.3 million. These deferred tax assets consist primarily of $2,911.4 million of deductible temporary differences related to goodwill. The Company recognizes deferred tax assets to the extent it is more likely than not that the assets will be realized. The Company considered positive and negative evidence, including future reversals of existing taxable temporary differences, projected future taxable income, tax planning strategies, and recent results of operations.</w:t>
      </w:r>
    </w:p>
    <w:p>
      <w:pPr>
        <w:spacing w:after="0" w:line="132"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We identified the evaluation of the realizability of deferred tax assets as a critical audit matter. The evaluation of the realizability of deferred tax assets required subjective auditor judgment to assess the projections of future taxable income, over the periods in which those temporary differences become deductible.</w:t>
      </w:r>
    </w:p>
    <w:p>
      <w:pPr>
        <w:spacing w:after="0" w:line="125"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assessing the realizability of deferred tax assets, including controls related to the Company’s evaluation of forecasts used to project future taxable income. We evaluated the Company’s forecast of future taxable income by (1) comparing the Company’s historical operating results against the forecast, and (2) assessing the nature and duration of the non-cash deductions giving rise to the deferred tax assets. We performed a sensitivity analysis to assess the impact of reasonably possible changes in the projected future taxable income, including changes to projected revenue growth rates, on the Company’s determination of the realizability of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color w:val="auto"/>
        </w:rPr>
        <w:t>/s/ KPMG LLP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Portland, Oregon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millions, except shares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r>
      <w:tr>
        <w:trPr>
          <w:trHeight w:val="218"/>
        </w:trPr>
        <w:tc>
          <w:tcPr>
            <w:tcW w:w="80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80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r>
      <w:tr>
        <w:trPr>
          <w:trHeight w:val="225"/>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18"/>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r>
      <w:tr>
        <w:trPr>
          <w:trHeight w:val="86"/>
        </w:trPr>
        <w:tc>
          <w:tcPr>
            <w:tcW w:w="8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1,692.7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3,662.3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3,717.6</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19"/>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6,439.5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6,467.6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3"/>
        </w:trPr>
        <w:tc>
          <w:tcPr>
            <w:tcW w:w="80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 current portion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tax receivable agreements liability</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8"/>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w:t>
            </w:r>
          </w:p>
        </w:tc>
      </w:tr>
      <w:tr>
        <w:trPr>
          <w:trHeight w:val="86"/>
        </w:trPr>
        <w:tc>
          <w:tcPr>
            <w:tcW w:w="80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Unearned revenue, net of current portion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receivable agreements liability, net of current portion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2,731.9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2,740.2</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1,318.1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8"/>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4,930.8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4,774.1</w:t>
            </w:r>
          </w:p>
        </w:tc>
      </w:tr>
      <w:tr>
        <w:trPr>
          <w:trHeight w:val="86"/>
        </w:trPr>
        <w:tc>
          <w:tcPr>
            <w:tcW w:w="80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06"/>
        </w:trPr>
        <w:tc>
          <w:tcPr>
            <w:tcW w:w="80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72"/>
        </w:trPr>
        <w:tc>
          <w:tcPr>
            <w:tcW w:w="802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Common stock, par value $0.01; 3,300,000,000 shares authorized as of December 31, 2025 and 2024;</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38"/>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307,293,985 and 342,027,974 issued and outstanding as of December 31, 2025 and 2024, respectively</w:t>
            </w: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172"/>
        </w:trPr>
        <w:tc>
          <w:tcPr>
            <w:tcW w:w="802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Preferred stock, par value $0.01; 200,000,000 shares authorized as of December 31, 2025 and 2024; zero</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issued and outstanding as of December 31, 2025 and 2024</w:t>
            </w:r>
          </w:p>
        </w:tc>
        <w:tc>
          <w:tcPr>
            <w:tcW w:w="9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 (“APIC”)</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1,068.1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(“AOCI”)</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r>
      <w:tr>
        <w:trPr>
          <w:trHeight w:val="219"/>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1,508.7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1,693.5</w:t>
            </w:r>
          </w:p>
        </w:tc>
      </w:tr>
      <w:tr>
        <w:trPr>
          <w:trHeight w:val="243"/>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6,439.5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6,467.6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millions, except per share amounts)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r>
      <w:tr>
        <w:trPr>
          <w:trHeight w:val="218"/>
        </w:trPr>
        <w:tc>
          <w:tcPr>
            <w:tcW w:w="320" w:type="dxa"/>
            <w:vAlign w:val="bottom"/>
            <w:tcBorders>
              <w:bottom w:val="single" w:sz="8" w:color="CCEEFF"/>
            </w:tcBorders>
          </w:tcPr>
          <w:p>
            <w:pPr>
              <w:spacing w:after="0"/>
              <w:rPr>
                <w:sz w:val="19"/>
                <w:szCs w:val="19"/>
                <w:color w:val="auto"/>
              </w:rPr>
            </w:pPr>
          </w:p>
        </w:tc>
        <w:tc>
          <w:tcPr>
            <w:tcW w:w="57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r>
      <w:tr>
        <w:trPr>
          <w:trHeight w:val="218"/>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1,239.5</w:t>
            </w:r>
          </w:p>
        </w:tc>
      </w:tr>
      <w:tr>
        <w:trPr>
          <w:trHeight w:val="225"/>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6040" w:type="dxa"/>
            <w:vAlign w:val="bottom"/>
            <w:gridSpan w:val="2"/>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2"/>
                <w:szCs w:val="22"/>
                <w:color w:val="auto"/>
                <w:vertAlign w:val="superscript"/>
              </w:rPr>
              <w:t>(1)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139.4</w:t>
            </w:r>
          </w:p>
        </w:tc>
      </w:tr>
      <w:tr>
        <w:trPr>
          <w:trHeight w:val="225"/>
        </w:trPr>
        <w:tc>
          <w:tcPr>
            <w:tcW w:w="6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39.1</w:t>
            </w:r>
          </w:p>
        </w:tc>
      </w:tr>
      <w:tr>
        <w:trPr>
          <w:trHeight w:val="218"/>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1,061.0</w:t>
            </w:r>
          </w:p>
        </w:tc>
      </w:tr>
      <w:tr>
        <w:trPr>
          <w:trHeight w:val="225"/>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6040" w:type="dxa"/>
            <w:vAlign w:val="bottom"/>
            <w:gridSpan w:val="2"/>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408.5</w:t>
            </w:r>
          </w:p>
        </w:tc>
      </w:tr>
      <w:tr>
        <w:trPr>
          <w:trHeight w:val="225"/>
        </w:trPr>
        <w:tc>
          <w:tcPr>
            <w:tcW w:w="6040" w:type="dxa"/>
            <w:vAlign w:val="bottom"/>
            <w:gridSpan w:val="2"/>
          </w:tcPr>
          <w:p>
            <w:pPr>
              <w:ind w:left="220"/>
              <w:spacing w:after="0" w:line="225"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191.5</w:t>
            </w:r>
          </w:p>
        </w:tc>
      </w:tr>
      <w:tr>
        <w:trPr>
          <w:trHeight w:val="225"/>
        </w:trPr>
        <w:tc>
          <w:tcPr>
            <w:tcW w:w="6040" w:type="dxa"/>
            <w:vAlign w:val="bottom"/>
            <w:gridSpan w:val="2"/>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179.6</w:t>
            </w:r>
          </w:p>
        </w:tc>
      </w:tr>
      <w:tr>
        <w:trPr>
          <w:trHeight w:val="225"/>
        </w:trPr>
        <w:tc>
          <w:tcPr>
            <w:tcW w:w="6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r>
      <w:tr>
        <w:trPr>
          <w:trHeight w:val="218"/>
        </w:trPr>
        <w:tc>
          <w:tcPr>
            <w:tcW w:w="320" w:type="dxa"/>
            <w:vAlign w:val="bottom"/>
            <w:shd w:val="clear" w:color="auto" w:fill="CCEEFF"/>
          </w:tcPr>
          <w:p>
            <w:pPr>
              <w:spacing w:after="0"/>
              <w:rPr>
                <w:sz w:val="19"/>
                <w:szCs w:val="19"/>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801.5</w:t>
            </w:r>
          </w:p>
        </w:tc>
      </w:tr>
      <w:tr>
        <w:trPr>
          <w:trHeight w:val="218"/>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259.5</w:t>
            </w:r>
          </w:p>
        </w:tc>
      </w:tr>
      <w:tr>
        <w:trPr>
          <w:trHeight w:val="225"/>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45.2</w:t>
            </w:r>
          </w:p>
        </w:tc>
      </w:tr>
      <w:tr>
        <w:trPr>
          <w:trHeight w:val="225"/>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225"/>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(178.8)</w:t>
            </w:r>
          </w:p>
        </w:tc>
      </w:tr>
      <w:tr>
        <w:trPr>
          <w:trHeight w:val="21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388.8</w:t>
            </w:r>
          </w:p>
        </w:tc>
      </w:tr>
      <w:tr>
        <w:trPr>
          <w:trHeight w:val="225"/>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281.5</w:t>
            </w:r>
          </w:p>
        </w:tc>
      </w:tr>
      <w:tr>
        <w:trPr>
          <w:trHeight w:val="192"/>
        </w:trPr>
        <w:tc>
          <w:tcPr>
            <w:tcW w:w="6040" w:type="dxa"/>
            <w:vAlign w:val="bottom"/>
            <w:gridSpan w:val="2"/>
          </w:tcPr>
          <w:p>
            <w:pPr>
              <w:ind w:left="220"/>
              <w:spacing w:after="0" w:line="192"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Pr>
          <w:p>
            <w:pPr>
              <w:spacing w:after="0"/>
              <w:rPr>
                <w:sz w:val="16"/>
                <w:szCs w:val="16"/>
                <w:color w:val="auto"/>
              </w:rPr>
            </w:pPr>
          </w:p>
        </w:tc>
        <w:tc>
          <w:tcPr>
            <w:tcW w:w="2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gridSpan w:val="4"/>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124.2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29.1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gridSpan w:val="2"/>
          </w:tcPr>
          <w:p>
            <w:pPr>
              <w:jc w:val="right"/>
              <w:ind w:right="60"/>
              <w:spacing w:after="0" w:line="192" w:lineRule="exact"/>
              <w:rPr>
                <w:sz w:val="20"/>
                <w:szCs w:val="20"/>
                <w:color w:val="auto"/>
              </w:rPr>
            </w:pPr>
            <w:r>
              <w:rPr>
                <w:rFonts w:ascii="Times New Roman" w:cs="Times New Roman" w:eastAsia="Times New Roman" w:hAnsi="Times New Roman"/>
                <w:sz w:val="18"/>
                <w:szCs w:val="18"/>
                <w:b w:val="1"/>
                <w:bCs w:val="1"/>
                <w:color w:val="auto"/>
              </w:rPr>
              <w:t>107.3</w:t>
            </w: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65"/>
        </w:trPr>
        <w:tc>
          <w:tcPr>
            <w:tcW w:w="320" w:type="dxa"/>
            <w:vAlign w:val="bottom"/>
            <w:shd w:val="clear" w:color="auto" w:fill="CCEEFF"/>
          </w:tcPr>
          <w:p>
            <w:pPr>
              <w:spacing w:after="0"/>
              <w:rPr>
                <w:sz w:val="14"/>
                <w:szCs w:val="14"/>
                <w:color w:val="auto"/>
              </w:rPr>
            </w:pPr>
          </w:p>
        </w:tc>
        <w:tc>
          <w:tcPr>
            <w:tcW w:w="5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r>
      <w:tr>
        <w:trPr>
          <w:trHeight w:val="225"/>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per share of common stock:</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5"/>
        </w:trPr>
        <w:tc>
          <w:tcPr>
            <w:tcW w:w="320" w:type="dxa"/>
            <w:vAlign w:val="bottom"/>
            <w:shd w:val="clear" w:color="auto" w:fill="CCEEFF"/>
          </w:tcPr>
          <w:p>
            <w:pPr>
              <w:spacing w:after="0"/>
              <w:rPr>
                <w:sz w:val="19"/>
                <w:szCs w:val="19"/>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0.27</w:t>
            </w:r>
          </w:p>
        </w:tc>
      </w:tr>
      <w:tr>
        <w:trPr>
          <w:trHeight w:val="266"/>
        </w:trPr>
        <w:tc>
          <w:tcPr>
            <w:tcW w:w="320" w:type="dxa"/>
            <w:vAlign w:val="bottom"/>
          </w:tcPr>
          <w:p>
            <w:pPr>
              <w:spacing w:after="0"/>
              <w:rPr>
                <w:sz w:val="23"/>
                <w:szCs w:val="23"/>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0.27</w:t>
            </w:r>
          </w:p>
        </w:tc>
      </w:tr>
      <w:tr>
        <w:trPr>
          <w:trHeight w:val="422"/>
        </w:trPr>
        <w:tc>
          <w:tcPr>
            <w:tcW w:w="6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8"/>
        </w:trPr>
        <w:tc>
          <w:tcPr>
            <w:tcW w:w="6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Amounts include equity-based compensation expense, as follows: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318"/>
        </w:trPr>
        <w:tc>
          <w:tcPr>
            <w:tcW w:w="3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221"/>
        </w:trPr>
        <w:tc>
          <w:tcPr>
            <w:tcW w:w="320" w:type="dxa"/>
            <w:vAlign w:val="bottom"/>
          </w:tcPr>
          <w:p>
            <w:pPr>
              <w:spacing w:after="0"/>
              <w:rPr>
                <w:sz w:val="19"/>
                <w:szCs w:val="19"/>
                <w:color w:val="auto"/>
              </w:rPr>
            </w:pPr>
          </w:p>
        </w:tc>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Pr>
          <w:p>
            <w:pPr>
              <w:spacing w:after="0"/>
              <w:rPr>
                <w:sz w:val="19"/>
                <w:szCs w:val="19"/>
                <w:color w:val="auto"/>
              </w:rPr>
            </w:pPr>
          </w:p>
        </w:tc>
      </w:tr>
      <w:tr>
        <w:trPr>
          <w:trHeight w:val="221"/>
        </w:trPr>
        <w:tc>
          <w:tcPr>
            <w:tcW w:w="320" w:type="dxa"/>
            <w:vAlign w:val="bottom"/>
          </w:tcPr>
          <w:p>
            <w:pPr>
              <w:spacing w:after="0"/>
              <w:rPr>
                <w:sz w:val="19"/>
                <w:szCs w:val="19"/>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40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4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420" w:type="dxa"/>
            <w:vAlign w:val="bottom"/>
          </w:tcPr>
          <w:p>
            <w:pPr>
              <w:spacing w:after="0"/>
              <w:rPr>
                <w:sz w:val="19"/>
                <w:szCs w:val="19"/>
                <w:color w:val="auto"/>
              </w:rPr>
            </w:pPr>
          </w:p>
        </w:tc>
      </w:tr>
      <w:tr>
        <w:trPr>
          <w:trHeight w:val="236"/>
        </w:trPr>
        <w:tc>
          <w:tcPr>
            <w:tcW w:w="32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420" w:type="dxa"/>
            <w:vAlign w:val="bottom"/>
          </w:tcPr>
          <w:p>
            <w:pPr>
              <w:spacing w:after="0"/>
              <w:rPr>
                <w:sz w:val="20"/>
                <w:szCs w:val="20"/>
                <w:color w:val="auto"/>
              </w:rPr>
            </w:pPr>
          </w:p>
        </w:tc>
      </w:tr>
      <w:tr>
        <w:trPr>
          <w:trHeight w:val="241"/>
        </w:trPr>
        <w:tc>
          <w:tcPr>
            <w:tcW w:w="320" w:type="dxa"/>
            <w:vAlign w:val="bottom"/>
          </w:tcPr>
          <w:p>
            <w:pPr>
              <w:spacing w:after="0"/>
              <w:rPr>
                <w:sz w:val="20"/>
                <w:szCs w:val="20"/>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42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420" w:type="dxa"/>
            <w:vAlign w:val="bottom"/>
          </w:tcPr>
          <w:p>
            <w:pPr>
              <w:spacing w:after="0"/>
              <w:rPr>
                <w:sz w:val="20"/>
                <w:szCs w:val="20"/>
                <w:color w:val="auto"/>
              </w:rPr>
            </w:pPr>
          </w:p>
        </w:tc>
      </w:tr>
      <w:tr>
        <w:trPr>
          <w:trHeight w:val="233"/>
        </w:trPr>
        <w:tc>
          <w:tcPr>
            <w:tcW w:w="320" w:type="dxa"/>
            <w:vAlign w:val="bottom"/>
          </w:tcPr>
          <w:p>
            <w:pPr>
              <w:spacing w:after="0"/>
              <w:rPr>
                <w:sz w:val="19"/>
                <w:szCs w:val="19"/>
                <w:color w:val="auto"/>
              </w:rPr>
            </w:pPr>
          </w:p>
        </w:tc>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equity-based compensation expense</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42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9"/>
        </w:trPr>
        <w:tc>
          <w:tcPr>
            <w:tcW w:w="63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on cash flow hedges</w:t>
            </w:r>
          </w:p>
        </w:tc>
        <w:tc>
          <w:tcPr>
            <w:tcW w:w="104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5"/>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of realized gain on settlement of cash flow hedges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5"/>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losses related to the dedesignated Interest Rate Swap</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8"/>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loss, before tax</w:t>
            </w:r>
          </w:p>
        </w:tc>
        <w:tc>
          <w:tcPr>
            <w:tcW w:w="1040" w:type="dxa"/>
            <w:vAlign w:val="bottom"/>
            <w:tcBorders>
              <w:top w:val="single" w:sz="8" w:color="auto"/>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8"/>
        </w:trPr>
        <w:tc>
          <w:tcPr>
            <w:tcW w:w="6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Tax effect</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9"/>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0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4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i w:val="1"/>
          <w:iCs w:val="1"/>
          <w:color w:val="auto"/>
        </w:rPr>
        <w:t>(in millions, except shares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60" w:type="dxa"/>
            <w:vAlign w:val="bottom"/>
          </w:tcPr>
          <w:p>
            <w:pPr>
              <w:spacing w:after="0"/>
              <w:rPr>
                <w:sz w:val="20"/>
                <w:szCs w:val="20"/>
                <w:color w:val="auto"/>
              </w:rPr>
            </w:pPr>
          </w:p>
        </w:tc>
        <w:tc>
          <w:tcPr>
            <w:tcW w:w="242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vMerge w:val="restart"/>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13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4"/>
                <w:szCs w:val="14"/>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APIC</w:t>
            </w:r>
          </w:p>
        </w:tc>
        <w:tc>
          <w:tcPr>
            <w:tcW w:w="200" w:type="dxa"/>
            <w:vAlign w:val="bottom"/>
          </w:tcPr>
          <w:p>
            <w:pPr>
              <w:spacing w:after="0"/>
              <w:rPr>
                <w:sz w:val="14"/>
                <w:szCs w:val="14"/>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AOCI</w:t>
            </w: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72"/>
              <w:spacing w:after="0" w:line="172"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0" w:type="dxa"/>
            <w:vAlign w:val="bottom"/>
          </w:tcPr>
          <w:p>
            <w:pPr>
              <w:spacing w:after="0"/>
              <w:rPr>
                <w:sz w:val="1"/>
                <w:szCs w:val="1"/>
                <w:color w:val="auto"/>
              </w:rPr>
            </w:pPr>
          </w:p>
        </w:tc>
      </w:tr>
      <w:tr>
        <w:trPr>
          <w:trHeight w:val="219"/>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404,083,262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2,052.1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2,271.8</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4,308,143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related to ESPP</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72"/>
        </w:trPr>
        <w:tc>
          <w:tcPr>
            <w:tcW w:w="406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Shares withheld related to net share settlement and</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(1,279,965)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Forfeitures / cancellations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(22,627,664)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18"/>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384,830,529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1,804.9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2,119.3</w:t>
            </w:r>
          </w:p>
        </w:tc>
        <w:tc>
          <w:tcPr>
            <w:tcW w:w="0" w:type="dxa"/>
            <w:vAlign w:val="bottom"/>
          </w:tcPr>
          <w:p>
            <w:pPr>
              <w:spacing w:after="0"/>
              <w:rPr>
                <w:sz w:val="1"/>
                <w:szCs w:val="1"/>
                <w:color w:val="auto"/>
              </w:rPr>
            </w:pPr>
          </w:p>
        </w:tc>
      </w:tr>
      <w:tr>
        <w:trPr>
          <w:trHeight w:val="219"/>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5,295,543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related to ESPP</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withheld related to net share settlement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Forfeitures / cancellations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(46,801,742)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18"/>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342,027,974</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1,362.9</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312.4</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1,693.5</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6,396,878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withheld related to net share settlement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(668,197)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(40,462,670)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43"/>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307,293,985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1,508.7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jc w:val="center"/>
        <w:spacing w:after="0" w:line="217" w:lineRule="auto"/>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7"/>
        </w:trPr>
        <w:tc>
          <w:tcPr>
            <w:tcW w:w="7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0"/>
        </w:trPr>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29.1</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w:t>
            </w:r>
          </w:p>
        </w:tc>
      </w:tr>
      <w:tr>
        <w:trPr>
          <w:trHeight w:val="214"/>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r>
      <w:tr>
        <w:trPr>
          <w:trHeight w:val="214"/>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discounts and issuance costs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0"/>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deferred commissions costs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r>
      <w:tr>
        <w:trPr>
          <w:trHeight w:val="214"/>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Asset impairments and lease abandonment charges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0"/>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on lease modification</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debt modification and extinguishment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0"/>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w:t>
            </w:r>
          </w:p>
        </w:tc>
      </w:tr>
      <w:tr>
        <w:trPr>
          <w:trHeight w:val="214"/>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w:t>
            </w:r>
          </w:p>
        </w:tc>
      </w:tr>
      <w:tr>
        <w:trPr>
          <w:trHeight w:val="210"/>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receivable agreement remeasurement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w:t>
            </w:r>
          </w:p>
        </w:tc>
      </w:tr>
      <w:tr>
        <w:trPr>
          <w:trHeight w:val="214"/>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for bad debt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210"/>
        </w:trPr>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r>
      <w:tr>
        <w:trPr>
          <w:trHeight w:val="210"/>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4"/>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costs and other assets, net of current portion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r>
      <w:tr>
        <w:trPr>
          <w:trHeight w:val="210"/>
        </w:trPr>
        <w:tc>
          <w:tcPr>
            <w:tcW w:w="7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4"/>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0"/>
        </w:trPr>
        <w:tc>
          <w:tcPr>
            <w:tcW w:w="7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Unearned revenue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07"/>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369.4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w:t>
            </w: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r>
      <w:tr>
        <w:trPr>
          <w:trHeight w:val="214"/>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Maturities of investments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r>
      <w:tr>
        <w:trPr>
          <w:trHeight w:val="210"/>
        </w:trPr>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sales of investments</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4"/>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 and other 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10"/>
        </w:trPr>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Right of use asset initial direct costs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7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11"/>
        </w:trPr>
        <w:tc>
          <w:tcPr>
            <w:tcW w:w="7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213"/>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of deferred consideration</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0"/>
        </w:trPr>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of debt issuance and modification costs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4"/>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 of debt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0"/>
        </w:trPr>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revolving credit loans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0"/>
        </w:trPr>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14"/>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under the ESPP</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0"/>
        </w:trPr>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receivable agreement payments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(400.1)</w:t>
            </w:r>
          </w:p>
        </w:tc>
      </w:tr>
      <w:tr>
        <w:trPr>
          <w:trHeight w:val="210"/>
        </w:trPr>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distributions</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2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(690.0)</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jc w:val="center"/>
        <w:spacing w:after="0" w:line="217" w:lineRule="auto"/>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millions) (continued)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7"/>
        </w:trPr>
        <w:tc>
          <w:tcPr>
            <w:tcW w:w="72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1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149.0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456.2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424.1</w:t>
            </w:r>
          </w:p>
        </w:tc>
      </w:tr>
      <w:tr>
        <w:trPr>
          <w:trHeight w:val="232"/>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185.7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7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2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175.9</w:t>
            </w:r>
          </w:p>
        </w:tc>
        <w:tc>
          <w:tcPr>
            <w:tcW w:w="10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139.9</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w:t>
            </w:r>
          </w:p>
        </w:tc>
      </w:tr>
      <w:tr>
        <w:trPr>
          <w:trHeight w:val="214"/>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 current</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0"/>
        </w:trPr>
        <w:tc>
          <w:tcPr>
            <w:tcW w:w="7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30"/>
        </w:trPr>
        <w:tc>
          <w:tcPr>
            <w:tcW w:w="7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185.7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47"/>
        </w:trPr>
        <w:tc>
          <w:tcPr>
            <w:tcW w:w="7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7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paid in cash</w:t>
            </w:r>
          </w:p>
        </w:tc>
        <w:tc>
          <w:tcPr>
            <w:tcW w:w="82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44.0</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01"/>
        </w:trPr>
        <w:tc>
          <w:tcPr>
            <w:tcW w:w="7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0"/>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Equity-based compensation included in capitalized software</w:t>
            </w: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8"/>
        </w:trPr>
        <w:tc>
          <w:tcPr>
            <w:tcW w:w="7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and equipment included in accounts payable and accrued expenses and other current liabilities</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b w:val="1"/>
          <w:bCs w:val="1"/>
          <w:color w:val="auto"/>
        </w:rPr>
        <w:t>ZoomInfo Technologies Inc. and Subsidiaries</w:t>
      </w:r>
    </w:p>
    <w:p>
      <w:pPr>
        <w:spacing w:after="0" w:line="3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Notes to Audited Consolidated Financial Statements</w:t>
      </w:r>
    </w:p>
    <w:p>
      <w:pPr>
        <w:spacing w:after="0" w:line="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millions, except share/unit data and per share/unit amounts, unless otherwise noted)</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0"/>
              </w:rPr>
              <w:t>Note 1</w:t>
            </w:r>
          </w:p>
        </w:tc>
        <w:tc>
          <w:tcPr>
            <w:tcW w:w="80" w:type="dxa"/>
            <w:vAlign w:val="bottom"/>
          </w:tcPr>
          <w:p>
            <w:pPr>
              <w:spacing w:after="0"/>
              <w:rPr>
                <w:sz w:val="17"/>
                <w:szCs w:val="17"/>
                <w:color w:val="auto"/>
              </w:rPr>
            </w:pPr>
          </w:p>
        </w:tc>
        <w:tc>
          <w:tcPr>
            <w:tcW w:w="10200" w:type="dxa"/>
            <w:vAlign w:val="bottom"/>
            <w:gridSpan w:val="17"/>
          </w:tcPr>
          <w:p>
            <w:pPr>
              <w:ind w:left="640"/>
              <w:spacing w:after="0"/>
              <w:rPr>
                <w:sz w:val="20"/>
                <w:szCs w:val="20"/>
                <w:color w:val="auto"/>
              </w:rPr>
            </w:pPr>
            <w:r>
              <w:rPr>
                <w:rFonts w:ascii="Times New Roman" w:cs="Times New Roman" w:eastAsia="Times New Roman" w:hAnsi="Times New Roman"/>
                <w:sz w:val="18"/>
                <w:szCs w:val="18"/>
                <w:color w:val="0000FF"/>
              </w:rPr>
              <w:t>Basis of Presentation and Summary of Significant Accounting Policies</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3051F2"/>
                <w:w w:val="99"/>
              </w:rPr>
              <w:t>77</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0"/>
              </w:rPr>
              <w:t>Note 2</w:t>
            </w:r>
          </w:p>
        </w:tc>
        <w:tc>
          <w:tcPr>
            <w:tcW w:w="80" w:type="dxa"/>
            <w:vAlign w:val="bottom"/>
          </w:tcPr>
          <w:p>
            <w:pPr>
              <w:spacing w:after="0"/>
              <w:rPr>
                <w:sz w:val="17"/>
                <w:szCs w:val="17"/>
                <w:color w:val="auto"/>
              </w:rPr>
            </w:pPr>
          </w:p>
        </w:tc>
        <w:tc>
          <w:tcPr>
            <w:tcW w:w="10200" w:type="dxa"/>
            <w:vAlign w:val="bottom"/>
            <w:gridSpan w:val="17"/>
          </w:tcPr>
          <w:p>
            <w:pPr>
              <w:ind w:left="640"/>
              <w:spacing w:after="0" w:line="205" w:lineRule="exact"/>
              <w:rPr>
                <w:sz w:val="20"/>
                <w:szCs w:val="20"/>
                <w:color w:val="auto"/>
              </w:rPr>
            </w:pPr>
            <w:r>
              <w:rPr>
                <w:rFonts w:ascii="Times New Roman" w:cs="Times New Roman" w:eastAsia="Times New Roman" w:hAnsi="Times New Roman"/>
                <w:sz w:val="18"/>
                <w:szCs w:val="18"/>
                <w:color w:val="0000FF"/>
              </w:rPr>
              <w:t>Revenue from Contracts with Customers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88</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0"/>
              </w:rPr>
              <w:t>Note 3</w:t>
            </w:r>
          </w:p>
        </w:tc>
        <w:tc>
          <w:tcPr>
            <w:tcW w:w="80" w:type="dxa"/>
            <w:vAlign w:val="bottom"/>
          </w:tcPr>
          <w:p>
            <w:pPr>
              <w:spacing w:after="0"/>
              <w:rPr>
                <w:sz w:val="17"/>
                <w:szCs w:val="17"/>
                <w:color w:val="auto"/>
              </w:rPr>
            </w:pPr>
          </w:p>
        </w:tc>
        <w:tc>
          <w:tcPr>
            <w:tcW w:w="10200" w:type="dxa"/>
            <w:vAlign w:val="bottom"/>
            <w:gridSpan w:val="17"/>
          </w:tcPr>
          <w:p>
            <w:pPr>
              <w:ind w:left="640"/>
              <w:spacing w:after="0" w:line="205" w:lineRule="exact"/>
              <w:rPr>
                <w:sz w:val="20"/>
                <w:szCs w:val="20"/>
                <w:color w:val="auto"/>
              </w:rPr>
            </w:pPr>
            <w:r>
              <w:rPr>
                <w:rFonts w:ascii="Times New Roman" w:cs="Times New Roman" w:eastAsia="Times New Roman" w:hAnsi="Times New Roman"/>
                <w:sz w:val="18"/>
                <w:szCs w:val="18"/>
                <w:color w:val="0000FF"/>
              </w:rPr>
              <w:t>Investments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89</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0"/>
              </w:rPr>
              <w:t>Note 4</w:t>
            </w:r>
          </w:p>
        </w:tc>
        <w:tc>
          <w:tcPr>
            <w:tcW w:w="80" w:type="dxa"/>
            <w:vAlign w:val="bottom"/>
          </w:tcPr>
          <w:p>
            <w:pPr>
              <w:spacing w:after="0"/>
              <w:rPr>
                <w:sz w:val="17"/>
                <w:szCs w:val="17"/>
                <w:color w:val="auto"/>
              </w:rPr>
            </w:pPr>
          </w:p>
        </w:tc>
        <w:tc>
          <w:tcPr>
            <w:tcW w:w="10200" w:type="dxa"/>
            <w:vAlign w:val="bottom"/>
            <w:gridSpan w:val="17"/>
          </w:tcPr>
          <w:p>
            <w:pPr>
              <w:ind w:left="640"/>
              <w:spacing w:after="0" w:line="205" w:lineRule="exact"/>
              <w:rPr>
                <w:sz w:val="20"/>
                <w:szCs w:val="20"/>
                <w:color w:val="auto"/>
              </w:rPr>
            </w:pPr>
            <w:r>
              <w:rPr>
                <w:rFonts w:ascii="Times New Roman" w:cs="Times New Roman" w:eastAsia="Times New Roman" w:hAnsi="Times New Roman"/>
                <w:sz w:val="18"/>
                <w:szCs w:val="18"/>
                <w:color w:val="0000FF"/>
              </w:rPr>
              <w:t>Property and Equipment</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90</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0"/>
              </w:rPr>
              <w:t>Note 5</w:t>
            </w:r>
          </w:p>
        </w:tc>
        <w:tc>
          <w:tcPr>
            <w:tcW w:w="80" w:type="dxa"/>
            <w:vAlign w:val="bottom"/>
          </w:tcPr>
          <w:p>
            <w:pPr>
              <w:spacing w:after="0"/>
              <w:rPr>
                <w:sz w:val="17"/>
                <w:szCs w:val="17"/>
                <w:color w:val="auto"/>
              </w:rPr>
            </w:pPr>
          </w:p>
        </w:tc>
        <w:tc>
          <w:tcPr>
            <w:tcW w:w="10200" w:type="dxa"/>
            <w:vAlign w:val="bottom"/>
            <w:gridSpan w:val="17"/>
          </w:tcPr>
          <w:p>
            <w:pPr>
              <w:ind w:left="640"/>
              <w:spacing w:after="0" w:line="205" w:lineRule="exact"/>
              <w:rPr>
                <w:sz w:val="20"/>
                <w:szCs w:val="20"/>
                <w:color w:val="auto"/>
              </w:rPr>
            </w:pPr>
            <w:r>
              <w:rPr>
                <w:rFonts w:ascii="Times New Roman" w:cs="Times New Roman" w:eastAsia="Times New Roman" w:hAnsi="Times New Roman"/>
                <w:sz w:val="18"/>
                <w:szCs w:val="18"/>
                <w:color w:val="0000FF"/>
              </w:rPr>
              <w:t>Goodwill and Acquired Intangible Assets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91</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0"/>
              </w:rPr>
              <w:t>Note 6</w:t>
            </w:r>
          </w:p>
        </w:tc>
        <w:tc>
          <w:tcPr>
            <w:tcW w:w="80" w:type="dxa"/>
            <w:vAlign w:val="bottom"/>
          </w:tcPr>
          <w:p>
            <w:pPr>
              <w:spacing w:after="0"/>
              <w:rPr>
                <w:sz w:val="17"/>
                <w:szCs w:val="17"/>
                <w:color w:val="auto"/>
              </w:rPr>
            </w:pPr>
          </w:p>
        </w:tc>
        <w:tc>
          <w:tcPr>
            <w:tcW w:w="10200" w:type="dxa"/>
            <w:vAlign w:val="bottom"/>
            <w:gridSpan w:val="17"/>
          </w:tcPr>
          <w:p>
            <w:pPr>
              <w:ind w:left="640"/>
              <w:spacing w:after="0" w:line="205" w:lineRule="exact"/>
              <w:rPr>
                <w:sz w:val="20"/>
                <w:szCs w:val="20"/>
                <w:color w:val="auto"/>
              </w:rPr>
            </w:pPr>
            <w:r>
              <w:rPr>
                <w:rFonts w:ascii="Times New Roman" w:cs="Times New Roman" w:eastAsia="Times New Roman" w:hAnsi="Times New Roman"/>
                <w:sz w:val="18"/>
                <w:szCs w:val="18"/>
                <w:color w:val="0000FF"/>
              </w:rPr>
              <w:t>Financing Arrangements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92</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0"/>
              </w:rPr>
              <w:t>Note 7</w:t>
            </w:r>
          </w:p>
        </w:tc>
        <w:tc>
          <w:tcPr>
            <w:tcW w:w="80" w:type="dxa"/>
            <w:vAlign w:val="bottom"/>
          </w:tcPr>
          <w:p>
            <w:pPr>
              <w:spacing w:after="0"/>
              <w:rPr>
                <w:sz w:val="17"/>
                <w:szCs w:val="17"/>
                <w:color w:val="auto"/>
              </w:rPr>
            </w:pPr>
          </w:p>
        </w:tc>
        <w:tc>
          <w:tcPr>
            <w:tcW w:w="10200" w:type="dxa"/>
            <w:vAlign w:val="bottom"/>
            <w:gridSpan w:val="17"/>
          </w:tcPr>
          <w:p>
            <w:pPr>
              <w:ind w:left="640"/>
              <w:spacing w:after="0" w:line="205" w:lineRule="exact"/>
              <w:rPr>
                <w:sz w:val="20"/>
                <w:szCs w:val="20"/>
                <w:color w:val="auto"/>
              </w:rPr>
            </w:pPr>
            <w:r>
              <w:rPr>
                <w:rFonts w:ascii="Times New Roman" w:cs="Times New Roman" w:eastAsia="Times New Roman" w:hAnsi="Times New Roman"/>
                <w:sz w:val="18"/>
                <w:szCs w:val="18"/>
                <w:color w:val="0000FF"/>
              </w:rPr>
              <w:t>Derivatives and Hedging Activities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94</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0"/>
              </w:rPr>
              <w:t>Note 8</w:t>
            </w:r>
          </w:p>
        </w:tc>
        <w:tc>
          <w:tcPr>
            <w:tcW w:w="80" w:type="dxa"/>
            <w:vAlign w:val="bottom"/>
          </w:tcPr>
          <w:p>
            <w:pPr>
              <w:spacing w:after="0"/>
              <w:rPr>
                <w:sz w:val="17"/>
                <w:szCs w:val="17"/>
                <w:color w:val="auto"/>
              </w:rPr>
            </w:pPr>
          </w:p>
        </w:tc>
        <w:tc>
          <w:tcPr>
            <w:tcW w:w="10200" w:type="dxa"/>
            <w:vAlign w:val="bottom"/>
            <w:gridSpan w:val="17"/>
          </w:tcPr>
          <w:p>
            <w:pPr>
              <w:ind w:left="640"/>
              <w:spacing w:after="0" w:line="205" w:lineRule="exact"/>
              <w:rPr>
                <w:sz w:val="20"/>
                <w:szCs w:val="20"/>
                <w:color w:val="auto"/>
              </w:rPr>
            </w:pPr>
            <w:r>
              <w:rPr>
                <w:rFonts w:ascii="Times New Roman" w:cs="Times New Roman" w:eastAsia="Times New Roman" w:hAnsi="Times New Roman"/>
                <w:sz w:val="18"/>
                <w:szCs w:val="18"/>
                <w:color w:val="0000FF"/>
              </w:rPr>
              <w:t>Fair Value</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95</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0" w:type="dxa"/>
            <w:vAlign w:val="bottom"/>
            <w:gridSpan w:val="5"/>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0"/>
              </w:rPr>
              <w:t>Note 9</w:t>
            </w:r>
          </w:p>
        </w:tc>
        <w:tc>
          <w:tcPr>
            <w:tcW w:w="80" w:type="dxa"/>
            <w:vAlign w:val="bottom"/>
          </w:tcPr>
          <w:p>
            <w:pPr>
              <w:spacing w:after="0"/>
              <w:rPr>
                <w:sz w:val="17"/>
                <w:szCs w:val="17"/>
                <w:color w:val="auto"/>
              </w:rPr>
            </w:pPr>
          </w:p>
        </w:tc>
        <w:tc>
          <w:tcPr>
            <w:tcW w:w="10200" w:type="dxa"/>
            <w:vAlign w:val="bottom"/>
            <w:gridSpan w:val="17"/>
          </w:tcPr>
          <w:p>
            <w:pPr>
              <w:ind w:left="640"/>
              <w:spacing w:after="0" w:line="205"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97</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0" w:type="dxa"/>
            <w:vAlign w:val="bottom"/>
            <w:gridSpan w:val="5"/>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10</w:t>
            </w:r>
          </w:p>
        </w:tc>
        <w:tc>
          <w:tcPr>
            <w:tcW w:w="10200" w:type="dxa"/>
            <w:vAlign w:val="bottom"/>
            <w:gridSpan w:val="17"/>
          </w:tcPr>
          <w:p>
            <w:pPr>
              <w:ind w:left="640"/>
              <w:spacing w:after="0" w:line="205" w:lineRule="exact"/>
              <w:rPr>
                <w:sz w:val="20"/>
                <w:szCs w:val="20"/>
                <w:color w:val="auto"/>
              </w:rPr>
            </w:pPr>
            <w:r>
              <w:rPr>
                <w:rFonts w:ascii="Times New Roman" w:cs="Times New Roman" w:eastAsia="Times New Roman" w:hAnsi="Times New Roman"/>
                <w:sz w:val="18"/>
                <w:szCs w:val="18"/>
                <w:color w:val="0000FF"/>
              </w:rPr>
              <w:t>Stockholders' Equity</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98</w:t>
            </w:r>
          </w:p>
        </w:tc>
        <w:tc>
          <w:tcPr>
            <w:tcW w:w="60" w:type="dxa"/>
            <w:vAlign w:val="bottom"/>
          </w:tcPr>
          <w:p>
            <w:pPr>
              <w:spacing w:after="0"/>
              <w:rPr>
                <w:sz w:val="17"/>
                <w:szCs w:val="17"/>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11</w:t>
            </w:r>
          </w:p>
        </w:tc>
        <w:tc>
          <w:tcPr>
            <w:tcW w:w="10200" w:type="dxa"/>
            <w:vAlign w:val="bottom"/>
            <w:gridSpan w:val="17"/>
          </w:tcPr>
          <w:p>
            <w:pPr>
              <w:ind w:left="640"/>
              <w:spacing w:after="0" w:line="205" w:lineRule="exact"/>
              <w:rPr>
                <w:sz w:val="20"/>
                <w:szCs w:val="20"/>
                <w:color w:val="auto"/>
              </w:rPr>
            </w:pPr>
            <w:r>
              <w:rPr>
                <w:rFonts w:ascii="Times New Roman" w:cs="Times New Roman" w:eastAsia="Times New Roman" w:hAnsi="Times New Roman"/>
                <w:sz w:val="18"/>
                <w:szCs w:val="18"/>
                <w:color w:val="0000FF"/>
              </w:rPr>
              <w:t>Earnings Per Share</w:t>
            </w:r>
          </w:p>
        </w:tc>
        <w:tc>
          <w:tcPr>
            <w:tcW w:w="2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8"/>
              </w:rPr>
              <w:t>100</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0" w:type="dxa"/>
            <w:vAlign w:val="bottom"/>
            <w:tcBorders>
              <w:right w:val="single" w:sz="8" w:color="3051F2"/>
            </w:tcBorders>
            <w:gridSpan w:val="6"/>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12</w:t>
            </w:r>
          </w:p>
        </w:tc>
        <w:tc>
          <w:tcPr>
            <w:tcW w:w="10200" w:type="dxa"/>
            <w:vAlign w:val="bottom"/>
            <w:gridSpan w:val="17"/>
          </w:tcPr>
          <w:p>
            <w:pPr>
              <w:ind w:left="640"/>
              <w:spacing w:after="0" w:line="205" w:lineRule="exact"/>
              <w:rPr>
                <w:sz w:val="20"/>
                <w:szCs w:val="20"/>
                <w:color w:val="auto"/>
              </w:rPr>
            </w:pPr>
            <w:r>
              <w:rPr>
                <w:rFonts w:ascii="Times New Roman" w:cs="Times New Roman" w:eastAsia="Times New Roman" w:hAnsi="Times New Roman"/>
                <w:sz w:val="18"/>
                <w:szCs w:val="18"/>
                <w:color w:val="0000FF"/>
              </w:rPr>
              <w:t>Leases</w:t>
            </w:r>
          </w:p>
        </w:tc>
        <w:tc>
          <w:tcPr>
            <w:tcW w:w="2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8"/>
              </w:rPr>
              <w:t>100</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0" w:type="dxa"/>
            <w:vAlign w:val="bottom"/>
            <w:tcBorders>
              <w:right w:val="single" w:sz="8" w:color="3051F2"/>
            </w:tcBorders>
            <w:gridSpan w:val="6"/>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13</w:t>
            </w:r>
          </w:p>
        </w:tc>
        <w:tc>
          <w:tcPr>
            <w:tcW w:w="10200" w:type="dxa"/>
            <w:vAlign w:val="bottom"/>
            <w:gridSpan w:val="17"/>
          </w:tcPr>
          <w:p>
            <w:pPr>
              <w:ind w:left="640"/>
              <w:spacing w:after="0" w:line="205" w:lineRule="exact"/>
              <w:rPr>
                <w:sz w:val="20"/>
                <w:szCs w:val="20"/>
                <w:color w:val="auto"/>
              </w:rPr>
            </w:pPr>
            <w:r>
              <w:rPr>
                <w:rFonts w:ascii="Times New Roman" w:cs="Times New Roman" w:eastAsia="Times New Roman" w:hAnsi="Times New Roman"/>
                <w:sz w:val="18"/>
                <w:szCs w:val="18"/>
                <w:color w:val="0000FF"/>
              </w:rPr>
              <w:t>Equity-based Compensation</w:t>
            </w:r>
          </w:p>
        </w:tc>
        <w:tc>
          <w:tcPr>
            <w:tcW w:w="2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8"/>
              </w:rPr>
              <w:t>104</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7400" w:type="dxa"/>
            <w:vAlign w:val="bottom"/>
            <w:tcBorders>
              <w:right w:val="single" w:sz="8" w:color="3051F2"/>
            </w:tcBorders>
            <w:gridSpan w:val="6"/>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14</w:t>
            </w:r>
          </w:p>
        </w:tc>
        <w:tc>
          <w:tcPr>
            <w:tcW w:w="10200" w:type="dxa"/>
            <w:vAlign w:val="bottom"/>
            <w:gridSpan w:val="17"/>
          </w:tcPr>
          <w:p>
            <w:pPr>
              <w:ind w:left="640"/>
              <w:spacing w:after="0" w:line="205" w:lineRule="exact"/>
              <w:rPr>
                <w:sz w:val="20"/>
                <w:szCs w:val="20"/>
                <w:color w:val="auto"/>
              </w:rPr>
            </w:pPr>
            <w:r>
              <w:rPr>
                <w:rFonts w:ascii="Times New Roman" w:cs="Times New Roman" w:eastAsia="Times New Roman" w:hAnsi="Times New Roman"/>
                <w:sz w:val="18"/>
                <w:szCs w:val="18"/>
                <w:color w:val="0000FF"/>
              </w:rPr>
              <w:t>Segment and Geographic Data</w:t>
            </w:r>
          </w:p>
        </w:tc>
        <w:tc>
          <w:tcPr>
            <w:tcW w:w="2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8"/>
              </w:rPr>
              <w:t>109</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400" w:type="dxa"/>
            <w:vAlign w:val="bottom"/>
            <w:tcBorders>
              <w:right w:val="single" w:sz="8" w:color="3051F2"/>
            </w:tcBorders>
            <w:gridSpan w:val="6"/>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15</w:t>
            </w:r>
          </w:p>
        </w:tc>
        <w:tc>
          <w:tcPr>
            <w:tcW w:w="10200" w:type="dxa"/>
            <w:vAlign w:val="bottom"/>
            <w:gridSpan w:val="17"/>
          </w:tcPr>
          <w:p>
            <w:pPr>
              <w:ind w:left="640"/>
              <w:spacing w:after="0" w:line="205" w:lineRule="exact"/>
              <w:rPr>
                <w:sz w:val="20"/>
                <w:szCs w:val="20"/>
                <w:color w:val="auto"/>
              </w:rPr>
            </w:pPr>
            <w:r>
              <w:rPr>
                <w:rFonts w:ascii="Times New Roman" w:cs="Times New Roman" w:eastAsia="Times New Roman" w:hAnsi="Times New Roman"/>
                <w:sz w:val="18"/>
                <w:szCs w:val="18"/>
                <w:color w:val="0000FF"/>
              </w:rPr>
              <w:t>Tax Receivable Agreements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1"/>
              </w:rPr>
              <w:t>110</w:t>
            </w:r>
          </w:p>
        </w:tc>
        <w:tc>
          <w:tcPr>
            <w:tcW w:w="60" w:type="dxa"/>
            <w:vAlign w:val="bottom"/>
          </w:tcPr>
          <w:p>
            <w:pPr>
              <w:spacing w:after="0"/>
              <w:rPr>
                <w:sz w:val="17"/>
                <w:szCs w:val="17"/>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7580" w:type="dxa"/>
            <w:vAlign w:val="bottom"/>
            <w:tcBorders>
              <w:right w:val="single" w:sz="8" w:color="3051F2"/>
            </w:tcBorders>
            <w:gridSpan w:val="7"/>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16</w:t>
            </w:r>
          </w:p>
        </w:tc>
        <w:tc>
          <w:tcPr>
            <w:tcW w:w="10200" w:type="dxa"/>
            <w:vAlign w:val="bottom"/>
            <w:gridSpan w:val="17"/>
          </w:tcPr>
          <w:p>
            <w:pPr>
              <w:ind w:left="640"/>
              <w:spacing w:after="0" w:line="205" w:lineRule="exact"/>
              <w:rPr>
                <w:sz w:val="20"/>
                <w:szCs w:val="20"/>
                <w:color w:val="auto"/>
              </w:rPr>
            </w:pPr>
            <w:r>
              <w:rPr>
                <w:rFonts w:ascii="Times New Roman" w:cs="Times New Roman" w:eastAsia="Times New Roman" w:hAnsi="Times New Roman"/>
                <w:sz w:val="18"/>
                <w:szCs w:val="18"/>
                <w:color w:val="0000FF"/>
              </w:rPr>
              <w:t>Income Taxes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1"/>
              </w:rPr>
              <w:t>111</w:t>
            </w:r>
          </w:p>
        </w:tc>
        <w:tc>
          <w:tcPr>
            <w:tcW w:w="60" w:type="dxa"/>
            <w:vAlign w:val="bottom"/>
          </w:tcPr>
          <w:p>
            <w:pPr>
              <w:spacing w:after="0"/>
              <w:rPr>
                <w:sz w:val="17"/>
                <w:szCs w:val="17"/>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20" w:type="dxa"/>
            <w:vAlign w:val="bottom"/>
            <w:tcBorders>
              <w:right w:val="single" w:sz="8" w:color="3051F2"/>
            </w:tcBorders>
            <w:gridSpan w:val="11"/>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17</w:t>
            </w:r>
          </w:p>
        </w:tc>
        <w:tc>
          <w:tcPr>
            <w:tcW w:w="10200" w:type="dxa"/>
            <w:vAlign w:val="bottom"/>
            <w:gridSpan w:val="17"/>
          </w:tcPr>
          <w:p>
            <w:pPr>
              <w:ind w:left="640"/>
              <w:spacing w:after="0" w:line="205" w:lineRule="exact"/>
              <w:rPr>
                <w:sz w:val="20"/>
                <w:szCs w:val="20"/>
                <w:color w:val="auto"/>
              </w:rPr>
            </w:pPr>
            <w:r>
              <w:rPr>
                <w:rFonts w:ascii="Times New Roman" w:cs="Times New Roman" w:eastAsia="Times New Roman" w:hAnsi="Times New Roman"/>
                <w:sz w:val="18"/>
                <w:szCs w:val="18"/>
                <w:color w:val="0000FF"/>
              </w:rPr>
              <w:t>Subsequent Events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1"/>
              </w:rPr>
              <w:t>115</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560" w:type="dxa"/>
            <w:vAlign w:val="bottom"/>
            <w:tcBorders>
              <w:right w:val="single" w:sz="8" w:color="3051F2"/>
            </w:tcBorders>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ZoomInfo Technologies Inc., through its operating subsidiaries, (the “Company”, “we”, “us”, “our”, and “ZoomInfo”) provides a go-to-market intelligence and engagement platform for sales, marketing, operations, and recruiting professionals. The Company’s cloud-based platform provides workflow tools with integrated,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Company’s headquarters are located in Vancouver, Washington, and we have additional offices throughout the United States, and offices internationally in Israel, Canada, the United Kingdom, India, and Ireland.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Principles</w:t>
      </w:r>
    </w:p>
    <w:p>
      <w:pPr>
        <w:spacing w:after="0" w:line="168"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accounting principles generally accepted in the United States of America (“U.S. GAAP”).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ZoomInfo Technologies Inc. and its subsidiaries. All significant intercompany transactions and balances have been eliminated in consolidation.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derives revenue primarily from subscription services. Our subscription services primarily consist of our software as a service (“SaaS”) applications and related access to our platform. Subscription contracts are generally based on the number of users that access our applications, the level of functionality that they can access, and the amount of data that a customer integrates with their systems. Our subscription contracts typically have a term of one to three years and are non-cancelable. We typically bill for services annually, semi-annually, or quarterly in advance of delivery.</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accounts for revenue contracts with customers through the following steps:</w:t>
      </w:r>
    </w:p>
    <w:p>
      <w:pPr>
        <w:spacing w:after="0" w:line="111" w:lineRule="exact"/>
        <w:rPr>
          <w:sz w:val="20"/>
          <w:szCs w:val="20"/>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 and making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adjusts revenue recognized.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Restricted Cash, and Investments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Cash and cash equivalents are stated at fair value. Cash equivalents consist of highly liquid marketable debt securities with remaining maturities of three months or less at the date of purchase. Restricted cash represents cash collateral posted in connection with standby letters of credit and other arrangements that secure certain lease obligations. These amounts are not available for general corporate purposes and are classified as current or non-current based on the expected release date of the underlying restriction.</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We classify our investments in marketable securities as “available-for-sale”. We carry these investments at fair value based on quoted market prices or other readily available market information. We have both short-term and long-term investments (which are included in </w:t>
      </w:r>
      <w:r>
        <w:rPr>
          <w:rFonts w:ascii="Times New Roman" w:cs="Times New Roman" w:eastAsia="Times New Roman" w:hAnsi="Times New Roman"/>
          <w:sz w:val="18"/>
          <w:szCs w:val="18"/>
          <w:i w:val="1"/>
          <w:iCs w:val="1"/>
          <w:color w:val="auto"/>
        </w:rPr>
        <w:t>Deferred costs and other assets, net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portion </w:t>
      </w:r>
      <w:r>
        <w:rPr>
          <w:rFonts w:ascii="Times New Roman" w:cs="Times New Roman" w:eastAsia="Times New Roman" w:hAnsi="Times New Roman"/>
          <w:sz w:val="18"/>
          <w:szCs w:val="18"/>
          <w:color w:val="auto"/>
        </w:rPr>
        <w:t>on our Consolidated Balance Sheets). Unrealized gains and losses, net of taxes, are included in</w:t>
      </w:r>
      <w:r>
        <w:rPr>
          <w:rFonts w:ascii="Times New Roman" w:cs="Times New Roman" w:eastAsia="Times New Roman" w:hAnsi="Times New Roman"/>
          <w:sz w:val="18"/>
          <w:szCs w:val="18"/>
          <w:i w:val="1"/>
          <w:iCs w:val="1"/>
          <w:color w:val="auto"/>
        </w:rPr>
        <w:t xml:space="preserve"> Accumulated other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reflected as a separate component of stockholders’ equity on our Consolidated Balance Sheets. If we were to determine that a credit loss has occurred on either security type, the amount of the credit loss will be recognized in income.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inputs or methodology used for valuing financial assets and liabilities are not necessarily an indication of the risk associated with investing in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Customers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principally of cash and cash equivalents, investments, and accounts receivable. The Company holds cash at major financial institutions that often exceed Federal Deposit Insurance Corporation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 sheet credit exposure related to its customers. Concentrations of credit risk with respect to accounts receivable and revenue are limited due to a large, diverse customer base. We do not require collateral from clients. We maintain an allowance for credit losses based upon the expected collectability of accounts receivable. The Company performs ongoing credit evaluations of its customers and maintains allowances for possible losses. No single customer accounted for 10% or more of our revenue for the years ended December 31, 2025, 2024, and 2023 or accounted for more than 10% of accounts receivable as of December 31, 2025 and 2024.</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Contract Assets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Accounts receivable represents the billed transaction price from revenue contracts, reflecting adjustments for variable consideration, and is presented net of allowance for expected credit losses. It does not bear interest. We consider receivables past due based on the contractual payment terms. Management’s evaluation of the adequacy of the allowance for credit losses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As of December 31, 2025 and 2024, the allowance for expected credit losses was $11.3 million and $12.6 million, respectively. The Company reassesses the adequacy of the allowance each reporting period.</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Contract assets represent a contractual right to consideration in the future. Contract assets are generated when contractual billing schedules differ from revenue recognition timing.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Prepaid expenses and other current assets primarily consist of prepaid expenses, derivative assets, contract assets, and other current assets. Prepaid expenses were $22.6 million and $21.3 million as of December 31, 2025 and 2024,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personnel costs (including equity-based compensation), and purchased software license costs, are capitalized and amortized over the estimated useful life of the asset. Estimated useful lives range from three to fifteen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Certain sales commissions earned by our sales force are considered incremental and recoverable costs of obtaining a contract with a customer. These sales commissions for initial contracts are capitalized and included in </w:t>
      </w:r>
      <w:r>
        <w:rPr>
          <w:rFonts w:ascii="Times New Roman" w:cs="Times New Roman" w:eastAsia="Times New Roman" w:hAnsi="Times New Roman"/>
          <w:sz w:val="18"/>
          <w:szCs w:val="18"/>
          <w:i w:val="1"/>
          <w:iCs w:val="1"/>
          <w:color w:val="auto"/>
        </w:rPr>
        <w:t>Deferred costs and other assets, net of current portion</w:t>
      </w:r>
      <w:r>
        <w:rPr>
          <w:rFonts w:ascii="Times New Roman" w:cs="Times New Roman" w:eastAsia="Times New Roman" w:hAnsi="Times New Roman"/>
          <w:sz w:val="18"/>
          <w:szCs w:val="18"/>
          <w:color w:val="auto"/>
        </w:rPr>
        <w:t xml:space="preserve"> on our Consolidated Balance Sheets. Deferred sales commissions are amortized on a straight-line basis over the estimated period of benefit from the customer relationship which we have determined to be approximately two and four years for renewals and new clients, respectively. We determined the period of benefit by taking into consideration our customer contracts, our technology, and other factors. Amortization expense related to these capitalized commissions is included in </w:t>
      </w:r>
      <w:r>
        <w:rPr>
          <w:rFonts w:ascii="Times New Roman" w:cs="Times New Roman" w:eastAsia="Times New Roman" w:hAnsi="Times New Roman"/>
          <w:sz w:val="18"/>
          <w:szCs w:val="18"/>
          <w:i w:val="1"/>
          <w:iCs w:val="1"/>
          <w:color w:val="auto"/>
        </w:rPr>
        <w:t>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marketing </w:t>
      </w:r>
      <w:r>
        <w:rPr>
          <w:rFonts w:ascii="Times New Roman" w:cs="Times New Roman" w:eastAsia="Times New Roman" w:hAnsi="Times New Roman"/>
          <w:sz w:val="18"/>
          <w:szCs w:val="18"/>
          <w:color w:val="auto"/>
        </w:rPr>
        <w:t>on our Consolidated Statements of Operations.</w:t>
      </w:r>
    </w:p>
    <w:p>
      <w:pPr>
        <w:spacing w:after="0" w:line="13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Commissions payable at December 31, 2025 were $26.3 million, of which the current portion of $25.7 million was included in </w:t>
      </w:r>
      <w:r>
        <w:rPr>
          <w:rFonts w:ascii="Times New Roman" w:cs="Times New Roman" w:eastAsia="Times New Roman" w:hAnsi="Times New Roman"/>
          <w:sz w:val="18"/>
          <w:szCs w:val="18"/>
          <w:i w:val="1"/>
          <w:iCs w:val="1"/>
          <w:color w:val="auto"/>
        </w:rPr>
        <w:t>Accrued expenses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current liabilities </w:t>
      </w:r>
      <w:r>
        <w:rPr>
          <w:rFonts w:ascii="Times New Roman" w:cs="Times New Roman" w:eastAsia="Times New Roman" w:hAnsi="Times New Roman"/>
          <w:sz w:val="18"/>
          <w:szCs w:val="18"/>
          <w:color w:val="auto"/>
        </w:rPr>
        <w:t>on our Consolidated Balance Sheets and the long-term portion of $0.6 million was included in</w:t>
      </w:r>
      <w:r>
        <w:rPr>
          <w:rFonts w:ascii="Times New Roman" w:cs="Times New Roman" w:eastAsia="Times New Roman" w:hAnsi="Times New Roman"/>
          <w:sz w:val="18"/>
          <w:szCs w:val="18"/>
          <w:i w:val="1"/>
          <w:iCs w:val="1"/>
          <w:color w:val="auto"/>
        </w:rPr>
        <w:t xml:space="preserve"> Other long-term liabilities </w:t>
      </w:r>
      <w:r>
        <w:rPr>
          <w:rFonts w:ascii="Times New Roman" w:cs="Times New Roman" w:eastAsia="Times New Roman" w:hAnsi="Times New Roman"/>
          <w:sz w:val="18"/>
          <w:szCs w:val="18"/>
          <w:color w:val="auto"/>
        </w:rPr>
        <w:t>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Consolidated Balance Sheets. Commissions payable at December 31, 2024 were $32.8 million, of which the current portion of $30.8 million was included in </w:t>
      </w:r>
      <w:r>
        <w:rPr>
          <w:rFonts w:ascii="Times New Roman" w:cs="Times New Roman" w:eastAsia="Times New Roman" w:hAnsi="Times New Roman"/>
          <w:sz w:val="18"/>
          <w:szCs w:val="18"/>
          <w:i w:val="1"/>
          <w:iCs w:val="1"/>
          <w:color w:val="auto"/>
        </w:rPr>
        <w:t xml:space="preserve">Accrued expenses and other current liabilities </w:t>
      </w:r>
      <w:r>
        <w:rPr>
          <w:rFonts w:ascii="Times New Roman" w:cs="Times New Roman" w:eastAsia="Times New Roman" w:hAnsi="Times New Roman"/>
          <w:sz w:val="18"/>
          <w:szCs w:val="18"/>
          <w:color w:val="auto"/>
        </w:rPr>
        <w:t>on our Consolidated Balance Sheets, and the long-term portion of $2.0 million was included in</w:t>
      </w:r>
      <w:r>
        <w:rPr>
          <w:rFonts w:ascii="Times New Roman" w:cs="Times New Roman" w:eastAsia="Times New Roman" w:hAnsi="Times New Roman"/>
          <w:sz w:val="18"/>
          <w:szCs w:val="18"/>
          <w:i w:val="1"/>
          <w:iCs w:val="1"/>
          <w:color w:val="auto"/>
        </w:rPr>
        <w:t xml:space="preserve"> Other long-term liabilities </w:t>
      </w:r>
      <w:r>
        <w:rPr>
          <w:rFonts w:ascii="Times New Roman" w:cs="Times New Roman" w:eastAsia="Times New Roman" w:hAnsi="Times New Roman"/>
          <w:sz w:val="18"/>
          <w:szCs w:val="18"/>
          <w:color w:val="auto"/>
        </w:rPr>
        <w:t>on our Consolidated Balance Sheets.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commissions are not capitalized as they do not represent incremental costs of obtaining a contract. Such commissions are expensed as incurred.</w:t>
      </w:r>
    </w:p>
    <w:p>
      <w:pPr>
        <w:spacing w:after="0" w:line="1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Company capitalized $101.4 million, $87.6 million, and $85.5 million of costs to obtain revenue contracts and amortized $90.2 million, $67.6 million, and $75.3 million to </w:t>
      </w: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xml:space="preserve"> for the years ended December 31, 2025, 2024, and 2023, respectively. Costs capitalized to obtain a revenue contract, net on the Company’s Consolidated Balance Sheets totaled $114.5 million and $103.3 million as of December 31, 2025 and 2024, respectively. There were no impairments of costs to obtain revenue contracts in the years ended December 31, 2025,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Promotional Expenses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Company expenses advertising costs as incurred. Advertising expenses of $37.3 million, $36.0 million, and $31.3 million were recorded for the years ended December 31, 2025, 2024, and 2023, respectively. Advertising expenses are included in </w:t>
      </w: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xml:space="preserve"> on our Consolidated Statements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primarily consist of employee compensation such as salaries, bonuses, equity-based compensation, and other employee-related benefits for our engineering and product management teams, as well as overhead costs, technology, and restructuring and transaction-related expenses.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foregoing valuation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1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Goodwill is calculated as the excess of the fair value of purchase consideration paid in a business combination over the fair value of the assets acquired less liabilities assumed. Goodwill is not amortized and is tested for impairment at least annually during the fourth quarter of our fiscal year or when events and circumstances indicate that the fair value of a reporting unit may be below its carrying value. The Company has one reporting unit.</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Acquired technology, customer relationships, trade names or brand portfolios, and other intangible assets are related to historical acquisitions (refer to Note 5 - Goodwill and Acquired Intangible Assets). Acquired intangible assets are amortized on a straight-line basis over the estimated period over which we expect to realize economic value related to the intangible asset. The amortization periods generally range from 2 years to 15 years. Any costs incurred to renew or extend the life of an intangible or long-lived asset are reviewed for capitalization.</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Indefinite-lived intangible assets consist of brand portfolios acquired from Pre-Acquisition ZI and represent costs paid to legally register phrases and graphic designs that identify and distinguish products sold by the Company. Indefinite-lived intangible assets are not subject to amortization. Instead, they are subject to an annual assessment for potential impairment, or more frequently upon the occurrence of a triggering event when circumstances indicate that the book value is greater than its fair value. The Company first assesses qualitative factors to determine whether it is more likely than not that the fair value of the indefinite-lived intangible asset is less than the carrying value as a basis to determine whether further impairment testing is necessary. The Company conducts its impairment assessment during the fourth quarter of each fiscal year. No impairment charges relating to acquired goodwill or indefinite lived intangible assets were recorded 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and Abandonment of Long-lived Assets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Long-lived assets, such as property and equipment, acquired intangible assets, and operating lease right-of-use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fair value of the asset. The estimated future cash flows associated with the operating lease right-of-use assets under Accounting Standards Codification (“ASC”) 842 were developed by incorporating current market data and forecasts provided by reputable external real estate brokers and data sources. These projections consider prevailing rental rates, anticipated lease renewals, expected vacancy periods, and other relevant market factors that contribute to the estimation of recoverable cash flows for the impaired office spaces we do not intend to occupy. During the year ended December 31, 2025, we recorded impairment charges of $23.0 million to reduce the carrying value of our existing right-of-use assets associated with our offices in Vancouver and Ra’anana, and related leasehold improvements associated with our Vancouver office. During the year ended December 31, 2024, we recorded impairment charges of $53.3 million, to reduce the carrying values of our existing right-of-use assets associated with our offices in Ra’anana, Waltham, Vancouver, and Grand Rapids offices. During the year ended December 31, 2023, we recorded impairment charges of $5.2 million, to reduce the carrying value of the right-of-use assets associated with certain of our office spaces.</w:t>
      </w:r>
    </w:p>
    <w:p>
      <w:pPr>
        <w:spacing w:after="0" w:line="13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an operating lease right-of-use asset has been abandoned, the estimated useful life of the asset is updated to reflect the cease use date, and the remaining carrying value of the asset is amortized ratably over the period between the commitment date and the cease use date. Lease abandonment charges were $0.7 million and $4.1 million for the years ended December 31, 2025 and 2024, respectively. No lease abandonment charges were recorded for the year ended December 31,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or contains a lease at contract inception. For these arrangements, primarily those related to our data center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do not have any finance leases. Operating leases are recorded on our Consolidated Balance Sheets. Operating lease right-of-use assets and operating lease liabilities are measured at the lease commencement date based on the present value of the fixed minimum remaining lease payments over the lease term, determined using the discount rate for the lease at the commencement date. Because the rates implicit in our leases are not readily determinable, we use our incremental borrowing rate as the discount rate for each respective lease,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and related taxes for our facilities leases, as a single lease component. Short-term leases, defined as leases having an original lease term less than or equal to one year, are excluded from our operating lease right-of-use assets and operating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FASB’s ASC 815, Derivatives and Hedging (“ASC 815”), provides the disclosure requirements for derivatives and hedging activities with the intent to provide users of financial statements with an enhanced understanding of: (a) how and why an entity uses derivative instruments, (b) how the entity accounts for derivative instruments and related hedged items, and (c)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 instruments, and disclosures about credit risk-related contingent features in derivative instruments.</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required by ASC 815, the Company records all derivatives as either assets or liabilities on our Consolidated Balance Sheets and measures them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To receive hedge accounting treatment, all hedging relationships are formally documented at the inception of the hedge, and the hedges must be highly effective in offsetting changes to future cash flows on hedged transactions.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Unearned revenue consists of customer payments and billings in advance of revenue being recognized from our subscription services. Unearned revenue that is anticipated to be recognized within the next 12 months is recorded as </w:t>
      </w:r>
      <w:r>
        <w:rPr>
          <w:rFonts w:ascii="Times New Roman" w:cs="Times New Roman" w:eastAsia="Times New Roman" w:hAnsi="Times New Roman"/>
          <w:sz w:val="18"/>
          <w:szCs w:val="18"/>
          <w:i w:val="1"/>
          <w:iCs w:val="1"/>
          <w:color w:val="auto"/>
        </w:rPr>
        <w:t>Unearned revenue, current portion</w:t>
      </w:r>
      <w:r>
        <w:rPr>
          <w:rFonts w:ascii="Times New Roman" w:cs="Times New Roman" w:eastAsia="Times New Roman" w:hAnsi="Times New Roman"/>
          <w:sz w:val="18"/>
          <w:szCs w:val="18"/>
          <w:color w:val="auto"/>
        </w:rPr>
        <w:t xml:space="preserve"> and the remaining portion is included in </w:t>
      </w:r>
      <w:r>
        <w:rPr>
          <w:rFonts w:ascii="Times New Roman" w:cs="Times New Roman" w:eastAsia="Times New Roman" w:hAnsi="Times New Roman"/>
          <w:sz w:val="18"/>
          <w:szCs w:val="18"/>
          <w:i w:val="1"/>
          <w:iCs w:val="1"/>
          <w:color w:val="auto"/>
        </w:rPr>
        <w:t xml:space="preserve">Unearned revenue, net of current portion </w:t>
      </w:r>
      <w:r>
        <w:rPr>
          <w:rFonts w:ascii="Times New Roman" w:cs="Times New Roman" w:eastAsia="Times New Roman" w:hAnsi="Times New Roman"/>
          <w:sz w:val="18"/>
          <w:szCs w:val="18"/>
          <w:color w:val="auto"/>
        </w:rPr>
        <w:t>on our Consolidated Balance Sheets.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Costs incurred in connection with the issuance of long-term debt are deferred and amortized as interest expense over the terms of the related debt using the effective interest method for term debt and on a straight-line basis for revolving debt. Debt issuance costs are generally presented on our Consolidated Balance Sheets as a direct deduction from the carrying amount of the outstanding borrowings, consistent with debt discounts. However, the Company classifies the debt issuance costs related to its first lien revolving credit facility within </w:t>
      </w:r>
      <w:r>
        <w:rPr>
          <w:rFonts w:ascii="Times New Roman" w:cs="Times New Roman" w:eastAsia="Times New Roman" w:hAnsi="Times New Roman"/>
          <w:sz w:val="18"/>
          <w:szCs w:val="18"/>
          <w:i w:val="1"/>
          <w:iCs w:val="1"/>
          <w:color w:val="auto"/>
        </w:rPr>
        <w:t>Deferred costs and other assets, net of current portion</w:t>
      </w:r>
      <w:r>
        <w:rPr>
          <w:rFonts w:ascii="Times New Roman" w:cs="Times New Roman" w:eastAsia="Times New Roman" w:hAnsi="Times New Roman"/>
          <w:sz w:val="18"/>
          <w:szCs w:val="18"/>
          <w:color w:val="auto"/>
        </w:rPr>
        <w:t xml:space="preserve"> on our Consolidated Balance Sheets regardless of whether the Company has any outstanding borrowings on our First Lien Revolving Credit Facility. Upon a refinancing or amendment, the Company evaluates the modified debt instrument in accordance with ASC 470-50-40-10. When the present value of the cash flows under the modified debt instrument has changed by greater than 10 percent from the present value of the remaining cash flows under the terms of the original debt instrument, the Company accounts for the amendment as a debt extinguishment and all previously-capitalized debt issuance costs are expensed and included in </w:t>
      </w:r>
      <w:r>
        <w:rPr>
          <w:rFonts w:ascii="Times New Roman" w:cs="Times New Roman" w:eastAsia="Times New Roman" w:hAnsi="Times New Roman"/>
          <w:sz w:val="18"/>
          <w:szCs w:val="18"/>
          <w:i w:val="1"/>
          <w:iCs w:val="1"/>
          <w:color w:val="auto"/>
        </w:rPr>
        <w:t>Loss on debt modification and extinguishment</w:t>
      </w:r>
      <w:r>
        <w:rPr>
          <w:rFonts w:ascii="Times New Roman" w:cs="Times New Roman" w:eastAsia="Times New Roman" w:hAnsi="Times New Roman"/>
          <w:sz w:val="18"/>
          <w:szCs w:val="18"/>
          <w:color w:val="auto"/>
        </w:rPr>
        <w:t xml:space="preserve"> in our Consolidated Statements of Operations. If the change in the present value of cash flows is less than 10 percent,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our initial public offering, we entered into two Tax Receivable Agreements (the “TRAs”) with certain non-controlling interest holders (the “TRA Holders”). The TRAs generally provide for payment by the Company to the TRA Holders of 85% of the net cash savings, if any, in U.S. federal, state and local income tax or franchise tax based on income that the Company actually realizes or is deemed to realize in certain circumstances. The Company will retain the benefit of the remaining 15% of these net cash savings.</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We account for amounts payable under the TRAs in accordance with ASC Topic 450, Contingencies. Amounts payable under the TRAs are accrued by a charge to income when it is probable that a liability has been incurred and the amount is estimable. Liabilities relating to our TRAs are classified as current or noncurrent based on the expected date of payment and are included on our Consolidated Balance Sheets under the captions </w:t>
      </w:r>
      <w:r>
        <w:rPr>
          <w:rFonts w:ascii="Times New Roman" w:cs="Times New Roman" w:eastAsia="Times New Roman" w:hAnsi="Times New Roman"/>
          <w:sz w:val="18"/>
          <w:szCs w:val="18"/>
          <w:i w:val="1"/>
          <w:iCs w:val="1"/>
          <w:color w:val="auto"/>
        </w:rPr>
        <w:t>Current portion of tax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liability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Tax receivable agreements liability, net of current portion, </w:t>
      </w:r>
      <w:r>
        <w:rPr>
          <w:rFonts w:ascii="Times New Roman" w:cs="Times New Roman" w:eastAsia="Times New Roman" w:hAnsi="Times New Roman"/>
          <w:sz w:val="18"/>
          <w:szCs w:val="18"/>
          <w:color w:val="auto"/>
        </w:rPr>
        <w:t>respectively. Subsequent changes to the measurement of the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relating to our TRAs are recognized in our Consolidated Statements of Operations as a component of </w:t>
      </w:r>
      <w:r>
        <w:rPr>
          <w:rFonts w:ascii="Times New Roman" w:cs="Times New Roman" w:eastAsia="Times New Roman" w:hAnsi="Times New Roman"/>
          <w:sz w:val="18"/>
          <w:szCs w:val="18"/>
          <w:i w:val="1"/>
          <w:iCs w:val="1"/>
          <w:color w:val="auto"/>
        </w:rPr>
        <w:t>Other (income) loss, net</w:t>
      </w:r>
      <w:r>
        <w:rPr>
          <w:rFonts w:ascii="Times New Roman" w:cs="Times New Roman" w:eastAsia="Times New Roman" w:hAnsi="Times New Roman"/>
          <w:sz w:val="18"/>
          <w:szCs w:val="18"/>
          <w:color w:val="auto"/>
        </w:rPr>
        <w:t>. Refer to Note 15 - Tax Receivable Agreements for additional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temporary differences between the financial statement carrying amounts and tax bases of existing assets and liabilities using tax rates expected to be in effect in the year in which the differences are expected to reverse. We evaluate recoverability by assessing future taxable income from all sources, including reversing temporary differences, forecasted and historical earnings, available carryback periods, and tax planning strategies. Deferred tax assets are reduced by a valuation allowance if it is more likely than not that some portion or all of the deferred tax assets will not be realized.</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recognizes the tax benefit of an uncertain tax position only if it is more likely than not that the position is sustainable upon examination by the taxing authority, solely based on its technical merits. The tax benefit recognized is measured as the largest amount of benefit which is greater than 50 percent likely to be realized upon settlement with the taxing authority. The Company recognizes interest accrued and penalties related to unrecognized tax benefits within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on the Consolidated Statements of Operations. Refer to Note 16 - Income Taxes for 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The Company periodically grants incentive awards to employees and non-employees, which generally vest over periods of up to four years. Incentive awards may be in the form of various equity-based awards such as common stock, subject to certain specified restrictions (which may include, without limitation, a requirement that the recipient remain continuously employed or provide continuous services for a specified period of time), granted under Section 8 of the 2020 Omnibus Incentive Plan (“Restricted Stock”) and an unfunded and unsecured promise to deliver shares of our common stock, cash, other securities or other property, subject to certain restrictions (which may include, without limitation, a requirement that the recipient remain continuously employed or provide continuous services for a specified period of time), granted under Section 8 of the 2020 Omnibus Incentive </w:t>
      </w:r>
      <w:r>
        <w:rPr>
          <w:rFonts w:ascii="Times New Roman" w:cs="Times New Roman" w:eastAsia="Times New Roman" w:hAnsi="Times New Roman"/>
          <w:sz w:val="18"/>
          <w:szCs w:val="18"/>
          <w:color w:val="auto"/>
          <w:strike w:val="1"/>
        </w:rPr>
        <w:t>P</w:t>
      </w:r>
      <w:r>
        <w:rPr>
          <w:rFonts w:ascii="Times New Roman" w:cs="Times New Roman" w:eastAsia="Times New Roman" w:hAnsi="Times New Roman"/>
          <w:sz w:val="18"/>
          <w:szCs w:val="18"/>
          <w:color w:val="auto"/>
        </w:rPr>
        <w:t>lan (“restricted stock units”, or “RSU”), and common stock options (including the CEO Premium-Priced Performance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Compensation expense for incentive awards is measured at the estimated fair value of the incentive units and is included as compensation expense over the vesting period during which an employee provides service in exchange for the award. Compensation expense for performance-based restricted stock units is measured at the estimated fair value of the units and is recognized using the accelerated attribution method over the service period when it is probable that the performance condition will be satisfied. Compensation expense for market-based restricted stock units is measured at the estimated fair value using a Monte Carlo simulation model, which requires the use of various assumptions, including the stock price volatility and risk-free interest rate as of the valuation date corresponding to the length of time remaining in the performance period. This expense is recognized using the accelerated attribution method over the service period and is not reversed if the market condition is not met. Compensation expense for CEO Premium-Priced Performance Options that contain performance and market conditions is measured at the estimated grant-date fair value using a Monte Carlo simulation model that reflects the market conditions. These awards also include a service-based vesting condition that vests in one-third annual installments on each of the three-year, four-year, and five-year anniversaries of the Grant Date. Compensation expense is recognized using the accelerated attribution method over the requisite service period when it is probable that the related performance conditions will be satisfied. Consistent with awards that contain market conditions, compensation cost recognized for these options is not reversed if the market conditions are not achieved, provided the requisite service is rendered. However, if the performance conditions become improbable, previously recognized compensation cost is reversed.</w:t>
      </w:r>
    </w:p>
    <w:p>
      <w:pPr>
        <w:spacing w:after="0" w:line="13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uses a Black-Scholes option pricing model to determine the fair value of stock options. The Black-Scholes option pricing model includes various assumptions, including the expected term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differ.</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Compensation expense related to the Company’s Employee Stock Purchase Plan is measured at the estimated fair value using the Black-Scholes option pricing model using the estimated number of awards as of the beginning of the offering period.</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The Company has elected to account for forfeitures as they occur.</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presents equity-based compensation expense on our Consolidated Statements of Operations in the same manner in which the award recipient’s salary and related costs are classified or in which the award recipient’s service payments are classified.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Bonus Accruals</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 xml:space="preserve">The Company has bonus programs for eligible employees. Bonuses are determined based on various criteria, including the achievement of corporate, departmental, and individual goals. Bonus accruals are estimated based on various factors, including target bonus percentages per level of employee and probability of achieving the goals upon which bonuses are based. The Company’s management periodically reviews the progress made towards the goals under the bonus programs. As bonus accruals are dependent upon management’s judgments of the likelihood of achieving the various goals, it is possible for bonus expense to vary significantly in future periods if changes occur in those management estimates. Bonus accruals were $22.2 million and $26.0 million as of December 31, 2025 and 2024, respectively, and were included in </w:t>
      </w:r>
      <w:r>
        <w:rPr>
          <w:rFonts w:ascii="Times New Roman" w:cs="Times New Roman" w:eastAsia="Times New Roman" w:hAnsi="Times New Roman"/>
          <w:sz w:val="17"/>
          <w:szCs w:val="17"/>
          <w:i w:val="1"/>
          <w:iCs w:val="1"/>
          <w:color w:val="auto"/>
        </w:rPr>
        <w:t>Accrued expenses and other current liabilities</w:t>
      </w:r>
      <w:r>
        <w:rPr>
          <w:rFonts w:ascii="Times New Roman" w:cs="Times New Roman" w:eastAsia="Times New Roman" w:hAnsi="Times New Roman"/>
          <w:sz w:val="17"/>
          <w:szCs w:val="17"/>
          <w:color w:val="auto"/>
        </w:rPr>
        <w:t xml:space="preserve">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Retirement Benefits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Company has a 401(k) plan that all eligible employees can contribute pre-tax and after-tax (Roth) to up to the maximum annual amount established by the Internal Revenue Code. The Company matches 50% of the employee’s contribution to the 401(k) plan up to the first 7% of their contribution. Matching contributions made by the Company were $9.3 million, $9.7 million, and $9.0 million for the years ended December 31, 2025, 2024, and 2023, respectively. Matching contributions vest 33% per year until fully vested after three years of employee service. Employee contributions are 100% vested immediately.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Israeli Severance Pay Law</w:t>
      </w:r>
    </w:p>
    <w:p>
      <w:pPr>
        <w:spacing w:after="0" w:line="16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Under Section 14 of the Israeli Severance Pay Law, employees in Israel are entitled to have monthly deposits, at a rate of 8.33% of their monthly salary, made on their behalf to their insurance funds which relieves the Company from future obligations under this law. During the years ended December 31, 2025, 2024, and 2023, the Company recorded $5.9 million, $6.5 million, and $7.0 million, respectively, in severance expenses related to these employees.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Assistance</w:t>
      </w:r>
    </w:p>
    <w:p>
      <w:pPr>
        <w:spacing w:after="0" w:line="16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certain research and development tax credits as a benefit in the period in which the credit is generated under </w:t>
      </w:r>
      <w:r>
        <w:rPr>
          <w:rFonts w:ascii="Times New Roman" w:cs="Times New Roman" w:eastAsia="Times New Roman" w:hAnsi="Times New Roman"/>
          <w:sz w:val="18"/>
          <w:szCs w:val="18"/>
          <w:i w:val="1"/>
          <w:iCs w:val="1"/>
          <w:color w:val="auto"/>
        </w:rPr>
        <w:t>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Assistance (Topic 832)</w:t>
      </w:r>
      <w:r>
        <w:rPr>
          <w:rFonts w:ascii="Times New Roman" w:cs="Times New Roman" w:eastAsia="Times New Roman" w:hAnsi="Times New Roman"/>
          <w:sz w:val="18"/>
          <w:szCs w:val="18"/>
          <w:color w:val="auto"/>
        </w:rPr>
        <w:t>. This applies to credits that may be utilized against taxes other than income taxes. Under this policy, we recognize the benefit of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credits as generated when we have reasonable assurance that (1) the Company complied with the conditions attached to the credits and (2) the credits will be received.</w:t>
      </w:r>
    </w:p>
    <w:p>
      <w:pPr>
        <w:spacing w:after="0" w:line="12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For the years ended December 31, 2025 and 2024, the Company recognized $1.3 million and $1.9 million, respectively, in research and development tax credits as a reduction to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expenses in the Consolidated Statements of Operations. The 2024 amount includes a cumulative adjustment related to research and development tax credits earned in tax years 2021 through 2024. As of December 31, 2025 and 2024, the Company has recorded $0.6 million and $0.4 million, respectively, 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and $1.6 million and $1.5 million, respectively, in </w:t>
      </w:r>
      <w:r>
        <w:rPr>
          <w:rFonts w:ascii="Times New Roman" w:cs="Times New Roman" w:eastAsia="Times New Roman" w:hAnsi="Times New Roman"/>
          <w:sz w:val="18"/>
          <w:szCs w:val="18"/>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costs and other assets, net of current portion </w:t>
      </w:r>
      <w:r>
        <w:rPr>
          <w:rFonts w:ascii="Times New Roman" w:cs="Times New Roman" w:eastAsia="Times New Roman" w:hAnsi="Times New Roman"/>
          <w:sz w:val="18"/>
          <w:szCs w:val="18"/>
          <w:color w:val="auto"/>
        </w:rPr>
        <w:t>related to these credits on our Consolidated Balance Sheets. These amounts represent credits earned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qualifying research and development activities for which the Company has reasonable assurance of receipt but has not yet utilized against a tax liability.</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recognition of these credits requires management to make estimates and assumptions regarding qualifying research and development expenses. The Company has determined it is probable that it will comply with the relevant conditions attached to the credits and they will be received based on the relevant taxing authorities’ research and development credit program and current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Certain reclassifications have been made in the notes to the consolidated financial statements to conform previously reported amounts to current year presentation. These reclassifications had no impact on the previously reported net income or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6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June 2025, the Company announced a reduction in force (the “Plan”) to support the Company’s broader efforts to move upmarket and support durable and efficient growth. The Plan included a reduction of employees by approximately 6% in the second quarter of 2025. The Plan was substantially completed as of June 30, 2025. During the year ended December 31, 2025, the Company incurred restructuring charges of $4.6 million, consisting primarily of severance and employee benefits as well as other associated costs. Restructuring costs are allocated to the respective financial statement line items on the Consolidated Statements of Operations. During the year ended December 31, 2025, the Company made cash payments of $4.6 million related to the Plan.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November 2025, the Financial Accounting Standards Board (“FASB”) issued Accounting Standards Update (“ASU”) 2025-09, Derivatives and Hedging (Topic 815): Hedge Accounting Improvements, which makes targeted improvements to the hedge accounting model. The amendments address five specific areas, including expanding the hedged risks permitted to be aggregated in groups of forecasted transactions, introducing an optional model for hedging choose-your-rate debt instruments, expanding hedge accounting for forecasted purchases and sales of nonfinancial assets, eliminating the net written option test in certain instances, and eliminating recognition and presentation mismatches for dual hedge strategies. The standard is effective for the Company for annual periods beginning January 1, 2027, and interim periods within those annual periods, with early adoption permitted. The Company does not expect this guidance to have a material impact on its consolidated financial statements.</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which removes all references to software development stages (referred to as “project stages”) throughout Subtopic 350-40. The standard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This standard is effective for the Company for the annual and interim periods beginning January 1, 2028, with early adoption permitted. The Company is currently evaluating the impacts of ASU 2025-06 on its consolidated financial statements as well as the impacts to its financial reporting process and related internal controls.</w:t>
      </w:r>
    </w:p>
    <w:p>
      <w:pPr>
        <w:spacing w:after="0" w:line="13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Income Statement - Reporting Comprehensive Income - Expense Disaggregation Disclosures (Subtopic 220-40): Disaggregation of Income Statement Expenses, which requires additional disclosure of the nature of expenses included in the income statement. The standard requires disaggregation of certain costs in a separate note to the financial statements, such as the amounts of employee compensation, depreciation, and intangible asset amortization, included in each relevant expense caption in annual and interim consolidated financial statements. This standard will be effective for the Company for the annual period beginning January 1, 2027 and interim period beginning January 1, 2028, with early adoption permitted. In January 2025, the FASB issued ASU 2025-01, the FASB issued ASU 2025-01,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 Clarifying the Effective Date</w:t>
      </w:r>
      <w:r>
        <w:rPr>
          <w:rFonts w:ascii="Times New Roman" w:cs="Times New Roman" w:eastAsia="Times New Roman" w:hAnsi="Times New Roman"/>
          <w:sz w:val="18"/>
          <w:szCs w:val="18"/>
          <w:color w:val="auto"/>
        </w:rPr>
        <w:t>. The requirements should be applied on a prospective basis while retrospective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is permitted. The Company is currently evaluating the disclosure impacts of ASU 2024-03 on its consolidated financial statements as well as the impacts to its financial reporting process and related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66"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In July 2025, the FASB issued ASU 2025-05, Financial Instruments—Credit Losses (Topic 326): Measurement of Credit Losses for Accounts Receivable and Contract Assets, which introduces a practical expedient for estimating expected credit losses on current accounts receivable and current contract assets arising from transactions under Topic 606. The practical expedient allows entities to assume that current conditions as of the balance sheet date would not change for the remaining life of the asset when evaluating expected credit losses. This standard is effective for the Company for the annual and interim periods beginning January 1, 2026, with early adoption permitted, and should be applied prospectively. The Company elected to early adopt this standard effective September 30, 2025 on a prospective basis. The adoption of this guidance did not have a material impact on our consolidated financial statements.</w:t>
      </w:r>
    </w:p>
    <w:p>
      <w:pPr>
        <w:spacing w:after="0" w:line="11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disaggregation of rate reconciliation categories and income taxes paid by jurisdiction. The new standard is effective for the Company for the annual period beginning January 1, 2025 on a prospective basis, with a retrospective option, and early adoption is permitted. The Company adopted this standard beginning in 2025 on a prospective basis and all required disclosures under the standard are provided within this Form 10-K (refer to Note 16 - Income Taxes). However, there was no impact to the consolidated financial statements upon adoption.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from Contracts with Customers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Revenue comprised the following service offerings: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1,225.1</w:t>
            </w: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Usage-based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8"/>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1,239.5</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Subscription revenue is comprised primarily of go-to-market business intelligence tools that allow our customers to access our SaaS to support sales, marketing, and recruiting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Usage-based revenue is comprised largely of email verification and facilitation of online advertisements,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revenue is comprised largely of implementation and professional services fees. We recognize other revenue as services are delivered.</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Of the total revenue recognized in the years ended December 31, 2025, 2024, and 2023, $462.6 million, $424.9 million, and $403.1 million were included in the unearned revenue balance as of December 31, 2024, 2023, and 2022, respectively. Revenue recognized from performance obligations satisfied (or partially satisfied) in previous periods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from Contracts with Customers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Unearned Revenue</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13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2025 and 2024, the Company had contract assets of $5.2 million and $5.0 million, respectively, which are recorded within </w:t>
      </w:r>
      <w:r>
        <w:rPr>
          <w:rFonts w:ascii="Times New Roman" w:cs="Times New Roman" w:eastAsia="Times New Roman" w:hAnsi="Times New Roman"/>
          <w:sz w:val="18"/>
          <w:szCs w:val="18"/>
          <w:i w:val="1"/>
          <w:iCs w:val="1"/>
          <w:color w:val="auto"/>
        </w:rPr>
        <w:t>Prepaid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and other current assets </w:t>
      </w:r>
      <w:r>
        <w:rPr>
          <w:rFonts w:ascii="Times New Roman" w:cs="Times New Roman" w:eastAsia="Times New Roman" w:hAnsi="Times New Roman"/>
          <w:sz w:val="18"/>
          <w:szCs w:val="18"/>
          <w:color w:val="auto"/>
        </w:rPr>
        <w:t>on our Consolidated Balance Sheets. As of December 31, 2025 and 2024, the Company had unearned revenue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$477.8 million and $477.9 million, respectively.</w:t>
      </w:r>
    </w:p>
    <w:p>
      <w:pPr>
        <w:spacing w:after="0" w:line="122"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w:t>
            </w: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7"/>
        </w:trPr>
        <w:tc>
          <w:tcPr>
            <w:tcW w:w="5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Recognized within</w:t>
            </w:r>
          </w:p>
        </w:tc>
        <w:tc>
          <w:tcPr>
            <w:tcW w:w="340" w:type="dxa"/>
            <w:vAlign w:val="bottom"/>
          </w:tcPr>
          <w:p>
            <w:pPr>
              <w:spacing w:after="0"/>
              <w:rPr>
                <w:sz w:val="24"/>
                <w:szCs w:val="24"/>
                <w:color w:val="auto"/>
              </w:rPr>
            </w:pPr>
          </w:p>
        </w:tc>
        <w:tc>
          <w:tcPr>
            <w:tcW w:w="1180" w:type="dxa"/>
            <w:vAlign w:val="bottom"/>
            <w:gridSpan w:val="2"/>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5"/>
              </w:rPr>
              <w:t>Noncurrent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vMerge w:val="restart"/>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800" w:type="dxa"/>
            <w:vAlign w:val="bottom"/>
          </w:tcPr>
          <w:p>
            <w:pPr>
              <w:spacing w:after="0"/>
              <w:rPr>
                <w:sz w:val="20"/>
                <w:szCs w:val="20"/>
                <w:color w:val="auto"/>
              </w:rPr>
            </w:pPr>
          </w:p>
        </w:tc>
        <w:tc>
          <w:tcPr>
            <w:tcW w:w="16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one year</w:t>
            </w:r>
          </w:p>
        </w:tc>
        <w:tc>
          <w:tcPr>
            <w:tcW w:w="3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8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0" w:type="dxa"/>
            <w:vAlign w:val="bottom"/>
          </w:tcPr>
          <w:p>
            <w:pPr>
              <w:spacing w:after="0"/>
              <w:rPr>
                <w:sz w:val="1"/>
                <w:szCs w:val="1"/>
                <w:color w:val="auto"/>
              </w:rPr>
            </w:pPr>
          </w:p>
        </w:tc>
      </w:tr>
      <w:tr>
        <w:trPr>
          <w:trHeight w:val="231"/>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0" w:type="dxa"/>
            <w:vAlign w:val="bottom"/>
          </w:tcPr>
          <w:p>
            <w:pPr>
              <w:spacing w:after="0"/>
              <w:rPr>
                <w:sz w:val="1"/>
                <w:szCs w:val="1"/>
                <w:color w:val="auto"/>
              </w:rPr>
            </w:pPr>
          </w:p>
        </w:tc>
      </w:tr>
      <w:tr>
        <w:trPr>
          <w:trHeight w:val="618"/>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Investments</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Investments consisted of the following as of December 31, 2025:</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560" w:type="dxa"/>
            <w:vAlign w:val="bottom"/>
          </w:tcPr>
          <w:p>
            <w:pPr>
              <w:spacing w:after="0"/>
              <w:rPr>
                <w:sz w:val="24"/>
                <w:szCs w:val="24"/>
                <w:color w:val="auto"/>
              </w:rPr>
            </w:pP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Unrealized Gains</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Estimated Fair</w:t>
            </w:r>
          </w:p>
        </w:tc>
        <w:tc>
          <w:tcPr>
            <w:tcW w:w="0" w:type="dxa"/>
            <w:vAlign w:val="bottom"/>
          </w:tcPr>
          <w:p>
            <w:pPr>
              <w:spacing w:after="0"/>
              <w:rPr>
                <w:sz w:val="1"/>
                <w:szCs w:val="1"/>
                <w:color w:val="auto"/>
              </w:rPr>
            </w:pPr>
          </w:p>
        </w:tc>
      </w:t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40" w:type="dxa"/>
            <w:vAlign w:val="bottom"/>
            <w:gridSpan w:val="3"/>
            <w:vMerge w:val="continue"/>
          </w:tcPr>
          <w:p>
            <w:pPr>
              <w:spacing w:after="0"/>
              <w:rPr>
                <w:sz w:val="20"/>
                <w:szCs w:val="20"/>
                <w:color w:val="auto"/>
              </w:rPr>
            </w:pPr>
          </w:p>
        </w:tc>
        <w:tc>
          <w:tcPr>
            <w:tcW w:w="136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8"/>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00" w:type="dxa"/>
            <w:vAlign w:val="bottom"/>
            <w:tcBorders>
              <w:top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8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55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investments</w:t>
            </w:r>
          </w:p>
        </w:tc>
        <w:tc>
          <w:tcPr>
            <w:tcW w:w="800" w:type="dxa"/>
            <w:vAlign w:val="bottom"/>
            <w:tcBorders>
              <w:top w:val="single" w:sz="8" w:color="auto"/>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investments as of December 31, 2024.</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8 - Fair Value for further information regarding the fair value of our financial instruments.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Gross unrealized losses on our available-for-sale securities were immaterial at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following table summarizes the estimated fair value of our securities classified as Short-term investments or long-term investments (included in </w:t>
      </w:r>
      <w:r>
        <w:rPr>
          <w:rFonts w:ascii="Times New Roman" w:cs="Times New Roman" w:eastAsia="Times New Roman" w:hAnsi="Times New Roman"/>
          <w:sz w:val="18"/>
          <w:szCs w:val="18"/>
          <w:i w:val="1"/>
          <w:iCs w:val="1"/>
          <w:color w:val="auto"/>
        </w:rPr>
        <w:t xml:space="preserve">Deferred costs and other assets, net of current portion </w:t>
      </w:r>
      <w:r>
        <w:rPr>
          <w:rFonts w:ascii="Times New Roman" w:cs="Times New Roman" w:eastAsia="Times New Roman" w:hAnsi="Times New Roman"/>
          <w:sz w:val="18"/>
          <w:szCs w:val="18"/>
          <w:color w:val="auto"/>
        </w:rPr>
        <w:t>on our Consolidated Balance Sheets) based on stated effective maturities as of December 31,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Pr>
          <w:p>
            <w:pPr>
              <w:spacing w:after="0"/>
              <w:rPr>
                <w:sz w:val="20"/>
                <w:szCs w:val="20"/>
                <w:color w:val="auto"/>
              </w:rPr>
            </w:pPr>
          </w:p>
        </w:tc>
        <w:tc>
          <w:tcPr>
            <w:tcW w:w="24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00" w:type="dxa"/>
            <w:vAlign w:val="bottom"/>
          </w:tcPr>
          <w:p>
            <w:pPr>
              <w:spacing w:after="0"/>
              <w:rPr>
                <w:sz w:val="20"/>
                <w:szCs w:val="20"/>
                <w:color w:val="auto"/>
              </w:rPr>
            </w:pPr>
          </w:p>
        </w:tc>
        <w:tc>
          <w:tcPr>
            <w:tcW w:w="23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top w:val="single" w:sz="8" w:color="auto"/>
            </w:tcBorders>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380" w:type="dxa"/>
            <w:vAlign w:val="bottom"/>
          </w:tcPr>
          <w:p>
            <w:pPr>
              <w:spacing w:after="0"/>
              <w:rPr>
                <w:sz w:val="19"/>
                <w:szCs w:val="19"/>
                <w:color w:val="auto"/>
              </w:rPr>
            </w:pPr>
          </w:p>
        </w:tc>
        <w:tc>
          <w:tcPr>
            <w:tcW w:w="2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23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top w:val="single" w:sz="8" w:color="auto"/>
              <w:bottom w:val="single" w:sz="8" w:color="auto"/>
            </w:tcBorders>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Property and Equipment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56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Company’s property and equipment consist of the following:</w:t>
            </w:r>
          </w:p>
        </w:tc>
        <w:tc>
          <w:tcPr>
            <w:tcW w:w="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developed 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8"/>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1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2025, we recorded a $10.8 million impairment charge to reduce the carrying amount of leasehold improvements and other property and equipment related to our Vancouver, Washington office space held for sublease. No impairment charges related to property and equipment were recorded for the year ended December 31, 2024. Refer to Note 12 - Leases for further information.</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Depreciation expense was $30.3 million, $25.9 million, and $19.6 million for the years ended December 31, 2025, 2024, and 2023, respectively. Depreciation expense for the year ended December 31, 2024 includes $2.0 million of accelerated depreciation associated with the Waltham Lease Restructuring (refer to Note 12 - Leases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Goodwill and Acquired Intangible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8540" w:type="dxa"/>
            <w:vAlign w:val="bottom"/>
            <w:gridSpan w:val="12"/>
          </w:tcPr>
          <w:p>
            <w:pPr>
              <w:ind w:left="320"/>
              <w:spacing w:after="0"/>
              <w:rPr>
                <w:sz w:val="20"/>
                <w:szCs w:val="20"/>
                <w:color w:val="auto"/>
              </w:rPr>
            </w:pPr>
            <w:r>
              <w:rPr>
                <w:rFonts w:ascii="Times New Roman" w:cs="Times New Roman" w:eastAsia="Times New Roman" w:hAnsi="Times New Roman"/>
                <w:sz w:val="18"/>
                <w:szCs w:val="18"/>
                <w:color w:val="auto"/>
                <w:w w:val="99"/>
              </w:rPr>
              <w:t>Intangible assets, other than goodwill, consisted of the following as of December 31, 2025 and 2024, respectively:</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vMerge w:val="restart"/>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Period in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84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5"/>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technology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Brand portfolio</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60" w:type="dxa"/>
            <w:vAlign w:val="bottom"/>
            <w:tcBorders>
              <w:bottom w:val="single" w:sz="8" w:color="CCEEFF"/>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not subject to amortization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8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vMerge w:val="restart"/>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Amortization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Period in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84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660" w:type="dxa"/>
            <w:vAlign w:val="bottom"/>
            <w:gridSpan w:val="4"/>
          </w:tcPr>
          <w:p>
            <w:pPr>
              <w:jc w:val="center"/>
              <w:ind w:left="52"/>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technology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660" w:type="dxa"/>
            <w:vAlign w:val="bottom"/>
            <w:gridSpan w:val="4"/>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7"/>
              </w:rPr>
              <w:t>6.3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Brand portfolio</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60" w:type="dxa"/>
            <w:vAlign w:val="bottom"/>
            <w:gridSpan w:val="4"/>
          </w:tcPr>
          <w:p>
            <w:pPr>
              <w:jc w:val="center"/>
              <w:ind w:left="72"/>
              <w:spacing w:after="0"/>
              <w:rPr>
                <w:sz w:val="20"/>
                <w:szCs w:val="20"/>
                <w:color w:val="auto"/>
              </w:rPr>
            </w:pPr>
            <w:r>
              <w:rPr>
                <w:rFonts w:ascii="Times New Roman" w:cs="Times New Roman" w:eastAsia="Times New Roman" w:hAnsi="Times New Roman"/>
                <w:sz w:val="18"/>
                <w:szCs w:val="18"/>
                <w:color w:val="auto"/>
                <w:w w:val="97"/>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not subject to amortization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8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Amortization expense was $58.5 million, $59.8 million, and $61.0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Acquired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Future amortization expense for intangible assets as of December 31, 2025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12"/>
        </w:trPr>
        <w:tc>
          <w:tcPr>
            <w:tcW w:w="9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56"/>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08"/>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years ended December 31,</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5"/>
        </w:trPr>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5"/>
        </w:trPr>
        <w:tc>
          <w:tcPr>
            <w:tcW w:w="9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5"/>
        </w:trPr>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5"/>
        </w:trPr>
        <w:tc>
          <w:tcPr>
            <w:tcW w:w="9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5"/>
        </w:trPr>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5"/>
        </w:trPr>
        <w:tc>
          <w:tcPr>
            <w:tcW w:w="9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18"/>
        </w:trPr>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0"/>
        </w:trPr>
        <w:tc>
          <w:tcPr>
            <w:tcW w:w="9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Goodwill was $1,692.7 million as of December 31, 2025, 2024 and 2023. There were no changes to the carrying amount of goodwill during the years presented. Based on the results of the Company’s impairment assessment, the Company did not recognize any impairment of goodwill during the years ended December 31, 2025,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Financing Arrangements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2025 and 2024, the carrying values of the Company’s borrowings were as follows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r>
      <w:tr>
        <w:trPr>
          <w:trHeight w:val="219"/>
        </w:trPr>
        <w:tc>
          <w:tcPr>
            <w:tcW w:w="23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20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Maturity Date</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Elected Interest Rate</w:t>
            </w:r>
          </w:p>
        </w:tc>
        <w:tc>
          <w:tcPr>
            <w:tcW w:w="320" w:type="dxa"/>
            <w:vAlign w:val="bottom"/>
          </w:tcPr>
          <w:p>
            <w:pPr>
              <w:spacing w:after="0"/>
              <w:rPr>
                <w:sz w:val="19"/>
                <w:szCs w:val="19"/>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8"/>
        </w:trPr>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Term Loan</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February 1, 2019</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28, 2030</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SOFR + 1.75%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w:t>
            </w:r>
          </w:p>
        </w:tc>
      </w:tr>
      <w:tr>
        <w:trPr>
          <w:trHeight w:val="172"/>
        </w:trPr>
        <w:tc>
          <w:tcPr>
            <w:tcW w:w="234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First Lien Revolving Credit</w:t>
            </w: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2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February 1, 2019</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February 28, 2028</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SOFR + 2.10%</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February 2, 2021</w:t>
            </w: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February 1, 2029</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r>
      <w:tr>
        <w:trPr>
          <w:trHeight w:val="219"/>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12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1,227.7</w:t>
            </w:r>
          </w:p>
        </w:tc>
      </w:tr>
      <w:tr>
        <w:trPr>
          <w:trHeight w:val="225"/>
        </w:trPr>
        <w:tc>
          <w:tcPr>
            <w:tcW w:w="2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current portion</w:t>
            </w: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9"/>
        </w:trPr>
        <w:tc>
          <w:tcPr>
            <w:tcW w:w="4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1,221.8</w:t>
            </w: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Credit Agreement</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Performance of obligations under 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10" w:lineRule="exact"/>
        <w:rPr>
          <w:sz w:val="20"/>
          <w:szCs w:val="20"/>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mergers or consolidations;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our subsidiaries’ capital stock;</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or advances;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negative pledge clauses and clauses restricting subsidiary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Financing Arrangements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the Company draws more than $87.5 million of the First Lien Revolving Credit Facility,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Term Loan</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June 2024, we entered into an amendment to our existing First Lien Credit Agreement (the “Seventh Amendment”), pursuant to which the Company completed a repricing of its First Lien Term Loan, which decreased the applicable rate for Base Rate loans from 1.25% to 0.75% and SOFR based loans from 2.25% to 1.75%. Under the terms of the Seventh Amendment, the Company is obligated to make principal payments in the amount of 0.25% of the aggregate outstanding amount as of the latest amendment.</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effective interest rate on the First Lien Term Loan was 5.71% and 6.56% as of December 31, 2025 and 2024,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Revolving Credit Facility</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October 2025, $11.0 million of the non-extended commitments were extended to a maturity date of February 28, 2028, such that the total $250.0 million existing commitments will mature on the same date.</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May 2025, the Company drew $100.0 million of the $250.0 million available under its First Lien Revolving Credit Facility. The proceeds from the borrowing are intended to be used to fund our ongoing Share Repurchase Program. The First Lien Revolving Credit Facility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December 31, 2025 is as follows:</w:t>
            </w:r>
          </w:p>
        </w:tc>
        <w:tc>
          <w:tcPr>
            <w:tcW w:w="40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4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Contractual Maturity</w:t>
            </w: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0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principal payments</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1,332.2</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4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Derivatives and Hedging Activities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exposed to risks from changes in interest rates related to the First Lien Term Loan (See Note 6 - Financing Arrangements).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2025, the Company had the following outstanding interest rate derivatives that were designated as cash flow hedges of interest rate risk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7"/>
              </w:rPr>
              <w:t>Interest Rate Derivatives</w:t>
            </w:r>
          </w:p>
        </w:tc>
        <w:tc>
          <w:tcPr>
            <w:tcW w:w="21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Notional Aggregate</w:t>
            </w:r>
          </w:p>
        </w:tc>
        <w:tc>
          <w:tcPr>
            <w:tcW w:w="2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Interest Swap Rate</w:t>
            </w:r>
          </w:p>
        </w:tc>
        <w:tc>
          <w:tcPr>
            <w:tcW w:w="1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0" w:type="dxa"/>
            <w:vAlign w:val="bottom"/>
          </w:tcPr>
          <w:p>
            <w:pPr>
              <w:spacing w:after="0"/>
              <w:rPr>
                <w:sz w:val="1"/>
                <w:szCs w:val="1"/>
                <w:color w:val="auto"/>
              </w:rPr>
            </w:pPr>
          </w:p>
        </w:tc>
      </w:tr>
      <w:tr>
        <w:trPr>
          <w:trHeight w:val="239"/>
        </w:trPr>
        <w:tc>
          <w:tcPr>
            <w:tcW w:w="3480" w:type="dxa"/>
            <w:vAlign w:val="bottom"/>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10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7"/>
              </w:rPr>
              <w:t>Instruments</w:t>
            </w:r>
          </w:p>
        </w:tc>
        <w:tc>
          <w:tcPr>
            <w:tcW w:w="14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2000" w:type="dxa"/>
            <w:vAlign w:val="bottom"/>
            <w:gridSpan w:val="2"/>
            <w:vMerge w:val="continue"/>
          </w:tcPr>
          <w:p>
            <w:pPr>
              <w:spacing w:after="0"/>
              <w:rPr>
                <w:sz w:val="20"/>
                <w:szCs w:val="20"/>
                <w:color w:val="auto"/>
              </w:rPr>
            </w:pPr>
          </w:p>
        </w:tc>
        <w:tc>
          <w:tcPr>
            <w:tcW w:w="1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020" w:type="dxa"/>
            <w:vAlign w:val="bottom"/>
            <w:tcBorders>
              <w:top w:val="single" w:sz="8" w:color="auto"/>
            </w:tcBorders>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6"/>
              </w:rPr>
              <w:t>Two</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0.370 %</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7"/>
              </w:rPr>
              <w:t>January 30, 2026</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 xml:space="preserve">The derivative interest rate swaps are designated and qualify as cash flow hedges. Consequently, the change in the estimated fair value of the effective portion of the derivative is recognized in </w:t>
      </w:r>
      <w:r>
        <w:rPr>
          <w:rFonts w:ascii="Times New Roman" w:cs="Times New Roman" w:eastAsia="Times New Roman" w:hAnsi="Times New Roman"/>
          <w:sz w:val="17"/>
          <w:szCs w:val="17"/>
          <w:i w:val="1"/>
          <w:iCs w:val="1"/>
          <w:color w:val="auto"/>
        </w:rPr>
        <w:t>Accumulated other comprehensive income</w:t>
      </w:r>
      <w:r>
        <w:rPr>
          <w:rFonts w:ascii="Times New Roman" w:cs="Times New Roman" w:eastAsia="Times New Roman" w:hAnsi="Times New Roman"/>
          <w:sz w:val="17"/>
          <w:szCs w:val="17"/>
          <w:color w:val="auto"/>
        </w:rPr>
        <w:t xml:space="preserve"> on our Consolidated Balance Sheets and reclassified to </w:t>
      </w:r>
      <w:r>
        <w:rPr>
          <w:rFonts w:ascii="Times New Roman" w:cs="Times New Roman" w:eastAsia="Times New Roman" w:hAnsi="Times New Roman"/>
          <w:sz w:val="17"/>
          <w:szCs w:val="17"/>
          <w:i w:val="1"/>
          <w:iCs w:val="1"/>
          <w:color w:val="auto"/>
        </w:rPr>
        <w:t>Interest expense,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net</w:t>
      </w:r>
      <w:r>
        <w:rPr>
          <w:rFonts w:ascii="Times New Roman" w:cs="Times New Roman" w:eastAsia="Times New Roman" w:hAnsi="Times New Roman"/>
          <w:sz w:val="17"/>
          <w:szCs w:val="17"/>
          <w:color w:val="auto"/>
        </w:rPr>
        <w:t>, when the underlying transaction has an impact on earnings. The Company expects to recognize approximately $1.4 million of net pre-tax gains from</w:t>
      </w:r>
      <w:r>
        <w:rPr>
          <w:rFonts w:ascii="Times New Roman" w:cs="Times New Roman" w:eastAsia="Times New Roman" w:hAnsi="Times New Roman"/>
          <w:sz w:val="17"/>
          <w:szCs w:val="17"/>
          <w:i w:val="1"/>
          <w:iCs w:val="1"/>
          <w:color w:val="auto"/>
        </w:rPr>
        <w:t xml:space="preserve"> Accumulated other comprehensive income </w:t>
      </w:r>
      <w:r>
        <w:rPr>
          <w:rFonts w:ascii="Times New Roman" w:cs="Times New Roman" w:eastAsia="Times New Roman" w:hAnsi="Times New Roman"/>
          <w:sz w:val="17"/>
          <w:szCs w:val="17"/>
          <w:color w:val="auto"/>
        </w:rPr>
        <w:t>as a reduction of</w:t>
      </w:r>
      <w:r>
        <w:rPr>
          <w:rFonts w:ascii="Times New Roman" w:cs="Times New Roman" w:eastAsia="Times New Roman" w:hAnsi="Times New Roman"/>
          <w:sz w:val="17"/>
          <w:szCs w:val="17"/>
          <w:i w:val="1"/>
          <w:iCs w:val="1"/>
          <w:color w:val="auto"/>
        </w:rPr>
        <w:t xml:space="preserve"> Interest expense, net </w:t>
      </w:r>
      <w:r>
        <w:rPr>
          <w:rFonts w:ascii="Times New Roman" w:cs="Times New Roman" w:eastAsia="Times New Roman" w:hAnsi="Times New Roman"/>
          <w:sz w:val="17"/>
          <w:szCs w:val="17"/>
          <w:color w:val="auto"/>
        </w:rPr>
        <w:t>in the next twelve months associated with its interest rate swap.</w:t>
      </w:r>
    </w:p>
    <w:p>
      <w:pPr>
        <w:spacing w:after="0" w:line="11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Refer to the Company’s Consolidated Statements of Comprehensive Income for amounts reclassified from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into earnings related to the Company’s derivative instruments designated as cash flow hedging instruments for each of the reporting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Hedges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changes in currency exchange rates, primarily relating to changes in the Israeli Shekel. Consequently, from time to time, we may use foreign exchange forward contracts or other financial instruments to manage our exposure to foreign exchange rate movements. Our primary objective in holding derivatives is to reduce the volatility of cash flows associated with changes in foreign exchange rates. We do not enter into derivative transactions for speculative or trading purposes.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2025, the Company actively participated in foreign currency forward contracts with a cumulative notional amount of $30.1 million, all of which were settled in 2025. These transactions resulted in an immaterial gain which offset higher operating expenses due to unfavorable changes in the foreign currency.</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2024, the Company actively participated in foreign currency forward contracts with a cumulative notional amount of $31.9 million, all of which were settled in 2024. These transactions resulted in an immaterial loss which offset lower operating expenses due to favorable changes in the foreign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Derivatives and Hedging Activities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derivative foreign currency forward contracts are designated and qualify as cash flow hedges. Consequently, the change in the estimated fair value of the effective portion of the derivative is recognized in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on our Consolidated Balance Sheets and reclassified to revenue or operating expenses depending on the nature of the underlying transaction, when the underlying transaction has an impact on earnings. Impacts on </w:t>
      </w: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are presented as operating cash flows on our Consolidated Statements of Cash Flows in the period contracts are settled.</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fair value and presentation on our Consolidated Balance Sheets for derivatives as of December 31, 2025 and 2024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20" w:type="dxa"/>
            <w:vAlign w:val="bottom"/>
            <w:tcBorders>
              <w:bottom w:val="single" w:sz="8" w:color="auto"/>
            </w:tcBorders>
          </w:tcPr>
          <w:p>
            <w:pPr>
              <w:spacing w:after="0"/>
              <w:rPr>
                <w:sz w:val="20"/>
                <w:szCs w:val="20"/>
                <w:color w:val="auto"/>
              </w:rPr>
            </w:pPr>
          </w:p>
        </w:tc>
      </w:tr>
      <w:tr>
        <w:trPr>
          <w:trHeight w:val="218"/>
        </w:trPr>
        <w:tc>
          <w:tcPr>
            <w:tcW w:w="426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4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r>
      <w:tr>
        <w:trPr>
          <w:trHeight w:val="219"/>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r>
      <w:tr>
        <w:trPr>
          <w:trHeight w:val="225"/>
        </w:trPr>
        <w:tc>
          <w:tcPr>
            <w:tcW w:w="4260" w:type="dxa"/>
            <w:vAlign w:val="bottom"/>
          </w:tcPr>
          <w:p>
            <w:pPr>
              <w:ind w:left="240"/>
              <w:spacing w:after="0" w:line="225" w:lineRule="exact"/>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2"/>
                <w:szCs w:val="22"/>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0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26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2"/>
                <w:szCs w:val="22"/>
                <w:color w:val="auto"/>
                <w:vertAlign w:val="superscript"/>
              </w:rPr>
              <w:t>(2)</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designated derivative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0" w:lineRule="exact"/>
        <w:rPr>
          <w:sz w:val="20"/>
          <w:szCs w:val="20"/>
          <w:color w:val="auto"/>
        </w:rPr>
      </w:pPr>
    </w:p>
    <w:p>
      <w:pPr>
        <w:ind w:left="320" w:hanging="314"/>
        <w:spacing w:after="0"/>
        <w:tabs>
          <w:tab w:leader="none" w:pos="3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Prepaid expenses and other current assets</w:t>
      </w:r>
      <w:r>
        <w:rPr>
          <w:rFonts w:ascii="Times New Roman" w:cs="Times New Roman" w:eastAsia="Times New Roman" w:hAnsi="Times New Roman"/>
          <w:sz w:val="16"/>
          <w:szCs w:val="16"/>
          <w:color w:val="auto"/>
        </w:rPr>
        <w:t xml:space="preserve"> on our Consolidated Balance Sheets.</w:t>
      </w:r>
    </w:p>
    <w:p>
      <w:pPr>
        <w:spacing w:after="0" w:line="1"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Deferred costs and other assets, net of current portion</w:t>
      </w:r>
      <w:r>
        <w:rPr>
          <w:rFonts w:ascii="Times New Roman" w:cs="Times New Roman" w:eastAsia="Times New Roman" w:hAnsi="Times New Roman"/>
          <w:sz w:val="16"/>
          <w:szCs w:val="16"/>
          <w:color w:val="auto"/>
        </w:rPr>
        <w:t xml:space="preserve"> on our Consolidated Balance Sheets.</w:t>
      </w:r>
    </w:p>
    <w:p>
      <w:pPr>
        <w:spacing w:after="0" w:line="229"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Refer to the Company’s Consolidated Statements of Comprehensive Income for amounts reclassified from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into earnings related to the Company’s derivative instruments designated as cash flow hedging instruments for each of the reporting periods.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The Company's financial instruments consist principally of cash and cash equivalents, short-term investments, long-term investments (included in </w:t>
      </w:r>
      <w:r>
        <w:rPr>
          <w:rFonts w:ascii="Times New Roman" w:cs="Times New Roman" w:eastAsia="Times New Roman" w:hAnsi="Times New Roman"/>
          <w:sz w:val="18"/>
          <w:szCs w:val="18"/>
          <w:i w:val="1"/>
          <w:iCs w:val="1"/>
          <w:color w:val="auto"/>
        </w:rPr>
        <w:t xml:space="preserve">Deferred costs and other assets, net of current portion </w:t>
      </w:r>
      <w:r>
        <w:rPr>
          <w:rFonts w:ascii="Times New Roman" w:cs="Times New Roman" w:eastAsia="Times New Roman" w:hAnsi="Times New Roman"/>
          <w:sz w:val="18"/>
          <w:szCs w:val="18"/>
          <w:color w:val="auto"/>
        </w:rPr>
        <w:t>on our Consolidated Balance Sheets), prepaid expenses and other current assets, 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accounts payable, accrued expenses, and long-term debt. The carrying value of cash and cash equivalents, prepaid expenses and other current assets, accounts receivable, accounts payable, and accrued expenses approximate fair value, primarily due to short maturities. We classify our certificates of deposits and money market mutual funds as Level 1 within the fair value hierarchy. We classify our corporate debt securities, securities guaranteed by the U.S. government, and certificates of deposits as Level 2 within the fair value hierarchy. The fair value of our First Lien Term Loan and Senior Notes was $577.8 million and $611.0 million as of December 31, 2025, and $584.0 million and $585.0 million as of December 31, 2024, respectively, based on observable market prices in less active markets and categorized as Level 2 within the fair value measurement framework.</w:t>
      </w:r>
    </w:p>
    <w:p>
      <w:pPr>
        <w:spacing w:after="0" w:line="13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Interest rate derivatives are valued using an income approach that projects future cash flows and discounts them to present value. Significant Level 2 inputs include observable market data such as SOFR and OIS yield curves. The discount rates used reflect the collateralized or uncollateralized nature of the instrument and associated credit risk.</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 of our financial assets (liabilities) was determined using the following inputs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2025</w:t>
            </w:r>
          </w:p>
        </w:tc>
        <w:tc>
          <w:tcPr>
            <w:tcW w:w="3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12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8"/>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Derivative assets:</w:t>
            </w:r>
            <w:r>
              <w:rPr>
                <w:rFonts w:ascii="Times New Roman" w:cs="Times New Roman" w:eastAsia="Times New Roman" w:hAnsi="Times New Roman"/>
                <w:sz w:val="22"/>
                <w:szCs w:val="22"/>
                <w:color w:val="auto"/>
                <w:vertAlign w:val="superscript"/>
              </w:rPr>
              <w:t>(2)</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6360" w:type="dxa"/>
            <w:vAlign w:val="bottom"/>
            <w:tcBorders>
              <w:top w:val="single" w:sz="8" w:color="CCEEFF"/>
              <w:bottom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2"/>
              <w:spacing w:after="0" w:line="192"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Impaired lease-related assets</w:t>
            </w:r>
            <w:r>
              <w:rPr>
                <w:rFonts w:ascii="Times New Roman" w:cs="Times New Roman" w:eastAsia="Times New Roman" w:hAnsi="Times New Roman"/>
                <w:sz w:val="22"/>
                <w:szCs w:val="22"/>
                <w:color w:val="auto"/>
                <w:vertAlign w:val="superscript"/>
              </w:rPr>
              <w:t>(3)</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320" w:type="dxa"/>
            <w:vAlign w:val="bottom"/>
          </w:tcPr>
          <w:p>
            <w:pPr>
              <w:spacing w:after="0"/>
              <w:rPr>
                <w:sz w:val="24"/>
                <w:szCs w:val="24"/>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4"/>
                <w:szCs w:val="24"/>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4"/>
                <w:szCs w:val="24"/>
                <w:color w:val="auto"/>
              </w:rPr>
            </w:pPr>
          </w:p>
        </w:tc>
        <w:tc>
          <w:tcPr>
            <w:tcW w:w="12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8"/>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Derivative assets:</w:t>
            </w:r>
            <w:r>
              <w:rPr>
                <w:rFonts w:ascii="Times New Roman" w:cs="Times New Roman" w:eastAsia="Times New Roman" w:hAnsi="Times New Roman"/>
                <w:sz w:val="22"/>
                <w:szCs w:val="22"/>
                <w:color w:val="auto"/>
                <w:vertAlign w:val="superscript"/>
              </w:rPr>
              <w:t>(2)</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6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line="225" w:lineRule="exact"/>
              <w:rPr>
                <w:sz w:val="20"/>
                <w:szCs w:val="20"/>
                <w:color w:val="auto"/>
              </w:rPr>
            </w:pPr>
            <w:r>
              <w:rPr>
                <w:rFonts w:ascii="Times New Roman" w:cs="Times New Roman" w:eastAsia="Times New Roman" w:hAnsi="Times New Roman"/>
                <w:sz w:val="18"/>
                <w:szCs w:val="18"/>
                <w:color w:val="auto"/>
              </w:rPr>
              <w:t>Impaired lease-related assets</w:t>
            </w:r>
            <w:r>
              <w:rPr>
                <w:rFonts w:ascii="Times New Roman" w:cs="Times New Roman" w:eastAsia="Times New Roman" w:hAnsi="Times New Roman"/>
                <w:sz w:val="22"/>
                <w:szCs w:val="22"/>
                <w:color w:val="auto"/>
                <w:vertAlign w:val="superscript"/>
              </w:rPr>
              <w:t>(3)</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43"/>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6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4"/>
        <w:spacing w:after="0"/>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3 - Investments for further information regarding the fair value of our financial instruments.</w:t>
      </w:r>
    </w:p>
    <w:p>
      <w:pPr>
        <w:spacing w:after="0" w:line="1"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7 - Derivatives and Hedging Activities for further information regarding the fair value of our derivative instruments.</w:t>
      </w:r>
    </w:p>
    <w:p>
      <w:pPr>
        <w:spacing w:after="0" w:line="5" w:lineRule="exact"/>
        <w:rPr>
          <w:rFonts w:ascii="Times New Roman" w:cs="Times New Roman" w:eastAsia="Times New Roman" w:hAnsi="Times New Roman"/>
          <w:sz w:val="16"/>
          <w:szCs w:val="16"/>
          <w:color w:val="auto"/>
        </w:rPr>
      </w:pPr>
    </w:p>
    <w:p>
      <w:pPr>
        <w:ind w:left="320" w:hanging="314"/>
        <w:spacing w:after="0" w:line="261" w:lineRule="auto"/>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right-of-use lease assets and property and equipment recorded at fair value pursuant to impairment charges that occurred during the fourth quarter of 2025 and second and third quarters of 2024. Refer to Note 12 - Leases for further information regarding the impairment of lease-related assets.</w:t>
      </w:r>
    </w:p>
    <w:p>
      <w:pPr>
        <w:spacing w:after="0" w:line="129"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 were no transfers between fair value measurements levels during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obligations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2025, our outstanding non-cancelable purchase obligations, mainly relate to third-party cloud hosting and software-as-a-service arrangements, were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Period</w:t>
            </w:r>
          </w:p>
        </w:tc>
        <w:tc>
          <w:tcPr>
            <w:tcW w:w="4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9"/>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5"/>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5"/>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4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9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information regarding financing-related obligations, refer to Note 6 - Financing Arrangements. For information regarding lease-related obligations, refer to Note 12 - Leases.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earnout payments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acquisition of Dogpatch Advisors, LLC in April 2022, the Company has issued $2.7 million in equity awards, representing all contingent earnout obligations related to this acquisition as of December 31, 2025. Refer to Note 3 - Business Combinations in our 2024 Form 10-K for additional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Based on the information known by the Company as of the date of this filing, except where otherwise indicated, it is not possible to provide an estimated amount of any loss or range of loss that may occur with respect to these matters, including without limitation, the matters described below.</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ZoomInfo Publicity Litigation</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September 5, 2024, a putative class action lawsuit was filed against ZoomInfo Technologies LLC in the U.S. District Court for the Western District of Washington alleging ZoomInfo Technologies LLC’s use of individuals’ names in public-facing web pages violates the Washington Personality Rights Act, and seeking statutory, compensatory and punitive damages, costs, and attorneys’ fees. The Company intends to vigorously defend against this lawsuit.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Quebec Privacy Litigation</w:t>
      </w:r>
    </w:p>
    <w:p>
      <w:pPr>
        <w:spacing w:after="0" w:line="2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March 17, 2025, a putative class action lawsuit was filed against ZoomInfo Technologies Inc., ZoomInfo Technologies LLC, and ZoomInfo Canada Corp. in the Superior Court of Quebec, alleging that the Company’s collection and publication of personal information violated the Quebec Civil Code, Quebec’s statute regarding the protection of personal information in the private sector (LPRPSP), and the Quebec Charter of Human Rights and Freedoms. The plaintiffs seek statutory, compensatory and punitive damages, as well as costs and legal fees. The Company intends to vigorously defend against this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Colorado Consumer Protection Litigation</w:t>
      </w:r>
    </w:p>
    <w:p>
      <w:pPr>
        <w:spacing w:after="0" w:line="2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April 16, 2025, a putative class action lawsuit was filed against ZoomInfo Technologies LLC in the Superior Court of the State of Washington (Clark County), alleging that ZoomInfo Technologies LLC violated the State of Colorado’s Prevention of Telemarketing Fraud Act by listing cell phone numbers of Colorado residents in the Company’s online directory for commercial purposes without obtaining their consent. The suit seeks statutory damages, injunctive and other equitable relief, costs and attorneys’ fees. The Company intends to vigorously defend against this lawsuit.</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Similarly, on June 26, 2025, a putative class action lawsuit was filed against Datanyze LLC, one of the Company’s subsidiaries, in the United States District Court for the District of Colorado, alleging that Datanyze LLC violated the State of Colorado’s Prevention of Telemarketing Fraud Act, on substantially the same grounds as the action filed against ZoomInfo Technologies LLC referred to above. The suit seeks statutory damages, injunctive and other equitable relief, costs and attorneys’ fees. Datanyze LLC intends to vigorously defend against this lawsuit.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Litigation</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September 4, 2024, a putative class action lawsuit was filed against ZoomInfo Technologies Inc. and certain of its current and former officers and affiliates in the U.S. District Court for the Western District of Washington. The suit, brought on behalf of purchasers of Company common stock between November 10, 2020, and August 5, 2024, alleges that the defendants made false and/or misleading statements related to the Company’s business, operations, and prospects, including in respect of the effects of the COVID-19 pandemic on the Company’s performance, in violation of §10(b) and §20(a) of the Securities Exchange Act of 1934 and Rule 10b-5 promulgated thereunder. The complaint seeks, among other relief, unspecified compensatory damages, equitable relief, and costs and expenses. The Company intends to vigorously defend against this lawsuit.</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December 12, 2024, certain of the Company’s current and former directors and officers were named as defendants in a derivative shareholder lawsuit (in which the Company is a nominal defendant) filed in the United States District Court for the Western District of Washington. A second derivative action was filed on February 4, 2025 in the United States District Court for the Western District of Washington. The factual allegations in the derivative cases mirror the securities case described above. The complaints assert violations of the United States securities laws and state fiduciary duty laws, in addition to common law claims involving unjust enrichment, abuse of control, gross mismanagement, and waste of corporate assets. The derivative cases seek, among other things, unspecified compensatory damages on behalf of the Company arising out of the individual defendants’ alleged wrongful conduct. On March 3, 2025, the court entered an order consolidating the two derivative actions into one consolidated derivative action. The consolidated derivative action is stayed pending further developments in the securities action described above.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March 2023, the Board authorized a program to repurchase the Company’s common stock (the “Share Repurchase Program”). In February 2025, the Board authorized an additional $500.0 million bringing the aggregate total authorizations as of December 31, 2025 to $1.6 billion, of which $230.6 million remain available and authorized for repurchases. 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During the year ended December 31, 2025, the Company repurchased and subsequently retired 40,462,670 shares of common stock at an average price of $10.06, for an aggregate of $407.0 million. During the year ended December 31, 2024, the Company repurchased and subsequently retired 46,801,742 shares of common stock at an average price of $12.01, for an aggregate of $562.3 million. During the year ended December 31, 2023, the Company repurchased and subsequently retired 22,627,664 shares of common stock at an average price of $17.68 per share, for an aggregate amount of $400.1 million.</w:t>
      </w:r>
    </w:p>
    <w:p>
      <w:pPr>
        <w:spacing w:after="0" w:line="11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August 2024, the Company entered into an accelerated share repurchase agreement (the “ASR Transaction”) with a financial institution. The Company settled the ASR Transaction in September 2024 resulting in a total repurchase and subsequent retirement of 12,431,216 shares of the Company’s common stock for $125.0 million at an average price of $10.06 per share, recorded as a reduction of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The total number of shares delivered was determined at the settlement date based on the volume weighted average price, less an agreed upon discount. The ASR Transaction was completed under the Company’s previously announced Share Repurchase Program.</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The Inflation Reduction Act of 2022, enacted into law on August 16, 2022, imposed a nondeductible 1% excise tax on the net value of certain stock repurchases made after December 31, 2022. The Company calculates excise tax due based on the year-to-date amount repurchased in excess of the fair market value of shares issued and is included within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on our Consolidated Balance Sheets. During the years ended December 31, 2025 and 2024, the Company recorded the associated excise taxes of $3.4 million and $5.1 million, respectively. Excise taxes associated with these share repurchases are presented within </w:t>
      </w:r>
      <w:r>
        <w:rPr>
          <w:rFonts w:ascii="Times New Roman" w:cs="Times New Roman" w:eastAsia="Times New Roman" w:hAnsi="Times New Roman"/>
          <w:sz w:val="18"/>
          <w:szCs w:val="18"/>
          <w:i w:val="1"/>
          <w:iCs w:val="1"/>
          <w:color w:val="auto"/>
        </w:rPr>
        <w:t>Repurchase of common stock</w:t>
      </w:r>
      <w:r>
        <w:rPr>
          <w:rFonts w:ascii="Times New Roman" w:cs="Times New Roman" w:eastAsia="Times New Roman" w:hAnsi="Times New Roman"/>
          <w:sz w:val="18"/>
          <w:szCs w:val="18"/>
          <w:color w:val="auto"/>
        </w:rPr>
        <w:t xml:space="preserve"> on our Consolidated Statements of Changes in Stockholders' Equity, as a reduction to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During the years ended December 31, 2025, 2024 and 2023, the Company made excise tax payments of $5.1 million, $3.3 million and zero, respectively.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Rights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authorized capital stock consists of 3,300,000,000 shares of common stock and 200,000,000 shares of preferred stock, par value $0.01 per share. No shares of preferred stock have been issued or are currently outstanding.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Holders of common stock will vote as a single class and are entitled to one vote per share on all matters on which stockholders of ZoomInfo Technologies Inc. are entitled to vote generally, including the election or removal of directors. The holders of our common stock do not have cumulative voting rights in the election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similar rights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Holders of shares of our common stock do not have preemptive, subscription, redemption or conversion rights. There are no redemption or sinking fund provisions applicable to the common stock.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distributions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Holders of common stock are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 To date, no dividends have been declared or paid by us.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Upon our liquidation, dissolution, or winding up, subject to the rights of holders of one or more outstanding series of preferred stock having liquidation preferences, the holders of shares of our common stock are entitled to receive pro rata share of our remaining assets available for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Earnings Per Share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tables set forth the computation of basic and diluted net income per share of </w:t>
      </w:r>
      <w:r>
        <w:rPr>
          <w:rFonts w:ascii="Times New Roman" w:cs="Times New Roman" w:eastAsia="Times New Roman" w:hAnsi="Times New Roman"/>
          <w:sz w:val="18"/>
          <w:szCs w:val="18"/>
          <w:color w:val="242424"/>
        </w:rPr>
        <w:t>common stock</w:t>
      </w:r>
      <w:r>
        <w:rPr>
          <w:rFonts w:ascii="Times New Roman" w:cs="Times New Roman" w:eastAsia="Times New Roman" w:hAnsi="Times New Roman"/>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18"/>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shares and per share amounts)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5"/>
        </w:trPr>
        <w:tc>
          <w:tcPr>
            <w:tcW w:w="67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Basic net income per share attributable to common stockholders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5"/>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324,014,369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361,953,130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396,987,015</w:t>
            </w:r>
          </w:p>
        </w:tc>
      </w:tr>
      <w:tr>
        <w:trPr>
          <w:trHeight w:val="21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per share attributable to common stockholders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2"/>
        </w:trPr>
        <w:tc>
          <w:tcPr>
            <w:tcW w:w="6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5"/>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share attributable to common stockholders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324,014,369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361,953,130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396,987,015</w:t>
            </w:r>
          </w:p>
        </w:tc>
      </w:tr>
      <w:tr>
        <w:trPr>
          <w:trHeight w:val="22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weighted-average effect of dilutive securities exchangeable for common stock:</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awards</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323,619</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w:t>
            </w: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144,167</w:t>
            </w:r>
          </w:p>
        </w:tc>
      </w:tr>
      <w:tr>
        <w:trPr>
          <w:trHeight w:val="152"/>
        </w:trPr>
        <w:tc>
          <w:tcPr>
            <w:tcW w:w="6760" w:type="dxa"/>
            <w:vAlign w:val="bottom"/>
            <w:tcBorders>
              <w:top w:val="single" w:sz="8" w:color="CCEEFF"/>
            </w:tcBorders>
            <w:shd w:val="clear" w:color="auto" w:fill="CCEEFF"/>
          </w:tcPr>
          <w:p>
            <w:pPr>
              <w:ind w:left="340"/>
              <w:spacing w:after="0" w:line="152" w:lineRule="exact"/>
              <w:rPr>
                <w:sz w:val="20"/>
                <w:szCs w:val="20"/>
                <w:color w:val="auto"/>
              </w:rPr>
            </w:pPr>
            <w:r>
              <w:rPr>
                <w:rFonts w:ascii="Times New Roman" w:cs="Times New Roman" w:eastAsia="Times New Roman" w:hAnsi="Times New Roman"/>
                <w:sz w:val="17"/>
                <w:szCs w:val="17"/>
                <w:color w:val="auto"/>
              </w:rPr>
              <w:t>Weighted average shares of common stock outstanding used to calculate diluted net</w:t>
            </w:r>
          </w:p>
        </w:tc>
        <w:tc>
          <w:tcPr>
            <w:tcW w:w="3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23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per share</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324,014,369</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362,189,144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397,480,431</w:t>
            </w:r>
          </w:p>
        </w:tc>
      </w:tr>
      <w:tr>
        <w:trPr>
          <w:trHeight w:val="21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share attributable to common stockholders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242424"/>
        </w:rPr>
        <w:t>In periods of loss, the number of shares used to calculate diluted net income (loss) per share is the same as basic net income (loss) per share. The following securities were evaluated under the treasury stock method for potentially dilutive effects and have been excluded from diluted net income per share in the periods presented due to their anti-dilutive effect:</w:t>
      </w:r>
    </w:p>
    <w:p>
      <w:pPr>
        <w:spacing w:after="0" w:line="4"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8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6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06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15,914,276</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15,341,169</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13,179,013</w:t>
            </w:r>
          </w:p>
        </w:tc>
      </w:tr>
      <w:tr>
        <w:trPr>
          <w:trHeight w:val="225"/>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CEO Premium-Priced Performance Option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9,678,000</w:t>
            </w:r>
          </w:p>
        </w:tc>
        <w:tc>
          <w:tcPr>
            <w:tcW w:w="100" w:type="dxa"/>
            <w:vAlign w:val="bottom"/>
          </w:tcPr>
          <w:p>
            <w:pPr>
              <w:spacing w:after="0"/>
              <w:rPr>
                <w:sz w:val="19"/>
                <w:szCs w:val="19"/>
                <w:color w:val="auto"/>
              </w:rPr>
            </w:pP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208,367</w:t>
            </w:r>
          </w:p>
        </w:tc>
        <w:tc>
          <w:tcPr>
            <w:tcW w:w="100" w:type="dxa"/>
            <w:vAlign w:val="bottom"/>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162,484</w:t>
            </w:r>
          </w:p>
        </w:tc>
        <w:tc>
          <w:tcPr>
            <w:tcW w:w="100" w:type="dxa"/>
            <w:vAlign w:val="bottom"/>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25,800,643</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15,503,653</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13,179,013</w:t>
            </w:r>
          </w:p>
        </w:tc>
      </w:tr>
      <w:tr>
        <w:trPr>
          <w:trHeight w:val="20"/>
        </w:trPr>
        <w:tc>
          <w:tcPr>
            <w:tcW w:w="47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Leases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one year or less, from our operating lease right-of-use assets and operating lease liabilities as well as the package of practical expedients relating to the adoption of ASC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Leases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Company subleases three offices. The subleases have remaining lease terms of less than eleven years. Sublease income, which is recorded as a reduction of rent expense and allocated to the appropriate financial statement line items to arrive at </w:t>
      </w: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xml:space="preserve"> on our Consolidated Statements of Operations, was immaterial for the years ended December 31, 2025, 2024, and 2023.</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are additional details related to operating leases recorded on our Consolidated Balance Sheets as of December 31, 2025 and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Borders>
              <w:bottom w:val="single" w:sz="8" w:color="auto"/>
            </w:tcBorders>
          </w:tcPr>
          <w:p>
            <w:pPr>
              <w:spacing w:after="0"/>
              <w:rPr>
                <w:sz w:val="20"/>
                <w:szCs w:val="20"/>
                <w:color w:val="auto"/>
              </w:rPr>
            </w:pPr>
          </w:p>
        </w:tc>
      </w:tr>
      <w:tr>
        <w:trPr>
          <w:trHeight w:val="218"/>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73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5"/>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12"/>
        </w:trPr>
        <w:tc>
          <w:tcPr>
            <w:tcW w:w="7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5"/>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5"/>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43"/>
        </w:trPr>
        <w:tc>
          <w:tcPr>
            <w:tcW w:w="7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Rent expense was $32.5 million, inclusive of $5.2 million related to the Waltham Lease Restructuring, $64.9 million, inclusive of $38.8 million related to the Waltham Lease Restructuring, and $17.7 million for the years ended December 31, 2025, 2024, and 2023, respectively.</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18"/>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5"/>
        </w:trPr>
        <w:tc>
          <w:tcPr>
            <w:tcW w:w="63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5"/>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for tenant incentive reimbursement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52"/>
        </w:trPr>
        <w:tc>
          <w:tcPr>
            <w:tcW w:w="6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 arising from obtaining right-of-use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1"/>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new and existing lease agreements and modifications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bl>
    <w:p>
      <w:pPr>
        <w:spacing w:after="0" w:line="25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8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4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1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Leases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table below reconciles the undiscounted future minimum lease payments under non-cancelable leases to the total lease liabilities recognized as of December 31, 2025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18"/>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5"/>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5"/>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5"/>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5"/>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5"/>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w:t>
            </w:r>
          </w:p>
        </w:tc>
      </w:tr>
      <w:tr>
        <w:trPr>
          <w:trHeight w:val="219"/>
        </w:trPr>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w:t>
            </w:r>
          </w:p>
        </w:tc>
      </w:tr>
      <w:tr>
        <w:trPr>
          <w:trHeight w:val="225"/>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Effects of discounting</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44"/>
        </w:trPr>
        <w:tc>
          <w:tcPr>
            <w:tcW w:w="9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Included in the undiscounted future minimum lease payments for the years ended December 31, 2026 are future tenant improvement allowance reimbursements related to our Ra’anana, Israel; Vancouver, Washington; and Waltham, Massachusetts leases.</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Operating lease amounts above do not include sublease income. The Company expects to receive sublease income totaling $16.5 million over the next five years, net of tenant improvement allowances provided to the sublessee, and $8.1 million thereafter. Additionally, the Company has executed sublease agreements that are expected to commence in 2026. These subleases are expected to generate sublease income of $27.3 million, net of provided tenant improvement allowances.</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Expense associated with short-term leases and variable lease costs were immaterial for the years ended December 31, 2025, 2024, and 2023. The expense related to short-term leases reasonably reflected our short-term lease commitments.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Year Leasing Activity</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Relating to our new office space in Waltham, Massachusetts, the lease commenced in May 2025 resulting in additional lease liabilities arising from obtaining right-of-use assets of $36.3 million.</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June 2025, the measurement for determining gross areas at the Company’s corporate headquarters under construction in Vancouver, Washington, was finalized. This resulted in additional rentable square footage that was previously indeterminate, increasing the corresponding fixed minimum lease payments. This remeasurement resulted in the Company recording additional right-of-use assets and lease liabilities of $12.0 million.</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Relating to our office space in Vancouver, Washington, we recognized impairment charges of $11.7 million to reduce the carrying value of the associated right-of-use asset. These charges are presented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Operations and relate to certain space which were intended to sublease.</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Other impairments and abandonments recognized during the year were immaterial and relate to subleased space and locations no longer utilized in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Leases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Year Leasing Activity</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Relating to our office space in Waltham, Massachusetts, the third and fourth phases of the lease commenced in April 2024 which, collectively, resulted in additional lease liabilities arising from obtaining right-of-use assets of $8.5 million. We recognized impairment charges of $4.3 million to reduce the carrying value of the associated right-of-use assets. Additionally, we recognized impairment charges of $4.8 million to reduce the carrying value of the right-of-use asset associated with the second phase of the lease. These charges are presented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Operations and relate to certain spaces which were intended to sublease. During the second quarter of 2024, the Company committed to the cease-use of all phases except for the first and second phases. As a result, we incurred lease abandonment charges of $4.1 million for the vacated spaces. These charges were allocated among the appropriate financial statement line items on the Consolidated Statements of Operations.</w:t>
      </w:r>
    </w:p>
    <w:p>
      <w:pPr>
        <w:spacing w:after="0" w:line="13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Subsequently, in July 2024, the Company executed an agreement to restructure its existing lease commitments (“Waltham Lease Restructuring”). Pursuant to the agreement, the Company made a payment of $59.1 million. In accordance with ASC 842, the Company remeasured its lease liabilities using the revised lease payments under the modified agreement, which included the $59.1 million, and reallocated the remaining minimum lease payments in the contract to the remaining lease components. The reallocated portion of the minimum lease payments for the final phase, which had not yet commenced, of $13.1 million was recorded as a prepaid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These charges will be recognized in rent expense over the remaining lease terms which originally ranged from December 31, 2024 to December 31, 2025. The increase in our operating lease right-of-use assets resulting from the $59.1 million payment, combined with the shortened lease term, increased the amortization of those assets. Refer to the discussion below regarding the subsequent amendment to the agreement in November 2024. The Company also recorded a gain of $1.7 million as a result of the modification, which is presented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Operations for the year ended December 31, 2024. Additionally, the fifth phase of the lease commenced in the third quarter of 2024, resulting in additional lease liabilities arising from obtaining right-of-use assets of $16.1 million.</w:t>
      </w:r>
    </w:p>
    <w:p>
      <w:pPr>
        <w:spacing w:after="0" w:line="14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Also in July 2024, the Company executed a new lease agreement for separate office space in Waltham, Massachusetts with the same landlord, with rent payments expected to commence in the first quarter of 2026. The lease will terminate on December 31, 2038. The lease is subject to fixed-rate rent escalations and provides for $7.6 million in tenant improvements and the option to extend the lease for two terms of five years each. The Company determined that it is the accounting owner of all tenant improvements. Undiscounted lease payments are $62.1 million.</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November 2024, the Company executed an amendment to the Waltham Lease Restructuring agreement (“Amended Waltham Lease Restructuring”). Pursuant to the amendment, the Company agreed to lease separate office space in Waltham, Massachusetts with the same landlord in place of certain remaining lease components of the existing space, whereby the existing space terminated immediately upon execution. The Company derecognized right-of-use assets of $17.6 million and operating lease liabilities of $1.4 million associated with these components, as well as $13.1 million in prepaid rent and $0.8 million in initial direct costs resulting from the accounting treatment of the termination fee to a leased space which had not commenced as of the execution date. Additionally, in accordance with ASC 842, the resulting loss was partially offset by $1.6 million due to the difference between the present value of the lease payments and the market rent. This resulted in a net loss of $28.3 million which was allocated to the appropriate financial statement line items on the Consolidated Statements of Operations. The remaining components which were not impacted by the amendment terminated on December 31, 2024 under the terms of the Amended Waltham Lease Restructuring (refer to the separate amendment agreement subsequently signed below). Related to the Amended Waltham Lease Restructuring, rent payments commenced in the first quarter of 2025. The lease ends on December 31, 2025 and provides the option to extend the lease for up to three months. Undiscounted lease payments are $1.5 million.</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Additionally, in November 2024, the Company executed a second amendment to the Waltham Lease Restructuring agreement to extend the term for a portion of the remaining components, which were set to terminate on December 31, 2024, by three months to terminate on March 31, 2025. The Company was not obligated to make any additional lease payments as a result of the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Leases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Relating to our new corporate headquarters in Vancouver, Washington, the sixth floor of the lease commenced in March 2024. The commencement of the floor resulted in additional lease liabilities arising from obtaining right-of-use assets of $27.5 million. The seventh, eighth, and ninth floors of the lease commenced in April, May, and June, respectively. The commencement of these floors resulted in additional lease liabilities arising from obtaining right-of-use assets of $59.2 million. The tenth floor and lobby of the lease commenced in September, resulting in additional lease liabilities arising from obtaining right-of-use assets of $15.4 million. The amenities portion of the lease commenced in October, resulting in additional lease liabilities arising from obtaining right-of-use assets of $4.4 million. During the year ended December 31, 2024, we recognized impairment charges of $37.9 million to reduce the carrying value of the right-of-use assets associated with certain spaces of the leased premises which were intended to sublease. These charges are presented within </w:t>
      </w:r>
      <w:r>
        <w:rPr>
          <w:rFonts w:ascii="Times New Roman" w:cs="Times New Roman" w:eastAsia="Times New Roman" w:hAnsi="Times New Roman"/>
          <w:sz w:val="18"/>
          <w:szCs w:val="18"/>
          <w:i w:val="1"/>
          <w:iCs w:val="1"/>
          <w:color w:val="auto"/>
        </w:rPr>
        <w:t>General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w:t>
      </w:r>
      <w:r>
        <w:rPr>
          <w:rFonts w:ascii="Times New Roman" w:cs="Times New Roman" w:eastAsia="Times New Roman" w:hAnsi="Times New Roman"/>
          <w:sz w:val="18"/>
          <w:szCs w:val="18"/>
          <w:color w:val="auto"/>
        </w:rPr>
        <w:t>on the Consolidated Statements of Operations.</w:t>
      </w:r>
    </w:p>
    <w:p>
      <w:pPr>
        <w:spacing w:after="0" w:line="13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Relating to our office space in Ra’anana, Israel, which commenced during the third quarter of 2023, we recognized additional impairment charges of $5.9 million during the year ended December 31, 2024 related to certain spaces of the leased premises which were intended to sublease. These charges are presented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Equity-based Compensation</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2020 Omnibus Incentive Plan </w:t>
      </w:r>
      <w:r>
        <w:rPr>
          <w:rFonts w:ascii="Times New Roman" w:cs="Times New Roman" w:eastAsia="Times New Roman" w:hAnsi="Times New Roman"/>
          <w:sz w:val="18"/>
          <w:szCs w:val="18"/>
          <w:color w:val="auto"/>
        </w:rPr>
        <w:t>- On May 26, 2020, the Board adopted the Omnibus Plan. The Omnibus Plan provides for potential grants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awards with respect to shares of the Company’s common stock or securities valued by reference to, or otherwise determined by reference to or based on, shares of common stock: (i) incentive stock options qualified as such under U.S. federal income tax laws; (ii) non-qualified stock options or any other form of stock options; (iii) stock appreciation rights; (iv) restricted stock; (v) restricted stock units; (vi) interests in a limited liability company that is a subsidiary of the Company, and (vii) other equity-based and cash-based incentive awards as determined by the compensation committee of the Board or any properly delegated subcommittee.</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maximum aggregate number of shares of common stock that could be issued pursuant to awards under the Omnibus Plan was 18,650,000 shares (including other securities which have been issued under the plan and were converted into awards based on shares of common stock) (the “Plan Share Reserve”). The Omnibus Plan also contains a provision that will add an additional number of shares of common stock to the Plan Share Reserve on the first day of each year starting with January 1, 2021, equal to the lesser of (i) the positive difference between (x) 5% of the number of shares of common stock outstanding on the last day of the immediately preceding year, and (y) the Plan Share Reserve on the last day of the immediately preceding year, and (ii) a lower number of shares of common stock as may be determined by the Board. As of December 31, 2025, the number of shares remaining available for future issuance under the Omnibus Incentive Plan was 17,318.</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currently has equity-based compensation awards outstanding as follows: restricted stock units, common stock options, and CEO Premium-Priced Performance Option. In addition, the Company recognizes equity-based compensation expense from awards granted to employees as further described below under HSKB Phantom Units.</w:t>
      </w:r>
    </w:p>
    <w:p>
      <w:pPr>
        <w:spacing w:after="0" w:line="12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Except where indicated otherwise, the equity-based compensation awards described below are subject to time-based service requirements. For all grants issued, the service vesting condition is generally four years with 25% vesting on the one-year anniversary of the grant date of the award and 6.25% vesting quarterly thereafter; or three years with 33% vesting on the one-year anniversary of the grant date of the award and 8.375% vesting quarterly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issues Performance-based Restricted Stock Units (PRSUs) that generally vest in three annual tranches over a three-year performance period, with allocation percentages varying by specific award terms. The actual number of PRSUs that employees ultimately earn depends on performance and may range from 0% to between 50% and 200% of the originally granted PRSUs. This payout percentage is determined by whether the Company or individual achieves specific performance targets during the related performance period, and employees must also maintain continued service with the Company. Performance is evaluated solely during each applicable performance period, with no opportunity to make up for unmet targets related to a previous performance period. Once PRSUs are earned based on the achieved performance level, they are settled by issuing an equivalent number of shares of the Company's common stock to the recipients.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second quarter of 2024, the Company issued market-based RSUs, which were approved by the Board. These awards will vest over the performance period which commenced on June 20, 2024, and will conclude on April 1, 2027. The vesting is based on the attainment of an average 30-day closing price of the applicable stock price threshold of the Company’s common stock at any time during the performance period and subject to continuous employment through the vesting dates.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Tranche</w:t>
            </w:r>
          </w:p>
        </w:tc>
        <w:tc>
          <w:tcPr>
            <w:tcW w:w="28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Company Stock Price Target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Number of Eligible Market-Based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Satisfaction of Minimum Service</w:t>
            </w:r>
          </w:p>
        </w:tc>
        <w:tc>
          <w:tcPr>
            <w:tcW w:w="0" w:type="dxa"/>
            <w:vAlign w:val="bottom"/>
          </w:tcPr>
          <w:p>
            <w:pPr>
              <w:spacing w:after="0"/>
              <w:rPr>
                <w:sz w:val="1"/>
                <w:szCs w:val="1"/>
                <w:color w:val="auto"/>
              </w:rPr>
            </w:pPr>
          </w:p>
        </w:tc>
      </w:tr>
      <w:tr>
        <w:trPr>
          <w:trHeight w:val="238"/>
        </w:trPr>
        <w:tc>
          <w:tcPr>
            <w:tcW w:w="2820" w:type="dxa"/>
            <w:vAlign w:val="bottom"/>
            <w:gridSpan w:val="2"/>
            <w:vMerge w:val="continue"/>
          </w:tcPr>
          <w:p>
            <w:pPr>
              <w:spacing w:after="0"/>
              <w:rPr>
                <w:sz w:val="20"/>
                <w:szCs w:val="20"/>
                <w:color w:val="auto"/>
              </w:rPr>
            </w:pPr>
          </w:p>
        </w:tc>
        <w:tc>
          <w:tcPr>
            <w:tcW w:w="2840" w:type="dxa"/>
            <w:vAlign w:val="bottom"/>
            <w:gridSpan w:val="2"/>
            <w:vMerge w:val="continue"/>
          </w:tcPr>
          <w:p>
            <w:pPr>
              <w:spacing w:after="0"/>
              <w:rPr>
                <w:sz w:val="20"/>
                <w:szCs w:val="20"/>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Requirement</w:t>
            </w:r>
          </w:p>
        </w:tc>
        <w:tc>
          <w:tcPr>
            <w:tcW w:w="0" w:type="dxa"/>
            <w:vAlign w:val="bottom"/>
          </w:tcPr>
          <w:p>
            <w:pPr>
              <w:spacing w:after="0"/>
              <w:rPr>
                <w:sz w:val="1"/>
                <w:szCs w:val="1"/>
                <w:color w:val="auto"/>
              </w:rPr>
            </w:pPr>
          </w:p>
        </w:tc>
      </w:tr>
      <w:tr>
        <w:trPr>
          <w:trHeight w:val="166"/>
        </w:trPr>
        <w:tc>
          <w:tcPr>
            <w:tcW w:w="27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$15.11</w:t>
            </w:r>
          </w:p>
        </w:tc>
        <w:tc>
          <w:tcPr>
            <w:tcW w:w="80" w:type="dxa"/>
            <w:vAlign w:val="bottom"/>
            <w:tcBorders>
              <w:top w:val="single" w:sz="8" w:color="CCEEFF"/>
            </w:tcBorders>
            <w:shd w:val="clear" w:color="auto" w:fill="CCEEFF"/>
          </w:tcPr>
          <w:p>
            <w:pPr>
              <w:spacing w:after="0"/>
              <w:rPr>
                <w:sz w:val="14"/>
                <w:szCs w:val="14"/>
                <w:color w:val="auto"/>
              </w:rPr>
            </w:pPr>
          </w:p>
        </w:tc>
        <w:tc>
          <w:tcPr>
            <w:tcW w:w="27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110,295</w:t>
            </w:r>
          </w:p>
        </w:tc>
        <w:tc>
          <w:tcPr>
            <w:tcW w:w="100" w:type="dxa"/>
            <w:vAlign w:val="bottom"/>
            <w:tcBorders>
              <w:top w:val="single" w:sz="8" w:color="CCEEFF"/>
            </w:tcBorders>
            <w:shd w:val="clear" w:color="auto" w:fill="CCEEFF"/>
          </w:tcPr>
          <w:p>
            <w:pPr>
              <w:spacing w:after="0"/>
              <w:rPr>
                <w:sz w:val="14"/>
                <w:szCs w:val="14"/>
                <w:color w:val="auto"/>
              </w:rPr>
            </w:pPr>
          </w:p>
        </w:tc>
        <w:tc>
          <w:tcPr>
            <w:tcW w:w="2740" w:type="dxa"/>
            <w:vAlign w:val="bottom"/>
            <w:tcBorders>
              <w:top w:val="single" w:sz="8" w:color="auto"/>
            </w:tcBorders>
            <w:shd w:val="clear" w:color="auto" w:fill="CCEEFF"/>
          </w:tcPr>
          <w:p>
            <w:pPr>
              <w:jc w:val="center"/>
              <w:spacing w:after="0" w:line="165" w:lineRule="exact"/>
              <w:rPr>
                <w:sz w:val="20"/>
                <w:szCs w:val="20"/>
                <w:color w:val="auto"/>
              </w:rPr>
            </w:pPr>
            <w:r>
              <w:rPr>
                <w:rFonts w:ascii="Times New Roman" w:cs="Times New Roman" w:eastAsia="Times New Roman" w:hAnsi="Times New Roman"/>
                <w:sz w:val="18"/>
                <w:szCs w:val="18"/>
                <w:color w:val="auto"/>
                <w:w w:val="98"/>
              </w:rPr>
              <w:t>Service through and including</w:t>
            </w:r>
          </w:p>
        </w:tc>
        <w:tc>
          <w:tcPr>
            <w:tcW w:w="0" w:type="dxa"/>
            <w:vAlign w:val="bottom"/>
          </w:tcPr>
          <w:p>
            <w:pPr>
              <w:spacing w:after="0"/>
              <w:rPr>
                <w:sz w:val="1"/>
                <w:szCs w:val="1"/>
                <w:color w:val="auto"/>
              </w:rPr>
            </w:pPr>
          </w:p>
        </w:tc>
      </w:tr>
      <w:tr>
        <w:trPr>
          <w:trHeight w:val="147"/>
        </w:trPr>
        <w:tc>
          <w:tcPr>
            <w:tcW w:w="2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2025</w:t>
            </w:r>
          </w:p>
        </w:tc>
        <w:tc>
          <w:tcPr>
            <w:tcW w:w="0" w:type="dxa"/>
            <w:vAlign w:val="bottom"/>
          </w:tcPr>
          <w:p>
            <w:pPr>
              <w:spacing w:after="0"/>
              <w:rPr>
                <w:sz w:val="1"/>
                <w:szCs w:val="1"/>
                <w:color w:val="auto"/>
              </w:rPr>
            </w:pPr>
          </w:p>
        </w:tc>
      </w:tr>
      <w:tr>
        <w:trPr>
          <w:trHeight w:val="92"/>
        </w:trPr>
        <w:tc>
          <w:tcPr>
            <w:tcW w:w="2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4"/>
                <w:szCs w:val="14"/>
                <w:color w:val="auto"/>
              </w:rPr>
            </w:pP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17.61</w:t>
            </w:r>
          </w:p>
        </w:tc>
        <w:tc>
          <w:tcPr>
            <w:tcW w:w="80" w:type="dxa"/>
            <w:vAlign w:val="bottom"/>
          </w:tcPr>
          <w:p>
            <w:pPr>
              <w:spacing w:after="0"/>
              <w:rPr>
                <w:sz w:val="14"/>
                <w:szCs w:val="14"/>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110,294</w:t>
            </w:r>
          </w:p>
        </w:tc>
        <w:tc>
          <w:tcPr>
            <w:tcW w:w="100" w:type="dxa"/>
            <w:vAlign w:val="bottom"/>
          </w:tcPr>
          <w:p>
            <w:pPr>
              <w:spacing w:after="0"/>
              <w:rPr>
                <w:sz w:val="14"/>
                <w:szCs w:val="14"/>
                <w:color w:val="auto"/>
              </w:rPr>
            </w:pPr>
          </w:p>
        </w:tc>
        <w:tc>
          <w:tcPr>
            <w:tcW w:w="27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Service through and including</w:t>
            </w:r>
          </w:p>
        </w:tc>
        <w:tc>
          <w:tcPr>
            <w:tcW w:w="0" w:type="dxa"/>
            <w:vAlign w:val="bottom"/>
          </w:tcPr>
          <w:p>
            <w:pPr>
              <w:spacing w:after="0"/>
              <w:rPr>
                <w:sz w:val="1"/>
                <w:szCs w:val="1"/>
                <w:color w:val="auto"/>
              </w:rPr>
            </w:pPr>
          </w:p>
        </w:tc>
      </w:tr>
      <w:tr>
        <w:trPr>
          <w:trHeight w:val="147"/>
        </w:trPr>
        <w:tc>
          <w:tcPr>
            <w:tcW w:w="2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October 1, 2025</w:t>
            </w: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5"/>
                <w:szCs w:val="15"/>
                <w:color w:val="auto"/>
              </w:rPr>
            </w:pPr>
          </w:p>
        </w:tc>
        <w:tc>
          <w:tcPr>
            <w:tcW w:w="2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20.11</w:t>
            </w:r>
          </w:p>
        </w:tc>
        <w:tc>
          <w:tcPr>
            <w:tcW w:w="80" w:type="dxa"/>
            <w:vAlign w:val="bottom"/>
            <w:shd w:val="clear" w:color="auto" w:fill="CCEEFF"/>
          </w:tcPr>
          <w:p>
            <w:pPr>
              <w:spacing w:after="0"/>
              <w:rPr>
                <w:sz w:val="15"/>
                <w:szCs w:val="15"/>
                <w:color w:val="auto"/>
              </w:rPr>
            </w:pPr>
          </w:p>
        </w:tc>
        <w:tc>
          <w:tcPr>
            <w:tcW w:w="2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110,294</w:t>
            </w:r>
          </w:p>
        </w:tc>
        <w:tc>
          <w:tcPr>
            <w:tcW w:w="100" w:type="dxa"/>
            <w:vAlign w:val="bottom"/>
            <w:shd w:val="clear" w:color="auto" w:fill="CCEEFF"/>
          </w:tcPr>
          <w:p>
            <w:pPr>
              <w:spacing w:after="0"/>
              <w:rPr>
                <w:sz w:val="15"/>
                <w:szCs w:val="15"/>
                <w:color w:val="auto"/>
              </w:rPr>
            </w:pPr>
          </w:p>
        </w:tc>
        <w:tc>
          <w:tcPr>
            <w:tcW w:w="27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Service through and including July 1,</w:t>
            </w:r>
          </w:p>
        </w:tc>
        <w:tc>
          <w:tcPr>
            <w:tcW w:w="0" w:type="dxa"/>
            <w:vAlign w:val="bottom"/>
          </w:tcPr>
          <w:p>
            <w:pPr>
              <w:spacing w:after="0"/>
              <w:rPr>
                <w:sz w:val="1"/>
                <w:szCs w:val="1"/>
                <w:color w:val="auto"/>
              </w:rPr>
            </w:pPr>
          </w:p>
        </w:tc>
      </w:tr>
      <w:tr>
        <w:trPr>
          <w:trHeight w:val="147"/>
        </w:trPr>
        <w:tc>
          <w:tcPr>
            <w:tcW w:w="2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740" w:type="dxa"/>
            <w:vAlign w:val="bottom"/>
            <w:vMerge w:val="restart"/>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92"/>
        </w:trPr>
        <w:tc>
          <w:tcPr>
            <w:tcW w:w="2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4"/>
                <w:szCs w:val="14"/>
                <w:color w:val="auto"/>
              </w:rPr>
            </w:pP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22.61</w:t>
            </w:r>
          </w:p>
        </w:tc>
        <w:tc>
          <w:tcPr>
            <w:tcW w:w="80" w:type="dxa"/>
            <w:vAlign w:val="bottom"/>
          </w:tcPr>
          <w:p>
            <w:pPr>
              <w:spacing w:after="0"/>
              <w:rPr>
                <w:sz w:val="14"/>
                <w:szCs w:val="14"/>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110,294</w:t>
            </w:r>
          </w:p>
        </w:tc>
        <w:tc>
          <w:tcPr>
            <w:tcW w:w="100" w:type="dxa"/>
            <w:vAlign w:val="bottom"/>
          </w:tcPr>
          <w:p>
            <w:pPr>
              <w:spacing w:after="0"/>
              <w:rPr>
                <w:sz w:val="14"/>
                <w:szCs w:val="14"/>
                <w:color w:val="auto"/>
              </w:rPr>
            </w:pPr>
          </w:p>
        </w:tc>
        <w:tc>
          <w:tcPr>
            <w:tcW w:w="27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7"/>
              </w:rPr>
              <w:t>Service through and including April</w:t>
            </w:r>
          </w:p>
        </w:tc>
        <w:tc>
          <w:tcPr>
            <w:tcW w:w="0" w:type="dxa"/>
            <w:vAlign w:val="bottom"/>
          </w:tcPr>
          <w:p>
            <w:pPr>
              <w:spacing w:after="0"/>
              <w:rPr>
                <w:sz w:val="1"/>
                <w:szCs w:val="1"/>
                <w:color w:val="auto"/>
              </w:rPr>
            </w:pPr>
          </w:p>
        </w:tc>
      </w:tr>
      <w:tr>
        <w:trPr>
          <w:trHeight w:val="147"/>
        </w:trPr>
        <w:tc>
          <w:tcPr>
            <w:tcW w:w="2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vMerge w:val="restart"/>
          </w:tcPr>
          <w:p>
            <w:pPr>
              <w:jc w:val="right"/>
              <w:ind w:right="1012"/>
              <w:spacing w:after="0"/>
              <w:rPr>
                <w:sz w:val="20"/>
                <w:szCs w:val="20"/>
                <w:color w:val="auto"/>
              </w:rPr>
            </w:pPr>
            <w:r>
              <w:rPr>
                <w:rFonts w:ascii="Times New Roman" w:cs="Times New Roman" w:eastAsia="Times New Roman" w:hAnsi="Times New Roman"/>
                <w:sz w:val="18"/>
                <w:szCs w:val="18"/>
                <w:color w:val="auto"/>
              </w:rPr>
              <w:t>1, 2027</w:t>
            </w:r>
          </w:p>
        </w:tc>
        <w:tc>
          <w:tcPr>
            <w:tcW w:w="0" w:type="dxa"/>
            <w:vAlign w:val="bottom"/>
          </w:tcPr>
          <w:p>
            <w:pPr>
              <w:spacing w:after="0"/>
              <w:rPr>
                <w:sz w:val="1"/>
                <w:szCs w:val="1"/>
                <w:color w:val="auto"/>
              </w:rPr>
            </w:pPr>
          </w:p>
        </w:tc>
      </w:tr>
      <w:tr>
        <w:trPr>
          <w:trHeight w:val="85"/>
        </w:trPr>
        <w:tc>
          <w:tcPr>
            <w:tcW w:w="2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November 2025, the Company granted 9,678,000 stock option awards to our Chief Executive Officer and Chairman of the Company (the “CEO Premium-Priced Performance Option”) at an exercise price equal to $13.54, representing a premium price that is 140% of the fair market value of the price per share as of the Grant Date.</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CEO Premium-Priced Performance Option will vest based on the Company’s adjusted free cash flow per share and stock price performance over 12-month periods ending on the last day of each of the eight fiscal quarters of the Company during 24-month measurement periods (the “Performance Measurement Period”), starting with the fiscal quarter of the Company ending on or immediately following the one-year anniversary of the Grant Date and ending with the last fiscal quarter ending prior to the 10-year expiration date of the award. Under the terms of the CEO Premium-Priced Performance Option, the award is divided into six equal tranches, with each tranche subject to a stock price goal (based on average closing stock price over a 20 consecutive trading day period) and adjusted free cash flow per share goal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Stock Price Goal Increase from Per</w:t>
            </w: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Adjusted Free Cash Flow per Share</w:t>
            </w:r>
          </w:p>
        </w:tc>
        <w:tc>
          <w:tcPr>
            <w:tcW w:w="0" w:type="dxa"/>
            <w:vAlign w:val="bottom"/>
          </w:tcPr>
          <w:p>
            <w:pPr>
              <w:spacing w:after="0"/>
              <w:rPr>
                <w:sz w:val="1"/>
                <w:szCs w:val="1"/>
                <w:color w:val="auto"/>
              </w:rPr>
            </w:pPr>
          </w:p>
        </w:tc>
      </w:tr>
      <w:tr>
        <w:trPr>
          <w:trHeight w:val="172"/>
        </w:trPr>
        <w:tc>
          <w:tcPr>
            <w:tcW w:w="2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Tranche</w:t>
            </w:r>
          </w:p>
        </w:tc>
        <w:tc>
          <w:tcPr>
            <w:tcW w:w="28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Stock Price Goal</w:t>
            </w:r>
          </w:p>
        </w:tc>
        <w:tc>
          <w:tcPr>
            <w:tcW w:w="284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8"/>
                <w:szCs w:val="18"/>
                <w:b w:val="1"/>
                <w:bCs w:val="1"/>
                <w:color w:val="auto"/>
                <w:w w:val="97"/>
              </w:rPr>
              <w:t>Share Fair Market Value as of the</w:t>
            </w:r>
          </w:p>
        </w:tc>
        <w:tc>
          <w:tcPr>
            <w:tcW w:w="2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820" w:type="dxa"/>
            <w:vAlign w:val="bottom"/>
            <w:gridSpan w:val="2"/>
            <w:vMerge w:val="continue"/>
          </w:tcPr>
          <w:p>
            <w:pPr>
              <w:spacing w:after="0"/>
              <w:rPr>
                <w:sz w:val="20"/>
                <w:szCs w:val="20"/>
                <w:color w:val="auto"/>
              </w:rPr>
            </w:pPr>
          </w:p>
        </w:tc>
        <w:tc>
          <w:tcPr>
            <w:tcW w:w="2840" w:type="dxa"/>
            <w:vAlign w:val="bottom"/>
            <w:gridSpan w:val="2"/>
            <w:vMerge w:val="continue"/>
          </w:tcPr>
          <w:p>
            <w:pPr>
              <w:spacing w:after="0"/>
              <w:rPr>
                <w:sz w:val="20"/>
                <w:szCs w:val="20"/>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Goal</w:t>
            </w:r>
          </w:p>
        </w:tc>
        <w:tc>
          <w:tcPr>
            <w:tcW w:w="0" w:type="dxa"/>
            <w:vAlign w:val="bottom"/>
          </w:tcPr>
          <w:p>
            <w:pPr>
              <w:spacing w:after="0"/>
              <w:rPr>
                <w:sz w:val="1"/>
                <w:szCs w:val="1"/>
                <w:color w:val="auto"/>
              </w:rPr>
            </w:pPr>
          </w:p>
        </w:tc>
      </w:tr>
      <w:tr>
        <w:trPr>
          <w:trHeight w:val="218"/>
        </w:trPr>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$40.00</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414%</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$2.50</w:t>
            </w:r>
          </w:p>
        </w:tc>
        <w:tc>
          <w:tcPr>
            <w:tcW w:w="0" w:type="dxa"/>
            <w:vAlign w:val="bottom"/>
          </w:tcPr>
          <w:p>
            <w:pPr>
              <w:spacing w:after="0"/>
              <w:rPr>
                <w:sz w:val="1"/>
                <w:szCs w:val="1"/>
                <w:color w:val="auto"/>
              </w:rPr>
            </w:pPr>
          </w:p>
        </w:tc>
      </w:tr>
      <w:tr>
        <w:trPr>
          <w:trHeight w:val="225"/>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8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620%</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3.00</w:t>
            </w: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8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724%</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3.50</w:t>
            </w:r>
          </w:p>
        </w:tc>
        <w:tc>
          <w:tcPr>
            <w:tcW w:w="0" w:type="dxa"/>
            <w:vAlign w:val="bottom"/>
          </w:tcPr>
          <w:p>
            <w:pPr>
              <w:spacing w:after="0"/>
              <w:rPr>
                <w:sz w:val="1"/>
                <w:szCs w:val="1"/>
                <w:color w:val="auto"/>
              </w:rPr>
            </w:pPr>
          </w:p>
        </w:tc>
      </w:tr>
      <w:tr>
        <w:trPr>
          <w:trHeight w:val="225"/>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80.00</w:t>
            </w:r>
          </w:p>
        </w:tc>
        <w:tc>
          <w:tcPr>
            <w:tcW w:w="8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827%</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4.00</w:t>
            </w: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90.00</w:t>
            </w:r>
          </w:p>
        </w:tc>
        <w:tc>
          <w:tcPr>
            <w:tcW w:w="8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931%</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4.50</w:t>
            </w:r>
          </w:p>
        </w:tc>
        <w:tc>
          <w:tcPr>
            <w:tcW w:w="0" w:type="dxa"/>
            <w:vAlign w:val="bottom"/>
          </w:tcPr>
          <w:p>
            <w:pPr>
              <w:spacing w:after="0"/>
              <w:rPr>
                <w:sz w:val="1"/>
                <w:szCs w:val="1"/>
                <w:color w:val="auto"/>
              </w:rPr>
            </w:pPr>
          </w:p>
        </w:tc>
      </w:tr>
      <w:tr>
        <w:trPr>
          <w:trHeight w:val="231"/>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8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1,034%</w:t>
            </w:r>
          </w:p>
        </w:tc>
        <w:tc>
          <w:tcPr>
            <w:tcW w:w="10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vest, both the stock price goal and the adjusted free cash flow goal must be achieved during the Performance Measurement Period. In addition, to ensure that the stock price goal is not achieved merely because the Company’s stock price appreciates due to broad market inflation, the stock price goal will only be satisfied if the Company’s TSR performance for the applicable 12-month period is at or above the 25th percentile of all companies in the Russell 3000 Index as of the Grant Date.</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If the performance goals with respect to a tranche are satisfied prior to the applicable vesting date, such tranche will remain outstanding and will vest on the applicable vesting date, subject to continued service through such date. The service-based vesting condition lapses in one-third annual installments on each of the three-year, four-year and five-year anniversaries of the Grant Date.</w:t>
      </w:r>
    </w:p>
    <w:p>
      <w:pPr>
        <w:spacing w:after="0" w:line="12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Equity-based compensation expense is recognized over the requisite service period as each performance condition becomes probable of achievement. The weighted average grant fair value was $3.34. We measured the fair value of the CEO Premium-Priced Performance Option using a Monte Carlo simulation approach with the following assumptions: risk-free interest rate of 3.96%, expected term of ten years, expected volatility of 52.34%, and dividend yield of 0%.</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additional grants have other vesting periods approved by the Compensation Committee of the Board.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57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Restricted stock unit activity was as follows during the periods indicated: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9"/>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40" w:type="dxa"/>
            <w:vAlign w:val="bottom"/>
            <w:gridSpan w:val="9"/>
            <w:vMerge w:val="continue"/>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0" w:type="dxa"/>
            <w:vAlign w:val="bottom"/>
          </w:tcPr>
          <w:p>
            <w:pPr>
              <w:spacing w:after="0"/>
              <w:rPr>
                <w:sz w:val="1"/>
                <w:szCs w:val="1"/>
                <w:color w:val="auto"/>
              </w:rPr>
            </w:pPr>
          </w:p>
        </w:tc>
      </w:tr>
      <w:tr>
        <w:trPr>
          <w:trHeight w:val="166"/>
        </w:trPr>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jc w:val="center"/>
              <w:ind w:right="140"/>
              <w:spacing w:after="0" w:line="165"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Restricted Stock Units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4"/>
          </w:tcPr>
          <w:p>
            <w:pPr>
              <w:jc w:val="center"/>
              <w:ind w:right="220"/>
              <w:spacing w:after="0" w:line="178"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Restricted Stock Units</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Restricted Stock Units</w:t>
            </w:r>
          </w:p>
        </w:tc>
        <w:tc>
          <w:tcPr>
            <w:tcW w:w="0" w:type="dxa"/>
            <w:vAlign w:val="bottom"/>
          </w:tcPr>
          <w:p>
            <w:pPr>
              <w:spacing w:after="0"/>
              <w:rPr>
                <w:sz w:val="1"/>
                <w:szCs w:val="1"/>
                <w:color w:val="auto"/>
              </w:rPr>
            </w:pPr>
          </w:p>
        </w:tc>
      </w:tr>
      <w:tr>
        <w:trPr>
          <w:trHeight w:val="232"/>
        </w:trPr>
        <w:tc>
          <w:tcPr>
            <w:tcW w:w="4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0" w:type="dxa"/>
            <w:vAlign w:val="bottom"/>
            <w:gridSpan w:val="2"/>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15,220,019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12,636,460</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10,377,568</w:t>
            </w:r>
          </w:p>
        </w:tc>
        <w:tc>
          <w:tcPr>
            <w:tcW w:w="0" w:type="dxa"/>
            <w:vAlign w:val="bottom"/>
          </w:tcPr>
          <w:p>
            <w:pPr>
              <w:spacing w:after="0"/>
              <w:rPr>
                <w:sz w:val="1"/>
                <w:szCs w:val="1"/>
                <w:color w:val="auto"/>
              </w:rPr>
            </w:pPr>
          </w:p>
        </w:tc>
      </w:tr>
      <w:tr>
        <w:trPr>
          <w:trHeight w:val="225"/>
        </w:trPr>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9,171,980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11,205,269</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8,731,967</w:t>
            </w:r>
          </w:p>
        </w:tc>
        <w:tc>
          <w:tcPr>
            <w:tcW w:w="0" w:type="dxa"/>
            <w:vAlign w:val="bottom"/>
          </w:tcPr>
          <w:p>
            <w:pPr>
              <w:spacing w:after="0"/>
              <w:rPr>
                <w:sz w:val="1"/>
                <w:szCs w:val="1"/>
                <w:color w:val="auto"/>
              </w:rPr>
            </w:pPr>
          </w:p>
        </w:tc>
      </w:tr>
      <w:tr>
        <w:trPr>
          <w:trHeight w:val="225"/>
        </w:trPr>
        <w:tc>
          <w:tcPr>
            <w:tcW w:w="4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 - performance-based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1,617,489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272,797</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509,824</w:t>
            </w:r>
          </w:p>
        </w:tc>
        <w:tc>
          <w:tcPr>
            <w:tcW w:w="0" w:type="dxa"/>
            <w:vAlign w:val="bottom"/>
          </w:tcPr>
          <w:p>
            <w:pPr>
              <w:spacing w:after="0"/>
              <w:rPr>
                <w:sz w:val="1"/>
                <w:szCs w:val="1"/>
                <w:color w:val="auto"/>
              </w:rPr>
            </w:pPr>
          </w:p>
        </w:tc>
      </w:tr>
      <w:tr>
        <w:trPr>
          <w:trHeight w:val="225"/>
        </w:trPr>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 - market-based</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441,177</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(6,396,878)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(5,295,543)</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(4,292,910)</w:t>
            </w:r>
          </w:p>
        </w:tc>
        <w:tc>
          <w:tcPr>
            <w:tcW w:w="0" w:type="dxa"/>
            <w:vAlign w:val="bottom"/>
          </w:tcPr>
          <w:p>
            <w:pPr>
              <w:spacing w:after="0"/>
              <w:rPr>
                <w:sz w:val="1"/>
                <w:szCs w:val="1"/>
                <w:color w:val="auto"/>
              </w:rPr>
            </w:pPr>
          </w:p>
        </w:tc>
      </w:tr>
      <w:tr>
        <w:trPr>
          <w:trHeight w:val="225"/>
        </w:trPr>
        <w:tc>
          <w:tcPr>
            <w:tcW w:w="40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(3,284,970)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(4,040,141)</w:t>
            </w:r>
          </w:p>
        </w:tc>
        <w:tc>
          <w:tcPr>
            <w:tcW w:w="8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(2,689,989)</w:t>
            </w: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16,327,640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15,220,019</w:t>
            </w:r>
          </w:p>
        </w:tc>
        <w:tc>
          <w:tcPr>
            <w:tcW w:w="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12,636,460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406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7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Restricted stock activity was as follows during the periods indicated: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9"/>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0" w:type="dxa"/>
            <w:vAlign w:val="bottom"/>
          </w:tcPr>
          <w:p>
            <w:pPr>
              <w:spacing w:after="0"/>
              <w:rPr>
                <w:sz w:val="1"/>
                <w:szCs w:val="1"/>
                <w:color w:val="auto"/>
              </w:rPr>
            </w:pPr>
          </w:p>
        </w:tc>
      </w:tr>
      <w:tr>
        <w:trPr>
          <w:trHeight w:val="239"/>
        </w:trPr>
        <w:tc>
          <w:tcPr>
            <w:tcW w:w="4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40" w:type="dxa"/>
            <w:vAlign w:val="bottom"/>
            <w:gridSpan w:val="9"/>
            <w:vMerge w:val="continue"/>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center"/>
              <w:ind w:right="32"/>
              <w:spacing w:after="0" w:line="165"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00" w:type="dxa"/>
            <w:vAlign w:val="bottom"/>
            <w:gridSpan w:val="2"/>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Restricted stock</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center"/>
              <w:ind w:right="240"/>
              <w:spacing w:after="0" w:line="172"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Restricted stock</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Restricted stock</w:t>
            </w:r>
          </w:p>
        </w:tc>
        <w:tc>
          <w:tcPr>
            <w:tcW w:w="0" w:type="dxa"/>
            <w:vAlign w:val="bottom"/>
          </w:tcPr>
          <w:p>
            <w:pPr>
              <w:spacing w:after="0"/>
              <w:rPr>
                <w:sz w:val="1"/>
                <w:szCs w:val="1"/>
                <w:color w:val="auto"/>
              </w:rPr>
            </w:pPr>
          </w:p>
        </w:tc>
      </w:tr>
      <w:tr>
        <w:trPr>
          <w:trHeight w:val="239"/>
        </w:trPr>
        <w:tc>
          <w:tcPr>
            <w:tcW w:w="4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0" w:type="dxa"/>
            <w:vAlign w:val="bottom"/>
            <w:gridSpan w:val="2"/>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2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347,976</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858,560</w:t>
            </w:r>
          </w:p>
        </w:tc>
        <w:tc>
          <w:tcPr>
            <w:tcW w:w="0" w:type="dxa"/>
            <w:vAlign w:val="bottom"/>
          </w:tcPr>
          <w:p>
            <w:pPr>
              <w:spacing w:after="0"/>
              <w:rPr>
                <w:sz w:val="1"/>
                <w:szCs w:val="1"/>
                <w:color w:val="auto"/>
              </w:rPr>
            </w:pPr>
          </w:p>
        </w:tc>
      </w:tr>
      <w:tr>
        <w:trPr>
          <w:trHeight w:val="225"/>
        </w:trPr>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(327,564)</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(499,607)</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8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0" w:type="dxa"/>
            <w:vAlign w:val="bottom"/>
          </w:tcPr>
          <w:p>
            <w:pPr>
              <w:spacing w:after="0"/>
              <w:rPr>
                <w:sz w:val="1"/>
                <w:szCs w:val="1"/>
                <w:color w:val="auto"/>
              </w:rPr>
            </w:pPr>
          </w:p>
        </w:tc>
      </w:tr>
      <w:tr>
        <w:trPr>
          <w:trHeight w:val="218"/>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347,976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Options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5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Common stock options activity was as follows during the period indicated: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040" w:type="dxa"/>
            <w:vAlign w:val="bottom"/>
          </w:tcPr>
          <w:p>
            <w:pPr>
              <w:spacing w:after="0"/>
              <w:rPr>
                <w:sz w:val="24"/>
                <w:szCs w:val="24"/>
                <w:color w:val="auto"/>
              </w:rPr>
            </w:pPr>
          </w:p>
        </w:tc>
        <w:tc>
          <w:tcPr>
            <w:tcW w:w="3540" w:type="dxa"/>
            <w:vAlign w:val="bottom"/>
            <w:gridSpan w:val="4"/>
            <w:vMerge w:val="restart"/>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00" w:type="dxa"/>
            <w:vAlign w:val="bottom"/>
            <w:vMerge w:val="restart"/>
          </w:tcPr>
          <w:p>
            <w:pPr>
              <w:spacing w:after="0"/>
              <w:rPr>
                <w:sz w:val="24"/>
                <w:szCs w:val="24"/>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3540" w:type="dxa"/>
            <w:vAlign w:val="bottom"/>
            <w:tcBorders>
              <w:bottom w:val="single" w:sz="8" w:color="auto"/>
            </w:tcBorders>
            <w:gridSpan w:val="4"/>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8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1720" w:type="dxa"/>
            <w:vAlign w:val="bottom"/>
            <w:vMerge w:val="restart"/>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center"/>
              <w:ind w:right="32"/>
              <w:spacing w:after="0" w:line="165"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00" w:type="dxa"/>
            <w:vAlign w:val="bottom"/>
          </w:tcPr>
          <w:p>
            <w:pPr>
              <w:spacing w:after="0"/>
              <w:rPr>
                <w:sz w:val="14"/>
                <w:szCs w:val="14"/>
                <w:color w:val="auto"/>
              </w:rPr>
            </w:pP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0" w:type="dxa"/>
            <w:vAlign w:val="bottom"/>
          </w:tcPr>
          <w:p>
            <w:pPr>
              <w:spacing w:after="0"/>
              <w:rPr>
                <w:sz w:val="1"/>
                <w:szCs w:val="1"/>
                <w:color w:val="auto"/>
              </w:rPr>
            </w:pPr>
          </w:p>
        </w:tc>
      </w:tr>
      <w:tr>
        <w:trPr>
          <w:trHeight w:val="239"/>
        </w:trPr>
        <w:tc>
          <w:tcPr>
            <w:tcW w:w="4040" w:type="dxa"/>
            <w:vAlign w:val="bottom"/>
          </w:tcPr>
          <w:p>
            <w:pPr>
              <w:spacing w:after="0"/>
              <w:rPr>
                <w:sz w:val="20"/>
                <w:szCs w:val="20"/>
                <w:color w:val="auto"/>
              </w:rPr>
            </w:pPr>
          </w:p>
        </w:tc>
        <w:tc>
          <w:tcPr>
            <w:tcW w:w="1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820" w:type="dxa"/>
            <w:vAlign w:val="bottom"/>
            <w:gridSpan w:val="2"/>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228,059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279,553</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323,002</w:t>
            </w:r>
          </w:p>
        </w:tc>
        <w:tc>
          <w:tcPr>
            <w:tcW w:w="0" w:type="dxa"/>
            <w:vAlign w:val="bottom"/>
          </w:tcPr>
          <w:p>
            <w:pPr>
              <w:spacing w:after="0"/>
              <w:rPr>
                <w:sz w:val="1"/>
                <w:szCs w:val="1"/>
                <w:color w:val="auto"/>
              </w:rPr>
            </w:pPr>
          </w:p>
        </w:tc>
      </w:tr>
      <w:tr>
        <w:trPr>
          <w:trHeight w:val="225"/>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(18,448)</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(51,494)</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(20,715)</w:t>
            </w:r>
          </w:p>
        </w:tc>
        <w:tc>
          <w:tcPr>
            <w:tcW w:w="0" w:type="dxa"/>
            <w:vAlign w:val="bottom"/>
          </w:tcPr>
          <w:p>
            <w:pPr>
              <w:spacing w:after="0"/>
              <w:rPr>
                <w:sz w:val="1"/>
                <w:szCs w:val="1"/>
                <w:color w:val="auto"/>
              </w:rPr>
            </w:pPr>
          </w:p>
        </w:tc>
      </w:tr>
      <w:tr>
        <w:trPr>
          <w:trHeight w:val="225"/>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0" w:type="dxa"/>
            <w:vAlign w:val="bottom"/>
          </w:tcPr>
          <w:p>
            <w:pPr>
              <w:spacing w:after="0"/>
              <w:rPr>
                <w:sz w:val="1"/>
                <w:szCs w:val="1"/>
                <w:color w:val="auto"/>
              </w:rPr>
            </w:pPr>
          </w:p>
        </w:tc>
      </w:tr>
      <w:tr>
        <w:trPr>
          <w:trHeight w:val="243"/>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279,553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Options have a maximum contractual term of ten years. The aggregate intrinsic value and weighted average remaining contractual terms of options outstanding and options exercisable were as follows as of December 31, 2025.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5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5"/>
        </w:trPr>
        <w:tc>
          <w:tcPr>
            <w:tcW w:w="95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 xml:space="preserve">Aggregate intrinsic value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22"/>
                <w:szCs w:val="22"/>
                <w:i w:val="1"/>
                <w:iCs w:val="1"/>
                <w:color w:val="auto"/>
                <w:vertAlign w:val="superscript"/>
              </w:rPr>
              <w:t>(1)</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25"/>
        </w:trPr>
        <w:tc>
          <w:tcPr>
            <w:tcW w:w="9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outstanding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9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exercisable</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contractual term</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5"/>
        </w:trPr>
        <w:tc>
          <w:tcPr>
            <w:tcW w:w="9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outstanding</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8"/>
              </w:rPr>
              <w:t>4.3 years</w:t>
            </w:r>
          </w:p>
        </w:tc>
      </w:tr>
      <w:tr>
        <w:trPr>
          <w:trHeight w:val="231"/>
        </w:trPr>
        <w:tc>
          <w:tcPr>
            <w:tcW w:w="9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exercisable</w:t>
            </w:r>
          </w:p>
        </w:tc>
        <w:tc>
          <w:tcPr>
            <w:tcW w:w="140" w:type="dxa"/>
            <w:vAlign w:val="bottom"/>
          </w:tcPr>
          <w:p>
            <w:pPr>
              <w:spacing w:after="0"/>
              <w:rPr>
                <w:sz w:val="20"/>
                <w:szCs w:val="20"/>
                <w:color w:val="auto"/>
              </w:rPr>
            </w:pPr>
          </w:p>
        </w:tc>
        <w:tc>
          <w:tcPr>
            <w:tcW w:w="160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4.3 years</w:t>
            </w:r>
          </w:p>
        </w:tc>
      </w:tr>
      <w:tr>
        <w:trPr>
          <w:trHeight w:val="311"/>
        </w:trPr>
        <w:tc>
          <w:tcPr>
            <w:tcW w:w="95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8"/>
        </w:trPr>
        <w:tc>
          <w:tcPr>
            <w:tcW w:w="9500" w:type="dxa"/>
            <w:vAlign w:val="bottom"/>
          </w:tcPr>
          <w:p>
            <w:pPr>
              <w:spacing w:after="0"/>
              <w:rPr>
                <w:sz w:val="20"/>
                <w:szCs w:val="20"/>
                <w:color w:val="auto"/>
              </w:rPr>
            </w:pPr>
            <w:r>
              <w:rPr>
                <w:rFonts w:ascii="Times New Roman" w:cs="Times New Roman" w:eastAsia="Times New Roman" w:hAnsi="Times New Roman"/>
                <w:sz w:val="16"/>
                <w:szCs w:val="16"/>
                <w:color w:val="auto"/>
              </w:rPr>
              <w:t>(1)  The aggregate intrinsic value of options outstanding and exercisable is zero, as all options are out of the money.</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June 3, 2020, the Board adopted the ZoomInfo Technologies Inc. 2020 Employee Stock Purchase Plan (the “ESPP”) that allows eligible employees to purchase shares of the Company's common stock at a discounted price, through payroll deductions of up to 15% of their eligible compensation and the IRS allowable limit per calendar year. The Compensation Committee of the Board administers the ESPP, including with respect to the frequency and duration of offering periods, the maximum number of shares that an eligible employee may purchase during an offering period, and, subject to certain limitations set forth in the ESPP, the per-share purchase price. Currently, the maximum number of shares that can be purchased by an eligible employee under the ESPP is 1,500 shares per offering period, and there are two six-month offering periods that begin in the second and fourth quarters of each fiscal year. The purchase price for one share of common stock under the ESPP is currently equal to 90% of the fair market value of one share of common stock on the first trading day of the offering period or the purchase date, whichever is lower.</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maximum aggregate number of shares of the common stock that may be issued under the ESPP is no more than 7,500,000 shares (the “ESPP Plan Share Reserve”). The ESPP also contains a provision that will add an additional number of shares of common stock to the ESPP Plan Reserve on the first day of each year starting with January 1, 2021, equal to the lesser of (i) the positive difference between (x) 1% of the number of shares of common stock outstanding on the last day of the immediately preceding fiscal year, and (y) the ESPP Plan Share Reserve on the last day of the immediately preceding fiscal year, and (ii) a lower number of shares of common stock as may be determined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 of the ESPP purchase was determined using the Black-Scholes option pricing model outlined in the following table: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December 31, 2023</w:t>
            </w:r>
          </w:p>
        </w:tc>
        <w:tc>
          <w:tcPr>
            <w:tcW w:w="0" w:type="dxa"/>
            <w:vAlign w:val="bottom"/>
          </w:tcPr>
          <w:p>
            <w:pPr>
              <w:spacing w:after="0"/>
              <w:rPr>
                <w:sz w:val="1"/>
                <w:szCs w:val="1"/>
                <w:color w:val="auto"/>
              </w:rPr>
            </w:pPr>
          </w:p>
        </w:tc>
      </w:tr>
      <w:tr>
        <w:trPr>
          <w:trHeight w:val="238"/>
        </w:trPr>
        <w:tc>
          <w:tcPr>
            <w:tcW w:w="636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4"/>
              </w:rPr>
              <w:t>2024</w:t>
            </w:r>
            <w:r>
              <w:rPr>
                <w:rFonts w:ascii="Times New Roman" w:cs="Times New Roman" w:eastAsia="Times New Roman" w:hAnsi="Times New Roman"/>
                <w:sz w:val="22"/>
                <w:szCs w:val="22"/>
                <w:b w:val="1"/>
                <w:bCs w:val="1"/>
                <w:color w:val="auto"/>
                <w:w w:val="94"/>
                <w:vertAlign w:val="superscript"/>
              </w:rPr>
              <w:t>(1)</w:t>
            </w:r>
          </w:p>
        </w:tc>
        <w:tc>
          <w:tcPr>
            <w:tcW w:w="8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56.1%</w:t>
            </w:r>
          </w:p>
        </w:tc>
        <w:tc>
          <w:tcPr>
            <w:tcW w:w="8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50.4% to 67.6%</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0.5 years</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 years</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5.3% to 5.4%</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unit</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$3.29</w:t>
            </w:r>
          </w:p>
        </w:tc>
        <w:tc>
          <w:tcPr>
            <w:tcW w:w="8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$5.45 to $6.72</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The ESPP was suspended effective December 12, 2024, preventing the commencement of the December 15, 2024 offering.</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expected term for the purchases was based on the six-month offering period. We estimate the future stock price volatility based on the historical volatility of the Company with a lookback period commensurate with the expected term of the ESPP purchases. The risk-free rate is the implied yield available on U.S. Treasury zero-coupon bonds issued with a remaining term equal to the expected term.</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suspended the ESPP effective December 12, 2024, such that the offering period which would otherwise have begun on December 15, 2024 did not commence. As of December 31, 2025, the ESPP continues to be suspended. As such, there was no activity related to the ESPP during the year ended December 31, 2025.</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 Company withheld $3.9 million and $7.0 million worth of ESPP contributions for the years ended December 31, 2024 and 2023, respectively, on behalf of participating employees through payroll deductions included 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on our Consolidated Balance Sheets. The Company purchased 406,006 and 339,282 shares of common stock under the ESPP during the years ended December 31, 2024 and 2023, respectively. The Company recognized $1.6 million and $3.1 million of equity-based compensation expense related to the ESPP for the years ended December 31, 2024 and 2023,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HSKB Phantom Units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December 2019, HSKB I adopted the HSKB Funds, LLC 2019 Phantom Unit Plan wherein HSKB may grant Phantom Units (“HSKB Phantom Units”) to employees of the Company. HSKB Phantom Units are recorded as compensation expense of the Company in accordance with the measurement and recognition criteria of ASC 718 for awards made by economic interest holders to employees of the Company. HSKB Phantom Units represent the economic equivalent of one share of common stock in the Company. In connection with the Reorganization Transactions, all HSKB Phantom Units were moved from HSKB I to HSKB II. Within 30 days of the later of the date upon which a Phantom Unit vests, HSKB II must settle the HSKB Phantom Unit in exchange for either (1) cash or (2) common stock as determined by the HSKB Manager, in each case, equal to the fair market value of such Common Unit at the time of such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Unamortized Equity-based Compensation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2025, unamortized equity-based compensation costs related to each equity-based incentive award described above consist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0" w:type="dxa"/>
            <w:vAlign w:val="bottom"/>
          </w:tcPr>
          <w:p>
            <w:pPr>
              <w:spacing w:after="0"/>
              <w:rPr>
                <w:sz w:val="1"/>
                <w:szCs w:val="1"/>
                <w:color w:val="auto"/>
              </w:rPr>
            </w:pPr>
          </w:p>
        </w:tc>
      </w:tr>
      <w:tr>
        <w:trPr>
          <w:trHeight w:val="178"/>
        </w:trPr>
        <w:tc>
          <w:tcPr>
            <w:tcW w:w="7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vMerge w:val="restart"/>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5"/>
                <w:szCs w:val="15"/>
                <w:color w:val="auto"/>
              </w:rPr>
            </w:pPr>
          </w:p>
        </w:tc>
        <w:tc>
          <w:tcPr>
            <w:tcW w:w="17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8"/>
              </w:rPr>
              <w:t>Remaining Service</w:t>
            </w:r>
          </w:p>
        </w:tc>
        <w:tc>
          <w:tcPr>
            <w:tcW w:w="0" w:type="dxa"/>
            <w:vAlign w:val="bottom"/>
          </w:tcPr>
          <w:p>
            <w:pPr>
              <w:spacing w:after="0"/>
              <w:rPr>
                <w:sz w:val="1"/>
                <w:szCs w:val="1"/>
                <w:color w:val="auto"/>
              </w:rPr>
            </w:pPr>
          </w:p>
        </w:tc>
      </w:tr>
      <w:tr>
        <w:trPr>
          <w:trHeight w:val="232"/>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 in millions, period in years)</w:t>
            </w: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0" w:type="dxa"/>
            <w:vAlign w:val="bottom"/>
          </w:tcPr>
          <w:p>
            <w:pPr>
              <w:spacing w:after="0"/>
              <w:rPr>
                <w:sz w:val="1"/>
                <w:szCs w:val="1"/>
                <w:color w:val="auto"/>
              </w:rPr>
            </w:pPr>
          </w:p>
        </w:tc>
      </w:tr>
      <w:tr>
        <w:trPr>
          <w:trHeight w:val="218"/>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c>
          <w:tcPr>
            <w:tcW w:w="0" w:type="dxa"/>
            <w:vAlign w:val="bottom"/>
          </w:tcPr>
          <w:p>
            <w:pPr>
              <w:spacing w:after="0"/>
              <w:rPr>
                <w:sz w:val="1"/>
                <w:szCs w:val="1"/>
                <w:color w:val="auto"/>
              </w:rPr>
            </w:pPr>
          </w:p>
        </w:tc>
      </w:tr>
      <w:tr>
        <w:trPr>
          <w:trHeight w:val="225"/>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HSKB Phantom Units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1.7</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CEO Premium-Priced Performance Option</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7.4</w:t>
            </w:r>
          </w:p>
        </w:tc>
        <w:tc>
          <w:tcPr>
            <w:tcW w:w="0" w:type="dxa"/>
            <w:vAlign w:val="bottom"/>
          </w:tcPr>
          <w:p>
            <w:pPr>
              <w:spacing w:after="0"/>
              <w:rPr>
                <w:sz w:val="1"/>
                <w:szCs w:val="1"/>
                <w:color w:val="auto"/>
              </w:rPr>
            </w:pPr>
          </w:p>
        </w:tc>
      </w:tr>
      <w:tr>
        <w:trPr>
          <w:trHeight w:val="218"/>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unamortized equity-based compensation cost</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total intrinsic value of options that were exercised during the years ended December 31, 2025, 2024 and 2023 was zero, zero and $0.1 million, respectively. The total fair value of all other previously unvested equity-based awards that vested during the years ended December 31, 2025, 2024 and 2023 was $126.3 million, $175.2 million and $213.6 million, respectively.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and Geographic Data</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 Company operates as one operating segment, deriving revenues from customers by providing access to its go-to-market intelligence platform. The Company’s chief operating decision maker (“CODM”) is its Chief Executive Officer, who reviews financial information on a consolidated basis and uses net income (loss) for purposes of making operating decisions, assessing financial performance and allocating resources. The CODM also reviews total assets, as reported on our Consolidated Balance Sheets, and </w:t>
      </w:r>
      <w:r>
        <w:rPr>
          <w:rFonts w:ascii="Times New Roman" w:cs="Times New Roman" w:eastAsia="Times New Roman" w:hAnsi="Times New Roman"/>
          <w:sz w:val="18"/>
          <w:szCs w:val="18"/>
          <w:i w:val="1"/>
          <w:iCs w:val="1"/>
          <w:color w:val="auto"/>
        </w:rPr>
        <w:t>Purchases of property and equipment and other assets</w:t>
      </w:r>
      <w:r>
        <w:rPr>
          <w:rFonts w:ascii="Times New Roman" w:cs="Times New Roman" w:eastAsia="Times New Roman" w:hAnsi="Times New Roman"/>
          <w:sz w:val="18"/>
          <w:szCs w:val="18"/>
          <w:color w:val="auto"/>
        </w:rPr>
        <w:t>, as reported on our Consolidated Statements of Cash Flows.</w:t>
      </w:r>
    </w:p>
    <w:p>
      <w:pPr>
        <w:spacing w:after="0" w:line="13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Long-lived assets by geographical region are based on the location of the legal entity that owns the assets, which includes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Operating lease right-of-use assets, net</w:t>
      </w:r>
      <w:r>
        <w:rPr>
          <w:rFonts w:ascii="Times New Roman" w:cs="Times New Roman" w:eastAsia="Times New Roman" w:hAnsi="Times New Roman"/>
          <w:sz w:val="18"/>
          <w:szCs w:val="18"/>
          <w:color w:val="auto"/>
        </w:rPr>
        <w:t>. As of December 31, 2025, long-lived assets held in the United States and Israel were $257.1 million and $15.4 million, respectively, representing approximately 99% of the consolidated total. As of December 31, 2024, long-lived assets held in the United States and Israel were $179.5 million and $19.0 million, respectively, representing approximately 98% of the consolidated total.</w:t>
      </w:r>
    </w:p>
    <w:p>
      <w:pPr>
        <w:spacing w:after="0" w:line="12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Contracts denominated in currencies other than U.S. Dollar were not material for the years ended December 31, 2025, 2024, and 2023. Revenues derived from customers and partners located outside the United States, as determined based on the address provided by our customers and partners, accounted for approximately 12%, 12%, and 13% of total revenue for the years ended December 31, 2025, 2024, and 2023, respectively. Revenue by geographic region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43"/>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and Geographic Data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years ended December 31, 2025,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18"/>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w:t>
            </w:r>
          </w:p>
        </w:tc>
      </w:tr>
      <w:tr>
        <w:trPr>
          <w:trHeight w:val="225"/>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5"/>
        </w:trPr>
        <w:tc>
          <w:tcPr>
            <w:tcW w:w="566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Employee compensation expense</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r>
      <w:tr>
        <w:trPr>
          <w:trHeight w:val="225"/>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Payroll tax and benefits expense</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25"/>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expense</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25"/>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 expense</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5"/>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Facilities expense</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5"/>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Bad debt expense</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5"/>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Hosting and infrastructure expense</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5"/>
        </w:trPr>
        <w:tc>
          <w:tcPr>
            <w:tcW w:w="566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2"/>
                <w:szCs w:val="22"/>
                <w:color w:val="auto"/>
                <w:vertAlign w:val="superscript"/>
              </w:rPr>
              <w:t>(2)</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r>
      <w:tr>
        <w:trPr>
          <w:trHeight w:val="225"/>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25"/>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5"/>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5"/>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loss, net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25"/>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r>
      <w:tr>
        <w:trPr>
          <w:trHeight w:val="21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124.2</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107.3</w:t>
            </w:r>
          </w:p>
        </w:tc>
      </w:tr>
      <w:tr>
        <w:trPr>
          <w:trHeight w:val="20"/>
        </w:trPr>
        <w:tc>
          <w:tcPr>
            <w:tcW w:w="5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4" w:lineRule="exact"/>
        <w:rPr>
          <w:sz w:val="20"/>
          <w:szCs w:val="20"/>
          <w:color w:val="auto"/>
        </w:rPr>
      </w:pPr>
    </w:p>
    <w:p>
      <w:pPr>
        <w:ind w:left="320" w:hanging="314"/>
        <w:spacing w:after="0"/>
        <w:tabs>
          <w:tab w:leader="none" w:pos="3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employee-related salaries, bonuses, and commissions.</w:t>
      </w:r>
    </w:p>
    <w:p>
      <w:pPr>
        <w:spacing w:after="0" w:line="10"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primarily include equity-based compensation expense.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 Receivable Agreements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connection with the Reorganization Transactions, the Company entered into Tax Receivable Agreements that provide for the payment by the ZoomInfo Tax Group to such Pre-IPO Owners and certain Pre-IPO Owners of equity that held HoldCo Units immediately prior to the IPO of 85% of the benefits, if any, that the ZoomInfo Tax Group actually realizes, or is deemed to realize in certain circumstances, as a result of utilization or deemed utilization of certain tax attributes and benefits covered by the TRAs. The Company expects to benefit from the remaining 15% of the cash savings that it realizes.</w:t>
      </w:r>
    </w:p>
    <w:p>
      <w:pPr>
        <w:spacing w:after="0" w:line="11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tax attributes and benefits covered by the Exchange Tax Receivable Agreement include (i) the ZoomInfo Tax Group’s allocable share of existing tax basis acquired in the IPO and (ii) increases in the ZoomInfo Tax Group’s allocable share of existing tax basis and tax basis adjustments that increased the tax basis of the tangible and intangible assets of the ZoomInfo Tax Group as a result of sales or exchanges of units of ZoomInfo Holdings LLC for shares of common stock after the IPO, as well as certain other tax benefits, including tax benefits attributable to payments under the Exchange Tax Receivable Agreement.</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tax attributes and benefits covered by the Reorganization Tax Receivable Agreement include certain tax attributes of the Blocker Companies, including the ZoomInfo Tax Group’s allocable share of existing tax basis acquired in the Reorganization Transactions and certain other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 Receivable Agreements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As of December 31, 2025 and 2024, the Company had a liability of $2,731.9 million and $2,762.5 million respectively, related to its projected obligations under the TRAs. This liability, or a portion thereof, becomes payable once the tax attributes under the TRAs reduce the Company’s current income tax liability which would have been otherwise due absent such tax attributes. The liability will be reduced to the extent the tax attributes are expected to expire or otherwise cannot be applied to reduce the Company’s tax liabilities. The TRA liability is classified as current or noncurrent based on the expected date of payment and are included in our Consolidated Balance Sheets under the captions </w:t>
      </w:r>
      <w:r>
        <w:rPr>
          <w:rFonts w:ascii="Times New Roman" w:cs="Times New Roman" w:eastAsia="Times New Roman" w:hAnsi="Times New Roman"/>
          <w:sz w:val="18"/>
          <w:szCs w:val="18"/>
          <w:i w:val="1"/>
          <w:iCs w:val="1"/>
          <w:color w:val="auto"/>
        </w:rPr>
        <w:t>Current portion of tax receivable agreements liability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Tax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liability, net of current portion</w:t>
      </w:r>
      <w:r>
        <w:rPr>
          <w:rFonts w:ascii="Times New Roman" w:cs="Times New Roman" w:eastAsia="Times New Roman" w:hAnsi="Times New Roman"/>
          <w:sz w:val="18"/>
          <w:szCs w:val="18"/>
          <w:color w:val="auto"/>
        </w:rPr>
        <w:t>, respectively.</w:t>
      </w:r>
    </w:p>
    <w:p>
      <w:pPr>
        <w:spacing w:after="0" w:line="13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The TRA remeasurement gains and losses are recorded within </w:t>
      </w:r>
      <w:r>
        <w:rPr>
          <w:rFonts w:ascii="Times New Roman" w:cs="Times New Roman" w:eastAsia="Times New Roman" w:hAnsi="Times New Roman"/>
          <w:sz w:val="18"/>
          <w:szCs w:val="18"/>
          <w:i w:val="1"/>
          <w:iCs w:val="1"/>
          <w:color w:val="auto"/>
        </w:rPr>
        <w:t>Other (income) loss, net</w:t>
      </w:r>
      <w:r>
        <w:rPr>
          <w:rFonts w:ascii="Times New Roman" w:cs="Times New Roman" w:eastAsia="Times New Roman" w:hAnsi="Times New Roman"/>
          <w:sz w:val="18"/>
          <w:szCs w:val="18"/>
          <w:color w:val="auto"/>
        </w:rPr>
        <w:t xml:space="preserve"> on our Consolidated Statements of Operations. For the year ended December 31, 2025, we recognized a TRA remeasurement gain of $6.9 million principally due to a revaluation for the blended state tax rate. For the year ended December 31, 2024, we recognized a TRA remeasurement loss of $38.5 million principally due to a revaluation for the blended state tax rate, an increase to the cumulative liability due to TRA Holders resulting from a reduction in the management allocation percent withheld, and interest expense accrued on the current portion of the TRA liability. For the year ended December 31, 2023, we recognized a TRA remeasurement gain of $160.7 million principally due to a reduction in our future blended state tax rate resulting from Massachusetts legislation enacted in 2023 and to reduce TRA-related attributes that did not achieve tax savings under the terms of the TRA.</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the years ended December 31, 2025, 2024, and 2023, the Company made TRA payments of $23.6 million, $94.0 million, and zero,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Income Taxes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income before provision for income taxes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consisted of the following: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5"/>
        </w:trPr>
        <w:tc>
          <w:tcPr>
            <w:tcW w:w="6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Current: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65"/>
        </w:trPr>
        <w:tc>
          <w:tcPr>
            <w:tcW w:w="6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expense (benefit)</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0" w:type="dxa"/>
            <w:vAlign w:val="bottom"/>
          </w:tcPr>
          <w:p>
            <w:pPr>
              <w:spacing w:after="0"/>
              <w:rPr>
                <w:sz w:val="1"/>
                <w:szCs w:val="1"/>
                <w:color w:val="auto"/>
              </w:rPr>
            </w:pPr>
          </w:p>
        </w:tc>
      </w:tr>
      <w:tr>
        <w:trPr>
          <w:trHeight w:val="265"/>
        </w:trPr>
        <w:tc>
          <w:tcPr>
            <w:tcW w:w="63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Income Taxes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is a reconciliation between the U.S. federal statutory tax rate and our effective tax rate for the current year, expressed in millions and as a percentage of income before income taxes: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20" w:type="dxa"/>
            <w:vAlign w:val="bottom"/>
          </w:tcPr>
          <w:p>
            <w:pPr>
              <w:spacing w:after="0"/>
              <w:rPr>
                <w:sz w:val="20"/>
                <w:szCs w:val="20"/>
                <w:color w:val="auto"/>
              </w:rPr>
            </w:pPr>
          </w:p>
        </w:tc>
        <w:tc>
          <w:tcPr>
            <w:tcW w:w="320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18"/>
        </w:trPr>
        <w:tc>
          <w:tcPr>
            <w:tcW w:w="74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r>
      <w:tr>
        <w:trPr>
          <w:trHeight w:val="21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 expense computed at U.S. federal statutory rate</w:t>
            </w:r>
          </w:p>
        </w:tc>
        <w:tc>
          <w:tcPr>
            <w:tcW w:w="128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4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State and local income taxes, net of federal income tax effect</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5"/>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Israel:</w:t>
            </w: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5"/>
        </w:trPr>
        <w:tc>
          <w:tcPr>
            <w:tcW w:w="7420" w:type="dxa"/>
            <w:vAlign w:val="bottom"/>
            <w:shd w:val="clear" w:color="auto" w:fill="CCEEFF"/>
          </w:tcPr>
          <w:p>
            <w:pPr>
              <w:ind w:left="480"/>
              <w:spacing w:after="0" w:line="207" w:lineRule="exact"/>
              <w:rPr>
                <w:sz w:val="20"/>
                <w:szCs w:val="20"/>
                <w:color w:val="auto"/>
              </w:rPr>
            </w:pPr>
            <w:r>
              <w:rPr>
                <w:rFonts w:ascii="Times New Roman" w:cs="Times New Roman" w:eastAsia="Times New Roman" w:hAnsi="Times New Roman"/>
                <w:sz w:val="18"/>
                <w:szCs w:val="18"/>
                <w:color w:val="auto"/>
              </w:rPr>
              <w:t>Stock-based compensation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5"/>
        </w:trPr>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cross-border tax laws</w:t>
            </w: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5"/>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5"/>
        </w:trPr>
        <w:tc>
          <w:tcPr>
            <w:tcW w:w="7420" w:type="dxa"/>
            <w:vAlign w:val="bottom"/>
          </w:tcPr>
          <w:p>
            <w:pPr>
              <w:ind w:left="200"/>
              <w:spacing w:after="0" w:line="207" w:lineRule="exact"/>
              <w:rPr>
                <w:sz w:val="20"/>
                <w:szCs w:val="20"/>
                <w:color w:val="auto"/>
              </w:rPr>
            </w:pPr>
            <w:r>
              <w:rPr>
                <w:rFonts w:ascii="Times New Roman" w:cs="Times New Roman" w:eastAsia="Times New Roman" w:hAnsi="Times New Roman"/>
                <w:sz w:val="18"/>
                <w:szCs w:val="18"/>
                <w:color w:val="auto"/>
              </w:rPr>
              <w:t>Stock-based compensation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unrecognized tax benefits</w:t>
            </w: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12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128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w:t>
            </w: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36.1 %</w:t>
            </w:r>
          </w:p>
        </w:tc>
      </w:tr>
      <w:tr>
        <w:trPr>
          <w:trHeight w:val="20"/>
        </w:trPr>
        <w:tc>
          <w:tcPr>
            <w:tcW w:w="7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-2179320</wp:posOffset>
            </wp:positionV>
            <wp:extent cx="104140" cy="857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4140" cy="8572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p>
    <w:p>
      <w:pPr>
        <w:ind w:left="320" w:hanging="314"/>
        <w:spacing w:after="0"/>
        <w:tabs>
          <w:tab w:leader="none" w:pos="3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2025, state taxes in New York, California, and Arizona made up the majority of the tax effect in this category.</w:t>
      </w:r>
    </w:p>
    <w:p>
      <w:pPr>
        <w:spacing w:after="0" w:line="1"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 includes nondeductible equity compensation and tax effects of shortfalls and windfalls.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Income Taxes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is a reconciliation between the U.S. federal statutory tax rate and our effective tax rate, expressed as a percentage of income before taxes: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4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r>
      <w:tr>
        <w:trPr>
          <w:trHeight w:val="218"/>
        </w:trPr>
        <w:tc>
          <w:tcPr>
            <w:tcW w:w="734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 computed at U.S. federal statutory rate</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5"/>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5"/>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25"/>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Effects of changes in state tax law and apportionment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35.6 %</w:t>
            </w:r>
          </w:p>
        </w:tc>
      </w:tr>
      <w:tr>
        <w:trPr>
          <w:trHeight w:val="225"/>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Effects of non-U.S. operations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5"/>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5"/>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5"/>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credits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5"/>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5"/>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Non-deductible TRA Remeasurement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5"/>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72.4 %</w:t>
            </w:r>
          </w:p>
        </w:tc>
      </w:tr>
      <w:tr>
        <w:trPr>
          <w:trHeight w:val="20"/>
        </w:trPr>
        <w:tc>
          <w:tcPr>
            <w:tcW w:w="7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458"/>
        </w:trPr>
        <w:tc>
          <w:tcPr>
            <w:tcW w:w="9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Company made income tax payments (net of refunds received) during the year ended December 31, 2025, as follows:</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57"/>
        </w:trPr>
        <w:tc>
          <w:tcPr>
            <w:tcW w:w="7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December</w:t>
            </w:r>
          </w:p>
        </w:tc>
      </w:tr>
      <w:tr>
        <w:trPr>
          <w:trHeight w:val="236"/>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560" w:type="dxa"/>
            <w:vAlign w:val="bottom"/>
          </w:tcPr>
          <w:p>
            <w:pPr>
              <w:spacing w:after="0"/>
              <w:rPr>
                <w:sz w:val="20"/>
                <w:szCs w:val="20"/>
                <w:color w:val="auto"/>
              </w:rPr>
            </w:pPr>
          </w:p>
        </w:tc>
      </w:tr>
      <w:tr>
        <w:trPr>
          <w:trHeight w:val="221"/>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9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5"/>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Israel</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5"/>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India</w:t>
            </w: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5"/>
        </w:trPr>
        <w:tc>
          <w:tcPr>
            <w:tcW w:w="7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8"/>
        </w:trPr>
        <w:tc>
          <w:tcPr>
            <w:tcW w:w="7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Subtotal</w:t>
            </w: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paid for income taxes (net of refunds received)</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r>
      <w:tr>
        <w:trPr>
          <w:trHeight w:val="20"/>
        </w:trPr>
        <w:tc>
          <w:tcPr>
            <w:tcW w:w="7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cash paid for income taxes were $13.8 million and $12.2 million during the years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Income Taxes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were as follows:</w:t>
      </w:r>
    </w:p>
    <w:p>
      <w:pPr>
        <w:spacing w:after="0" w:line="43"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5"/>
        </w:trPr>
        <w:tc>
          <w:tcPr>
            <w:tcW w:w="80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3,145.9</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carryforwards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 carryforwards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8"/>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3,805.1</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8"/>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3,743.4</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3,794.2</w:t>
            </w:r>
          </w:p>
        </w:tc>
      </w:tr>
      <w:tr>
        <w:trPr>
          <w:trHeight w:val="265"/>
        </w:trPr>
        <w:tc>
          <w:tcPr>
            <w:tcW w:w="8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flow hedge - Accumulated Other Comprehensive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on foreign earnings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8"/>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65"/>
        </w:trPr>
        <w:tc>
          <w:tcPr>
            <w:tcW w:w="80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of December 31, 2025, the Company had gross U.S. federal net operating losses of $2,563.5 million, excess business interest expense carryforwards under IRC Sec. 163(j) of $67.7 million, and tax credit carryforwards of $32.0 million. As of December 31, 2024, the Company had gross U.S. federal net operating losses of $1,677.4 million, excess business interest expense carryforwards under IRC Sec. 163(j) of $148.6 million, and tax credit carryforwards of $27.9 million. The Company’s federal net operating losses and excess business interest expense carryforwards can be carried forward indefinitely, with the exception of $6.4 million of net operating losses generated before 2018 which expire between 2034 and 2037. Our federal tax credits will begin to expire in 2037. As of December 31, 2025, the Company had $2,145.6 million of gross state net operating losses, of which $77.6 million expires before 2035, $1,864.1 million expires between 2035 and 2055, and the remaining $203.9 million remains available to be carried forward indefinitely. The Company also had $3.7 million of state tax credits, which begin to expire in 2030.</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After consideration of all positive and negative evidence, including scheduled reversals of deferred tax assets and liabilities, projected future taxable income, tax planning strategies, and results of recent operations, management determined that it is more likely than not that a portion of our deferred tax assets will not be realized. As a result, we recorded a valuation allowance of $9.9 million and $10.9 million as of December 31, 2025 and 2024, respectively. The decrease in the valuation allowance as of December 31, 2025 as compared to December 31, 2024 is primarily due to release of valuation allowances on certain state and local net operating losses that are more likely than not to be realized due to state-specific carryforward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Income Taxes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regularly evaluate the positions taken, or expected to be taken on tax returns, to determine if they constitute uncertain tax positions. Unrecognized tax benefits are reflected in our Consolidated Balance Sheets as a reduction of Deferred tax assets. If recognized, all unrecognized tax benefits at December 31, 2025 would affect the effective tax rate.</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Company’s beginning and ending amount of unrecognized tax benefits is as follows:</w:t>
      </w:r>
    </w:p>
    <w:p>
      <w:pPr>
        <w:spacing w:after="0" w:line="202"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0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5"/>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increases in unrecognized tax benefits – prior year tax positions</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5"/>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decreases in unrecognized tax benefits – prior year tax positions</w:t>
            </w:r>
          </w:p>
        </w:tc>
        <w:tc>
          <w:tcPr>
            <w:tcW w:w="8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5"/>
        </w:trPr>
        <w:tc>
          <w:tcPr>
            <w:tcW w:w="7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Gross increases in unrecognized tax benefits – current year tax positions</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policy is to record interest and penalties related to income taxes as a component of income tax expense. No interest or penalties have been accrued with respect to uncertain tax positions through December 31, 2025, as the Company has no tax due because of significant net operating loss carryforwards.</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OECD has issued administrative guidance providing transition and safe harbor rules around the implementation of the Pillar Two Model Rules, which call for a minimum tax of 15% on large corporations. A number of countries, including Israel and the United Kingdom, are currently proposing or have enacted legislation to implement core elements of the Pillar Two proposal. We are closely monitoring developments and evaluating their potential impact. Enactments effective in 2025 did not have a significant impact on our 2025 financial results, nor do we anticipate a significant impact on our financial results during the transition period due to safe harbor relief.</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Our foreign earnings are available for repatriation to the United States, and we accrue a liability for the tax we expect to apply upon repatriation. As of December 31, 2025 and 2024, we accrued $3.8 million and $2.4 million, respectively, for foreign withholding tax, which were included in </w:t>
      </w:r>
      <w:r>
        <w:rPr>
          <w:rFonts w:ascii="Times New Roman" w:cs="Times New Roman" w:eastAsia="Times New Roman" w:hAnsi="Times New Roman"/>
          <w:sz w:val="18"/>
          <w:szCs w:val="18"/>
          <w:i w:val="1"/>
          <w:iCs w:val="1"/>
          <w:color w:val="auto"/>
        </w:rPr>
        <w:t>Deferred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our Consolidated Balance Sheets.</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files income tax returns in the United States and various foreign jurisdictions where the Company has operations. The Company remains open to examination in the United States from 2014, in Israel from 2021, and in the United Kingdom from 2024. We consider our major state jurisdictions to be California, New York, and Massachusetts, and remain subject to examination in these states from 2015, 2017, and 2021, respectively. One of the Company’s subsidiaries is undergoing a federal tax audit in the United States with respect to its 2021 tax year.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Management has evaluated subsequent events from December 31, 2025 through the date the financial statement was available to be issued and has determined there are no material subsequent events that require disclosure other than as described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February 2026, our board of directors authorized an additional $1.0 billion in repurchases under the Share Repurchase Program. Refer to Note 10 - Stockholders' Equity for additional information regarding the Share Repurchase Program.</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Subsequent to December 31, 2025 and up through February 6, 2026, the Company repurchased and subsequently retired 2,713,866 shares of the Company’s common stock in the open market at a cost of $25.7 million for an average price of $9.45 per share, under the Share Repurchase Program described further in Note 1 - Business, Basis of Presentation, and Summary of Significant Accounting Policies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December 31, 2025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financial reporting and the preparation of financial statements for external purposes in accordance with U.S generally accepted accounting principles.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Chief Executive Officer and our Chief Financial Officer and oversight of the board of directors, our management conducted an evaluation of the effectiveness of our internal control over financial reporting as of December 31, 2025, based on the criteria set forth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 Based on this evaluation, management concluded that our internal control over financial reporting was effective as of December 31, 2025.</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KPMG LLP, an independent registered public accounting firm, as stated in their report which is included in Part II, Item 8, "Financial Statements and Supplementary Data", of this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8"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 and Procedures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Except as described in the two immediately following paragraphs, during the Company’s fiscal quarter ended December 31, 2025, none of the Company’s directors or officers (as defined in Rule 16a-1(f) under the Exchange Act) adopted or terminated a trading arrangement intended to satisfy the affirmative conditions of Rule 10b5-1(c) of the Exchange Act (such arrangement, a “Rule 10b5-1 trading arrangement”).</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December 12, 2025, Ashley McGrane, Executive Vice President, General Counsel and Corporate Secretary of the Company, adopted a Rule 10b5-1 trading arrangement. The duration of the Rule 10b5-1 trading arrangement commences on February 18, 2026, and ends on November 5, 2026. The Rule 10b5-1 trading arrangement provides for the sale of a portion of the net shares acquired by Ms. McGrane (net of shares withheld to cover the recipient’s tax liability in connection with vesting) resulting from the vesting of up to a maximum of 99,964 previously granted restricted stock units. The volume of sales will be determined, in part, based on pricing triggers outlined in the Rule 10b5-1 trading arrangement, with a maximum potential sale under the plan of up to 25% of the vested shares from such awards during the term of the plan. Ms. McGrane’s Rule 10b5-1 trading arrangement was entered into during an open insider trading window and is intended to satisfy the affirmative defense of Rule 10b5-1(c) under the Exchange Act and the Company’s policies regarding insider transactions.</w:t>
      </w:r>
    </w:p>
    <w:p>
      <w:pPr>
        <w:spacing w:after="0" w:line="13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November 7, 2025, James Roth, Chief Revenue Officer of the Company, adopted a Rule 10b5-1 trading arrangement. The duration of the Rule 10b5-1 trading arrangement commences on February 18, 2026, and ends on December 31, 2026. The Rule 10b5-1 trading arrangement provides for the sale of a portion of the net shares acquired by Mr. Roth (net of shares withheld to cover the recipient’s tax liability in connection with vesting) resulting from the vesting of up to a maximum of 455,477 previously granted restricted stock units, which includes 115,000 performance-based RSUs that could vest subject to the achievement of performance conditions at the target level. The volume of sales will be determined, in part, based on pricing triggers outlined in the Rule 10b5-1 trading arrangement, with a maximum potential sale under the plan of up to 50% of the vested shares from such awards during the term of the plan. Mr. Roth’s Rule 10b5-1 trading arrangement was entered into during an open insider trading window and is intended to satisfy the affirmative defense of Rule 10b5-1(c) under the Exchange Act and the Company’s policies regarding insider transactions.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and is available under the “Governance” heading of the investor relations portion of our website, https://ir.zoominfo.com. We will make any legally required disclosures regarding amendments to, or waivers of, provisions of our Code of Business Conduct and Ethics on our website. The information contained on, or accessible from, our website is not part of this Form 10-K by reference or otherwise.</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remaining information required by this item will be included in our definitive Proxy Statement relating to our 2026 Annual Meeting of Stockholders, which will be filed with the SEC within 120 days of the end of our fiscal year ended December 31, 2025 (the “2026 Proxy Statement”), and is incorporated herein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2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66" w:lineRule="exact"/>
        <w:rPr>
          <w:sz w:val="20"/>
          <w:szCs w:val="20"/>
          <w:color w:val="auto"/>
        </w:rPr>
      </w:pPr>
    </w:p>
    <w:p>
      <w:pPr>
        <w:ind w:left="560" w:hanging="236"/>
        <w:spacing w:after="0"/>
        <w:tabs>
          <w:tab w:leader="none" w:pos="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Form 10-K:</w:t>
      </w:r>
    </w:p>
    <w:p>
      <w:pPr>
        <w:spacing w:after="0" w:line="162" w:lineRule="exact"/>
        <w:rPr>
          <w:rFonts w:ascii="Times New Roman" w:cs="Times New Roman" w:eastAsia="Times New Roman" w:hAnsi="Times New Roman"/>
          <w:sz w:val="18"/>
          <w:szCs w:val="18"/>
          <w:color w:val="auto"/>
        </w:rPr>
      </w:pPr>
    </w:p>
    <w:p>
      <w:pPr>
        <w:ind w:left="820" w:hanging="178"/>
        <w:spacing w:after="0"/>
        <w:tabs>
          <w:tab w:leader="none" w:pos="8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Our Financial Statements are listed in the “Index to Consolidated Financial Statements” under Part II, Item 8 of this Form</w:t>
      </w:r>
    </w:p>
    <w:p>
      <w:pPr>
        <w:spacing w:after="0" w:line="26"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10-K.</w:t>
      </w:r>
    </w:p>
    <w:p>
      <w:pPr>
        <w:spacing w:after="0" w:line="142" w:lineRule="exact"/>
        <w:rPr>
          <w:rFonts w:ascii="Times New Roman" w:cs="Times New Roman" w:eastAsia="Times New Roman" w:hAnsi="Times New Roman"/>
          <w:sz w:val="18"/>
          <w:szCs w:val="18"/>
          <w:color w:val="auto"/>
        </w:rPr>
      </w:pPr>
    </w:p>
    <w:p>
      <w:pPr>
        <w:jc w:val="both"/>
        <w:ind w:left="640" w:firstLine="2"/>
        <w:spacing w:after="0" w:line="261" w:lineRule="auto"/>
        <w:tabs>
          <w:tab w:leader="none" w:pos="81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All other schedules have been omitted as the required information is not applicable or is not present in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to require submission of the schedule, or because the information required is included in the Consolidated Financial Statements and notes thereto.</w:t>
      </w:r>
    </w:p>
    <w:p>
      <w:pPr>
        <w:spacing w:after="0" w:line="119" w:lineRule="exact"/>
        <w:rPr>
          <w:rFonts w:ascii="Times New Roman" w:cs="Times New Roman" w:eastAsia="Times New Roman" w:hAnsi="Times New Roman"/>
          <w:sz w:val="18"/>
          <w:szCs w:val="18"/>
          <w:color w:val="auto"/>
        </w:rPr>
      </w:pPr>
    </w:p>
    <w:p>
      <w:pPr>
        <w:ind w:left="640" w:firstLine="2"/>
        <w:spacing w:after="0" w:line="276" w:lineRule="auto"/>
        <w:tabs>
          <w:tab w:leader="none" w:pos="81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Except as otherwise noted below, the exhibits listed below in the accompanying “Index to Exhibits” are filed or incorporated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part of this Form 10-K.</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7"/>
              </w:rPr>
              <w:t>Report or</w:t>
            </w:r>
          </w:p>
        </w:tc>
        <w:tc>
          <w:tcPr>
            <w:tcW w:w="1380" w:type="dxa"/>
            <w:vAlign w:val="bottom"/>
          </w:tcPr>
          <w:p>
            <w:pPr>
              <w:jc w:val="center"/>
              <w:ind w:right="16"/>
              <w:spacing w:after="0"/>
              <w:rPr>
                <w:sz w:val="20"/>
                <w:szCs w:val="20"/>
                <w:color w:val="auto"/>
              </w:rPr>
            </w:pPr>
            <w:r>
              <w:rPr>
                <w:rFonts w:ascii="Times New Roman" w:cs="Times New Roman" w:eastAsia="Times New Roman" w:hAnsi="Times New Roman"/>
                <w:sz w:val="18"/>
                <w:szCs w:val="18"/>
                <w:b w:val="1"/>
                <w:bCs w:val="1"/>
                <w:color w:val="auto"/>
                <w:w w:val="97"/>
              </w:rPr>
              <w:t>SEC File or</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180" w:type="dxa"/>
            <w:vAlign w:val="bottom"/>
          </w:tcPr>
          <w:p>
            <w:pPr>
              <w:spacing w:after="0"/>
              <w:rPr>
                <w:sz w:val="19"/>
                <w:szCs w:val="19"/>
                <w:color w:val="auto"/>
              </w:rPr>
            </w:pPr>
          </w:p>
        </w:tc>
        <w:tc>
          <w:tcPr>
            <w:tcW w:w="36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20" w:type="dxa"/>
            <w:vAlign w:val="bottom"/>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1380" w:type="dxa"/>
            <w:vAlign w:val="bottom"/>
          </w:tcPr>
          <w:p>
            <w:pPr>
              <w:jc w:val="center"/>
              <w:ind w:right="16"/>
              <w:spacing w:after="0"/>
              <w:rPr>
                <w:sz w:val="20"/>
                <w:szCs w:val="20"/>
                <w:color w:val="auto"/>
              </w:rPr>
            </w:pPr>
            <w:r>
              <w:rPr>
                <w:rFonts w:ascii="Times New Roman" w:cs="Times New Roman" w:eastAsia="Times New Roman" w:hAnsi="Times New Roman"/>
                <w:sz w:val="18"/>
                <w:szCs w:val="18"/>
                <w:b w:val="1"/>
                <w:bCs w:val="1"/>
                <w:color w:val="auto"/>
                <w:w w:val="96"/>
              </w:rPr>
              <w:t>Registration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0" w:type="dxa"/>
            <w:vAlign w:val="bottom"/>
          </w:tcPr>
          <w:p>
            <w:pPr>
              <w:spacing w:after="0"/>
              <w:rPr>
                <w:sz w:val="1"/>
                <w:szCs w:val="1"/>
                <w:color w:val="auto"/>
              </w:rPr>
            </w:pPr>
          </w:p>
        </w:tc>
      </w:tr>
      <w:tr>
        <w:trPr>
          <w:trHeight w:val="238"/>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1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3"/>
            <w:vMerge w:val="continue"/>
          </w:tcPr>
          <w:p>
            <w:pPr>
              <w:spacing w:after="0"/>
              <w:rPr>
                <w:sz w:val="20"/>
                <w:szCs w:val="20"/>
                <w:color w:val="auto"/>
              </w:rPr>
            </w:pPr>
          </w:p>
        </w:tc>
        <w:tc>
          <w:tcPr>
            <w:tcW w:w="18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9"/>
              </w:rPr>
              <w:t>Statement</w:t>
            </w:r>
          </w:p>
        </w:tc>
        <w:tc>
          <w:tcPr>
            <w:tcW w:w="13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Reference</w:t>
            </w:r>
          </w:p>
        </w:tc>
        <w:tc>
          <w:tcPr>
            <w:tcW w:w="0" w:type="dxa"/>
            <w:vAlign w:val="bottom"/>
          </w:tcPr>
          <w:p>
            <w:pPr>
              <w:spacing w:after="0"/>
              <w:rPr>
                <w:sz w:val="1"/>
                <w:szCs w:val="1"/>
                <w:color w:val="auto"/>
              </w:rPr>
            </w:pPr>
          </w:p>
        </w:tc>
      </w:tr>
      <w:tr>
        <w:trPr>
          <w:trHeight w:val="139"/>
        </w:trPr>
        <w:tc>
          <w:tcPr>
            <w:tcW w:w="100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2.1</w:t>
            </w:r>
          </w:p>
        </w:tc>
        <w:tc>
          <w:tcPr>
            <w:tcW w:w="5800" w:type="dxa"/>
            <w:vAlign w:val="bottom"/>
            <w:gridSpan w:val="4"/>
            <w:shd w:val="clear" w:color="auto" w:fill="CCEEFF"/>
          </w:tcPr>
          <w:p>
            <w:pPr>
              <w:spacing w:after="0" w:line="126"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Agreement and Plan of Merger, dated as of October 29, 2021, by and among ZoomInfo Technologies</w:t>
              </w:r>
            </w:hyperlink>
          </w:p>
        </w:tc>
        <w:tc>
          <w:tcPr>
            <w:tcW w:w="1820" w:type="dxa"/>
            <w:vAlign w:val="bottom"/>
            <w:shd w:val="clear" w:color="auto" w:fill="CCEEFF"/>
          </w:tcPr>
          <w:p>
            <w:pPr>
              <w:jc w:val="center"/>
              <w:ind w:right="76"/>
              <w:spacing w:after="0" w:line="126" w:lineRule="exact"/>
              <w:rPr>
                <w:sz w:val="20"/>
                <w:szCs w:val="20"/>
                <w:color w:val="auto"/>
              </w:rPr>
            </w:pPr>
            <w:r>
              <w:rPr>
                <w:rFonts w:ascii="Times New Roman" w:cs="Times New Roman" w:eastAsia="Times New Roman" w:hAnsi="Times New Roman"/>
                <w:sz w:val="14"/>
                <w:szCs w:val="14"/>
                <w:color w:val="auto"/>
              </w:rPr>
              <w:t>8-K filed November 1, 2021</w:t>
            </w:r>
          </w:p>
        </w:tc>
        <w:tc>
          <w:tcPr>
            <w:tcW w:w="1380" w:type="dxa"/>
            <w:vAlign w:val="bottom"/>
            <w:shd w:val="clear" w:color="auto" w:fill="CCEEFF"/>
          </w:tcPr>
          <w:p>
            <w:pPr>
              <w:jc w:val="center"/>
              <w:ind w:right="16"/>
              <w:spacing w:after="0" w:line="126" w:lineRule="exact"/>
              <w:rPr>
                <w:sz w:val="20"/>
                <w:szCs w:val="20"/>
                <w:color w:val="auto"/>
              </w:rPr>
            </w:pPr>
            <w:r>
              <w:rPr>
                <w:rFonts w:ascii="Times New Roman" w:cs="Times New Roman" w:eastAsia="Times New Roman" w:hAnsi="Times New Roman"/>
                <w:sz w:val="14"/>
                <w:szCs w:val="14"/>
                <w:color w:val="auto"/>
                <w:w w:val="98"/>
              </w:rPr>
              <w:t>001-39310</w:t>
            </w:r>
          </w:p>
        </w:tc>
        <w:tc>
          <w:tcPr>
            <w:tcW w:w="12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26"/>
        </w:trPr>
        <w:tc>
          <w:tcPr>
            <w:tcW w:w="1000" w:type="dxa"/>
            <w:vAlign w:val="bottom"/>
            <w:tcBorders>
              <w:top w:val="single" w:sz="8" w:color="CCEEFF"/>
              <w:bottom w:val="single" w:sz="8" w:color="CCEEFF"/>
            </w:tcBorders>
            <w:shd w:val="clear" w:color="auto" w:fill="CCEEFF"/>
          </w:tcPr>
          <w:p>
            <w:pPr>
              <w:spacing w:after="0"/>
              <w:rPr>
                <w:sz w:val="10"/>
                <w:szCs w:val="10"/>
                <w:color w:val="auto"/>
              </w:rPr>
            </w:pPr>
          </w:p>
        </w:tc>
        <w:tc>
          <w:tcPr>
            <w:tcW w:w="5720" w:type="dxa"/>
            <w:vAlign w:val="bottom"/>
            <w:tcBorders>
              <w:top w:val="single" w:sz="8" w:color="0000FF"/>
              <w:bottom w:val="single" w:sz="8" w:color="0000FF"/>
            </w:tcBorders>
            <w:gridSpan w:val="2"/>
            <w:shd w:val="clear" w:color="auto" w:fill="CCEEFF"/>
          </w:tcPr>
          <w:p>
            <w:pPr>
              <w:spacing w:after="0" w:line="126" w:lineRule="exact"/>
              <w:rPr>
                <w:rFonts w:ascii="Times New Roman" w:cs="Times New Roman" w:eastAsia="Times New Roman" w:hAnsi="Times New Roman"/>
                <w:sz w:val="14"/>
                <w:szCs w:val="14"/>
                <w:color w:val="0000FF"/>
                <w:w w:val="99"/>
              </w:rPr>
            </w:pPr>
            <w:hyperlink r:id="rId159">
              <w:r>
                <w:rPr>
                  <w:rFonts w:ascii="Times New Roman" w:cs="Times New Roman" w:eastAsia="Times New Roman" w:hAnsi="Times New Roman"/>
                  <w:sz w:val="14"/>
                  <w:szCs w:val="14"/>
                  <w:color w:val="0000FF"/>
                  <w:w w:val="99"/>
                </w:rPr>
                <w:t>Inc. (formerly ZoomInfo NewCo Inc.), ZoomInfo Intermediate Inc. (formerly ZoomInfo Technologies</w:t>
              </w:r>
            </w:hyperlink>
          </w:p>
        </w:tc>
        <w:tc>
          <w:tcPr>
            <w:tcW w:w="60"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820" w:type="dxa"/>
            <w:vAlign w:val="bottom"/>
            <w:tcBorders>
              <w:top w:val="single" w:sz="8" w:color="CCEEFF"/>
              <w:bottom w:val="single" w:sz="8" w:color="CCEEFF"/>
            </w:tcBorders>
            <w:shd w:val="clear" w:color="auto" w:fill="CCEEFF"/>
          </w:tcPr>
          <w:p>
            <w:pPr>
              <w:spacing w:after="0"/>
              <w:rPr>
                <w:sz w:val="10"/>
                <w:szCs w:val="10"/>
                <w:color w:val="auto"/>
              </w:rPr>
            </w:pPr>
          </w:p>
        </w:tc>
        <w:tc>
          <w:tcPr>
            <w:tcW w:w="1380" w:type="dxa"/>
            <w:vAlign w:val="bottom"/>
            <w:tcBorders>
              <w:top w:val="single" w:sz="8" w:color="CCEEFF"/>
              <w:bottom w:val="single" w:sz="8" w:color="CCEEFF"/>
            </w:tcBorders>
            <w:shd w:val="clear" w:color="auto" w:fill="CCEEFF"/>
          </w:tcPr>
          <w:p>
            <w:pPr>
              <w:spacing w:after="0"/>
              <w:rPr>
                <w:sz w:val="10"/>
                <w:szCs w:val="10"/>
                <w:color w:val="auto"/>
              </w:rPr>
            </w:pPr>
          </w:p>
        </w:tc>
        <w:tc>
          <w:tcPr>
            <w:tcW w:w="12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spacing w:after="0"/>
              <w:rPr>
                <w:sz w:val="9"/>
                <w:szCs w:val="9"/>
                <w:color w:val="auto"/>
              </w:rPr>
            </w:pPr>
          </w:p>
        </w:tc>
        <w:tc>
          <w:tcPr>
            <w:tcW w:w="5780" w:type="dxa"/>
            <w:vAlign w:val="bottom"/>
            <w:gridSpan w:val="3"/>
            <w:shd w:val="clear" w:color="auto" w:fill="CCEEFF"/>
          </w:tcPr>
          <w:p>
            <w:pPr>
              <w:spacing w:after="0" w:line="113"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Inc.) and ZoomInfo Merger Sub 1 Inc.</w:t>
              </w:r>
            </w:hyperlink>
          </w:p>
        </w:tc>
        <w:tc>
          <w:tcPr>
            <w:tcW w:w="20" w:type="dxa"/>
            <w:vAlign w:val="bottom"/>
            <w:shd w:val="clear" w:color="auto" w:fill="CCEEFF"/>
          </w:tcPr>
          <w:p>
            <w:pPr>
              <w:spacing w:after="0"/>
              <w:rPr>
                <w:sz w:val="9"/>
                <w:szCs w:val="9"/>
                <w:color w:val="auto"/>
              </w:rPr>
            </w:pPr>
          </w:p>
        </w:tc>
        <w:tc>
          <w:tcPr>
            <w:tcW w:w="18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0000FF"/>
            </w:tcBorders>
            <w:shd w:val="clear" w:color="auto" w:fill="CCEEFF"/>
          </w:tcPr>
          <w:p>
            <w:pPr>
              <w:spacing w:after="0"/>
              <w:rPr>
                <w:sz w:val="2"/>
                <w:szCs w:val="2"/>
                <w:color w:val="auto"/>
              </w:rPr>
            </w:pPr>
          </w:p>
        </w:tc>
        <w:tc>
          <w:tcPr>
            <w:tcW w:w="35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000" w:hanging="595"/>
        <w:spacing w:after="0" w:line="238"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2.2</w:t>
      </w:r>
      <w:r>
        <w:rPr>
          <w:sz w:val="20"/>
          <w:szCs w:val="20"/>
          <w:color w:val="auto"/>
        </w:rPr>
        <w:tab/>
      </w:r>
      <w:hyperlink r:id="rId160">
        <w:r>
          <w:rPr>
            <w:rFonts w:ascii="Times New Roman" w:cs="Times New Roman" w:eastAsia="Times New Roman" w:hAnsi="Times New Roman"/>
            <w:sz w:val="14"/>
            <w:szCs w:val="14"/>
            <w:u w:val="single" w:color="auto"/>
            <w:color w:val="0000FF"/>
          </w:rPr>
          <w:t>Agreement and Plan of Merger, dated as of October 29, 2021, by and among ZoomInfo Technologies</w:t>
        </w:r>
      </w:hyperlink>
      <w:r>
        <w:rPr>
          <w:rFonts w:ascii="Times New Roman" w:cs="Times New Roman" w:eastAsia="Times New Roman" w:hAnsi="Times New Roman"/>
          <w:sz w:val="14"/>
          <w:szCs w:val="14"/>
          <w:u w:val="single" w:color="auto"/>
          <w:color w:val="0000FF"/>
        </w:rPr>
        <w:t xml:space="preserve"> </w:t>
      </w:r>
      <w:hyperlink r:id="rId160">
        <w:r>
          <w:rPr>
            <w:rFonts w:ascii="Times New Roman" w:cs="Times New Roman" w:eastAsia="Times New Roman" w:hAnsi="Times New Roman"/>
            <w:sz w:val="14"/>
            <w:szCs w:val="14"/>
            <w:u w:val="single" w:color="auto"/>
            <w:color w:val="0000FF"/>
          </w:rPr>
          <w:t>Inc. (formerly ZoomInfo NewCo Inc.), ZoomInfo Holdings LLC and ZoomInfo Merger Sub 2 LLC</w:t>
        </w:r>
      </w:hyperlink>
    </w:p>
    <w:p>
      <w:pPr>
        <w:spacing w:after="0" w:line="3" w:lineRule="exact"/>
        <w:rPr>
          <w:sz w:val="20"/>
          <w:szCs w:val="20"/>
          <w:color w:val="auto"/>
        </w:rPr>
      </w:pPr>
    </w:p>
    <w:p>
      <w:pPr>
        <w:ind w:left="400"/>
        <w:spacing w:after="0"/>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3.1</w:t>
      </w:r>
      <w:r>
        <w:rPr>
          <w:sz w:val="20"/>
          <w:szCs w:val="20"/>
          <w:color w:val="auto"/>
        </w:rPr>
        <w:tab/>
      </w:r>
      <w:hyperlink r:id="rId161">
        <w:r>
          <w:rPr>
            <w:rFonts w:ascii="Times New Roman" w:cs="Times New Roman" w:eastAsia="Times New Roman" w:hAnsi="Times New Roman"/>
            <w:sz w:val="14"/>
            <w:szCs w:val="14"/>
            <w:u w:val="single" w:color="auto"/>
            <w:color w:val="0000FF"/>
          </w:rPr>
          <w:t>Second Amended and Restated Certificate of Incorporation of ZoomInfo Technologies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134860" cy="1263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18" w:lineRule="exact"/>
        <w:rPr>
          <w:sz w:val="20"/>
          <w:szCs w:val="20"/>
          <w:color w:val="auto"/>
        </w:rPr>
      </w:pPr>
    </w:p>
    <w:p>
      <w:pPr>
        <w:ind w:left="400"/>
        <w:spacing w:after="0"/>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3.2</w:t>
      </w:r>
      <w:r>
        <w:rPr>
          <w:sz w:val="20"/>
          <w:szCs w:val="20"/>
          <w:color w:val="auto"/>
        </w:rPr>
        <w:tab/>
      </w:r>
      <w:hyperlink r:id="rId163">
        <w:r>
          <w:rPr>
            <w:rFonts w:ascii="Times New Roman" w:cs="Times New Roman" w:eastAsia="Times New Roman" w:hAnsi="Times New Roman"/>
            <w:sz w:val="14"/>
            <w:szCs w:val="14"/>
            <w:u w:val="single" w:color="auto"/>
            <w:color w:val="0000FF"/>
          </w:rPr>
          <w:t>Amended and Restated Bylaws of ZoomInfo Technologies Inc. (formerly ZoomInfo NewCo Inc.)</w:t>
        </w:r>
      </w:hyperlink>
    </w:p>
    <w:p>
      <w:pPr>
        <w:spacing w:after="0" w:line="38" w:lineRule="exact"/>
        <w:rPr>
          <w:sz w:val="20"/>
          <w:szCs w:val="20"/>
          <w:color w:val="auto"/>
        </w:rPr>
      </w:pPr>
    </w:p>
    <w:p>
      <w:pPr>
        <w:ind w:left="400"/>
        <w:spacing w:after="0"/>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w:t>
      </w:r>
      <w:r>
        <w:rPr>
          <w:sz w:val="20"/>
          <w:szCs w:val="20"/>
          <w:color w:val="auto"/>
        </w:rPr>
        <w:tab/>
      </w:r>
      <w:hyperlink r:id="rId164">
        <w:r>
          <w:rPr>
            <w:rFonts w:ascii="Times New Roman" w:cs="Times New Roman" w:eastAsia="Times New Roman" w:hAnsi="Times New Roman"/>
            <w:sz w:val="14"/>
            <w:szCs w:val="14"/>
            <w:u w:val="single" w:color="auto"/>
            <w:color w:val="0000FF"/>
          </w:rPr>
          <w:t>Description of Capital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134860" cy="2101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34860" cy="210185"/>
                    </a:xfrm>
                    <a:prstGeom prst="rect">
                      <a:avLst/>
                    </a:prstGeom>
                    <a:noFill/>
                  </pic:spPr>
                </pic:pic>
              </a:graphicData>
            </a:graphic>
          </wp:anchor>
        </w:drawing>
      </w:r>
    </w:p>
    <w:p>
      <w:pPr>
        <w:spacing w:after="0" w:line="150" w:lineRule="exact"/>
        <w:rPr>
          <w:sz w:val="20"/>
          <w:szCs w:val="20"/>
          <w:color w:val="auto"/>
        </w:rPr>
      </w:pPr>
    </w:p>
    <w:p>
      <w:pPr>
        <w:ind w:left="1000" w:right="280" w:hanging="595"/>
        <w:spacing w:after="0" w:line="239"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w:t>
      </w:r>
      <w:r>
        <w:rPr>
          <w:sz w:val="20"/>
          <w:szCs w:val="20"/>
          <w:color w:val="auto"/>
        </w:rPr>
        <w:tab/>
      </w:r>
      <w:hyperlink r:id="rId166">
        <w:r>
          <w:rPr>
            <w:rFonts w:ascii="Times New Roman" w:cs="Times New Roman" w:eastAsia="Times New Roman" w:hAnsi="Times New Roman"/>
            <w:sz w:val="14"/>
            <w:szCs w:val="14"/>
            <w:u w:val="single" w:color="auto"/>
            <w:color w:val="0000FF"/>
          </w:rPr>
          <w:t>Indenture, dated as of February 2, 2021, by and among ZoomInfo Technologies LLC, ZoomInfo</w:t>
        </w:r>
      </w:hyperlink>
      <w:r>
        <w:rPr>
          <w:rFonts w:ascii="Times New Roman" w:cs="Times New Roman" w:eastAsia="Times New Roman" w:hAnsi="Times New Roman"/>
          <w:sz w:val="14"/>
          <w:szCs w:val="14"/>
          <w:u w:val="single" w:color="auto"/>
          <w:color w:val="0000FF"/>
        </w:rPr>
        <w:t xml:space="preserve"> </w:t>
      </w:r>
      <w:hyperlink r:id="rId166">
        <w:r>
          <w:rPr>
            <w:rFonts w:ascii="Times New Roman" w:cs="Times New Roman" w:eastAsia="Times New Roman" w:hAnsi="Times New Roman"/>
            <w:sz w:val="14"/>
            <w:szCs w:val="14"/>
            <w:u w:val="single" w:color="auto"/>
            <w:color w:val="0000FF"/>
          </w:rPr>
          <w:t>Finance Corp., the guarantors named on the signature pages thereto and Wells Fargo, National</w:t>
        </w:r>
      </w:hyperlink>
    </w:p>
    <w:p>
      <w:pPr>
        <w:spacing w:after="0" w:line="13" w:lineRule="exact"/>
        <w:rPr>
          <w:sz w:val="20"/>
          <w:szCs w:val="20"/>
          <w:color w:val="auto"/>
        </w:rPr>
      </w:pPr>
    </w:p>
    <w:p>
      <w:pPr>
        <w:ind w:left="1000"/>
        <w:spacing w:after="0"/>
        <w:rPr>
          <w:rFonts w:ascii="Times New Roman" w:cs="Times New Roman" w:eastAsia="Times New Roman" w:hAnsi="Times New Roman"/>
          <w:sz w:val="14"/>
          <w:szCs w:val="14"/>
          <w:u w:val="single" w:color="auto"/>
          <w:color w:val="0000FF"/>
        </w:rPr>
      </w:pPr>
      <w:hyperlink r:id="rId166">
        <w:r>
          <w:rPr>
            <w:rFonts w:ascii="Times New Roman" w:cs="Times New Roman" w:eastAsia="Times New Roman" w:hAnsi="Times New Roman"/>
            <w:sz w:val="14"/>
            <w:szCs w:val="14"/>
            <w:u w:val="single" w:color="auto"/>
            <w:color w:val="0000FF"/>
          </w:rPr>
          <w:t>Association, as trustee</w:t>
        </w:r>
      </w:hyperlink>
    </w:p>
    <w:p>
      <w:pPr>
        <w:spacing w:after="0" w:line="9" w:lineRule="exact"/>
        <w:rPr>
          <w:sz w:val="20"/>
          <w:szCs w:val="20"/>
          <w:color w:val="auto"/>
        </w:rPr>
      </w:pPr>
    </w:p>
    <w:p>
      <w:pPr>
        <w:jc w:val="right"/>
        <w:ind w:left="400" w:right="280"/>
        <w:spacing w:after="0" w:line="248"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4.3      </w:t>
      </w:r>
      <w:hyperlink r:id="rId167">
        <w:r>
          <w:rPr>
            <w:rFonts w:ascii="Times New Roman" w:cs="Times New Roman" w:eastAsia="Times New Roman" w:hAnsi="Times New Roman"/>
            <w:sz w:val="14"/>
            <w:szCs w:val="14"/>
            <w:u w:val="single" w:color="auto"/>
            <w:color w:val="0000FF"/>
          </w:rPr>
          <w:t>Supplemental Indenture, dated as of July 15, 2021, by and among ZoomInfo Technologies LLC,</w:t>
        </w:r>
      </w:hyperlink>
      <w:r>
        <w:rPr>
          <w:rFonts w:ascii="Times New Roman" w:cs="Times New Roman" w:eastAsia="Times New Roman" w:hAnsi="Times New Roman"/>
          <w:sz w:val="14"/>
          <w:szCs w:val="14"/>
          <w:color w:val="auto"/>
        </w:rPr>
        <w:t xml:space="preserve"> </w:t>
      </w:r>
      <w:hyperlink r:id="rId167">
        <w:r>
          <w:rPr>
            <w:rFonts w:ascii="Times New Roman" w:cs="Times New Roman" w:eastAsia="Times New Roman" w:hAnsi="Times New Roman"/>
            <w:sz w:val="14"/>
            <w:szCs w:val="14"/>
            <w:u w:val="single" w:color="auto"/>
            <w:color w:val="0000FF"/>
          </w:rPr>
          <w:t>ZoomInfo Finance Corp., the guarantors named on the signature pages thereto, and Wells Fargo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-204470</wp:posOffset>
            </wp:positionV>
            <wp:extent cx="7134860" cy="3194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34860" cy="319405"/>
                    </a:xfrm>
                    <a:prstGeom prst="rect">
                      <a:avLst/>
                    </a:prstGeom>
                    <a:noFill/>
                  </pic:spPr>
                </pic:pic>
              </a:graphicData>
            </a:graphic>
          </wp:anchor>
        </w:drawing>
      </w:r>
    </w:p>
    <w:p>
      <w:pPr>
        <w:ind w:left="1000"/>
        <w:spacing w:after="0"/>
        <w:rPr>
          <w:rFonts w:ascii="Times New Roman" w:cs="Times New Roman" w:eastAsia="Times New Roman" w:hAnsi="Times New Roman"/>
          <w:sz w:val="14"/>
          <w:szCs w:val="14"/>
          <w:u w:val="single" w:color="auto"/>
          <w:color w:val="0000FF"/>
        </w:rPr>
      </w:pPr>
      <w:hyperlink r:id="rId167">
        <w:r>
          <w:rPr>
            <w:rFonts w:ascii="Times New Roman" w:cs="Times New Roman" w:eastAsia="Times New Roman" w:hAnsi="Times New Roman"/>
            <w:sz w:val="14"/>
            <w:szCs w:val="14"/>
            <w:u w:val="single" w:color="auto"/>
            <w:color w:val="0000FF"/>
          </w:rPr>
          <w:t>National Association, as trustee</w:t>
        </w:r>
      </w:hyperlink>
    </w:p>
    <w:p>
      <w:pPr>
        <w:spacing w:after="0" w:line="9" w:lineRule="exact"/>
        <w:rPr>
          <w:sz w:val="20"/>
          <w:szCs w:val="20"/>
          <w:color w:val="auto"/>
        </w:rPr>
      </w:pPr>
    </w:p>
    <w:p>
      <w:pPr>
        <w:ind w:left="400"/>
        <w:spacing w:after="0"/>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4.4</w:t>
      </w:r>
      <w:r>
        <w:rPr>
          <w:sz w:val="20"/>
          <w:szCs w:val="20"/>
          <w:color w:val="auto"/>
        </w:rPr>
        <w:tab/>
      </w:r>
      <w:hyperlink r:id="rId166">
        <w:r>
          <w:rPr>
            <w:rFonts w:ascii="Times New Roman" w:cs="Times New Roman" w:eastAsia="Times New Roman" w:hAnsi="Times New Roman"/>
            <w:sz w:val="14"/>
            <w:szCs w:val="14"/>
            <w:u w:val="single" w:color="auto"/>
            <w:color w:val="0000FF"/>
          </w:rPr>
          <w:t>Form of 3.875% Senior Note due 2029 (included in Exhibit 4.2)</w:t>
        </w:r>
      </w:hyperlink>
    </w:p>
    <w:p>
      <w:pPr>
        <w:spacing w:after="0" w:line="38" w:lineRule="exact"/>
        <w:rPr>
          <w:sz w:val="20"/>
          <w:szCs w:val="20"/>
          <w:color w:val="auto"/>
        </w:rPr>
      </w:pPr>
    </w:p>
    <w:p>
      <w:pPr>
        <w:ind w:left="1000" w:right="180" w:hanging="630"/>
        <w:spacing w:after="0" w:line="246"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w:t>
      </w:r>
      <w:r>
        <w:rPr>
          <w:sz w:val="20"/>
          <w:szCs w:val="20"/>
          <w:color w:val="auto"/>
        </w:rPr>
        <w:tab/>
      </w:r>
      <w:hyperlink r:id="rId169">
        <w:r>
          <w:rPr>
            <w:rFonts w:ascii="Times New Roman" w:cs="Times New Roman" w:eastAsia="Times New Roman" w:hAnsi="Times New Roman"/>
            <w:sz w:val="14"/>
            <w:szCs w:val="14"/>
            <w:u w:val="single" w:color="auto"/>
            <w:color w:val="0000FF"/>
          </w:rPr>
          <w:t>Sixth Amended and Restated Limited Liability Company Agreement of ZoomInfo Holdings LLC,</w:t>
        </w:r>
      </w:hyperlink>
      <w:r>
        <w:rPr>
          <w:rFonts w:ascii="Times New Roman" w:cs="Times New Roman" w:eastAsia="Times New Roman" w:hAnsi="Times New Roman"/>
          <w:sz w:val="14"/>
          <w:szCs w:val="14"/>
          <w:u w:val="single" w:color="auto"/>
          <w:color w:val="0000FF"/>
        </w:rPr>
        <w:t xml:space="preserve"> </w:t>
      </w:r>
      <w:hyperlink r:id="rId169">
        <w:r>
          <w:rPr>
            <w:rFonts w:ascii="Times New Roman" w:cs="Times New Roman" w:eastAsia="Times New Roman" w:hAnsi="Times New Roman"/>
            <w:sz w:val="14"/>
            <w:szCs w:val="14"/>
            <w:u w:val="single" w:color="auto"/>
            <w:color w:val="0000FF"/>
          </w:rPr>
          <w:t>dated as of October 29,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7134860" cy="2101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34860" cy="210185"/>
                    </a:xfrm>
                    <a:prstGeom prst="rect">
                      <a:avLst/>
                    </a:prstGeom>
                    <a:noFill/>
                  </pic:spPr>
                </pic:pic>
              </a:graphicData>
            </a:graphic>
          </wp:anchor>
        </w:drawing>
      </w:r>
    </w:p>
    <w:p>
      <w:pPr>
        <w:jc w:val="center"/>
        <w:ind w:left="380" w:right="680"/>
        <w:spacing w:after="0" w:line="246"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      </w:t>
      </w:r>
      <w:hyperlink r:id="rId171">
        <w:r>
          <w:rPr>
            <w:rFonts w:ascii="Times New Roman" w:cs="Times New Roman" w:eastAsia="Times New Roman" w:hAnsi="Times New Roman"/>
            <w:sz w:val="14"/>
            <w:szCs w:val="14"/>
            <w:u w:val="single" w:color="auto"/>
            <w:color w:val="0000FF"/>
          </w:rPr>
          <w:t>Exchange Tax Receivable Agreement, dated as of June 3, 2020, by and among ZoomInfo</w:t>
        </w:r>
      </w:hyperlink>
      <w:r>
        <w:rPr>
          <w:rFonts w:ascii="Times New Roman" w:cs="Times New Roman" w:eastAsia="Times New Roman" w:hAnsi="Times New Roman"/>
          <w:sz w:val="14"/>
          <w:szCs w:val="14"/>
          <w:color w:val="auto"/>
        </w:rPr>
        <w:t xml:space="preserve"> </w:t>
      </w:r>
      <w:hyperlink r:id="rId171">
        <w:r>
          <w:rPr>
            <w:rFonts w:ascii="Times New Roman" w:cs="Times New Roman" w:eastAsia="Times New Roman" w:hAnsi="Times New Roman"/>
            <w:sz w:val="14"/>
            <w:szCs w:val="14"/>
            <w:u w:val="single" w:color="auto"/>
            <w:color w:val="0000FF"/>
          </w:rPr>
          <w:t>Technologies Inc. and each of the other persons from time to time party thereto</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November 1, 2021</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2.2</w:t>
            </w:r>
          </w:p>
        </w:tc>
      </w:tr>
      <w:tr>
        <w:trPr>
          <w:trHeight w:val="322"/>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May 19, 2022</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3.1</w:t>
            </w:r>
          </w:p>
        </w:tc>
      </w:tr>
      <w:tr>
        <w:trPr>
          <w:trHeight w:val="199"/>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10-Q filed October 30, 2023</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3.2</w:t>
            </w:r>
          </w:p>
        </w:tc>
      </w:tr>
      <w:tr>
        <w:trPr>
          <w:trHeight w:val="161"/>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10-K filed February 24,</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4.1</w:t>
            </w:r>
          </w:p>
        </w:tc>
      </w:tr>
      <w:tr>
        <w:trPr>
          <w:trHeight w:val="184"/>
        </w:trPr>
        <w:tc>
          <w:tcPr>
            <w:tcW w:w="1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2022</w:t>
            </w:r>
          </w:p>
        </w:tc>
        <w:tc>
          <w:tcPr>
            <w:tcW w:w="1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6"/>
        </w:trPr>
        <w:tc>
          <w:tcPr>
            <w:tcW w:w="1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 filed February 2, 2021</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4.1</w:t>
            </w:r>
          </w:p>
        </w:tc>
      </w:tr>
      <w:tr>
        <w:trPr>
          <w:trHeight w:val="503"/>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w w:val="99"/>
              </w:rPr>
              <w:t>8-K filed July 15, 2021</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4.2</w:t>
            </w:r>
          </w:p>
        </w:tc>
      </w:tr>
      <w:tr>
        <w:trPr>
          <w:trHeight w:val="503"/>
        </w:trPr>
        <w:tc>
          <w:tcPr>
            <w:tcW w:w="1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 filed February 2, 2021</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4.1</w:t>
            </w:r>
          </w:p>
        </w:tc>
      </w:tr>
      <w:tr>
        <w:trPr>
          <w:trHeight w:val="161"/>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10-K filed February 24,</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10.1</w:t>
            </w:r>
          </w:p>
        </w:tc>
      </w:tr>
      <w:tr>
        <w:trPr>
          <w:trHeight w:val="184"/>
        </w:trPr>
        <w:tc>
          <w:tcPr>
            <w:tcW w:w="1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2022</w:t>
            </w:r>
          </w:p>
        </w:tc>
        <w:tc>
          <w:tcPr>
            <w:tcW w:w="1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6"/>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June 8, 2020</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10.3</w:t>
            </w:r>
          </w:p>
        </w:tc>
      </w:tr>
    </w:tbl>
    <w:p>
      <w:pPr>
        <w:spacing w:after="0" w:line="147" w:lineRule="exact"/>
        <w:rPr>
          <w:sz w:val="20"/>
          <w:szCs w:val="20"/>
          <w:color w:val="auto"/>
        </w:rPr>
      </w:pPr>
    </w:p>
    <w:p>
      <w:pPr>
        <w:sectPr>
          <w:pgSz w:w="11900" w:h="16838" w:orient="portrait"/>
          <w:cols w:equalWidth="0" w:num="2">
            <w:col w:w="6720" w:space="100"/>
            <w:col w:w="4420"/>
          </w:cols>
          <w:pgMar w:left="320" w:top="121" w:right="339" w:bottom="1440" w:gutter="0" w:footer="0" w:header="0"/>
          <w:type w:val="continuous"/>
        </w:sectPr>
      </w:pPr>
    </w:p>
    <w:tbl>
      <w:tblPr>
        <w:tblLayout w:type="fixed"/>
        <w:tblInd w:w="380" w:type="dxa"/>
        <w:tblCellMar>
          <w:top w:w="0" w:type="dxa"/>
          <w:left w:w="0" w:type="dxa"/>
          <w:bottom w:w="0" w:type="dxa"/>
          <w:right w:w="0" w:type="dxa"/>
        </w:tblCellMar>
      </w:tblPr>
      <w:tr>
        <w:trPr>
          <w:trHeight w:val="163"/>
        </w:trPr>
        <w:tc>
          <w:tcPr>
            <w:tcW w:w="620" w:type="dxa"/>
            <w:vAlign w:val="bottom"/>
          </w:tcPr>
          <w:p>
            <w:pPr>
              <w:jc w:val="right"/>
              <w:ind w:right="309"/>
              <w:spacing w:after="0" w:line="157" w:lineRule="exact"/>
              <w:rPr>
                <w:sz w:val="20"/>
                <w:szCs w:val="20"/>
                <w:color w:val="auto"/>
              </w:rPr>
            </w:pPr>
            <w:r>
              <w:rPr>
                <w:rFonts w:ascii="Times New Roman" w:cs="Times New Roman" w:eastAsia="Times New Roman" w:hAnsi="Times New Roman"/>
                <w:sz w:val="14"/>
                <w:szCs w:val="14"/>
                <w:color w:val="auto"/>
                <w:w w:val="89"/>
              </w:rPr>
              <w:t>10.3</w:t>
            </w:r>
          </w:p>
        </w:tc>
        <w:tc>
          <w:tcPr>
            <w:tcW w:w="5780" w:type="dxa"/>
            <w:vAlign w:val="bottom"/>
            <w:tcBorders>
              <w:bottom w:val="single" w:sz="8" w:color="0000FF"/>
            </w:tcBorders>
            <w:gridSpan w:val="2"/>
          </w:tcPr>
          <w:p>
            <w:pPr>
              <w:spacing w:after="0" w:line="157"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Amendment No. 1, dated as of August 20, 2021, to the Exchange Tax Receivable Agreement, dated as</w:t>
              </w:r>
            </w:hyperlink>
          </w:p>
        </w:tc>
        <w:tc>
          <w:tcPr>
            <w:tcW w:w="1860" w:type="dxa"/>
            <w:vAlign w:val="bottom"/>
          </w:tcPr>
          <w:p>
            <w:pPr>
              <w:jc w:val="center"/>
              <w:ind w:right="89"/>
              <w:spacing w:after="0" w:line="157" w:lineRule="exact"/>
              <w:rPr>
                <w:sz w:val="20"/>
                <w:szCs w:val="20"/>
                <w:color w:val="auto"/>
              </w:rPr>
            </w:pPr>
            <w:r>
              <w:rPr>
                <w:rFonts w:ascii="Times New Roman" w:cs="Times New Roman" w:eastAsia="Times New Roman" w:hAnsi="Times New Roman"/>
                <w:sz w:val="14"/>
                <w:szCs w:val="14"/>
                <w:color w:val="auto"/>
                <w:w w:val="99"/>
              </w:rPr>
              <w:t>10-Q filed November 1,</w:t>
            </w:r>
          </w:p>
        </w:tc>
        <w:tc>
          <w:tcPr>
            <w:tcW w:w="1400" w:type="dxa"/>
            <w:vAlign w:val="bottom"/>
          </w:tcPr>
          <w:p>
            <w:pPr>
              <w:jc w:val="right"/>
              <w:ind w:right="409"/>
              <w:spacing w:after="0" w:line="157" w:lineRule="exact"/>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10.3</w:t>
            </w:r>
          </w:p>
        </w:tc>
      </w:tr>
      <w:tr>
        <w:trPr>
          <w:trHeight w:val="146"/>
        </w:trPr>
        <w:tc>
          <w:tcPr>
            <w:tcW w:w="620" w:type="dxa"/>
            <w:vAlign w:val="bottom"/>
          </w:tcPr>
          <w:p>
            <w:pPr>
              <w:spacing w:after="0"/>
              <w:rPr>
                <w:sz w:val="12"/>
                <w:szCs w:val="12"/>
                <w:color w:val="auto"/>
              </w:rPr>
            </w:pPr>
          </w:p>
        </w:tc>
        <w:tc>
          <w:tcPr>
            <w:tcW w:w="5780" w:type="dxa"/>
            <w:vAlign w:val="bottom"/>
            <w:gridSpan w:val="2"/>
          </w:tcPr>
          <w:p>
            <w:pPr>
              <w:spacing w:after="0" w:line="146"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of June 3, 2020, among ZoomInfo Technologies Inc. and each of the other persons from time to time</w:t>
              </w:r>
            </w:hyperlink>
          </w:p>
        </w:tc>
        <w:tc>
          <w:tcPr>
            <w:tcW w:w="1860" w:type="dxa"/>
            <w:vAlign w:val="bottom"/>
          </w:tcPr>
          <w:p>
            <w:pPr>
              <w:jc w:val="right"/>
              <w:ind w:right="789"/>
              <w:spacing w:after="0" w:line="146" w:lineRule="exact"/>
              <w:rPr>
                <w:sz w:val="20"/>
                <w:szCs w:val="20"/>
                <w:color w:val="auto"/>
              </w:rPr>
            </w:pPr>
            <w:r>
              <w:rPr>
                <w:rFonts w:ascii="Times New Roman" w:cs="Times New Roman" w:eastAsia="Times New Roman" w:hAnsi="Times New Roman"/>
                <w:sz w:val="14"/>
                <w:szCs w:val="14"/>
                <w:color w:val="auto"/>
              </w:rPr>
              <w:t>2021</w:t>
            </w:r>
          </w:p>
        </w:tc>
        <w:tc>
          <w:tcPr>
            <w:tcW w:w="14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
        </w:trPr>
        <w:tc>
          <w:tcPr>
            <w:tcW w:w="620" w:type="dxa"/>
            <w:vAlign w:val="bottom"/>
          </w:tcPr>
          <w:p>
            <w:pPr>
              <w:spacing w:after="0" w:line="20" w:lineRule="exact"/>
              <w:rPr>
                <w:sz w:val="1"/>
                <w:szCs w:val="1"/>
                <w:color w:val="auto"/>
              </w:rPr>
            </w:pPr>
          </w:p>
        </w:tc>
        <w:tc>
          <w:tcPr>
            <w:tcW w:w="5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-209550</wp:posOffset>
            </wp:positionV>
            <wp:extent cx="7134860" cy="3448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7134860" cy="344805"/>
                    </a:xfrm>
                    <a:prstGeom prst="rect">
                      <a:avLst/>
                    </a:prstGeom>
                    <a:noFill/>
                  </pic:spPr>
                </pic:pic>
              </a:graphicData>
            </a:graphic>
          </wp:anchor>
        </w:drawing>
      </w:r>
    </w:p>
    <w:p>
      <w:pPr>
        <w:ind w:left="1000"/>
        <w:spacing w:after="0"/>
        <w:rPr>
          <w:rFonts w:ascii="Times New Roman" w:cs="Times New Roman" w:eastAsia="Times New Roman" w:hAnsi="Times New Roman"/>
          <w:sz w:val="14"/>
          <w:szCs w:val="14"/>
          <w:u w:val="single" w:color="auto"/>
          <w:color w:val="0000FF"/>
        </w:rPr>
      </w:pPr>
      <w:hyperlink r:id="rId172">
        <w:r>
          <w:rPr>
            <w:rFonts w:ascii="Times New Roman" w:cs="Times New Roman" w:eastAsia="Times New Roman" w:hAnsi="Times New Roman"/>
            <w:sz w:val="14"/>
            <w:szCs w:val="14"/>
            <w:u w:val="single" w:color="auto"/>
            <w:color w:val="0000FF"/>
          </w:rPr>
          <w:t>party thereto</w:t>
        </w:r>
      </w:hyperlink>
    </w:p>
    <w:p>
      <w:pPr>
        <w:sectPr>
          <w:pgSz w:w="11900" w:h="16838" w:orient="portrait"/>
          <w:cols w:equalWidth="0" w:num="1">
            <w:col w:w="11240"/>
          </w:cols>
          <w:pgMar w:left="320" w:top="121" w:right="339" w:bottom="1440" w:gutter="0" w:footer="0" w:header="0"/>
          <w:type w:val="continuous"/>
        </w:sectPr>
      </w:pPr>
    </w:p>
    <w:p>
      <w:pPr>
        <w:spacing w:after="0" w:line="38" w:lineRule="exact"/>
        <w:rPr>
          <w:sz w:val="20"/>
          <w:szCs w:val="20"/>
          <w:color w:val="auto"/>
        </w:rPr>
      </w:pPr>
    </w:p>
    <w:p>
      <w:pPr>
        <w:ind w:left="1000" w:hanging="630"/>
        <w:spacing w:after="0" w:line="239"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10.4</w:t>
      </w:r>
      <w:r>
        <w:rPr>
          <w:sz w:val="20"/>
          <w:szCs w:val="20"/>
          <w:color w:val="auto"/>
        </w:rPr>
        <w:tab/>
      </w:r>
      <w:hyperlink r:id="rId174">
        <w:r>
          <w:rPr>
            <w:rFonts w:ascii="Times New Roman" w:cs="Times New Roman" w:eastAsia="Times New Roman" w:hAnsi="Times New Roman"/>
            <w:sz w:val="14"/>
            <w:szCs w:val="14"/>
            <w:u w:val="single" w:color="auto"/>
            <w:color w:val="0000FF"/>
          </w:rPr>
          <w:t>Amendment No. 2, dated as of October 29, 2021, to the Exchange Tax Receivable Agreement, dated</w:t>
        </w:r>
      </w:hyperlink>
      <w:r>
        <w:rPr>
          <w:rFonts w:ascii="Times New Roman" w:cs="Times New Roman" w:eastAsia="Times New Roman" w:hAnsi="Times New Roman"/>
          <w:sz w:val="14"/>
          <w:szCs w:val="14"/>
          <w:u w:val="single" w:color="auto"/>
          <w:color w:val="0000FF"/>
        </w:rPr>
        <w:t xml:space="preserve"> </w:t>
      </w:r>
      <w:hyperlink r:id="rId174">
        <w:r>
          <w:rPr>
            <w:rFonts w:ascii="Times New Roman" w:cs="Times New Roman" w:eastAsia="Times New Roman" w:hAnsi="Times New Roman"/>
            <w:sz w:val="14"/>
            <w:szCs w:val="14"/>
            <w:u w:val="single" w:color="auto"/>
            <w:color w:val="0000FF"/>
          </w:rPr>
          <w:t>as of June 3, 2020, among ZoomInfo Technologies Inc. and each of the other persons from time to</w:t>
        </w:r>
      </w:hyperlink>
    </w:p>
    <w:p>
      <w:pPr>
        <w:spacing w:after="0" w:line="13" w:lineRule="exact"/>
        <w:rPr>
          <w:sz w:val="20"/>
          <w:szCs w:val="20"/>
          <w:color w:val="auto"/>
        </w:rPr>
      </w:pPr>
    </w:p>
    <w:p>
      <w:pPr>
        <w:ind w:left="1000"/>
        <w:spacing w:after="0"/>
        <w:rPr>
          <w:rFonts w:ascii="Times New Roman" w:cs="Times New Roman" w:eastAsia="Times New Roman" w:hAnsi="Times New Roman"/>
          <w:sz w:val="14"/>
          <w:szCs w:val="14"/>
          <w:u w:val="single" w:color="auto"/>
          <w:color w:val="0000FF"/>
        </w:rPr>
      </w:pPr>
      <w:hyperlink r:id="rId174">
        <w:r>
          <w:rPr>
            <w:rFonts w:ascii="Times New Roman" w:cs="Times New Roman" w:eastAsia="Times New Roman" w:hAnsi="Times New Roman"/>
            <w:sz w:val="14"/>
            <w:szCs w:val="14"/>
            <w:u w:val="single" w:color="auto"/>
            <w:color w:val="0000FF"/>
          </w:rPr>
          <w:t>time party thereto</w:t>
        </w:r>
      </w:hyperlink>
    </w:p>
    <w:p>
      <w:pPr>
        <w:spacing w:after="0" w:line="9" w:lineRule="exact"/>
        <w:rPr>
          <w:sz w:val="20"/>
          <w:szCs w:val="20"/>
          <w:color w:val="auto"/>
        </w:rPr>
      </w:pPr>
    </w:p>
    <w:p>
      <w:pPr>
        <w:ind w:left="1000" w:right="340" w:hanging="630"/>
        <w:spacing w:after="0" w:line="246"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10.5</w:t>
      </w:r>
      <w:r>
        <w:rPr>
          <w:sz w:val="20"/>
          <w:szCs w:val="20"/>
          <w:color w:val="auto"/>
        </w:rPr>
        <w:tab/>
      </w:r>
      <w:hyperlink r:id="rId175">
        <w:r>
          <w:rPr>
            <w:rFonts w:ascii="Times New Roman" w:cs="Times New Roman" w:eastAsia="Times New Roman" w:hAnsi="Times New Roman"/>
            <w:sz w:val="14"/>
            <w:szCs w:val="14"/>
            <w:u w:val="single" w:color="auto"/>
            <w:color w:val="0000FF"/>
          </w:rPr>
          <w:t>Reorganization Tax Receivable Agreement, dated as of June 3, 2020, by and among ZoomInfo</w:t>
        </w:r>
      </w:hyperlink>
      <w:r>
        <w:rPr>
          <w:rFonts w:ascii="Times New Roman" w:cs="Times New Roman" w:eastAsia="Times New Roman" w:hAnsi="Times New Roman"/>
          <w:sz w:val="14"/>
          <w:szCs w:val="14"/>
          <w:u w:val="single" w:color="auto"/>
          <w:color w:val="0000FF"/>
        </w:rPr>
        <w:t xml:space="preserve"> </w:t>
      </w:r>
      <w:hyperlink r:id="rId175">
        <w:r>
          <w:rPr>
            <w:rFonts w:ascii="Times New Roman" w:cs="Times New Roman" w:eastAsia="Times New Roman" w:hAnsi="Times New Roman"/>
            <w:sz w:val="14"/>
            <w:szCs w:val="14"/>
            <w:u w:val="single" w:color="auto"/>
            <w:color w:val="0000FF"/>
          </w:rPr>
          <w:t>Technologies Inc. and each of the other persons from time to time a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7134860" cy="2101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34860" cy="210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November 1, 2021</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504"/>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June 8, 2020</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bl>
    <w:p>
      <w:pPr>
        <w:spacing w:after="0" w:line="147" w:lineRule="exact"/>
        <w:rPr>
          <w:sz w:val="20"/>
          <w:szCs w:val="20"/>
          <w:color w:val="auto"/>
        </w:rPr>
      </w:pPr>
    </w:p>
    <w:p>
      <w:pPr>
        <w:sectPr>
          <w:pgSz w:w="11900" w:h="16838" w:orient="portrait"/>
          <w:cols w:equalWidth="0" w:num="2">
            <w:col w:w="6680" w:space="140"/>
            <w:col w:w="4420"/>
          </w:cols>
          <w:pgMar w:left="320" w:top="121" w:right="339" w:bottom="1440" w:gutter="0" w:footer="0" w:header="0"/>
          <w:type w:val="continuous"/>
        </w:sectPr>
      </w:pPr>
    </w:p>
    <w:p>
      <w:pPr>
        <w:ind w:left="1000" w:hanging="630"/>
        <w:spacing w:after="0" w:line="263"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10.6</w:t>
      </w:r>
      <w:r>
        <w:rPr>
          <w:sz w:val="20"/>
          <w:szCs w:val="20"/>
          <w:color w:val="auto"/>
        </w:rPr>
        <w:tab/>
      </w:r>
      <w:hyperlink r:id="rId177">
        <w:r>
          <w:rPr>
            <w:rFonts w:ascii="Times New Roman" w:cs="Times New Roman" w:eastAsia="Times New Roman" w:hAnsi="Times New Roman"/>
            <w:sz w:val="14"/>
            <w:szCs w:val="14"/>
            <w:u w:val="single" w:color="auto"/>
            <w:color w:val="0000FF"/>
          </w:rPr>
          <w:t>Amendment No. 1, dated as of August 20, 2021, to the Reorganization Tax Receivable Agreement,</w:t>
        </w:r>
      </w:hyperlink>
      <w:r>
        <w:rPr>
          <w:rFonts w:ascii="Times New Roman" w:cs="Times New Roman" w:eastAsia="Times New Roman" w:hAnsi="Times New Roman"/>
          <w:sz w:val="14"/>
          <w:szCs w:val="14"/>
          <w:u w:val="single" w:color="auto"/>
          <w:color w:val="0000FF"/>
        </w:rPr>
        <w:t xml:space="preserve"> </w:t>
      </w:r>
      <w:hyperlink r:id="rId177">
        <w:r>
          <w:rPr>
            <w:rFonts w:ascii="Times New Roman" w:cs="Times New Roman" w:eastAsia="Times New Roman" w:hAnsi="Times New Roman"/>
            <w:sz w:val="14"/>
            <w:szCs w:val="14"/>
            <w:u w:val="single" w:color="auto"/>
            <w:color w:val="0000FF"/>
          </w:rPr>
          <w:t>dated as of June 3, 2020, among ZoomInfo Technologies Inc. and each of the other persons from time</w:t>
        </w:r>
      </w:hyperlink>
      <w:r>
        <w:rPr>
          <w:rFonts w:ascii="Times New Roman" w:cs="Times New Roman" w:eastAsia="Times New Roman" w:hAnsi="Times New Roman"/>
          <w:sz w:val="14"/>
          <w:szCs w:val="14"/>
          <w:u w:val="single" w:color="auto"/>
          <w:color w:val="0000FF"/>
        </w:rPr>
        <w:t xml:space="preserve"> </w:t>
      </w:r>
      <w:hyperlink r:id="rId177">
        <w:r>
          <w:rPr>
            <w:rFonts w:ascii="Times New Roman" w:cs="Times New Roman" w:eastAsia="Times New Roman" w:hAnsi="Times New Roman"/>
            <w:sz w:val="14"/>
            <w:szCs w:val="14"/>
            <w:u w:val="single" w:color="auto"/>
            <w:color w:val="0000FF"/>
          </w:rPr>
          <w:t>to time party thereto</w:t>
        </w:r>
      </w:hyperlink>
    </w:p>
    <w:p>
      <w:pPr>
        <w:spacing w:after="0" w:line="14" w:lineRule="exact"/>
        <w:rPr>
          <w:rFonts w:ascii="Times New Roman" w:cs="Times New Roman" w:eastAsia="Times New Roman" w:hAnsi="Times New Roman"/>
          <w:sz w:val="14"/>
          <w:szCs w:val="14"/>
          <w:u w:val="single" w:color="auto"/>
          <w:color w:val="0000FF"/>
        </w:rPr>
      </w:pPr>
    </w:p>
    <w:p>
      <w:pPr>
        <w:ind w:left="380"/>
        <w:spacing w:after="0"/>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10.7</w:t>
      </w:r>
      <w:r>
        <w:rPr>
          <w:sz w:val="20"/>
          <w:szCs w:val="20"/>
          <w:color w:val="auto"/>
        </w:rPr>
        <w:tab/>
      </w:r>
      <w:hyperlink r:id="rId178">
        <w:r>
          <w:rPr>
            <w:rFonts w:ascii="Times New Roman" w:cs="Times New Roman" w:eastAsia="Times New Roman" w:hAnsi="Times New Roman"/>
            <w:sz w:val="14"/>
            <w:szCs w:val="14"/>
            <w:u w:val="single" w:color="auto"/>
            <w:color w:val="0000FF"/>
          </w:rPr>
          <w:t>Amendment No. 2, dated as of October 29, 2021, to the Reorganization Tax Receivable Agreement,</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134860" cy="3028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134860" cy="302895"/>
                    </a:xfrm>
                    <a:prstGeom prst="rect">
                      <a:avLst/>
                    </a:prstGeom>
                    <a:noFill/>
                  </pic:spPr>
                </pic:pic>
              </a:graphicData>
            </a:graphic>
          </wp:anchor>
        </w:drawing>
      </w:r>
    </w:p>
    <w:p>
      <w:pPr>
        <w:ind w:left="1000"/>
        <w:spacing w:after="0" w:line="223" w:lineRule="auto"/>
        <w:rPr>
          <w:rFonts w:ascii="Times New Roman" w:cs="Times New Roman" w:eastAsia="Times New Roman" w:hAnsi="Times New Roman"/>
          <w:sz w:val="14"/>
          <w:szCs w:val="14"/>
          <w:u w:val="single" w:color="auto"/>
          <w:color w:val="0000FF"/>
        </w:rPr>
      </w:pPr>
      <w:hyperlink r:id="rId178">
        <w:r>
          <w:rPr>
            <w:rFonts w:ascii="Times New Roman" w:cs="Times New Roman" w:eastAsia="Times New Roman" w:hAnsi="Times New Roman"/>
            <w:sz w:val="14"/>
            <w:szCs w:val="14"/>
            <w:u w:val="single" w:color="auto"/>
            <w:color w:val="0000FF"/>
          </w:rPr>
          <w:t>dated as of June 3, 2020, among ZoomInfo Technologies Inc. and each of the other persons from time</w:t>
        </w:r>
      </w:hyperlink>
      <w:r>
        <w:rPr>
          <w:rFonts w:ascii="Times New Roman" w:cs="Times New Roman" w:eastAsia="Times New Roman" w:hAnsi="Times New Roman"/>
          <w:sz w:val="14"/>
          <w:szCs w:val="14"/>
          <w:u w:val="single" w:color="auto"/>
          <w:color w:val="0000FF"/>
        </w:rPr>
        <w:t xml:space="preserve"> </w:t>
      </w:r>
      <w:hyperlink r:id="rId178">
        <w:r>
          <w:rPr>
            <w:rFonts w:ascii="Times New Roman" w:cs="Times New Roman" w:eastAsia="Times New Roman" w:hAnsi="Times New Roman"/>
            <w:sz w:val="14"/>
            <w:szCs w:val="14"/>
            <w:u w:val="single" w:color="auto"/>
            <w:color w:val="0000FF"/>
          </w:rPr>
          <w:t>to time party thereto</w:t>
        </w:r>
      </w:hyperlink>
    </w:p>
    <w:p>
      <w:pPr>
        <w:spacing w:after="0" w:line="16" w:lineRule="exact"/>
        <w:rPr>
          <w:sz w:val="20"/>
          <w:szCs w:val="20"/>
          <w:color w:val="auto"/>
        </w:rPr>
      </w:pPr>
    </w:p>
    <w:p>
      <w:pPr>
        <w:ind w:left="1000" w:right="40" w:hanging="630"/>
        <w:spacing w:after="0" w:line="251"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10.8</w:t>
      </w:r>
      <w:r>
        <w:rPr>
          <w:sz w:val="20"/>
          <w:szCs w:val="20"/>
          <w:color w:val="auto"/>
        </w:rPr>
        <w:tab/>
      </w:r>
      <w:hyperlink r:id="rId180">
        <w:r>
          <w:rPr>
            <w:rFonts w:ascii="Times New Roman" w:cs="Times New Roman" w:eastAsia="Times New Roman" w:hAnsi="Times New Roman"/>
            <w:sz w:val="14"/>
            <w:szCs w:val="14"/>
            <w:u w:val="single" w:color="auto"/>
            <w:color w:val="0000FF"/>
          </w:rPr>
          <w:t>Registration Rights Agreement, dated as of June 8, 2020, by and among ZoomInfo Technologies Inc.</w:t>
        </w:r>
      </w:hyperlink>
      <w:r>
        <w:rPr>
          <w:rFonts w:ascii="Times New Roman" w:cs="Times New Roman" w:eastAsia="Times New Roman" w:hAnsi="Times New Roman"/>
          <w:sz w:val="14"/>
          <w:szCs w:val="14"/>
          <w:u w:val="single" w:color="auto"/>
          <w:color w:val="0000FF"/>
        </w:rPr>
        <w:t xml:space="preserve"> </w:t>
      </w:r>
      <w:hyperlink r:id="rId180">
        <w:r>
          <w:rPr>
            <w:rFonts w:ascii="Times New Roman" w:cs="Times New Roman" w:eastAsia="Times New Roman" w:hAnsi="Times New Roman"/>
            <w:sz w:val="14"/>
            <w:szCs w:val="14"/>
            <w:u w:val="single" w:color="auto"/>
            <w:color w:val="0000FF"/>
          </w:rPr>
          <w:t>and each of the other persons from time to time a party thereto</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1880" w:type="dxa"/>
            <w:vAlign w:val="bottom"/>
          </w:tcPr>
          <w:p>
            <w:pPr>
              <w:jc w:val="center"/>
              <w:ind w:right="189"/>
              <w:spacing w:after="0" w:line="147" w:lineRule="exact"/>
              <w:rPr>
                <w:sz w:val="20"/>
                <w:szCs w:val="20"/>
                <w:color w:val="auto"/>
              </w:rPr>
            </w:pPr>
            <w:r>
              <w:rPr>
                <w:rFonts w:ascii="Times New Roman" w:cs="Times New Roman" w:eastAsia="Times New Roman" w:hAnsi="Times New Roman"/>
                <w:sz w:val="14"/>
                <w:szCs w:val="14"/>
                <w:color w:val="auto"/>
                <w:w w:val="99"/>
              </w:rPr>
              <w:t>10-Q filed November 1,</w:t>
            </w:r>
          </w:p>
        </w:tc>
        <w:tc>
          <w:tcPr>
            <w:tcW w:w="1340" w:type="dxa"/>
            <w:vAlign w:val="bottom"/>
          </w:tcPr>
          <w:p>
            <w:pPr>
              <w:jc w:val="right"/>
              <w:ind w:right="409"/>
              <w:spacing w:after="0" w:line="147" w:lineRule="exact"/>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10.2</w:t>
            </w:r>
          </w:p>
        </w:tc>
      </w:tr>
      <w:tr>
        <w:trPr>
          <w:trHeight w:val="184"/>
        </w:trPr>
        <w:tc>
          <w:tcPr>
            <w:tcW w:w="1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2021</w:t>
            </w:r>
          </w:p>
        </w:tc>
        <w:tc>
          <w:tcPr>
            <w:tcW w:w="1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98"/>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November 1, 2021</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477"/>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June 8, 2020</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bl>
    <w:p>
      <w:pPr>
        <w:spacing w:after="0" w:line="153" w:lineRule="exact"/>
        <w:rPr>
          <w:sz w:val="20"/>
          <w:szCs w:val="20"/>
          <w:color w:val="auto"/>
        </w:rPr>
      </w:pPr>
    </w:p>
    <w:p>
      <w:pPr>
        <w:sectPr>
          <w:pgSz w:w="11900" w:h="16838" w:orient="portrait"/>
          <w:cols w:equalWidth="0" w:num="2">
            <w:col w:w="6760" w:space="60"/>
            <w:col w:w="4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100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10.9</w:t>
            </w:r>
          </w:p>
        </w:tc>
        <w:tc>
          <w:tcPr>
            <w:tcW w:w="5800" w:type="dxa"/>
            <w:vAlign w:val="bottom"/>
            <w:gridSpan w:val="6"/>
            <w:shd w:val="clear" w:color="auto" w:fill="CCEEFF"/>
          </w:tcPr>
          <w:p>
            <w:pPr>
              <w:spacing w:after="0" w:line="150" w:lineRule="exact"/>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Stockholders Agreement, dated as of June 3, 2020, by and among ZoomInfo Technologies Inc. and</w:t>
              </w:r>
            </w:hyperlink>
          </w:p>
        </w:tc>
        <w:tc>
          <w:tcPr>
            <w:tcW w:w="1820" w:type="dxa"/>
            <w:vAlign w:val="bottom"/>
            <w:shd w:val="clear" w:color="auto" w:fill="CCEEFF"/>
          </w:tcPr>
          <w:p>
            <w:pPr>
              <w:ind w:left="200"/>
              <w:spacing w:after="0" w:line="150" w:lineRule="exact"/>
              <w:rPr>
                <w:sz w:val="20"/>
                <w:szCs w:val="20"/>
                <w:color w:val="auto"/>
              </w:rPr>
            </w:pPr>
            <w:r>
              <w:rPr>
                <w:rFonts w:ascii="Times New Roman" w:cs="Times New Roman" w:eastAsia="Times New Roman" w:hAnsi="Times New Roman"/>
                <w:sz w:val="14"/>
                <w:szCs w:val="14"/>
                <w:color w:val="auto"/>
              </w:rPr>
              <w:t>8-K filed June 8, 2020</w:t>
            </w:r>
          </w:p>
        </w:tc>
        <w:tc>
          <w:tcPr>
            <w:tcW w:w="1420" w:type="dxa"/>
            <w:vAlign w:val="bottom"/>
            <w:shd w:val="clear" w:color="auto" w:fill="CCEEFF"/>
          </w:tcPr>
          <w:p>
            <w:pPr>
              <w:jc w:val="right"/>
              <w:ind w:right="409"/>
              <w:spacing w:after="0" w:line="150" w:lineRule="exact"/>
              <w:rPr>
                <w:sz w:val="20"/>
                <w:szCs w:val="20"/>
                <w:color w:val="auto"/>
              </w:rPr>
            </w:pPr>
            <w:r>
              <w:rPr>
                <w:rFonts w:ascii="Times New Roman" w:cs="Times New Roman" w:eastAsia="Times New Roman" w:hAnsi="Times New Roman"/>
                <w:sz w:val="14"/>
                <w:szCs w:val="14"/>
                <w:color w:val="auto"/>
              </w:rPr>
              <w:t>001-39310</w:t>
            </w:r>
          </w:p>
        </w:tc>
        <w:tc>
          <w:tcPr>
            <w:tcW w:w="1200" w:type="dxa"/>
            <w:vAlign w:val="bottom"/>
            <w:shd w:val="clear" w:color="auto" w:fill="CCEEFF"/>
          </w:tcPr>
          <w:p>
            <w:pPr>
              <w:jc w:val="right"/>
              <w:ind w:right="389"/>
              <w:spacing w:after="0" w:line="150" w:lineRule="exact"/>
              <w:rPr>
                <w:sz w:val="20"/>
                <w:szCs w:val="20"/>
                <w:color w:val="auto"/>
              </w:rPr>
            </w:pPr>
            <w:r>
              <w:rPr>
                <w:rFonts w:ascii="Times New Roman" w:cs="Times New Roman" w:eastAsia="Times New Roman" w:hAnsi="Times New Roman"/>
                <w:sz w:val="14"/>
                <w:szCs w:val="14"/>
                <w:color w:val="auto"/>
              </w:rPr>
              <w:t>10.6</w:t>
            </w:r>
          </w:p>
        </w:tc>
      </w:tr>
      <w:tr>
        <w:trPr>
          <w:trHeight w:val="145"/>
        </w:trPr>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3200" w:type="dxa"/>
            <w:vAlign w:val="bottom"/>
            <w:tcBorders>
              <w:top w:val="single" w:sz="8" w:color="0000FF"/>
              <w:bottom w:val="single" w:sz="8" w:color="0000FF"/>
            </w:tcBorders>
            <w:gridSpan w:val="2"/>
            <w:shd w:val="clear" w:color="auto" w:fill="CCEEFF"/>
          </w:tcPr>
          <w:p>
            <w:pPr>
              <w:spacing w:after="0" w:line="126" w:lineRule="exact"/>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each of the other persons from time to time party thereto</w:t>
              </w:r>
            </w:hyperlink>
          </w:p>
        </w:tc>
        <w:tc>
          <w:tcPr>
            <w:tcW w:w="2400" w:type="dxa"/>
            <w:vAlign w:val="bottom"/>
            <w:tcBorders>
              <w:top w:val="single" w:sz="8" w:color="0000FF"/>
              <w:bottom w:val="single" w:sz="8" w:color="CCEEFF"/>
            </w:tcBorders>
            <w:gridSpan w:val="3"/>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820" w:type="dxa"/>
            <w:vAlign w:val="bottom"/>
            <w:tcBorders>
              <w:top w:val="single" w:sz="8" w:color="CCEEFF"/>
              <w:bottom w:val="single" w:sz="8" w:color="CCEEFF"/>
            </w:tcBorders>
            <w:shd w:val="clear" w:color="auto" w:fill="CCEEFF"/>
          </w:tcPr>
          <w:p>
            <w:pPr>
              <w:spacing w:after="0"/>
              <w:rPr>
                <w:sz w:val="12"/>
                <w:szCs w:val="12"/>
                <w:color w:val="auto"/>
              </w:rPr>
            </w:pPr>
          </w:p>
        </w:tc>
        <w:tc>
          <w:tcPr>
            <w:tcW w:w="1420" w:type="dxa"/>
            <w:vAlign w:val="bottom"/>
            <w:tcBorders>
              <w:top w:val="single" w:sz="8" w:color="CCEEFF"/>
              <w:bottom w:val="single" w:sz="8" w:color="CCEEFF"/>
            </w:tcBorders>
            <w:shd w:val="clear" w:color="auto" w:fill="CCEEFF"/>
          </w:tcPr>
          <w:p>
            <w:pPr>
              <w:spacing w:after="0"/>
              <w:rPr>
                <w:sz w:val="12"/>
                <w:szCs w:val="12"/>
                <w:color w:val="auto"/>
              </w:rPr>
            </w:pPr>
          </w:p>
        </w:tc>
        <w:tc>
          <w:tcPr>
            <w:tcW w:w="12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6"/>
        </w:trPr>
        <w:tc>
          <w:tcPr>
            <w:tcW w:w="10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10.10†</w:t>
            </w:r>
          </w:p>
        </w:tc>
        <w:tc>
          <w:tcPr>
            <w:tcW w:w="1940" w:type="dxa"/>
            <w:vAlign w:val="bottom"/>
          </w:tcPr>
          <w:p>
            <w:pPr>
              <w:spacing w:after="0" w:line="126" w:lineRule="exact"/>
              <w:rPr>
                <w:rFonts w:ascii="Times New Roman" w:cs="Times New Roman" w:eastAsia="Times New Roman" w:hAnsi="Times New Roman"/>
                <w:sz w:val="14"/>
                <w:szCs w:val="14"/>
                <w:color w:val="0000FF"/>
                <w:w w:val="99"/>
              </w:rPr>
            </w:pPr>
            <w:hyperlink r:id="rId182">
              <w:r>
                <w:rPr>
                  <w:rFonts w:ascii="Times New Roman" w:cs="Times New Roman" w:eastAsia="Times New Roman" w:hAnsi="Times New Roman"/>
                  <w:sz w:val="14"/>
                  <w:szCs w:val="14"/>
                  <w:color w:val="0000FF"/>
                  <w:w w:val="99"/>
                </w:rPr>
                <w:t>ZoomInfo Technologies Inc. 2020</w:t>
              </w:r>
            </w:hyperlink>
          </w:p>
        </w:tc>
        <w:tc>
          <w:tcPr>
            <w:tcW w:w="3860" w:type="dxa"/>
            <w:vAlign w:val="bottom"/>
            <w:gridSpan w:val="5"/>
          </w:tcPr>
          <w:p>
            <w:pPr>
              <w:ind w:left="20"/>
              <w:spacing w:after="0" w:line="126"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Omnibus Incentive Plan</w:t>
              </w:r>
            </w:hyperlink>
          </w:p>
        </w:tc>
        <w:tc>
          <w:tcPr>
            <w:tcW w:w="182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8-K filed June 8, 2020</w:t>
            </w:r>
          </w:p>
        </w:tc>
        <w:tc>
          <w:tcPr>
            <w:tcW w:w="1420" w:type="dxa"/>
            <w:vAlign w:val="bottom"/>
          </w:tcPr>
          <w:p>
            <w:pPr>
              <w:jc w:val="right"/>
              <w:ind w:right="409"/>
              <w:spacing w:after="0" w:line="126" w:lineRule="exact"/>
              <w:rPr>
                <w:sz w:val="20"/>
                <w:szCs w:val="20"/>
                <w:color w:val="auto"/>
              </w:rPr>
            </w:pPr>
            <w:r>
              <w:rPr>
                <w:rFonts w:ascii="Times New Roman" w:cs="Times New Roman" w:eastAsia="Times New Roman" w:hAnsi="Times New Roman"/>
                <w:sz w:val="14"/>
                <w:szCs w:val="14"/>
                <w:color w:val="auto"/>
              </w:rPr>
              <w:t>001-39310</w:t>
            </w:r>
          </w:p>
        </w:tc>
        <w:tc>
          <w:tcPr>
            <w:tcW w:w="1200" w:type="dxa"/>
            <w:vAlign w:val="bottom"/>
          </w:tcPr>
          <w:p>
            <w:pPr>
              <w:jc w:val="right"/>
              <w:ind w:right="389"/>
              <w:spacing w:after="0" w:line="126" w:lineRule="exact"/>
              <w:rPr>
                <w:sz w:val="20"/>
                <w:szCs w:val="20"/>
                <w:color w:val="auto"/>
              </w:rPr>
            </w:pPr>
            <w:r>
              <w:rPr>
                <w:rFonts w:ascii="Times New Roman" w:cs="Times New Roman" w:eastAsia="Times New Roman" w:hAnsi="Times New Roman"/>
                <w:sz w:val="14"/>
                <w:szCs w:val="14"/>
                <w:color w:val="auto"/>
              </w:rPr>
              <w:t>10.7</w:t>
            </w:r>
          </w:p>
        </w:tc>
      </w:tr>
      <w:tr>
        <w:trPr>
          <w:trHeight w:val="33"/>
        </w:trPr>
        <w:tc>
          <w:tcPr>
            <w:tcW w:w="1000" w:type="dxa"/>
            <w:vAlign w:val="bottom"/>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46"/>
        </w:trPr>
        <w:tc>
          <w:tcPr>
            <w:tcW w:w="10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10.11†</w:t>
            </w:r>
          </w:p>
        </w:tc>
        <w:tc>
          <w:tcPr>
            <w:tcW w:w="1940" w:type="dxa"/>
            <w:vAlign w:val="bottom"/>
            <w:shd w:val="clear" w:color="auto" w:fill="CCEEFF"/>
          </w:tcPr>
          <w:p>
            <w:pPr>
              <w:spacing w:after="0" w:line="146" w:lineRule="exact"/>
              <w:rPr>
                <w:rFonts w:ascii="Times New Roman" w:cs="Times New Roman" w:eastAsia="Times New Roman" w:hAnsi="Times New Roman"/>
                <w:sz w:val="14"/>
                <w:szCs w:val="14"/>
                <w:color w:val="0000FF"/>
                <w:w w:val="99"/>
              </w:rPr>
            </w:pPr>
            <w:hyperlink r:id="rId183">
              <w:r>
                <w:rPr>
                  <w:rFonts w:ascii="Times New Roman" w:cs="Times New Roman" w:eastAsia="Times New Roman" w:hAnsi="Times New Roman"/>
                  <w:sz w:val="14"/>
                  <w:szCs w:val="14"/>
                  <w:color w:val="0000FF"/>
                  <w:w w:val="99"/>
                </w:rPr>
                <w:t>ZoomInfo Technologies Inc. 2020</w:t>
              </w:r>
            </w:hyperlink>
          </w:p>
        </w:tc>
        <w:tc>
          <w:tcPr>
            <w:tcW w:w="3860" w:type="dxa"/>
            <w:vAlign w:val="bottom"/>
            <w:gridSpan w:val="5"/>
            <w:shd w:val="clear" w:color="auto" w:fill="CCEEFF"/>
          </w:tcPr>
          <w:p>
            <w:pPr>
              <w:ind w:left="20"/>
              <w:spacing w:after="0" w:line="146"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Employee Stock Purchase Plan</w:t>
              </w:r>
            </w:hyperlink>
          </w:p>
        </w:tc>
        <w:tc>
          <w:tcPr>
            <w:tcW w:w="1820" w:type="dxa"/>
            <w:vAlign w:val="bottom"/>
            <w:shd w:val="clear" w:color="auto" w:fill="CCEEFF"/>
          </w:tcPr>
          <w:p>
            <w:pPr>
              <w:ind w:left="200"/>
              <w:spacing w:after="0" w:line="146" w:lineRule="exact"/>
              <w:rPr>
                <w:sz w:val="20"/>
                <w:szCs w:val="20"/>
                <w:color w:val="auto"/>
              </w:rPr>
            </w:pPr>
            <w:r>
              <w:rPr>
                <w:rFonts w:ascii="Times New Roman" w:cs="Times New Roman" w:eastAsia="Times New Roman" w:hAnsi="Times New Roman"/>
                <w:sz w:val="14"/>
                <w:szCs w:val="14"/>
                <w:color w:val="auto"/>
              </w:rPr>
              <w:t>8-K filed June 8, 2020</w:t>
            </w:r>
          </w:p>
        </w:tc>
        <w:tc>
          <w:tcPr>
            <w:tcW w:w="1420" w:type="dxa"/>
            <w:vAlign w:val="bottom"/>
            <w:shd w:val="clear" w:color="auto" w:fill="CCEEFF"/>
          </w:tcPr>
          <w:p>
            <w:pPr>
              <w:jc w:val="right"/>
              <w:ind w:right="409"/>
              <w:spacing w:after="0" w:line="146" w:lineRule="exact"/>
              <w:rPr>
                <w:sz w:val="20"/>
                <w:szCs w:val="20"/>
                <w:color w:val="auto"/>
              </w:rPr>
            </w:pPr>
            <w:r>
              <w:rPr>
                <w:rFonts w:ascii="Times New Roman" w:cs="Times New Roman" w:eastAsia="Times New Roman" w:hAnsi="Times New Roman"/>
                <w:sz w:val="14"/>
                <w:szCs w:val="14"/>
                <w:color w:val="auto"/>
              </w:rPr>
              <w:t>001-39310</w:t>
            </w:r>
          </w:p>
        </w:tc>
        <w:tc>
          <w:tcPr>
            <w:tcW w:w="1200" w:type="dxa"/>
            <w:vAlign w:val="bottom"/>
            <w:shd w:val="clear" w:color="auto" w:fill="CCEEFF"/>
          </w:tcPr>
          <w:p>
            <w:pPr>
              <w:jc w:val="right"/>
              <w:ind w:right="389"/>
              <w:spacing w:after="0" w:line="146" w:lineRule="exact"/>
              <w:rPr>
                <w:sz w:val="20"/>
                <w:szCs w:val="20"/>
                <w:color w:val="auto"/>
              </w:rPr>
            </w:pPr>
            <w:r>
              <w:rPr>
                <w:rFonts w:ascii="Times New Roman" w:cs="Times New Roman" w:eastAsia="Times New Roman" w:hAnsi="Times New Roman"/>
                <w:sz w:val="14"/>
                <w:szCs w:val="14"/>
                <w:color w:val="auto"/>
              </w:rPr>
              <w:t>10.8</w:t>
            </w: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r>
    </w:tbl>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5840" w:type="dxa"/>
            <w:vAlign w:val="bottom"/>
            <w:gridSpan w:val="38"/>
          </w:tcPr>
          <w:p>
            <w:pPr>
              <w:spacing w:after="0"/>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Amendment No. 1 to the ZoomInfo Technologies Inc. 2020 Employee Stock Purchase Plan</w:t>
              </w:r>
            </w:hyperlink>
          </w:p>
        </w:tc>
        <w:tc>
          <w:tcPr>
            <w:tcW w:w="182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10-K filed February 16,</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r>
      <w:tr>
        <w:trPr>
          <w:trHeight w:val="165"/>
        </w:trPr>
        <w:tc>
          <w:tcPr>
            <w:tcW w:w="1000" w:type="dxa"/>
            <w:vAlign w:val="bottom"/>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9"/>
              </w:rPr>
              <w:t>2023</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47"/>
        </w:trPr>
        <w:tc>
          <w:tcPr>
            <w:tcW w:w="100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10.13†</w:t>
            </w:r>
          </w:p>
        </w:tc>
        <w:tc>
          <w:tcPr>
            <w:tcW w:w="5840" w:type="dxa"/>
            <w:vAlign w:val="bottom"/>
            <w:gridSpan w:val="38"/>
            <w:shd w:val="clear" w:color="auto" w:fill="CCEEFF"/>
          </w:tcPr>
          <w:p>
            <w:pPr>
              <w:spacing w:after="0" w:line="147"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Form of Indemnification Agreement</w:t>
              </w:r>
            </w:hyperlink>
          </w:p>
        </w:tc>
        <w:tc>
          <w:tcPr>
            <w:tcW w:w="1820" w:type="dxa"/>
            <w:vAlign w:val="bottom"/>
            <w:shd w:val="clear" w:color="auto" w:fill="CCEEFF"/>
          </w:tcPr>
          <w:p>
            <w:pPr>
              <w:jc w:val="center"/>
              <w:ind w:right="169"/>
              <w:spacing w:after="0" w:line="147" w:lineRule="exact"/>
              <w:rPr>
                <w:sz w:val="20"/>
                <w:szCs w:val="20"/>
                <w:color w:val="auto"/>
              </w:rPr>
            </w:pPr>
            <w:r>
              <w:rPr>
                <w:rFonts w:ascii="Times New Roman" w:cs="Times New Roman" w:eastAsia="Times New Roman" w:hAnsi="Times New Roman"/>
                <w:sz w:val="14"/>
                <w:szCs w:val="14"/>
                <w:color w:val="auto"/>
              </w:rPr>
              <w:t>S-1/A filed May 27, 2020</w:t>
            </w:r>
          </w:p>
        </w:tc>
        <w:tc>
          <w:tcPr>
            <w:tcW w:w="1380" w:type="dxa"/>
            <w:vAlign w:val="bottom"/>
            <w:shd w:val="clear" w:color="auto" w:fill="CCEEFF"/>
          </w:tcPr>
          <w:p>
            <w:pPr>
              <w:jc w:val="center"/>
              <w:ind w:right="109"/>
              <w:spacing w:after="0" w:line="147"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10.9</w:t>
            </w: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7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10.14</w:t>
            </w:r>
          </w:p>
        </w:tc>
        <w:tc>
          <w:tcPr>
            <w:tcW w:w="5700" w:type="dxa"/>
            <w:vAlign w:val="bottom"/>
            <w:tcBorders>
              <w:bottom w:val="single" w:sz="8" w:color="0000FF"/>
            </w:tcBorders>
            <w:gridSpan w:val="31"/>
          </w:tcPr>
          <w:p>
            <w:pPr>
              <w:spacing w:after="0" w:line="146"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First Lien Credit Agreement, dated as of February 1, 2019, among DiscoverOrg, LLC, DiscoverOrg</w:t>
              </w:r>
            </w:hyperlink>
          </w:p>
        </w:tc>
        <w:tc>
          <w:tcPr>
            <w:tcW w:w="140" w:type="dxa"/>
            <w:vAlign w:val="bottom"/>
            <w:gridSpan w:val="7"/>
          </w:tcPr>
          <w:p>
            <w:pPr>
              <w:spacing w:after="0"/>
              <w:rPr>
                <w:sz w:val="12"/>
                <w:szCs w:val="12"/>
                <w:color w:val="auto"/>
              </w:rPr>
            </w:pPr>
          </w:p>
        </w:tc>
        <w:tc>
          <w:tcPr>
            <w:tcW w:w="1820" w:type="dxa"/>
            <w:vAlign w:val="bottom"/>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10.10</w:t>
            </w:r>
          </w:p>
        </w:tc>
      </w:tr>
      <w:tr>
        <w:trPr>
          <w:trHeight w:val="126"/>
        </w:trPr>
        <w:tc>
          <w:tcPr>
            <w:tcW w:w="1000" w:type="dxa"/>
            <w:vAlign w:val="bottom"/>
          </w:tcPr>
          <w:p>
            <w:pPr>
              <w:spacing w:after="0"/>
              <w:rPr>
                <w:sz w:val="10"/>
                <w:szCs w:val="10"/>
                <w:color w:val="auto"/>
              </w:rPr>
            </w:pPr>
          </w:p>
        </w:tc>
        <w:tc>
          <w:tcPr>
            <w:tcW w:w="5840" w:type="dxa"/>
            <w:vAlign w:val="bottom"/>
            <w:gridSpan w:val="38"/>
          </w:tcPr>
          <w:p>
            <w:pPr>
              <w:spacing w:after="0" w:line="126"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Midco, LLC, the guarantors party thereto from time to time, Morgan Stanley Senior Funding, Inc., as</w:t>
              </w:r>
            </w:hyperlink>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13"/>
        </w:trPr>
        <w:tc>
          <w:tcPr>
            <w:tcW w:w="1000" w:type="dxa"/>
            <w:vAlign w:val="bottom"/>
          </w:tcPr>
          <w:p>
            <w:pPr>
              <w:spacing w:after="0"/>
              <w:rPr>
                <w:sz w:val="9"/>
                <w:szCs w:val="9"/>
                <w:color w:val="auto"/>
              </w:rPr>
            </w:pPr>
          </w:p>
        </w:tc>
        <w:tc>
          <w:tcPr>
            <w:tcW w:w="5760" w:type="dxa"/>
            <w:vAlign w:val="bottom"/>
            <w:tcBorders>
              <w:top w:val="single" w:sz="8" w:color="0000FF"/>
            </w:tcBorders>
            <w:gridSpan w:val="34"/>
          </w:tcPr>
          <w:p>
            <w:pPr>
              <w:spacing w:after="0" w:line="113" w:lineRule="exact"/>
              <w:rPr>
                <w:rFonts w:ascii="Times New Roman" w:cs="Times New Roman" w:eastAsia="Times New Roman" w:hAnsi="Times New Roman"/>
                <w:sz w:val="13"/>
                <w:szCs w:val="13"/>
                <w:color w:val="0000FF"/>
              </w:rPr>
            </w:pPr>
            <w:hyperlink r:id="rId187">
              <w:r>
                <w:rPr>
                  <w:rFonts w:ascii="Times New Roman" w:cs="Times New Roman" w:eastAsia="Times New Roman" w:hAnsi="Times New Roman"/>
                  <w:sz w:val="13"/>
                  <w:szCs w:val="13"/>
                  <w:color w:val="0000FF"/>
                </w:rPr>
                <w:t>administrative agent, collateral agent and L/C issuer, and the other lenders and L/C issuers party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26"/>
        </w:trPr>
        <w:tc>
          <w:tcPr>
            <w:tcW w:w="1000" w:type="dxa"/>
            <w:vAlign w:val="bottom"/>
          </w:tcPr>
          <w:p>
            <w:pPr>
              <w:spacing w:after="0"/>
              <w:rPr>
                <w:sz w:val="10"/>
                <w:szCs w:val="10"/>
                <w:color w:val="auto"/>
              </w:rPr>
            </w:pPr>
          </w:p>
        </w:tc>
        <w:tc>
          <w:tcPr>
            <w:tcW w:w="5440" w:type="dxa"/>
            <w:vAlign w:val="bottom"/>
            <w:tcBorders>
              <w:top w:val="single" w:sz="8" w:color="0000FF"/>
            </w:tcBorders>
            <w:gridSpan w:val="17"/>
          </w:tcPr>
          <w:p>
            <w:pPr>
              <w:spacing w:after="0" w:line="126"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thereto</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33"/>
        </w:trPr>
        <w:tc>
          <w:tcPr>
            <w:tcW w:w="100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46"/>
        </w:trPr>
        <w:tc>
          <w:tcPr>
            <w:tcW w:w="10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10.15</w:t>
            </w:r>
          </w:p>
        </w:tc>
        <w:tc>
          <w:tcPr>
            <w:tcW w:w="5840" w:type="dxa"/>
            <w:vAlign w:val="bottom"/>
            <w:gridSpan w:val="38"/>
            <w:shd w:val="clear" w:color="auto" w:fill="CCEEFF"/>
          </w:tcPr>
          <w:p>
            <w:pPr>
              <w:spacing w:after="0" w:line="146"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Amendment No. 1 to the First Lien Credit Agreement, dated February 19, 2020, by and among</w:t>
              </w:r>
            </w:hyperlink>
          </w:p>
        </w:tc>
        <w:tc>
          <w:tcPr>
            <w:tcW w:w="1820" w:type="dxa"/>
            <w:vAlign w:val="bottom"/>
            <w:shd w:val="clear" w:color="auto" w:fill="CCEEFF"/>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shd w:val="clear" w:color="auto" w:fill="CCEEFF"/>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5"/>
              </w:rPr>
              <w:t>10.11</w:t>
            </w:r>
          </w:p>
        </w:tc>
      </w:tr>
      <w:tr>
        <w:trPr>
          <w:trHeight w:val="20"/>
        </w:trPr>
        <w:tc>
          <w:tcPr>
            <w:tcW w:w="1000" w:type="dxa"/>
            <w:vAlign w:val="bottom"/>
            <w:shd w:val="clear" w:color="auto" w:fill="CCEE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94967277"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r>
      <w:tr>
        <w:trPr>
          <w:trHeight w:val="126"/>
        </w:trPr>
        <w:tc>
          <w:tcPr>
            <w:tcW w:w="1000" w:type="dxa"/>
            <w:vAlign w:val="bottom"/>
            <w:shd w:val="clear" w:color="auto" w:fill="CCEEFF"/>
          </w:tcPr>
          <w:p>
            <w:pPr>
              <w:spacing w:after="0"/>
              <w:rPr>
                <w:sz w:val="10"/>
                <w:szCs w:val="10"/>
                <w:color w:val="auto"/>
              </w:rPr>
            </w:pPr>
          </w:p>
        </w:tc>
        <w:tc>
          <w:tcPr>
            <w:tcW w:w="5840" w:type="dxa"/>
            <w:vAlign w:val="bottom"/>
            <w:gridSpan w:val="38"/>
            <w:shd w:val="clear" w:color="auto" w:fill="CCEEFF"/>
          </w:tcPr>
          <w:p>
            <w:pPr>
              <w:spacing w:after="0" w:line="126"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DiscoverOrg, LLC, DiscoverOrg Midco, LLC, Morgan Stanley Bank, N.A., as the new term loan</w:t>
              </w:r>
            </w:hyperlink>
          </w:p>
        </w:tc>
        <w:tc>
          <w:tcPr>
            <w:tcW w:w="18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13"/>
        </w:trPr>
        <w:tc>
          <w:tcPr>
            <w:tcW w:w="1000" w:type="dxa"/>
            <w:vAlign w:val="bottom"/>
            <w:tcBorders>
              <w:top w:val="single" w:sz="8" w:color="CCEEFF"/>
            </w:tcBorders>
            <w:shd w:val="clear" w:color="auto" w:fill="CCEEFF"/>
          </w:tcPr>
          <w:p>
            <w:pPr>
              <w:spacing w:after="0"/>
              <w:rPr>
                <w:sz w:val="9"/>
                <w:szCs w:val="9"/>
                <w:color w:val="auto"/>
              </w:rPr>
            </w:pPr>
          </w:p>
        </w:tc>
        <w:tc>
          <w:tcPr>
            <w:tcW w:w="5500" w:type="dxa"/>
            <w:vAlign w:val="bottom"/>
            <w:tcBorders>
              <w:top w:val="single" w:sz="8" w:color="0000FF"/>
            </w:tcBorders>
            <w:gridSpan w:val="20"/>
            <w:shd w:val="clear" w:color="auto" w:fill="CCEEFF"/>
          </w:tcPr>
          <w:p>
            <w:pPr>
              <w:spacing w:after="0" w:line="113" w:lineRule="exact"/>
              <w:rPr>
                <w:rFonts w:ascii="Times New Roman" w:cs="Times New Roman" w:eastAsia="Times New Roman" w:hAnsi="Times New Roman"/>
                <w:sz w:val="13"/>
                <w:szCs w:val="13"/>
                <w:color w:val="0000FF"/>
              </w:rPr>
            </w:pPr>
            <w:hyperlink r:id="rId188">
              <w:r>
                <w:rPr>
                  <w:rFonts w:ascii="Times New Roman" w:cs="Times New Roman" w:eastAsia="Times New Roman" w:hAnsi="Times New Roman"/>
                  <w:sz w:val="13"/>
                  <w:szCs w:val="13"/>
                  <w:color w:val="0000FF"/>
                </w:rPr>
                <w:t>lender, the revolving credit lenders party thereto, Morgan Stanley Senior Funding, Inc., as</w:t>
              </w:r>
            </w:hyperlink>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294967277"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gridSpan w:val="2"/>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820" w:type="dxa"/>
            <w:vAlign w:val="bottom"/>
            <w:tcBorders>
              <w:top w:val="single" w:sz="8" w:color="CCEEFF"/>
            </w:tcBorders>
            <w:shd w:val="clear" w:color="auto" w:fill="CCEEFF"/>
          </w:tcPr>
          <w:p>
            <w:pPr>
              <w:spacing w:after="0"/>
              <w:rPr>
                <w:sz w:val="9"/>
                <w:szCs w:val="9"/>
                <w:color w:val="auto"/>
              </w:rPr>
            </w:pPr>
          </w:p>
        </w:tc>
        <w:tc>
          <w:tcPr>
            <w:tcW w:w="138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CCEEFF"/>
            </w:tcBorders>
            <w:shd w:val="clear" w:color="auto" w:fill="CCEEFF"/>
          </w:tcPr>
          <w:p>
            <w:pPr>
              <w:spacing w:after="0"/>
              <w:rPr>
                <w:sz w:val="9"/>
                <w:szCs w:val="9"/>
                <w:color w:val="auto"/>
              </w:rPr>
            </w:pPr>
          </w:p>
        </w:tc>
      </w:tr>
      <w:tr>
        <w:trPr>
          <w:trHeight w:val="126"/>
        </w:trPr>
        <w:tc>
          <w:tcPr>
            <w:tcW w:w="1000" w:type="dxa"/>
            <w:vAlign w:val="bottom"/>
            <w:tcBorders>
              <w:top w:val="single" w:sz="8" w:color="CCEEFF"/>
            </w:tcBorders>
            <w:shd w:val="clear" w:color="auto" w:fill="CCEEFF"/>
          </w:tcPr>
          <w:p>
            <w:pPr>
              <w:spacing w:after="0"/>
              <w:rPr>
                <w:sz w:val="10"/>
                <w:szCs w:val="10"/>
                <w:color w:val="auto"/>
              </w:rPr>
            </w:pPr>
          </w:p>
        </w:tc>
        <w:tc>
          <w:tcPr>
            <w:tcW w:w="5080" w:type="dxa"/>
            <w:vAlign w:val="bottom"/>
            <w:tcBorders>
              <w:top w:val="single" w:sz="8" w:color="0000FF"/>
            </w:tcBorders>
            <w:gridSpan w:val="11"/>
            <w:shd w:val="clear" w:color="auto" w:fill="CCEEFF"/>
          </w:tcPr>
          <w:p>
            <w:pPr>
              <w:spacing w:after="0" w:line="126"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administrative agent, collateral agent and L/C issuer</w:t>
              </w:r>
            </w:hyperlink>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100" w:type="dxa"/>
            <w:vAlign w:val="bottom"/>
            <w:tcBorders>
              <w:top w:val="single" w:sz="8" w:color="CCEEFF"/>
            </w:tcBorders>
            <w:gridSpan w:val="2"/>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294967277"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7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10.16</w:t>
            </w:r>
          </w:p>
        </w:tc>
        <w:tc>
          <w:tcPr>
            <w:tcW w:w="5840" w:type="dxa"/>
            <w:vAlign w:val="bottom"/>
            <w:gridSpan w:val="38"/>
          </w:tcPr>
          <w:p>
            <w:pPr>
              <w:spacing w:after="0" w:line="146"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Amendment No. 2 to First Lien Credit Agreement, dated February 2, 2021, by and among ZoomInfo,</w:t>
              </w:r>
            </w:hyperlink>
          </w:p>
        </w:tc>
        <w:tc>
          <w:tcPr>
            <w:tcW w:w="1820" w:type="dxa"/>
            <w:vAlign w:val="bottom"/>
          </w:tcPr>
          <w:p>
            <w:pPr>
              <w:jc w:val="center"/>
              <w:ind w:right="149"/>
              <w:spacing w:after="0" w:line="146" w:lineRule="exact"/>
              <w:rPr>
                <w:sz w:val="20"/>
                <w:szCs w:val="20"/>
                <w:color w:val="auto"/>
              </w:rPr>
            </w:pPr>
            <w:r>
              <w:rPr>
                <w:rFonts w:ascii="Times New Roman" w:cs="Times New Roman" w:eastAsia="Times New Roman" w:hAnsi="Times New Roman"/>
                <w:sz w:val="14"/>
                <w:szCs w:val="14"/>
                <w:color w:val="auto"/>
              </w:rPr>
              <w:t>8-K filed February 2, 2021</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w:t>
            </w:r>
          </w:p>
        </w:tc>
      </w:tr>
      <w:tr>
        <w:trPr>
          <w:trHeight w:val="119"/>
        </w:trPr>
        <w:tc>
          <w:tcPr>
            <w:tcW w:w="1000" w:type="dxa"/>
            <w:vAlign w:val="bottom"/>
          </w:tcPr>
          <w:p>
            <w:pPr>
              <w:spacing w:after="0"/>
              <w:rPr>
                <w:sz w:val="10"/>
                <w:szCs w:val="10"/>
                <w:color w:val="auto"/>
              </w:rPr>
            </w:pPr>
          </w:p>
        </w:tc>
        <w:tc>
          <w:tcPr>
            <w:tcW w:w="5780" w:type="dxa"/>
            <w:vAlign w:val="bottom"/>
            <w:tcBorders>
              <w:top w:val="single" w:sz="8" w:color="0000FF"/>
            </w:tcBorders>
            <w:gridSpan w:val="35"/>
          </w:tcPr>
          <w:p>
            <w:pPr>
              <w:spacing w:after="0" w:line="113" w:lineRule="exact"/>
              <w:rPr>
                <w:rFonts w:ascii="Times New Roman" w:cs="Times New Roman" w:eastAsia="Times New Roman" w:hAnsi="Times New Roman"/>
                <w:sz w:val="13"/>
                <w:szCs w:val="13"/>
                <w:color w:val="0000FF"/>
              </w:rPr>
            </w:pPr>
            <w:hyperlink r:id="rId189">
              <w:r>
                <w:rPr>
                  <w:rFonts w:ascii="Times New Roman" w:cs="Times New Roman" w:eastAsia="Times New Roman" w:hAnsi="Times New Roman"/>
                  <w:sz w:val="13"/>
                  <w:szCs w:val="13"/>
                  <w:color w:val="0000FF"/>
                </w:rPr>
                <w:t>LLC (f/k/a DiscoverOrg, LLC), ZoomInfo Technologies LLC, ZoomInfo Midco LLC (f/k/a</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19"/>
        </w:trPr>
        <w:tc>
          <w:tcPr>
            <w:tcW w:w="1000" w:type="dxa"/>
            <w:vAlign w:val="bottom"/>
          </w:tcPr>
          <w:p>
            <w:pPr>
              <w:spacing w:after="0"/>
              <w:rPr>
                <w:sz w:val="10"/>
                <w:szCs w:val="10"/>
                <w:color w:val="auto"/>
              </w:rPr>
            </w:pPr>
          </w:p>
        </w:tc>
        <w:tc>
          <w:tcPr>
            <w:tcW w:w="5180" w:type="dxa"/>
            <w:vAlign w:val="bottom"/>
            <w:tcBorders>
              <w:top w:val="single" w:sz="8" w:color="0000FF"/>
            </w:tcBorders>
            <w:gridSpan w:val="13"/>
          </w:tcPr>
          <w:p>
            <w:pPr>
              <w:spacing w:after="0" w:line="119" w:lineRule="exact"/>
              <w:rPr>
                <w:rFonts w:ascii="Times New Roman" w:cs="Times New Roman" w:eastAsia="Times New Roman" w:hAnsi="Times New Roman"/>
                <w:sz w:val="13"/>
                <w:szCs w:val="13"/>
                <w:color w:val="0000FF"/>
              </w:rPr>
            </w:pPr>
            <w:hyperlink r:id="rId189">
              <w:r>
                <w:rPr>
                  <w:rFonts w:ascii="Times New Roman" w:cs="Times New Roman" w:eastAsia="Times New Roman" w:hAnsi="Times New Roman"/>
                  <w:sz w:val="13"/>
                  <w:szCs w:val="13"/>
                  <w:color w:val="0000FF"/>
                </w:rPr>
                <w:t>DiscoverOrg Midco, LLC), Morgan Stanley Bank, N.A., as the new term loan lender, the</w:t>
              </w:r>
            </w:hyperlink>
          </w:p>
        </w:tc>
        <w:tc>
          <w:tcPr>
            <w:tcW w:w="660" w:type="dxa"/>
            <w:vAlign w:val="bottom"/>
            <w:gridSpan w:val="25"/>
          </w:tcPr>
          <w:p>
            <w:pPr>
              <w:spacing w:after="0" w:line="119" w:lineRule="exact"/>
              <w:rPr>
                <w:rFonts w:ascii="Times New Roman" w:cs="Times New Roman" w:eastAsia="Times New Roman" w:hAnsi="Times New Roman"/>
                <w:sz w:val="13"/>
                <w:szCs w:val="13"/>
                <w:color w:val="0000FF"/>
              </w:rPr>
            </w:pPr>
            <w:hyperlink r:id="rId189">
              <w:r>
                <w:rPr>
                  <w:rFonts w:ascii="Times New Roman" w:cs="Times New Roman" w:eastAsia="Times New Roman" w:hAnsi="Times New Roman"/>
                  <w:sz w:val="13"/>
                  <w:szCs w:val="13"/>
                  <w:color w:val="0000FF"/>
                </w:rPr>
                <w:t>revolving</w:t>
              </w:r>
            </w:hyperlink>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26"/>
        </w:trPr>
        <w:tc>
          <w:tcPr>
            <w:tcW w:w="1000" w:type="dxa"/>
            <w:vAlign w:val="bottom"/>
          </w:tcPr>
          <w:p>
            <w:pPr>
              <w:spacing w:after="0"/>
              <w:rPr>
                <w:sz w:val="10"/>
                <w:szCs w:val="10"/>
                <w:color w:val="auto"/>
              </w:rPr>
            </w:pPr>
          </w:p>
        </w:tc>
        <w:tc>
          <w:tcPr>
            <w:tcW w:w="5620" w:type="dxa"/>
            <w:vAlign w:val="bottom"/>
            <w:tcBorders>
              <w:top w:val="single" w:sz="8" w:color="0000FF"/>
            </w:tcBorders>
            <w:gridSpan w:val="25"/>
          </w:tcPr>
          <w:p>
            <w:pPr>
              <w:spacing w:after="0" w:line="126"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credit lenders party thereto, and Morgan Stanley Senior Funding, Inc., as administrative agent,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26"/>
        </w:trPr>
        <w:tc>
          <w:tcPr>
            <w:tcW w:w="1000" w:type="dxa"/>
            <w:vAlign w:val="bottom"/>
          </w:tcPr>
          <w:p>
            <w:pPr>
              <w:spacing w:after="0"/>
              <w:rPr>
                <w:sz w:val="10"/>
                <w:szCs w:val="10"/>
                <w:color w:val="auto"/>
              </w:rPr>
            </w:pPr>
          </w:p>
        </w:tc>
        <w:tc>
          <w:tcPr>
            <w:tcW w:w="5360" w:type="dxa"/>
            <w:vAlign w:val="bottom"/>
            <w:tcBorders>
              <w:top w:val="single" w:sz="8" w:color="0000FF"/>
            </w:tcBorders>
            <w:gridSpan w:val="16"/>
          </w:tcPr>
          <w:p>
            <w:pPr>
              <w:spacing w:after="0" w:line="126"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collateral agent and L/C issuer</w:t>
              </w:r>
            </w:hyperlink>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30"/>
        </w:trPr>
        <w:tc>
          <w:tcPr>
            <w:tcW w:w="100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56"/>
        </w:trPr>
        <w:tc>
          <w:tcPr>
            <w:tcW w:w="100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10.17</w:t>
            </w:r>
          </w:p>
        </w:tc>
        <w:tc>
          <w:tcPr>
            <w:tcW w:w="5840" w:type="dxa"/>
            <w:vAlign w:val="bottom"/>
            <w:gridSpan w:val="38"/>
            <w:shd w:val="clear" w:color="auto" w:fill="CCEEFF"/>
          </w:tcPr>
          <w:p>
            <w:pPr>
              <w:spacing w:after="0" w:line="156" w:lineRule="exact"/>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Amendment No. 3 to First Lien Credit Agreement, dated July 20, 2021, by and among ZoomInfo</w:t>
              </w:r>
            </w:hyperlink>
          </w:p>
        </w:tc>
        <w:tc>
          <w:tcPr>
            <w:tcW w:w="1820" w:type="dxa"/>
            <w:vAlign w:val="bottom"/>
            <w:shd w:val="clear" w:color="auto" w:fill="CCEEFF"/>
          </w:tcPr>
          <w:p>
            <w:pPr>
              <w:jc w:val="center"/>
              <w:ind w:right="169"/>
              <w:spacing w:after="0" w:line="156" w:lineRule="exact"/>
              <w:rPr>
                <w:sz w:val="20"/>
                <w:szCs w:val="20"/>
                <w:color w:val="auto"/>
              </w:rPr>
            </w:pPr>
            <w:r>
              <w:rPr>
                <w:rFonts w:ascii="Times New Roman" w:cs="Times New Roman" w:eastAsia="Times New Roman" w:hAnsi="Times New Roman"/>
                <w:sz w:val="14"/>
                <w:szCs w:val="14"/>
                <w:color w:val="auto"/>
                <w:w w:val="99"/>
              </w:rPr>
              <w:t>8-K filed July 20, 2021</w:t>
            </w:r>
          </w:p>
        </w:tc>
        <w:tc>
          <w:tcPr>
            <w:tcW w:w="1380" w:type="dxa"/>
            <w:vAlign w:val="bottom"/>
            <w:shd w:val="clear" w:color="auto" w:fill="CCEEFF"/>
          </w:tcPr>
          <w:p>
            <w:pPr>
              <w:jc w:val="center"/>
              <w:ind w:right="109"/>
              <w:spacing w:after="0" w:line="15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10.1</w:t>
            </w:r>
          </w:p>
        </w:tc>
      </w:tr>
      <w:tr>
        <w:trPr>
          <w:trHeight w:val="126"/>
        </w:trPr>
        <w:tc>
          <w:tcPr>
            <w:tcW w:w="1000" w:type="dxa"/>
            <w:vAlign w:val="bottom"/>
            <w:tcBorders>
              <w:top w:val="single" w:sz="8" w:color="CCEEFF"/>
              <w:bottom w:val="single" w:sz="8" w:color="CCEEFF"/>
            </w:tcBorders>
            <w:shd w:val="clear" w:color="auto" w:fill="CCEEFF"/>
          </w:tcPr>
          <w:p>
            <w:pPr>
              <w:spacing w:after="0"/>
              <w:rPr>
                <w:sz w:val="10"/>
                <w:szCs w:val="10"/>
                <w:color w:val="auto"/>
              </w:rPr>
            </w:pPr>
          </w:p>
        </w:tc>
        <w:tc>
          <w:tcPr>
            <w:tcW w:w="5500" w:type="dxa"/>
            <w:vAlign w:val="bottom"/>
            <w:tcBorders>
              <w:top w:val="single" w:sz="8" w:color="0000FF"/>
              <w:bottom w:val="single" w:sz="8" w:color="0000FF"/>
            </w:tcBorders>
            <w:gridSpan w:val="19"/>
            <w:shd w:val="clear" w:color="auto" w:fill="CCEEFF"/>
          </w:tcPr>
          <w:p>
            <w:pPr>
              <w:spacing w:after="0" w:line="126" w:lineRule="exact"/>
              <w:rPr>
                <w:rFonts w:ascii="Times New Roman" w:cs="Times New Roman" w:eastAsia="Times New Roman" w:hAnsi="Times New Roman"/>
                <w:sz w:val="14"/>
                <w:szCs w:val="14"/>
                <w:color w:val="0000FF"/>
                <w:w w:val="99"/>
              </w:rPr>
            </w:pPr>
            <w:hyperlink r:id="rId190">
              <w:r>
                <w:rPr>
                  <w:rFonts w:ascii="Times New Roman" w:cs="Times New Roman" w:eastAsia="Times New Roman" w:hAnsi="Times New Roman"/>
                  <w:sz w:val="14"/>
                  <w:szCs w:val="14"/>
                  <w:color w:val="0000FF"/>
                  <w:w w:val="99"/>
                </w:rPr>
                <w:t>LLC (f/k/a DiscoverOrg, LLC), a Delaware limited liability company (the “Borrower”), ZoomInfo</w:t>
              </w:r>
            </w:hyperlink>
          </w:p>
        </w:tc>
        <w:tc>
          <w:tcPr>
            <w:tcW w:w="0" w:type="dxa"/>
            <w:vAlign w:val="bottom"/>
            <w:tcBorders>
              <w:top w:val="single" w:sz="8" w:color="CCEEFF"/>
              <w:bottom w:val="single" w:sz="8" w:color="0000FF"/>
            </w:tcBorders>
            <w:shd w:val="clear" w:color="auto" w:fill="CCEEFF"/>
          </w:tcPr>
          <w:p>
            <w:pPr>
              <w:spacing w:after="0"/>
              <w:rPr>
                <w:sz w:val="10"/>
                <w:szCs w:val="10"/>
                <w:color w:val="auto"/>
              </w:rPr>
            </w:pPr>
          </w:p>
        </w:tc>
        <w:tc>
          <w:tcPr>
            <w:tcW w:w="40"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294967277"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820" w:type="dxa"/>
            <w:vAlign w:val="bottom"/>
            <w:tcBorders>
              <w:top w:val="single" w:sz="8" w:color="CCEEFF"/>
              <w:bottom w:val="single" w:sz="8" w:color="CCEEFF"/>
            </w:tcBorders>
            <w:shd w:val="clear" w:color="auto" w:fill="CCEEFF"/>
          </w:tcPr>
          <w:p>
            <w:pPr>
              <w:spacing w:after="0"/>
              <w:rPr>
                <w:sz w:val="10"/>
                <w:szCs w:val="10"/>
                <w:color w:val="auto"/>
              </w:rPr>
            </w:pPr>
          </w:p>
        </w:tc>
        <w:tc>
          <w:tcPr>
            <w:tcW w:w="1380" w:type="dxa"/>
            <w:vAlign w:val="bottom"/>
            <w:tcBorders>
              <w:top w:val="single" w:sz="8" w:color="CCEEFF"/>
              <w:bottom w:val="single" w:sz="8" w:color="CCEEFF"/>
            </w:tcBorders>
            <w:shd w:val="clear" w:color="auto" w:fill="CCEEFF"/>
          </w:tcPr>
          <w:p>
            <w:pPr>
              <w:spacing w:after="0"/>
              <w:rPr>
                <w:sz w:val="10"/>
                <w:szCs w:val="10"/>
                <w:color w:val="auto"/>
              </w:rPr>
            </w:pPr>
          </w:p>
        </w:tc>
        <w:tc>
          <w:tcPr>
            <w:tcW w:w="120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13"/>
        </w:trPr>
        <w:tc>
          <w:tcPr>
            <w:tcW w:w="1000" w:type="dxa"/>
            <w:vAlign w:val="bottom"/>
            <w:tcBorders>
              <w:bottom w:val="single" w:sz="8" w:color="CCEEFF"/>
            </w:tcBorders>
            <w:shd w:val="clear" w:color="auto" w:fill="CCEEFF"/>
          </w:tcPr>
          <w:p>
            <w:pPr>
              <w:spacing w:after="0"/>
              <w:rPr>
                <w:sz w:val="9"/>
                <w:szCs w:val="9"/>
                <w:color w:val="auto"/>
              </w:rPr>
            </w:pPr>
          </w:p>
        </w:tc>
        <w:tc>
          <w:tcPr>
            <w:tcW w:w="5500" w:type="dxa"/>
            <w:vAlign w:val="bottom"/>
            <w:tcBorders>
              <w:bottom w:val="single" w:sz="8" w:color="0000FF"/>
            </w:tcBorders>
            <w:gridSpan w:val="20"/>
            <w:shd w:val="clear" w:color="auto" w:fill="CCEEFF"/>
          </w:tcPr>
          <w:p>
            <w:pPr>
              <w:spacing w:after="0" w:line="113" w:lineRule="exact"/>
              <w:rPr>
                <w:rFonts w:ascii="Times New Roman" w:cs="Times New Roman" w:eastAsia="Times New Roman" w:hAnsi="Times New Roman"/>
                <w:sz w:val="13"/>
                <w:szCs w:val="13"/>
                <w:color w:val="0000FF"/>
              </w:rPr>
            </w:pPr>
            <w:hyperlink r:id="rId190">
              <w:r>
                <w:rPr>
                  <w:rFonts w:ascii="Times New Roman" w:cs="Times New Roman" w:eastAsia="Times New Roman" w:hAnsi="Times New Roman"/>
                  <w:sz w:val="13"/>
                  <w:szCs w:val="13"/>
                  <w:color w:val="0000FF"/>
                </w:rPr>
                <w:t>Technologies LLC, a Delaware limited liability company (the “Co-Borrower”), ZoomInfo Midco</w:t>
              </w:r>
            </w:hyperlink>
          </w:p>
        </w:tc>
        <w:tc>
          <w:tcPr>
            <w:tcW w:w="80" w:type="dxa"/>
            <w:vAlign w:val="bottom"/>
            <w:tcBorders>
              <w:bottom w:val="single" w:sz="8" w:color="CCEEFF"/>
            </w:tcBorders>
            <w:gridSpan w:val="3"/>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gridSpan w:val="2"/>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4294967277"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gridSpan w:val="3"/>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1820" w:type="dxa"/>
            <w:vAlign w:val="bottom"/>
            <w:tcBorders>
              <w:bottom w:val="single" w:sz="8" w:color="CCEEFF"/>
            </w:tcBorders>
            <w:shd w:val="clear" w:color="auto" w:fill="CCEEFF"/>
          </w:tcPr>
          <w:p>
            <w:pPr>
              <w:spacing w:after="0"/>
              <w:rPr>
                <w:sz w:val="9"/>
                <w:szCs w:val="9"/>
                <w:color w:val="auto"/>
              </w:rPr>
            </w:pPr>
          </w:p>
        </w:tc>
        <w:tc>
          <w:tcPr>
            <w:tcW w:w="1380" w:type="dxa"/>
            <w:vAlign w:val="bottom"/>
            <w:tcBorders>
              <w:bottom w:val="single" w:sz="8" w:color="CCEEFF"/>
            </w:tcBorders>
            <w:shd w:val="clear" w:color="auto" w:fill="CCEEFF"/>
          </w:tcPr>
          <w:p>
            <w:pPr>
              <w:spacing w:after="0"/>
              <w:rPr>
                <w:sz w:val="9"/>
                <w:szCs w:val="9"/>
                <w:color w:val="auto"/>
              </w:rPr>
            </w:pPr>
          </w:p>
        </w:tc>
        <w:tc>
          <w:tcPr>
            <w:tcW w:w="1200" w:type="dxa"/>
            <w:vAlign w:val="bottom"/>
            <w:tcBorders>
              <w:bottom w:val="single" w:sz="8" w:color="CCEEFF"/>
            </w:tcBorders>
            <w:shd w:val="clear" w:color="auto" w:fill="CCEEFF"/>
          </w:tcPr>
          <w:p>
            <w:pPr>
              <w:spacing w:after="0"/>
              <w:rPr>
                <w:sz w:val="9"/>
                <w:szCs w:val="9"/>
                <w:color w:val="auto"/>
              </w:rPr>
            </w:pPr>
          </w:p>
        </w:tc>
      </w:tr>
      <w:tr>
        <w:trPr>
          <w:trHeight w:val="126"/>
        </w:trPr>
        <w:tc>
          <w:tcPr>
            <w:tcW w:w="1000" w:type="dxa"/>
            <w:vAlign w:val="bottom"/>
            <w:shd w:val="clear" w:color="auto" w:fill="CCEEFF"/>
          </w:tcPr>
          <w:p>
            <w:pPr>
              <w:spacing w:after="0"/>
              <w:rPr>
                <w:sz w:val="10"/>
                <w:szCs w:val="10"/>
                <w:color w:val="auto"/>
              </w:rPr>
            </w:pPr>
          </w:p>
        </w:tc>
        <w:tc>
          <w:tcPr>
            <w:tcW w:w="5840" w:type="dxa"/>
            <w:vAlign w:val="bottom"/>
            <w:gridSpan w:val="38"/>
            <w:shd w:val="clear" w:color="auto" w:fill="CCEEFF"/>
          </w:tcPr>
          <w:p>
            <w:pPr>
              <w:spacing w:after="0" w:line="126" w:lineRule="exact"/>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LLC (f/k/a DiscoverOrg Midco, LLC), a Delaware limited liability company (“Holdings”), Morgan</w:t>
              </w:r>
            </w:hyperlink>
          </w:p>
        </w:tc>
        <w:tc>
          <w:tcPr>
            <w:tcW w:w="18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26"/>
        </w:trPr>
        <w:tc>
          <w:tcPr>
            <w:tcW w:w="1000" w:type="dxa"/>
            <w:vAlign w:val="bottom"/>
            <w:tcBorders>
              <w:top w:val="single" w:sz="8" w:color="CCEEFF"/>
              <w:bottom w:val="single" w:sz="8" w:color="CCEEFF"/>
            </w:tcBorders>
            <w:shd w:val="clear" w:color="auto" w:fill="CCEEFF"/>
          </w:tcPr>
          <w:p>
            <w:pPr>
              <w:spacing w:after="0"/>
              <w:rPr>
                <w:sz w:val="10"/>
                <w:szCs w:val="10"/>
                <w:color w:val="auto"/>
              </w:rPr>
            </w:pPr>
          </w:p>
        </w:tc>
        <w:tc>
          <w:tcPr>
            <w:tcW w:w="5660" w:type="dxa"/>
            <w:vAlign w:val="bottom"/>
            <w:tcBorders>
              <w:top w:val="single" w:sz="8" w:color="0000FF"/>
              <w:bottom w:val="single" w:sz="8" w:color="0000FF"/>
            </w:tcBorders>
            <w:gridSpan w:val="27"/>
            <w:shd w:val="clear" w:color="auto" w:fill="CCEEFF"/>
          </w:tcPr>
          <w:p>
            <w:pPr>
              <w:spacing w:after="0" w:line="126" w:lineRule="exact"/>
              <w:rPr>
                <w:rFonts w:ascii="Times New Roman" w:cs="Times New Roman" w:eastAsia="Times New Roman" w:hAnsi="Times New Roman"/>
                <w:sz w:val="14"/>
                <w:szCs w:val="14"/>
                <w:color w:val="0000FF"/>
                <w:w w:val="99"/>
              </w:rPr>
            </w:pPr>
            <w:hyperlink r:id="rId190">
              <w:r>
                <w:rPr>
                  <w:rFonts w:ascii="Times New Roman" w:cs="Times New Roman" w:eastAsia="Times New Roman" w:hAnsi="Times New Roman"/>
                  <w:sz w:val="14"/>
                  <w:szCs w:val="14"/>
                  <w:color w:val="0000FF"/>
                  <w:w w:val="99"/>
                </w:rPr>
                <w:t>Stanley Bank, N.A., as the 2021-1 incremental first lien term loan lender and Morgan Stanley Senior</w:t>
              </w:r>
            </w:hyperlink>
          </w:p>
        </w:tc>
        <w:tc>
          <w:tcPr>
            <w:tcW w:w="20"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0000FF"/>
            </w:tcBorders>
            <w:shd w:val="clear" w:color="auto" w:fill="CCEEFF"/>
          </w:tcPr>
          <w:p>
            <w:pPr>
              <w:spacing w:after="0"/>
              <w:rPr>
                <w:sz w:val="10"/>
                <w:szCs w:val="10"/>
                <w:color w:val="auto"/>
              </w:rPr>
            </w:pPr>
          </w:p>
        </w:tc>
        <w:tc>
          <w:tcPr>
            <w:tcW w:w="4294967277"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820" w:type="dxa"/>
            <w:vAlign w:val="bottom"/>
            <w:tcBorders>
              <w:top w:val="single" w:sz="8" w:color="CCEEFF"/>
              <w:bottom w:val="single" w:sz="8" w:color="CCEEFF"/>
            </w:tcBorders>
            <w:shd w:val="clear" w:color="auto" w:fill="CCEEFF"/>
          </w:tcPr>
          <w:p>
            <w:pPr>
              <w:spacing w:after="0"/>
              <w:rPr>
                <w:sz w:val="10"/>
                <w:szCs w:val="10"/>
                <w:color w:val="auto"/>
              </w:rPr>
            </w:pPr>
          </w:p>
        </w:tc>
        <w:tc>
          <w:tcPr>
            <w:tcW w:w="1380" w:type="dxa"/>
            <w:vAlign w:val="bottom"/>
            <w:tcBorders>
              <w:top w:val="single" w:sz="8" w:color="CCEEFF"/>
              <w:bottom w:val="single" w:sz="8" w:color="CCEEFF"/>
            </w:tcBorders>
            <w:shd w:val="clear" w:color="auto" w:fill="CCEEFF"/>
          </w:tcPr>
          <w:p>
            <w:pPr>
              <w:spacing w:after="0"/>
              <w:rPr>
                <w:sz w:val="10"/>
                <w:szCs w:val="10"/>
                <w:color w:val="auto"/>
              </w:rPr>
            </w:pPr>
          </w:p>
        </w:tc>
        <w:tc>
          <w:tcPr>
            <w:tcW w:w="120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13"/>
        </w:trPr>
        <w:tc>
          <w:tcPr>
            <w:tcW w:w="1000" w:type="dxa"/>
            <w:vAlign w:val="bottom"/>
            <w:shd w:val="clear" w:color="auto" w:fill="CCEEFF"/>
          </w:tcPr>
          <w:p>
            <w:pPr>
              <w:spacing w:after="0"/>
              <w:rPr>
                <w:sz w:val="9"/>
                <w:szCs w:val="9"/>
                <w:color w:val="auto"/>
              </w:rPr>
            </w:pPr>
          </w:p>
        </w:tc>
        <w:tc>
          <w:tcPr>
            <w:tcW w:w="5700" w:type="dxa"/>
            <w:vAlign w:val="bottom"/>
            <w:gridSpan w:val="31"/>
            <w:shd w:val="clear" w:color="auto" w:fill="CCEEFF"/>
          </w:tcPr>
          <w:p>
            <w:pPr>
              <w:spacing w:after="0" w:line="113" w:lineRule="exact"/>
              <w:rPr>
                <w:rFonts w:ascii="Times New Roman" w:cs="Times New Roman" w:eastAsia="Times New Roman" w:hAnsi="Times New Roman"/>
                <w:sz w:val="13"/>
                <w:szCs w:val="13"/>
                <w:color w:val="0000FF"/>
              </w:rPr>
            </w:pPr>
            <w:hyperlink r:id="rId190">
              <w:r>
                <w:rPr>
                  <w:rFonts w:ascii="Times New Roman" w:cs="Times New Roman" w:eastAsia="Times New Roman" w:hAnsi="Times New Roman"/>
                  <w:sz w:val="13"/>
                  <w:szCs w:val="13"/>
                  <w:color w:val="0000FF"/>
                </w:rPr>
                <w:t>Funding, Inc., as administrative agent, collateral agent and L/C issuer</w:t>
              </w:r>
            </w:hyperlink>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gridSpan w:val="3"/>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7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10.18</w:t>
            </w:r>
          </w:p>
        </w:tc>
        <w:tc>
          <w:tcPr>
            <w:tcW w:w="5240" w:type="dxa"/>
            <w:vAlign w:val="bottom"/>
            <w:tcBorders>
              <w:bottom w:val="single" w:sz="8" w:color="0000FF"/>
            </w:tcBorders>
            <w:gridSpan w:val="15"/>
          </w:tcPr>
          <w:p>
            <w:pPr>
              <w:spacing w:after="0" w:line="146"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Amendment No. 4 to First Lien Credit Agreement, dated December 30, 2022, by and among</w:t>
              </w:r>
            </w:hyperlink>
          </w:p>
        </w:tc>
        <w:tc>
          <w:tcPr>
            <w:tcW w:w="600" w:type="dxa"/>
            <w:vAlign w:val="bottom"/>
            <w:gridSpan w:val="23"/>
          </w:tcPr>
          <w:p>
            <w:pPr>
              <w:spacing w:after="0"/>
              <w:rPr>
                <w:sz w:val="12"/>
                <w:szCs w:val="12"/>
                <w:color w:val="auto"/>
              </w:rPr>
            </w:pPr>
          </w:p>
        </w:tc>
        <w:tc>
          <w:tcPr>
            <w:tcW w:w="1820" w:type="dxa"/>
            <w:vAlign w:val="bottom"/>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10-K filed February 16,</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10.18</w:t>
            </w:r>
          </w:p>
        </w:tc>
      </w:tr>
      <w:tr>
        <w:trPr>
          <w:trHeight w:val="126"/>
        </w:trPr>
        <w:tc>
          <w:tcPr>
            <w:tcW w:w="1000" w:type="dxa"/>
            <w:vAlign w:val="bottom"/>
          </w:tcPr>
          <w:p>
            <w:pPr>
              <w:spacing w:after="0"/>
              <w:rPr>
                <w:sz w:val="10"/>
                <w:szCs w:val="10"/>
                <w:color w:val="auto"/>
              </w:rPr>
            </w:pPr>
          </w:p>
        </w:tc>
        <w:tc>
          <w:tcPr>
            <w:tcW w:w="5840" w:type="dxa"/>
            <w:vAlign w:val="bottom"/>
            <w:gridSpan w:val="38"/>
          </w:tcPr>
          <w:p>
            <w:pPr>
              <w:spacing w:after="0" w:line="126"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ZoomInfo LLC (f/k/a DiscoverOrg, LLC), a Delaware limited liability company (the “Borrower”),</w:t>
              </w:r>
            </w:hyperlink>
          </w:p>
        </w:tc>
        <w:tc>
          <w:tcPr>
            <w:tcW w:w="1820" w:type="dxa"/>
            <w:vAlign w:val="bottom"/>
          </w:tcPr>
          <w:p>
            <w:pPr>
              <w:jc w:val="center"/>
              <w:ind w:right="149"/>
              <w:spacing w:after="0" w:line="126" w:lineRule="exact"/>
              <w:rPr>
                <w:sz w:val="20"/>
                <w:szCs w:val="20"/>
                <w:color w:val="auto"/>
              </w:rPr>
            </w:pPr>
            <w:r>
              <w:rPr>
                <w:rFonts w:ascii="Times New Roman" w:cs="Times New Roman" w:eastAsia="Times New Roman" w:hAnsi="Times New Roman"/>
                <w:sz w:val="14"/>
                <w:szCs w:val="14"/>
                <w:color w:val="auto"/>
                <w:w w:val="99"/>
              </w:rPr>
              <w:t>2023</w:t>
            </w: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13"/>
        </w:trPr>
        <w:tc>
          <w:tcPr>
            <w:tcW w:w="1000" w:type="dxa"/>
            <w:vAlign w:val="bottom"/>
          </w:tcPr>
          <w:p>
            <w:pPr>
              <w:spacing w:after="0"/>
              <w:rPr>
                <w:sz w:val="9"/>
                <w:szCs w:val="9"/>
                <w:color w:val="auto"/>
              </w:rPr>
            </w:pPr>
          </w:p>
        </w:tc>
        <w:tc>
          <w:tcPr>
            <w:tcW w:w="5600" w:type="dxa"/>
            <w:vAlign w:val="bottom"/>
            <w:tcBorders>
              <w:top w:val="single" w:sz="8" w:color="0000FF"/>
              <w:bottom w:val="single" w:sz="8" w:color="0000FF"/>
            </w:tcBorders>
            <w:gridSpan w:val="24"/>
          </w:tcPr>
          <w:p>
            <w:pPr>
              <w:spacing w:after="0" w:line="113" w:lineRule="exact"/>
              <w:rPr>
                <w:rFonts w:ascii="Times New Roman" w:cs="Times New Roman" w:eastAsia="Times New Roman" w:hAnsi="Times New Roman"/>
                <w:sz w:val="13"/>
                <w:szCs w:val="13"/>
                <w:color w:val="0000FF"/>
              </w:rPr>
            </w:pPr>
            <w:hyperlink r:id="rId191">
              <w:r>
                <w:rPr>
                  <w:rFonts w:ascii="Times New Roman" w:cs="Times New Roman" w:eastAsia="Times New Roman" w:hAnsi="Times New Roman"/>
                  <w:sz w:val="13"/>
                  <w:szCs w:val="13"/>
                  <w:color w:val="0000FF"/>
                </w:rPr>
                <w:t>ZoomInfo Technologies LLC, a Delaware limited liability company (the “Co-Borrower”), ZoomInfo</w:t>
              </w:r>
            </w:hyperlink>
          </w:p>
        </w:tc>
        <w:tc>
          <w:tcPr>
            <w:tcW w:w="40" w:type="dxa"/>
            <w:vAlign w:val="bottom"/>
            <w:tcBorders>
              <w:bottom w:val="single" w:sz="8" w:color="0000FF"/>
            </w:tcBorders>
            <w:gridSpan w:val="2"/>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0" w:type="dxa"/>
            <w:vAlign w:val="bottom"/>
            <w:tcBorders>
              <w:bottom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26"/>
        </w:trPr>
        <w:tc>
          <w:tcPr>
            <w:tcW w:w="1000" w:type="dxa"/>
            <w:vAlign w:val="bottom"/>
          </w:tcPr>
          <w:p>
            <w:pPr>
              <w:spacing w:after="0"/>
              <w:rPr>
                <w:sz w:val="10"/>
                <w:szCs w:val="10"/>
                <w:color w:val="auto"/>
              </w:rPr>
            </w:pPr>
          </w:p>
        </w:tc>
        <w:tc>
          <w:tcPr>
            <w:tcW w:w="5560" w:type="dxa"/>
            <w:vAlign w:val="bottom"/>
            <w:tcBorders>
              <w:bottom w:val="single" w:sz="8" w:color="0000FF"/>
            </w:tcBorders>
            <w:gridSpan w:val="22"/>
          </w:tcPr>
          <w:p>
            <w:pPr>
              <w:spacing w:after="0" w:line="126"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Midco LLC (f/k/a DiscoverOrg Midco, LLC), a Delaware limited liability company (“Holdings”),</w:t>
              </w:r>
            </w:hyperlink>
          </w:p>
        </w:tc>
        <w:tc>
          <w:tcPr>
            <w:tcW w:w="160" w:type="dxa"/>
            <w:vAlign w:val="bottom"/>
            <w:gridSpan w:val="10"/>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26"/>
        </w:trPr>
        <w:tc>
          <w:tcPr>
            <w:tcW w:w="1000" w:type="dxa"/>
            <w:vAlign w:val="bottom"/>
          </w:tcPr>
          <w:p>
            <w:pPr>
              <w:spacing w:after="0"/>
              <w:rPr>
                <w:sz w:val="10"/>
                <w:szCs w:val="10"/>
                <w:color w:val="auto"/>
              </w:rPr>
            </w:pPr>
          </w:p>
        </w:tc>
        <w:tc>
          <w:tcPr>
            <w:tcW w:w="5840" w:type="dxa"/>
            <w:vAlign w:val="bottom"/>
            <w:tcBorders>
              <w:bottom w:val="single" w:sz="8" w:color="0000FF"/>
            </w:tcBorders>
            <w:gridSpan w:val="38"/>
          </w:tcPr>
          <w:p>
            <w:pPr>
              <w:spacing w:after="0" w:line="126"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Morgan Stanley Bank, N.A., as the 2021-1 incremental first lien term loan lender and Morgan Stanley</w:t>
              </w:r>
            </w:hyperlink>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13"/>
        </w:trPr>
        <w:tc>
          <w:tcPr>
            <w:tcW w:w="1000" w:type="dxa"/>
            <w:vAlign w:val="bottom"/>
          </w:tcPr>
          <w:p>
            <w:pPr>
              <w:spacing w:after="0"/>
              <w:rPr>
                <w:sz w:val="9"/>
                <w:szCs w:val="9"/>
                <w:color w:val="auto"/>
              </w:rPr>
            </w:pPr>
          </w:p>
        </w:tc>
        <w:tc>
          <w:tcPr>
            <w:tcW w:w="5840" w:type="dxa"/>
            <w:vAlign w:val="bottom"/>
            <w:gridSpan w:val="38"/>
          </w:tcPr>
          <w:p>
            <w:pPr>
              <w:spacing w:after="0" w:line="113" w:lineRule="exact"/>
              <w:rPr>
                <w:rFonts w:ascii="Times New Roman" w:cs="Times New Roman" w:eastAsia="Times New Roman" w:hAnsi="Times New Roman"/>
                <w:sz w:val="13"/>
                <w:szCs w:val="13"/>
                <w:color w:val="0000FF"/>
              </w:rPr>
            </w:pPr>
            <w:hyperlink r:id="rId191">
              <w:r>
                <w:rPr>
                  <w:rFonts w:ascii="Times New Roman" w:cs="Times New Roman" w:eastAsia="Times New Roman" w:hAnsi="Times New Roman"/>
                  <w:sz w:val="13"/>
                  <w:szCs w:val="13"/>
                  <w:color w:val="0000FF"/>
                </w:rPr>
                <w:t>Senior Funding, Inc., as administrative agent, collateral agent and L/C issuer</w:t>
              </w:r>
            </w:hyperlink>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33"/>
        </w:trPr>
        <w:tc>
          <w:tcPr>
            <w:tcW w:w="100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46"/>
        </w:trPr>
        <w:tc>
          <w:tcPr>
            <w:tcW w:w="100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10.19</w:t>
            </w:r>
          </w:p>
        </w:tc>
        <w:tc>
          <w:tcPr>
            <w:tcW w:w="5160" w:type="dxa"/>
            <w:vAlign w:val="bottom"/>
            <w:tcBorders>
              <w:bottom w:val="single" w:sz="8" w:color="0000FF"/>
            </w:tcBorders>
            <w:gridSpan w:val="12"/>
            <w:shd w:val="clear" w:color="auto" w:fill="CCEEFF"/>
          </w:tcPr>
          <w:p>
            <w:pPr>
              <w:spacing w:after="0" w:line="146"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Amendment No. 5 to First Lien Credit Agreement, dated February 28, 2023, by and among</w:t>
              </w:r>
            </w:hyperlink>
          </w:p>
        </w:tc>
        <w:tc>
          <w:tcPr>
            <w:tcW w:w="680" w:type="dxa"/>
            <w:vAlign w:val="bottom"/>
            <w:tcBorders>
              <w:bottom w:val="single" w:sz="8" w:color="CCEEFF"/>
            </w:tcBorders>
            <w:gridSpan w:val="26"/>
            <w:shd w:val="clear" w:color="auto" w:fill="CCEEFF"/>
          </w:tcPr>
          <w:p>
            <w:pPr>
              <w:spacing w:after="0"/>
              <w:rPr>
                <w:sz w:val="12"/>
                <w:szCs w:val="12"/>
                <w:color w:val="auto"/>
              </w:rPr>
            </w:pPr>
          </w:p>
        </w:tc>
        <w:tc>
          <w:tcPr>
            <w:tcW w:w="1820" w:type="dxa"/>
            <w:vAlign w:val="bottom"/>
            <w:tcBorders>
              <w:bottom w:val="single" w:sz="8" w:color="CCEEFF"/>
            </w:tcBorders>
            <w:shd w:val="clear" w:color="auto" w:fill="CCEEFF"/>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8-K filed March 2, 2023</w:t>
            </w:r>
          </w:p>
        </w:tc>
        <w:tc>
          <w:tcPr>
            <w:tcW w:w="1380" w:type="dxa"/>
            <w:vAlign w:val="bottom"/>
            <w:tcBorders>
              <w:bottom w:val="single" w:sz="8" w:color="CCEEFF"/>
            </w:tcBorders>
            <w:shd w:val="clear" w:color="auto" w:fill="CCEEFF"/>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w:t>
            </w:r>
          </w:p>
        </w:tc>
      </w:tr>
      <w:tr>
        <w:trPr>
          <w:trHeight w:val="126"/>
        </w:trPr>
        <w:tc>
          <w:tcPr>
            <w:tcW w:w="1000" w:type="dxa"/>
            <w:vAlign w:val="bottom"/>
            <w:shd w:val="clear" w:color="auto" w:fill="CCEEFF"/>
          </w:tcPr>
          <w:p>
            <w:pPr>
              <w:spacing w:after="0"/>
              <w:rPr>
                <w:sz w:val="10"/>
                <w:szCs w:val="10"/>
                <w:color w:val="auto"/>
              </w:rPr>
            </w:pPr>
          </w:p>
        </w:tc>
        <w:tc>
          <w:tcPr>
            <w:tcW w:w="5840" w:type="dxa"/>
            <w:vAlign w:val="bottom"/>
            <w:gridSpan w:val="38"/>
            <w:shd w:val="clear" w:color="auto" w:fill="CCEEFF"/>
          </w:tcPr>
          <w:p>
            <w:pPr>
              <w:spacing w:after="0" w:line="126"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ZoomInfo, LLC (f/k/a DiscoverOrg, LLC), a Delaware limited liability company (the “Borrower”),</w:t>
              </w:r>
            </w:hyperlink>
          </w:p>
        </w:tc>
        <w:tc>
          <w:tcPr>
            <w:tcW w:w="18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13"/>
        </w:trPr>
        <w:tc>
          <w:tcPr>
            <w:tcW w:w="1000" w:type="dxa"/>
            <w:vAlign w:val="bottom"/>
            <w:tcBorders>
              <w:top w:val="single" w:sz="8" w:color="CCEEFF"/>
              <w:bottom w:val="single" w:sz="8" w:color="CCEEFF"/>
            </w:tcBorders>
            <w:shd w:val="clear" w:color="auto" w:fill="CCEEFF"/>
          </w:tcPr>
          <w:p>
            <w:pPr>
              <w:spacing w:after="0"/>
              <w:rPr>
                <w:sz w:val="9"/>
                <w:szCs w:val="9"/>
                <w:color w:val="auto"/>
              </w:rPr>
            </w:pPr>
          </w:p>
        </w:tc>
        <w:tc>
          <w:tcPr>
            <w:tcW w:w="5640" w:type="dxa"/>
            <w:vAlign w:val="bottom"/>
            <w:tcBorders>
              <w:top w:val="single" w:sz="8" w:color="0000FF"/>
              <w:bottom w:val="single" w:sz="8" w:color="0000FF"/>
            </w:tcBorders>
            <w:gridSpan w:val="26"/>
            <w:shd w:val="clear" w:color="auto" w:fill="CCEEFF"/>
          </w:tcPr>
          <w:p>
            <w:pPr>
              <w:spacing w:after="0" w:line="113" w:lineRule="exact"/>
              <w:rPr>
                <w:rFonts w:ascii="Times New Roman" w:cs="Times New Roman" w:eastAsia="Times New Roman" w:hAnsi="Times New Roman"/>
                <w:sz w:val="13"/>
                <w:szCs w:val="13"/>
                <w:color w:val="0000FF"/>
              </w:rPr>
            </w:pPr>
            <w:hyperlink r:id="rId192">
              <w:r>
                <w:rPr>
                  <w:rFonts w:ascii="Times New Roman" w:cs="Times New Roman" w:eastAsia="Times New Roman" w:hAnsi="Times New Roman"/>
                  <w:sz w:val="13"/>
                  <w:szCs w:val="13"/>
                  <w:color w:val="0000FF"/>
                </w:rPr>
                <w:t>ZoomInfo Technologies LLC, a Delaware limited liability company (the “Co-Borrower”), ZoomInfo</w:t>
              </w:r>
            </w:hyperlink>
          </w:p>
        </w:tc>
        <w:tc>
          <w:tcPr>
            <w:tcW w:w="40" w:type="dxa"/>
            <w:vAlign w:val="bottom"/>
            <w:tcBorders>
              <w:top w:val="single" w:sz="8" w:color="CCEEFF"/>
              <w:bottom w:val="single" w:sz="8" w:color="0000FF"/>
            </w:tcBorders>
            <w:gridSpan w:val="2"/>
            <w:shd w:val="clear" w:color="auto" w:fill="CCEEFF"/>
          </w:tcPr>
          <w:p>
            <w:pPr>
              <w:spacing w:after="0"/>
              <w:rPr>
                <w:sz w:val="9"/>
                <w:szCs w:val="9"/>
                <w:color w:val="auto"/>
              </w:rPr>
            </w:pPr>
          </w:p>
        </w:tc>
        <w:tc>
          <w:tcPr>
            <w:tcW w:w="20" w:type="dxa"/>
            <w:vAlign w:val="bottom"/>
            <w:tcBorders>
              <w:top w:val="single" w:sz="8" w:color="CCEEFF"/>
              <w:bottom w:val="single" w:sz="8" w:color="0000FF"/>
            </w:tcBorders>
            <w:shd w:val="clear" w:color="auto" w:fill="CCEEFF"/>
          </w:tcPr>
          <w:p>
            <w:pPr>
              <w:spacing w:after="0"/>
              <w:rPr>
                <w:sz w:val="9"/>
                <w:szCs w:val="9"/>
                <w:color w:val="auto"/>
              </w:rPr>
            </w:pPr>
          </w:p>
        </w:tc>
        <w:tc>
          <w:tcPr>
            <w:tcW w:w="20" w:type="dxa"/>
            <w:vAlign w:val="bottom"/>
            <w:tcBorders>
              <w:top w:val="single" w:sz="8" w:color="CCEEFF"/>
              <w:bottom w:val="single" w:sz="8" w:color="0000FF"/>
            </w:tcBorders>
            <w:shd w:val="clear" w:color="auto" w:fill="CCEEFF"/>
          </w:tcPr>
          <w:p>
            <w:pPr>
              <w:spacing w:after="0"/>
              <w:rPr>
                <w:sz w:val="9"/>
                <w:szCs w:val="9"/>
                <w:color w:val="auto"/>
              </w:rPr>
            </w:pPr>
          </w:p>
        </w:tc>
        <w:tc>
          <w:tcPr>
            <w:tcW w:w="0" w:type="dxa"/>
            <w:vAlign w:val="bottom"/>
            <w:tcBorders>
              <w:top w:val="single" w:sz="8" w:color="CCEEFF"/>
              <w:bottom w:val="single" w:sz="8" w:color="0000FF"/>
            </w:tcBorders>
            <w:gridSpan w:val="2"/>
            <w:shd w:val="clear" w:color="auto" w:fill="CCEEFF"/>
          </w:tcPr>
          <w:p>
            <w:pPr>
              <w:spacing w:after="0"/>
              <w:rPr>
                <w:sz w:val="9"/>
                <w:szCs w:val="9"/>
                <w:color w:val="auto"/>
              </w:rPr>
            </w:pPr>
          </w:p>
        </w:tc>
        <w:tc>
          <w:tcPr>
            <w:tcW w:w="20" w:type="dxa"/>
            <w:vAlign w:val="bottom"/>
            <w:tcBorders>
              <w:top w:val="single" w:sz="8" w:color="CCEEFF"/>
              <w:bottom w:val="single" w:sz="8" w:color="0000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gridSpan w:val="3"/>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820" w:type="dxa"/>
            <w:vAlign w:val="bottom"/>
            <w:tcBorders>
              <w:top w:val="single" w:sz="8" w:color="CCEEFF"/>
              <w:bottom w:val="single" w:sz="8" w:color="CCEEFF"/>
            </w:tcBorders>
            <w:shd w:val="clear" w:color="auto" w:fill="CCEEFF"/>
          </w:tcPr>
          <w:p>
            <w:pPr>
              <w:spacing w:after="0"/>
              <w:rPr>
                <w:sz w:val="9"/>
                <w:szCs w:val="9"/>
                <w:color w:val="auto"/>
              </w:rPr>
            </w:pPr>
          </w:p>
        </w:tc>
        <w:tc>
          <w:tcPr>
            <w:tcW w:w="1380" w:type="dxa"/>
            <w:vAlign w:val="bottom"/>
            <w:tcBorders>
              <w:top w:val="single" w:sz="8" w:color="CCEEFF"/>
              <w:bottom w:val="single" w:sz="8" w:color="CCEEFF"/>
            </w:tcBorders>
            <w:shd w:val="clear" w:color="auto" w:fill="CCEEFF"/>
          </w:tcPr>
          <w:p>
            <w:pPr>
              <w:spacing w:after="0"/>
              <w:rPr>
                <w:sz w:val="9"/>
                <w:szCs w:val="9"/>
                <w:color w:val="auto"/>
              </w:rPr>
            </w:pPr>
          </w:p>
        </w:tc>
        <w:tc>
          <w:tcPr>
            <w:tcW w:w="1200" w:type="dxa"/>
            <w:vAlign w:val="bottom"/>
            <w:tcBorders>
              <w:top w:val="single" w:sz="8" w:color="CCEEFF"/>
              <w:bottom w:val="single" w:sz="8" w:color="CCEEFF"/>
            </w:tcBorders>
            <w:shd w:val="clear" w:color="auto" w:fill="CCEEFF"/>
          </w:tcPr>
          <w:p>
            <w:pPr>
              <w:spacing w:after="0"/>
              <w:rPr>
                <w:sz w:val="9"/>
                <w:szCs w:val="9"/>
                <w:color w:val="auto"/>
              </w:rPr>
            </w:pPr>
          </w:p>
        </w:tc>
      </w:tr>
      <w:tr>
        <w:trPr>
          <w:trHeight w:val="126"/>
        </w:trPr>
        <w:tc>
          <w:tcPr>
            <w:tcW w:w="1000" w:type="dxa"/>
            <w:vAlign w:val="bottom"/>
            <w:shd w:val="clear" w:color="auto" w:fill="CCEEFF"/>
          </w:tcPr>
          <w:p>
            <w:pPr>
              <w:spacing w:after="0"/>
              <w:rPr>
                <w:sz w:val="10"/>
                <w:szCs w:val="10"/>
                <w:color w:val="auto"/>
              </w:rPr>
            </w:pPr>
          </w:p>
        </w:tc>
        <w:tc>
          <w:tcPr>
            <w:tcW w:w="5840" w:type="dxa"/>
            <w:vAlign w:val="bottom"/>
            <w:gridSpan w:val="38"/>
            <w:shd w:val="clear" w:color="auto" w:fill="CCEEFF"/>
          </w:tcPr>
          <w:p>
            <w:pPr>
              <w:spacing w:after="0" w:line="126"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Midco LLC (f/k/a DiscoverOrg Midco, LLC), a Delaware limited liability company (“Holdings”), the</w:t>
              </w:r>
            </w:hyperlink>
          </w:p>
        </w:tc>
        <w:tc>
          <w:tcPr>
            <w:tcW w:w="18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26"/>
        </w:trPr>
        <w:tc>
          <w:tcPr>
            <w:tcW w:w="1000" w:type="dxa"/>
            <w:vAlign w:val="bottom"/>
            <w:tcBorders>
              <w:top w:val="single" w:sz="8" w:color="CCEEFF"/>
            </w:tcBorders>
            <w:shd w:val="clear" w:color="auto" w:fill="CCEEFF"/>
          </w:tcPr>
          <w:p>
            <w:pPr>
              <w:spacing w:after="0"/>
              <w:rPr>
                <w:sz w:val="10"/>
                <w:szCs w:val="10"/>
                <w:color w:val="auto"/>
              </w:rPr>
            </w:pPr>
          </w:p>
        </w:tc>
        <w:tc>
          <w:tcPr>
            <w:tcW w:w="5800" w:type="dxa"/>
            <w:vAlign w:val="bottom"/>
            <w:tcBorders>
              <w:top w:val="single" w:sz="8" w:color="0000FF"/>
            </w:tcBorders>
            <w:gridSpan w:val="36"/>
            <w:shd w:val="clear" w:color="auto" w:fill="CCEEFF"/>
          </w:tcPr>
          <w:p>
            <w:pPr>
              <w:spacing w:after="0" w:line="126"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other guarantors party thereto, each lender and L/C issuer party thereto, and Morgan Stanley Senior</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r>
      <w:tr>
        <w:trPr>
          <w:trHeight w:val="145"/>
        </w:trPr>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3960" w:type="dxa"/>
            <w:vAlign w:val="bottom"/>
            <w:tcBorders>
              <w:top w:val="single" w:sz="8" w:color="0000FF"/>
              <w:bottom w:val="single" w:sz="8" w:color="0000FF"/>
            </w:tcBorders>
            <w:gridSpan w:val="8"/>
            <w:shd w:val="clear" w:color="auto" w:fill="CCEEFF"/>
          </w:tcPr>
          <w:p>
            <w:pPr>
              <w:spacing w:after="0" w:line="113" w:lineRule="exact"/>
              <w:rPr>
                <w:rFonts w:ascii="Times New Roman" w:cs="Times New Roman" w:eastAsia="Times New Roman" w:hAnsi="Times New Roman"/>
                <w:sz w:val="13"/>
                <w:szCs w:val="13"/>
                <w:color w:val="0000FF"/>
              </w:rPr>
            </w:pPr>
            <w:hyperlink r:id="rId192">
              <w:r>
                <w:rPr>
                  <w:rFonts w:ascii="Times New Roman" w:cs="Times New Roman" w:eastAsia="Times New Roman" w:hAnsi="Times New Roman"/>
                  <w:sz w:val="13"/>
                  <w:szCs w:val="13"/>
                  <w:color w:val="0000FF"/>
                </w:rPr>
                <w:t>Funding, Inc., as administrative agent, collateral agent and L/C issuer.</w:t>
              </w:r>
            </w:hyperlink>
          </w:p>
        </w:tc>
        <w:tc>
          <w:tcPr>
            <w:tcW w:w="1720" w:type="dxa"/>
            <w:vAlign w:val="bottom"/>
            <w:tcBorders>
              <w:top w:val="single" w:sz="8" w:color="0000FF"/>
              <w:bottom w:val="single" w:sz="8" w:color="CCEEFF"/>
            </w:tcBorders>
            <w:gridSpan w:val="20"/>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20" w:type="dxa"/>
            <w:vAlign w:val="bottom"/>
            <w:tcBorders>
              <w:top w:val="single" w:sz="8" w:color="CCEEFF"/>
              <w:bottom w:val="single" w:sz="8" w:color="CCEEFF"/>
            </w:tcBorders>
            <w:shd w:val="clear" w:color="auto" w:fill="CCEEFF"/>
          </w:tcPr>
          <w:p>
            <w:pPr>
              <w:spacing w:after="0"/>
              <w:rPr>
                <w:sz w:val="12"/>
                <w:szCs w:val="12"/>
                <w:color w:val="auto"/>
              </w:rPr>
            </w:pPr>
          </w:p>
        </w:tc>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2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10.20</w:t>
            </w:r>
          </w:p>
        </w:tc>
        <w:tc>
          <w:tcPr>
            <w:tcW w:w="5840" w:type="dxa"/>
            <w:vAlign w:val="bottom"/>
            <w:gridSpan w:val="38"/>
          </w:tcPr>
          <w:p>
            <w:pPr>
              <w:spacing w:after="0" w:line="146"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Amendment No. 6 to First Lien Credit Agreement, dated as of December 8, 2023, by and among</w:t>
              </w:r>
            </w:hyperlink>
          </w:p>
        </w:tc>
        <w:tc>
          <w:tcPr>
            <w:tcW w:w="1820" w:type="dxa"/>
            <w:vAlign w:val="bottom"/>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8-K filed December 11,</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w:t>
            </w:r>
          </w:p>
        </w:tc>
      </w:tr>
      <w:tr>
        <w:trPr>
          <w:trHeight w:val="126"/>
        </w:trPr>
        <w:tc>
          <w:tcPr>
            <w:tcW w:w="1000" w:type="dxa"/>
            <w:vAlign w:val="bottom"/>
          </w:tcPr>
          <w:p>
            <w:pPr>
              <w:spacing w:after="0"/>
              <w:rPr>
                <w:sz w:val="10"/>
                <w:szCs w:val="10"/>
                <w:color w:val="auto"/>
              </w:rPr>
            </w:pPr>
          </w:p>
        </w:tc>
        <w:tc>
          <w:tcPr>
            <w:tcW w:w="5460" w:type="dxa"/>
            <w:vAlign w:val="bottom"/>
            <w:tcBorders>
              <w:top w:val="single" w:sz="8" w:color="0000FF"/>
            </w:tcBorders>
            <w:gridSpan w:val="18"/>
          </w:tcPr>
          <w:p>
            <w:pPr>
              <w:spacing w:after="0" w:line="126" w:lineRule="exact"/>
              <w:rPr>
                <w:rFonts w:ascii="Times New Roman" w:cs="Times New Roman" w:eastAsia="Times New Roman" w:hAnsi="Times New Roman"/>
                <w:sz w:val="14"/>
                <w:szCs w:val="14"/>
                <w:color w:val="0000FF"/>
                <w:w w:val="98"/>
              </w:rPr>
            </w:pPr>
            <w:hyperlink r:id="rId193">
              <w:r>
                <w:rPr>
                  <w:rFonts w:ascii="Times New Roman" w:cs="Times New Roman" w:eastAsia="Times New Roman" w:hAnsi="Times New Roman"/>
                  <w:sz w:val="14"/>
                  <w:szCs w:val="14"/>
                  <w:color w:val="0000FF"/>
                  <w:w w:val="98"/>
                </w:rPr>
                <w:t>ZoomInfo LLC (f/k/a DiscoverOrg, LLC), a Delaware limited liability company (the “Borrower”),</w:t>
              </w:r>
            </w:hyperlink>
          </w:p>
        </w:tc>
        <w:tc>
          <w:tcPr>
            <w:tcW w:w="80" w:type="dxa"/>
            <w:vAlign w:val="bottom"/>
            <w:gridSpan w:val="3"/>
          </w:tcPr>
          <w:p>
            <w:pPr>
              <w:spacing w:after="0"/>
              <w:rPr>
                <w:sz w:val="10"/>
                <w:szCs w:val="10"/>
                <w:color w:val="auto"/>
              </w:rPr>
            </w:pPr>
          </w:p>
        </w:tc>
        <w:tc>
          <w:tcPr>
            <w:tcW w:w="160" w:type="dxa"/>
            <w:vAlign w:val="bottom"/>
            <w:gridSpan w:val="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Pr>
          <w:p>
            <w:pPr>
              <w:jc w:val="center"/>
              <w:ind w:right="149"/>
              <w:spacing w:after="0" w:line="126" w:lineRule="exact"/>
              <w:rPr>
                <w:sz w:val="20"/>
                <w:szCs w:val="20"/>
                <w:color w:val="auto"/>
              </w:rPr>
            </w:pPr>
            <w:r>
              <w:rPr>
                <w:rFonts w:ascii="Times New Roman" w:cs="Times New Roman" w:eastAsia="Times New Roman" w:hAnsi="Times New Roman"/>
                <w:sz w:val="14"/>
                <w:szCs w:val="14"/>
                <w:color w:val="auto"/>
                <w:w w:val="99"/>
              </w:rPr>
              <w:t>2023</w:t>
            </w: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13"/>
        </w:trPr>
        <w:tc>
          <w:tcPr>
            <w:tcW w:w="1000" w:type="dxa"/>
            <w:vAlign w:val="bottom"/>
          </w:tcPr>
          <w:p>
            <w:pPr>
              <w:spacing w:after="0"/>
              <w:rPr>
                <w:sz w:val="9"/>
                <w:szCs w:val="9"/>
                <w:color w:val="auto"/>
              </w:rPr>
            </w:pPr>
          </w:p>
        </w:tc>
        <w:tc>
          <w:tcPr>
            <w:tcW w:w="5600" w:type="dxa"/>
            <w:vAlign w:val="bottom"/>
            <w:tcBorders>
              <w:top w:val="single" w:sz="8" w:color="0000FF"/>
              <w:bottom w:val="single" w:sz="8" w:color="0000FF"/>
            </w:tcBorders>
            <w:gridSpan w:val="24"/>
          </w:tcPr>
          <w:p>
            <w:pPr>
              <w:spacing w:after="0" w:line="113" w:lineRule="exact"/>
              <w:rPr>
                <w:rFonts w:ascii="Times New Roman" w:cs="Times New Roman" w:eastAsia="Times New Roman" w:hAnsi="Times New Roman"/>
                <w:sz w:val="13"/>
                <w:szCs w:val="13"/>
                <w:color w:val="0000FF"/>
              </w:rPr>
            </w:pPr>
            <w:hyperlink r:id="rId193">
              <w:r>
                <w:rPr>
                  <w:rFonts w:ascii="Times New Roman" w:cs="Times New Roman" w:eastAsia="Times New Roman" w:hAnsi="Times New Roman"/>
                  <w:sz w:val="13"/>
                  <w:szCs w:val="13"/>
                  <w:color w:val="0000FF"/>
                </w:rPr>
                <w:t>ZoomInfo Technologies LLC, a Delaware limited liability company (the “Co-Borrower”), ZoomInfo</w:t>
              </w:r>
            </w:hyperlink>
          </w:p>
        </w:tc>
        <w:tc>
          <w:tcPr>
            <w:tcW w:w="100" w:type="dxa"/>
            <w:vAlign w:val="bottom"/>
            <w:tcBorders>
              <w:bottom w:val="single" w:sz="8" w:color="0000FF"/>
            </w:tcBorders>
            <w:gridSpan w:val="5"/>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gridSpan w:val="3"/>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26"/>
        </w:trPr>
        <w:tc>
          <w:tcPr>
            <w:tcW w:w="1000" w:type="dxa"/>
            <w:vAlign w:val="bottom"/>
          </w:tcPr>
          <w:p>
            <w:pPr>
              <w:spacing w:after="0"/>
              <w:rPr>
                <w:sz w:val="10"/>
                <w:szCs w:val="10"/>
                <w:color w:val="auto"/>
              </w:rPr>
            </w:pPr>
          </w:p>
        </w:tc>
        <w:tc>
          <w:tcPr>
            <w:tcW w:w="5840" w:type="dxa"/>
            <w:vAlign w:val="bottom"/>
            <w:gridSpan w:val="38"/>
          </w:tcPr>
          <w:p>
            <w:pPr>
              <w:spacing w:after="0" w:line="126"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Midco LLC (f/k/a DiscoverOrg Midco, LLC), a Delaware limited liability company (“Holdings”), the</w:t>
              </w:r>
            </w:hyperlink>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26"/>
        </w:trPr>
        <w:tc>
          <w:tcPr>
            <w:tcW w:w="1000" w:type="dxa"/>
            <w:vAlign w:val="bottom"/>
          </w:tcPr>
          <w:p>
            <w:pPr>
              <w:spacing w:after="0"/>
              <w:rPr>
                <w:sz w:val="10"/>
                <w:szCs w:val="10"/>
                <w:color w:val="auto"/>
              </w:rPr>
            </w:pPr>
          </w:p>
        </w:tc>
        <w:tc>
          <w:tcPr>
            <w:tcW w:w="5800" w:type="dxa"/>
            <w:vAlign w:val="bottom"/>
            <w:tcBorders>
              <w:top w:val="single" w:sz="8" w:color="0000FF"/>
            </w:tcBorders>
            <w:gridSpan w:val="36"/>
          </w:tcPr>
          <w:p>
            <w:pPr>
              <w:spacing w:after="0" w:line="126"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other guarantors party thereto, each lender and L/C issuer party thereto, and Morgan Stanley Senior</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13"/>
        </w:trPr>
        <w:tc>
          <w:tcPr>
            <w:tcW w:w="1000" w:type="dxa"/>
            <w:vAlign w:val="bottom"/>
          </w:tcPr>
          <w:p>
            <w:pPr>
              <w:spacing w:after="0"/>
              <w:rPr>
                <w:sz w:val="9"/>
                <w:szCs w:val="9"/>
                <w:color w:val="auto"/>
              </w:rPr>
            </w:pPr>
          </w:p>
        </w:tc>
        <w:tc>
          <w:tcPr>
            <w:tcW w:w="5680" w:type="dxa"/>
            <w:vAlign w:val="bottom"/>
            <w:tcBorders>
              <w:top w:val="single" w:sz="8" w:color="0000FF"/>
            </w:tcBorders>
            <w:gridSpan w:val="28"/>
          </w:tcPr>
          <w:p>
            <w:pPr>
              <w:spacing w:after="0" w:line="113" w:lineRule="exact"/>
              <w:rPr>
                <w:rFonts w:ascii="Times New Roman" w:cs="Times New Roman" w:eastAsia="Times New Roman" w:hAnsi="Times New Roman"/>
                <w:sz w:val="13"/>
                <w:szCs w:val="13"/>
                <w:color w:val="0000FF"/>
              </w:rPr>
            </w:pPr>
            <w:hyperlink r:id="rId193">
              <w:r>
                <w:rPr>
                  <w:rFonts w:ascii="Times New Roman" w:cs="Times New Roman" w:eastAsia="Times New Roman" w:hAnsi="Times New Roman"/>
                  <w:sz w:val="13"/>
                  <w:szCs w:val="13"/>
                  <w:color w:val="0000FF"/>
                </w:rPr>
                <w:t>Funding, Inc., as administrative agent, collateral agent and L/C issuer</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gridSpan w:val="3"/>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33"/>
        </w:trPr>
        <w:tc>
          <w:tcPr>
            <w:tcW w:w="100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46"/>
        </w:trPr>
        <w:tc>
          <w:tcPr>
            <w:tcW w:w="100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10.21</w:t>
            </w:r>
          </w:p>
        </w:tc>
        <w:tc>
          <w:tcPr>
            <w:tcW w:w="5220" w:type="dxa"/>
            <w:vAlign w:val="bottom"/>
            <w:tcBorders>
              <w:bottom w:val="single" w:sz="8" w:color="0000FF"/>
            </w:tcBorders>
            <w:gridSpan w:val="14"/>
            <w:shd w:val="clear" w:color="auto" w:fill="CCEEFF"/>
          </w:tcPr>
          <w:p>
            <w:pPr>
              <w:spacing w:after="0" w:line="146"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Amendment No. 7 to First Lien Credit Agreement, dated as of June 10, 2024, by and among</w:t>
              </w:r>
            </w:hyperlink>
          </w:p>
        </w:tc>
        <w:tc>
          <w:tcPr>
            <w:tcW w:w="620" w:type="dxa"/>
            <w:vAlign w:val="bottom"/>
            <w:tcBorders>
              <w:bottom w:val="single" w:sz="8" w:color="CCEEFF"/>
            </w:tcBorders>
            <w:gridSpan w:val="24"/>
            <w:shd w:val="clear" w:color="auto" w:fill="CCEEFF"/>
          </w:tcPr>
          <w:p>
            <w:pPr>
              <w:spacing w:after="0"/>
              <w:rPr>
                <w:sz w:val="12"/>
                <w:szCs w:val="12"/>
                <w:color w:val="auto"/>
              </w:rPr>
            </w:pPr>
          </w:p>
        </w:tc>
        <w:tc>
          <w:tcPr>
            <w:tcW w:w="1820" w:type="dxa"/>
            <w:vAlign w:val="bottom"/>
            <w:tcBorders>
              <w:bottom w:val="single" w:sz="8" w:color="CCEEFF"/>
            </w:tcBorders>
            <w:shd w:val="clear" w:color="auto" w:fill="CCEEFF"/>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8-K filed June 12, 2024</w:t>
            </w:r>
          </w:p>
        </w:tc>
        <w:tc>
          <w:tcPr>
            <w:tcW w:w="1380" w:type="dxa"/>
            <w:vAlign w:val="bottom"/>
            <w:tcBorders>
              <w:bottom w:val="single" w:sz="8" w:color="CCEEFF"/>
            </w:tcBorders>
            <w:shd w:val="clear" w:color="auto" w:fill="CCEEFF"/>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w:t>
            </w:r>
          </w:p>
        </w:tc>
      </w:tr>
      <w:tr>
        <w:trPr>
          <w:trHeight w:val="126"/>
        </w:trPr>
        <w:tc>
          <w:tcPr>
            <w:tcW w:w="1000" w:type="dxa"/>
            <w:vAlign w:val="bottom"/>
            <w:shd w:val="clear" w:color="auto" w:fill="CCEEFF"/>
          </w:tcPr>
          <w:p>
            <w:pPr>
              <w:spacing w:after="0"/>
              <w:rPr>
                <w:sz w:val="10"/>
                <w:szCs w:val="10"/>
                <w:color w:val="auto"/>
              </w:rPr>
            </w:pPr>
          </w:p>
        </w:tc>
        <w:tc>
          <w:tcPr>
            <w:tcW w:w="5840" w:type="dxa"/>
            <w:vAlign w:val="bottom"/>
            <w:gridSpan w:val="38"/>
            <w:shd w:val="clear" w:color="auto" w:fill="CCEEFF"/>
          </w:tcPr>
          <w:p>
            <w:pPr>
              <w:spacing w:after="0" w:line="126"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ZoomInfo LLC (f/k/a DiscoverOrg, LLC), a Delaware limited liability company (the “Borrower”),</w:t>
              </w:r>
            </w:hyperlink>
          </w:p>
        </w:tc>
        <w:tc>
          <w:tcPr>
            <w:tcW w:w="18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13"/>
        </w:trPr>
        <w:tc>
          <w:tcPr>
            <w:tcW w:w="1000" w:type="dxa"/>
            <w:vAlign w:val="bottom"/>
            <w:tcBorders>
              <w:top w:val="single" w:sz="8" w:color="CCEEFF"/>
              <w:bottom w:val="single" w:sz="8" w:color="CCEEFF"/>
            </w:tcBorders>
            <w:shd w:val="clear" w:color="auto" w:fill="CCEEFF"/>
          </w:tcPr>
          <w:p>
            <w:pPr>
              <w:spacing w:after="0"/>
              <w:rPr>
                <w:sz w:val="9"/>
                <w:szCs w:val="9"/>
                <w:color w:val="auto"/>
              </w:rPr>
            </w:pPr>
          </w:p>
        </w:tc>
        <w:tc>
          <w:tcPr>
            <w:tcW w:w="5600" w:type="dxa"/>
            <w:vAlign w:val="bottom"/>
            <w:tcBorders>
              <w:top w:val="single" w:sz="8" w:color="0000FF"/>
              <w:bottom w:val="single" w:sz="8" w:color="0000FF"/>
            </w:tcBorders>
            <w:gridSpan w:val="24"/>
            <w:shd w:val="clear" w:color="auto" w:fill="CCEEFF"/>
          </w:tcPr>
          <w:p>
            <w:pPr>
              <w:spacing w:after="0" w:line="113" w:lineRule="exact"/>
              <w:rPr>
                <w:rFonts w:ascii="Times New Roman" w:cs="Times New Roman" w:eastAsia="Times New Roman" w:hAnsi="Times New Roman"/>
                <w:sz w:val="13"/>
                <w:szCs w:val="13"/>
                <w:color w:val="0000FF"/>
              </w:rPr>
            </w:pPr>
            <w:hyperlink r:id="rId194">
              <w:r>
                <w:rPr>
                  <w:rFonts w:ascii="Times New Roman" w:cs="Times New Roman" w:eastAsia="Times New Roman" w:hAnsi="Times New Roman"/>
                  <w:sz w:val="13"/>
                  <w:szCs w:val="13"/>
                  <w:color w:val="0000FF"/>
                </w:rPr>
                <w:t>ZoomInfo Technologies LLC, a Delaware limited liability company (the “Co-Borrower”), ZoomInfo</w:t>
              </w:r>
            </w:hyperlink>
          </w:p>
        </w:tc>
        <w:tc>
          <w:tcPr>
            <w:tcW w:w="100" w:type="dxa"/>
            <w:vAlign w:val="bottom"/>
            <w:tcBorders>
              <w:top w:val="single" w:sz="8" w:color="CCEEFF"/>
              <w:bottom w:val="single" w:sz="8" w:color="0000FF"/>
            </w:tcBorders>
            <w:gridSpan w:val="5"/>
            <w:shd w:val="clear" w:color="auto" w:fill="CCEEFF"/>
          </w:tcPr>
          <w:p>
            <w:pPr>
              <w:spacing w:after="0"/>
              <w:rPr>
                <w:sz w:val="9"/>
                <w:szCs w:val="9"/>
                <w:color w:val="auto"/>
              </w:rPr>
            </w:pPr>
          </w:p>
        </w:tc>
        <w:tc>
          <w:tcPr>
            <w:tcW w:w="20" w:type="dxa"/>
            <w:vAlign w:val="bottom"/>
            <w:tcBorders>
              <w:top w:val="single" w:sz="8" w:color="CCEEFF"/>
              <w:bottom w:val="single" w:sz="8" w:color="0000FF"/>
            </w:tcBorders>
            <w:shd w:val="clear" w:color="auto" w:fill="CCEEFF"/>
          </w:tcPr>
          <w:p>
            <w:pPr>
              <w:spacing w:after="0"/>
              <w:rPr>
                <w:sz w:val="9"/>
                <w:szCs w:val="9"/>
                <w:color w:val="auto"/>
              </w:rPr>
            </w:pPr>
          </w:p>
        </w:tc>
        <w:tc>
          <w:tcPr>
            <w:tcW w:w="20" w:type="dxa"/>
            <w:vAlign w:val="bottom"/>
            <w:tcBorders>
              <w:top w:val="single" w:sz="8" w:color="CCEEFF"/>
              <w:bottom w:val="single" w:sz="8" w:color="0000FF"/>
            </w:tcBorders>
            <w:gridSpan w:val="3"/>
            <w:shd w:val="clear" w:color="auto" w:fill="CCEEFF"/>
          </w:tcPr>
          <w:p>
            <w:pPr>
              <w:spacing w:after="0"/>
              <w:rPr>
                <w:sz w:val="9"/>
                <w:szCs w:val="9"/>
                <w:color w:val="auto"/>
              </w:rPr>
            </w:pPr>
          </w:p>
        </w:tc>
        <w:tc>
          <w:tcPr>
            <w:tcW w:w="80" w:type="dxa"/>
            <w:vAlign w:val="bottom"/>
            <w:tcBorders>
              <w:top w:val="single" w:sz="8" w:color="CCEEFF"/>
              <w:bottom w:val="single" w:sz="8" w:color="CCEEFF"/>
            </w:tcBorders>
            <w:gridSpan w:val="4"/>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820" w:type="dxa"/>
            <w:vAlign w:val="bottom"/>
            <w:tcBorders>
              <w:top w:val="single" w:sz="8" w:color="CCEEFF"/>
              <w:bottom w:val="single" w:sz="8" w:color="CCEEFF"/>
            </w:tcBorders>
            <w:shd w:val="clear" w:color="auto" w:fill="CCEEFF"/>
          </w:tcPr>
          <w:p>
            <w:pPr>
              <w:spacing w:after="0"/>
              <w:rPr>
                <w:sz w:val="9"/>
                <w:szCs w:val="9"/>
                <w:color w:val="auto"/>
              </w:rPr>
            </w:pPr>
          </w:p>
        </w:tc>
        <w:tc>
          <w:tcPr>
            <w:tcW w:w="1380" w:type="dxa"/>
            <w:vAlign w:val="bottom"/>
            <w:tcBorders>
              <w:top w:val="single" w:sz="8" w:color="CCEEFF"/>
              <w:bottom w:val="single" w:sz="8" w:color="CCEEFF"/>
            </w:tcBorders>
            <w:shd w:val="clear" w:color="auto" w:fill="CCEEFF"/>
          </w:tcPr>
          <w:p>
            <w:pPr>
              <w:spacing w:after="0"/>
              <w:rPr>
                <w:sz w:val="9"/>
                <w:szCs w:val="9"/>
                <w:color w:val="auto"/>
              </w:rPr>
            </w:pPr>
          </w:p>
        </w:tc>
        <w:tc>
          <w:tcPr>
            <w:tcW w:w="1200" w:type="dxa"/>
            <w:vAlign w:val="bottom"/>
            <w:tcBorders>
              <w:top w:val="single" w:sz="8" w:color="CCEEFF"/>
              <w:bottom w:val="single" w:sz="8" w:color="CCEEFF"/>
            </w:tcBorders>
            <w:shd w:val="clear" w:color="auto" w:fill="CCEEFF"/>
          </w:tcPr>
          <w:p>
            <w:pPr>
              <w:spacing w:after="0"/>
              <w:rPr>
                <w:sz w:val="9"/>
                <w:szCs w:val="9"/>
                <w:color w:val="auto"/>
              </w:rPr>
            </w:pPr>
          </w:p>
        </w:tc>
      </w:tr>
      <w:tr>
        <w:trPr>
          <w:trHeight w:val="126"/>
        </w:trPr>
        <w:tc>
          <w:tcPr>
            <w:tcW w:w="1000" w:type="dxa"/>
            <w:vAlign w:val="bottom"/>
            <w:shd w:val="clear" w:color="auto" w:fill="CCEEFF"/>
          </w:tcPr>
          <w:p>
            <w:pPr>
              <w:spacing w:after="0"/>
              <w:rPr>
                <w:sz w:val="10"/>
                <w:szCs w:val="10"/>
                <w:color w:val="auto"/>
              </w:rPr>
            </w:pPr>
          </w:p>
        </w:tc>
        <w:tc>
          <w:tcPr>
            <w:tcW w:w="5840" w:type="dxa"/>
            <w:vAlign w:val="bottom"/>
            <w:gridSpan w:val="38"/>
            <w:shd w:val="clear" w:color="auto" w:fill="CCEEFF"/>
          </w:tcPr>
          <w:p>
            <w:pPr>
              <w:spacing w:after="0" w:line="126"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Midco LLC (f/k/a DiscoverOrg Midco, LLC), a Delaware limited liability company (“Holdings”), the</w:t>
              </w:r>
            </w:hyperlink>
          </w:p>
        </w:tc>
        <w:tc>
          <w:tcPr>
            <w:tcW w:w="18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26"/>
        </w:trPr>
        <w:tc>
          <w:tcPr>
            <w:tcW w:w="1000" w:type="dxa"/>
            <w:vAlign w:val="bottom"/>
            <w:tcBorders>
              <w:top w:val="single" w:sz="8" w:color="CCEEFF"/>
            </w:tcBorders>
            <w:shd w:val="clear" w:color="auto" w:fill="CCEEFF"/>
          </w:tcPr>
          <w:p>
            <w:pPr>
              <w:spacing w:after="0"/>
              <w:rPr>
                <w:sz w:val="10"/>
                <w:szCs w:val="10"/>
                <w:color w:val="auto"/>
              </w:rPr>
            </w:pPr>
          </w:p>
        </w:tc>
        <w:tc>
          <w:tcPr>
            <w:tcW w:w="5800" w:type="dxa"/>
            <w:vAlign w:val="bottom"/>
            <w:tcBorders>
              <w:top w:val="single" w:sz="8" w:color="0000FF"/>
            </w:tcBorders>
            <w:gridSpan w:val="36"/>
            <w:shd w:val="clear" w:color="auto" w:fill="CCEEFF"/>
          </w:tcPr>
          <w:p>
            <w:pPr>
              <w:spacing w:after="0" w:line="126"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other guarantors party thereto, each lender and L/C issuer party thereto, and Morgan Stanley Senior</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r>
      <w:tr>
        <w:trPr>
          <w:trHeight w:val="113"/>
        </w:trPr>
        <w:tc>
          <w:tcPr>
            <w:tcW w:w="1000" w:type="dxa"/>
            <w:vAlign w:val="bottom"/>
            <w:tcBorders>
              <w:top w:val="single" w:sz="8" w:color="CCEEFF"/>
            </w:tcBorders>
            <w:shd w:val="clear" w:color="auto" w:fill="CCEEFF"/>
          </w:tcPr>
          <w:p>
            <w:pPr>
              <w:spacing w:after="0"/>
              <w:rPr>
                <w:sz w:val="9"/>
                <w:szCs w:val="9"/>
                <w:color w:val="auto"/>
              </w:rPr>
            </w:pPr>
          </w:p>
        </w:tc>
        <w:tc>
          <w:tcPr>
            <w:tcW w:w="5680" w:type="dxa"/>
            <w:vAlign w:val="bottom"/>
            <w:tcBorders>
              <w:top w:val="single" w:sz="8" w:color="0000FF"/>
            </w:tcBorders>
            <w:gridSpan w:val="28"/>
            <w:shd w:val="clear" w:color="auto" w:fill="CCEEFF"/>
          </w:tcPr>
          <w:p>
            <w:pPr>
              <w:spacing w:after="0" w:line="113" w:lineRule="exact"/>
              <w:rPr>
                <w:rFonts w:ascii="Times New Roman" w:cs="Times New Roman" w:eastAsia="Times New Roman" w:hAnsi="Times New Roman"/>
                <w:sz w:val="13"/>
                <w:szCs w:val="13"/>
                <w:color w:val="0000FF"/>
              </w:rPr>
            </w:pPr>
            <w:hyperlink r:id="rId194">
              <w:r>
                <w:rPr>
                  <w:rFonts w:ascii="Times New Roman" w:cs="Times New Roman" w:eastAsia="Times New Roman" w:hAnsi="Times New Roman"/>
                  <w:sz w:val="13"/>
                  <w:szCs w:val="13"/>
                  <w:color w:val="0000FF"/>
                </w:rPr>
                <w:t>Funding, Inc., as administrative agent, collateral agent and L/C issuer</w:t>
              </w:r>
            </w:hyperlink>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gridSpan w:val="3"/>
            <w:shd w:val="clear" w:color="auto" w:fill="CCEEFF"/>
          </w:tcPr>
          <w:p>
            <w:pPr>
              <w:spacing w:after="0"/>
              <w:rPr>
                <w:sz w:val="9"/>
                <w:szCs w:val="9"/>
                <w:color w:val="auto"/>
              </w:rPr>
            </w:pPr>
          </w:p>
        </w:tc>
        <w:tc>
          <w:tcPr>
            <w:tcW w:w="80" w:type="dxa"/>
            <w:vAlign w:val="bottom"/>
            <w:tcBorders>
              <w:top w:val="single" w:sz="8" w:color="CCEEFF"/>
            </w:tcBorders>
            <w:gridSpan w:val="4"/>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820" w:type="dxa"/>
            <w:vAlign w:val="bottom"/>
            <w:tcBorders>
              <w:top w:val="single" w:sz="8" w:color="CCEEFF"/>
            </w:tcBorders>
            <w:shd w:val="clear" w:color="auto" w:fill="CCEEFF"/>
          </w:tcPr>
          <w:p>
            <w:pPr>
              <w:spacing w:after="0"/>
              <w:rPr>
                <w:sz w:val="9"/>
                <w:szCs w:val="9"/>
                <w:color w:val="auto"/>
              </w:rPr>
            </w:pPr>
          </w:p>
        </w:tc>
        <w:tc>
          <w:tcPr>
            <w:tcW w:w="138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CCEEFF"/>
            </w:tcBorders>
            <w:shd w:val="clear" w:color="auto" w:fill="CCEEFF"/>
          </w:tcPr>
          <w:p>
            <w:pPr>
              <w:spacing w:after="0"/>
              <w:rPr>
                <w:sz w:val="9"/>
                <w:szCs w:val="9"/>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7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10.22</w:t>
            </w:r>
          </w:p>
        </w:tc>
        <w:tc>
          <w:tcPr>
            <w:tcW w:w="5840" w:type="dxa"/>
            <w:vAlign w:val="bottom"/>
            <w:gridSpan w:val="38"/>
          </w:tcPr>
          <w:p>
            <w:pPr>
              <w:spacing w:after="0" w:line="146"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First Lien Security Agreement, dated as of February 1, 2019, among DiscoverOrg, LLC, DiscoverOrg</w:t>
              </w:r>
            </w:hyperlink>
          </w:p>
        </w:tc>
        <w:tc>
          <w:tcPr>
            <w:tcW w:w="1820" w:type="dxa"/>
            <w:vAlign w:val="bottom"/>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10.12</w:t>
            </w:r>
          </w:p>
        </w:tc>
      </w:tr>
      <w:tr>
        <w:trPr>
          <w:trHeight w:val="126"/>
        </w:trPr>
        <w:tc>
          <w:tcPr>
            <w:tcW w:w="1000" w:type="dxa"/>
            <w:vAlign w:val="bottom"/>
          </w:tcPr>
          <w:p>
            <w:pPr>
              <w:spacing w:after="0"/>
              <w:rPr>
                <w:sz w:val="10"/>
                <w:szCs w:val="10"/>
                <w:color w:val="auto"/>
              </w:rPr>
            </w:pPr>
          </w:p>
        </w:tc>
        <w:tc>
          <w:tcPr>
            <w:tcW w:w="5820" w:type="dxa"/>
            <w:vAlign w:val="bottom"/>
            <w:tcBorders>
              <w:top w:val="single" w:sz="8" w:color="0000FF"/>
            </w:tcBorders>
            <w:gridSpan w:val="37"/>
          </w:tcPr>
          <w:p>
            <w:pPr>
              <w:spacing w:after="0" w:line="126"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Midco, LLC, the grantors party thereto from time to time and Morgan Stanley Senior Funding, Inc.,</w:t>
              </w:r>
            </w:hyperlink>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13"/>
        </w:trPr>
        <w:tc>
          <w:tcPr>
            <w:tcW w:w="1000" w:type="dxa"/>
            <w:vAlign w:val="bottom"/>
          </w:tcPr>
          <w:p>
            <w:pPr>
              <w:spacing w:after="0"/>
              <w:rPr>
                <w:sz w:val="9"/>
                <w:szCs w:val="9"/>
                <w:color w:val="auto"/>
              </w:rPr>
            </w:pPr>
          </w:p>
        </w:tc>
        <w:tc>
          <w:tcPr>
            <w:tcW w:w="5720" w:type="dxa"/>
            <w:vAlign w:val="bottom"/>
            <w:tcBorders>
              <w:top w:val="single" w:sz="8" w:color="0000FF"/>
            </w:tcBorders>
            <w:gridSpan w:val="30"/>
          </w:tcPr>
          <w:p>
            <w:pPr>
              <w:spacing w:after="0" w:line="113" w:lineRule="exact"/>
              <w:rPr>
                <w:rFonts w:ascii="Times New Roman" w:cs="Times New Roman" w:eastAsia="Times New Roman" w:hAnsi="Times New Roman"/>
                <w:sz w:val="13"/>
                <w:szCs w:val="13"/>
                <w:color w:val="0000FF"/>
              </w:rPr>
            </w:pPr>
            <w:hyperlink r:id="rId195">
              <w:r>
                <w:rPr>
                  <w:rFonts w:ascii="Times New Roman" w:cs="Times New Roman" w:eastAsia="Times New Roman" w:hAnsi="Times New Roman"/>
                  <w:sz w:val="13"/>
                  <w:szCs w:val="13"/>
                  <w:color w:val="0000FF"/>
                </w:rPr>
                <w:t>as collateral agent</w:t>
              </w:r>
            </w:hyperlink>
          </w:p>
        </w:tc>
        <w:tc>
          <w:tcPr>
            <w:tcW w:w="20" w:type="dxa"/>
            <w:vAlign w:val="bottom"/>
            <w:gridSpan w:val="3"/>
          </w:tcPr>
          <w:p>
            <w:pPr>
              <w:spacing w:after="0"/>
              <w:rPr>
                <w:sz w:val="9"/>
                <w:szCs w:val="9"/>
                <w:color w:val="auto"/>
              </w:rPr>
            </w:pPr>
          </w:p>
        </w:tc>
        <w:tc>
          <w:tcPr>
            <w:tcW w:w="100" w:type="dxa"/>
            <w:vAlign w:val="bottom"/>
            <w:gridSpan w:val="5"/>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33"/>
        </w:trPr>
        <w:tc>
          <w:tcPr>
            <w:tcW w:w="100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46"/>
        </w:trPr>
        <w:tc>
          <w:tcPr>
            <w:tcW w:w="10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10.23</w:t>
            </w:r>
          </w:p>
        </w:tc>
        <w:tc>
          <w:tcPr>
            <w:tcW w:w="5840" w:type="dxa"/>
            <w:vAlign w:val="bottom"/>
            <w:gridSpan w:val="38"/>
            <w:shd w:val="clear" w:color="auto" w:fill="CCEEFF"/>
          </w:tcPr>
          <w:p>
            <w:pPr>
              <w:spacing w:after="0" w:line="146"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First Lien Holdings Guaranty, dated as of February 1, 2019, among DiscoverOrg Midco, LLC and</w:t>
              </w:r>
            </w:hyperlink>
          </w:p>
        </w:tc>
        <w:tc>
          <w:tcPr>
            <w:tcW w:w="1820" w:type="dxa"/>
            <w:vAlign w:val="bottom"/>
            <w:shd w:val="clear" w:color="auto" w:fill="CCEEFF"/>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shd w:val="clear" w:color="auto" w:fill="CCEEFF"/>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10.13</w:t>
            </w:r>
          </w:p>
        </w:tc>
      </w:tr>
      <w:tr>
        <w:trPr>
          <w:trHeight w:val="145"/>
        </w:trPr>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3480" w:type="dxa"/>
            <w:vAlign w:val="bottom"/>
            <w:tcBorders>
              <w:top w:val="single" w:sz="8" w:color="0000FF"/>
              <w:bottom w:val="single" w:sz="8" w:color="0000FF"/>
            </w:tcBorders>
            <w:gridSpan w:val="6"/>
            <w:shd w:val="clear" w:color="auto" w:fill="CCEEFF"/>
          </w:tcPr>
          <w:p>
            <w:pPr>
              <w:spacing w:after="0" w:line="126"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Morgan Stanley Senior Funding, Inc., as administrative agent</w:t>
              </w:r>
            </w:hyperlink>
          </w:p>
        </w:tc>
        <w:tc>
          <w:tcPr>
            <w:tcW w:w="2060" w:type="dxa"/>
            <w:vAlign w:val="bottom"/>
            <w:tcBorders>
              <w:top w:val="single" w:sz="8" w:color="0000FF"/>
              <w:bottom w:val="single" w:sz="8" w:color="CCEEFF"/>
            </w:tcBorders>
            <w:gridSpan w:val="15"/>
            <w:shd w:val="clear" w:color="auto" w:fill="CCEEFF"/>
          </w:tcPr>
          <w:p>
            <w:pPr>
              <w:spacing w:after="0"/>
              <w:rPr>
                <w:sz w:val="12"/>
                <w:szCs w:val="12"/>
                <w:color w:val="auto"/>
              </w:rPr>
            </w:pPr>
          </w:p>
        </w:tc>
        <w:tc>
          <w:tcPr>
            <w:tcW w:w="160" w:type="dxa"/>
            <w:vAlign w:val="bottom"/>
            <w:tcBorders>
              <w:top w:val="single" w:sz="8" w:color="CCEEFF"/>
              <w:bottom w:val="single" w:sz="8" w:color="CCEEFF"/>
            </w:tcBorders>
            <w:gridSpan w:val="8"/>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5"/>
            <w:shd w:val="clear" w:color="auto" w:fill="CCEEFF"/>
          </w:tcPr>
          <w:p>
            <w:pPr>
              <w:spacing w:after="0"/>
              <w:rPr>
                <w:sz w:val="12"/>
                <w:szCs w:val="12"/>
                <w:color w:val="auto"/>
              </w:rPr>
            </w:pPr>
          </w:p>
        </w:tc>
        <w:tc>
          <w:tcPr>
            <w:tcW w:w="1820" w:type="dxa"/>
            <w:vAlign w:val="bottom"/>
            <w:tcBorders>
              <w:top w:val="single" w:sz="8" w:color="CCEEFF"/>
              <w:bottom w:val="single" w:sz="8" w:color="CCEEFF"/>
            </w:tcBorders>
            <w:shd w:val="clear" w:color="auto" w:fill="CCEEFF"/>
          </w:tcPr>
          <w:p>
            <w:pPr>
              <w:spacing w:after="0"/>
              <w:rPr>
                <w:sz w:val="12"/>
                <w:szCs w:val="12"/>
                <w:color w:val="auto"/>
              </w:rPr>
            </w:pPr>
          </w:p>
        </w:tc>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2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10.24</w:t>
            </w:r>
          </w:p>
        </w:tc>
        <w:tc>
          <w:tcPr>
            <w:tcW w:w="5840" w:type="dxa"/>
            <w:vAlign w:val="bottom"/>
            <w:gridSpan w:val="38"/>
          </w:tcPr>
          <w:p>
            <w:pPr>
              <w:spacing w:after="0" w:line="146"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First Lien Subsidiary Guaranty, dated as of February 1, 2019, among the guarantors party thereto and</w:t>
              </w:r>
            </w:hyperlink>
          </w:p>
        </w:tc>
        <w:tc>
          <w:tcPr>
            <w:tcW w:w="1820" w:type="dxa"/>
            <w:vAlign w:val="bottom"/>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10.14</w:t>
            </w:r>
          </w:p>
        </w:tc>
      </w:tr>
      <w:tr>
        <w:trPr>
          <w:trHeight w:val="126"/>
        </w:trPr>
        <w:tc>
          <w:tcPr>
            <w:tcW w:w="1000" w:type="dxa"/>
            <w:vAlign w:val="bottom"/>
          </w:tcPr>
          <w:p>
            <w:pPr>
              <w:spacing w:after="0"/>
              <w:rPr>
                <w:sz w:val="10"/>
                <w:szCs w:val="10"/>
                <w:color w:val="auto"/>
              </w:rPr>
            </w:pPr>
          </w:p>
        </w:tc>
        <w:tc>
          <w:tcPr>
            <w:tcW w:w="3480" w:type="dxa"/>
            <w:vAlign w:val="bottom"/>
            <w:tcBorders>
              <w:top w:val="single" w:sz="8" w:color="0000FF"/>
              <w:bottom w:val="single" w:sz="8" w:color="0000FF"/>
            </w:tcBorders>
            <w:gridSpan w:val="6"/>
          </w:tcPr>
          <w:p>
            <w:pPr>
              <w:spacing w:after="0" w:line="126"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Morgan Stanley Senior Funding, Inc., as administrative agent</w:t>
              </w:r>
            </w:hyperlink>
          </w:p>
        </w:tc>
        <w:tc>
          <w:tcPr>
            <w:tcW w:w="2260" w:type="dxa"/>
            <w:vAlign w:val="bottom"/>
            <w:tcBorders>
              <w:top w:val="single" w:sz="8" w:color="0000FF"/>
            </w:tcBorders>
            <w:gridSpan w:val="27"/>
          </w:tcPr>
          <w:p>
            <w:pPr>
              <w:spacing w:after="0"/>
              <w:rPr>
                <w:sz w:val="10"/>
                <w:szCs w:val="10"/>
                <w:color w:val="auto"/>
              </w:rPr>
            </w:pPr>
          </w:p>
        </w:tc>
        <w:tc>
          <w:tcPr>
            <w:tcW w:w="100" w:type="dxa"/>
            <w:vAlign w:val="bottom"/>
            <w:gridSpan w:val="5"/>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66"/>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w:t>
            </w:r>
          </w:p>
        </w:tc>
        <w:tc>
          <w:tcPr>
            <w:tcW w:w="502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First Lien Intercompany Subordination Agreement, dated as of February 1, 2019, among</w:t>
              </w:r>
            </w:hyperlink>
          </w:p>
        </w:tc>
        <w:tc>
          <w:tcPr>
            <w:tcW w:w="820" w:type="dxa"/>
            <w:vAlign w:val="bottom"/>
            <w:gridSpan w:val="28"/>
          </w:tcPr>
          <w:p>
            <w:pPr>
              <w:spacing w:after="0"/>
              <w:rPr>
                <w:sz w:val="14"/>
                <w:szCs w:val="14"/>
                <w:color w:val="auto"/>
              </w:rPr>
            </w:pPr>
          </w:p>
        </w:tc>
        <w:tc>
          <w:tcPr>
            <w:tcW w:w="182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10.15</w:t>
            </w:r>
          </w:p>
        </w:tc>
      </w:tr>
      <w:tr>
        <w:trPr>
          <w:trHeight w:val="126"/>
        </w:trPr>
        <w:tc>
          <w:tcPr>
            <w:tcW w:w="1000" w:type="dxa"/>
            <w:vAlign w:val="bottom"/>
          </w:tcPr>
          <w:p>
            <w:pPr>
              <w:spacing w:after="0"/>
              <w:rPr>
                <w:sz w:val="10"/>
                <w:szCs w:val="10"/>
                <w:color w:val="auto"/>
              </w:rPr>
            </w:pPr>
          </w:p>
        </w:tc>
        <w:tc>
          <w:tcPr>
            <w:tcW w:w="5840" w:type="dxa"/>
            <w:vAlign w:val="bottom"/>
            <w:gridSpan w:val="38"/>
          </w:tcPr>
          <w:p>
            <w:pPr>
              <w:spacing w:after="0" w:line="126"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DiscoverOrg, LLC, DiscoverOrg Midco, LLC, the subordinated creditors and obligors party thereto</w:t>
              </w:r>
            </w:hyperlink>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19"/>
        </w:trPr>
        <w:tc>
          <w:tcPr>
            <w:tcW w:w="1000" w:type="dxa"/>
            <w:vAlign w:val="bottom"/>
          </w:tcPr>
          <w:p>
            <w:pPr>
              <w:spacing w:after="0"/>
              <w:rPr>
                <w:sz w:val="10"/>
                <w:szCs w:val="10"/>
                <w:color w:val="auto"/>
              </w:rPr>
            </w:pPr>
          </w:p>
        </w:tc>
        <w:tc>
          <w:tcPr>
            <w:tcW w:w="5700" w:type="dxa"/>
            <w:vAlign w:val="bottom"/>
            <w:tcBorders>
              <w:top w:val="single" w:sz="8" w:color="0000FF"/>
            </w:tcBorders>
            <w:gridSpan w:val="29"/>
          </w:tcPr>
          <w:p>
            <w:pPr>
              <w:spacing w:after="0" w:line="119" w:lineRule="exact"/>
              <w:rPr>
                <w:rFonts w:ascii="Times New Roman" w:cs="Times New Roman" w:eastAsia="Times New Roman" w:hAnsi="Times New Roman"/>
                <w:sz w:val="13"/>
                <w:szCs w:val="13"/>
                <w:u w:val="single" w:color="auto"/>
                <w:color w:val="0000FF"/>
              </w:rPr>
            </w:pPr>
            <w:hyperlink r:id="rId198">
              <w:r>
                <w:rPr>
                  <w:rFonts w:ascii="Times New Roman" w:cs="Times New Roman" w:eastAsia="Times New Roman" w:hAnsi="Times New Roman"/>
                  <w:sz w:val="13"/>
                  <w:szCs w:val="13"/>
                  <w:u w:val="single" w:color="auto"/>
                  <w:color w:val="0000FF"/>
                </w:rPr>
                <w:t>from time to time and Morgan Stanley Senior Funding, Inc., as administrative agent and collateral</w:t>
              </w:r>
            </w:hyperlink>
          </w:p>
        </w:tc>
        <w:tc>
          <w:tcPr>
            <w:tcW w:w="140" w:type="dxa"/>
            <w:vAlign w:val="bottom"/>
            <w:gridSpan w:val="9"/>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-273050</wp:posOffset>
            </wp:positionV>
            <wp:extent cx="7134860" cy="395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7134860" cy="395605"/>
                    </a:xfrm>
                    <a:prstGeom prst="rect">
                      <a:avLst/>
                    </a:prstGeom>
                    <a:noFill/>
                  </pic:spPr>
                </pic:pic>
              </a:graphicData>
            </a:graphic>
          </wp:anchor>
        </w:drawing>
      </w:r>
    </w:p>
    <w:p>
      <w:pPr>
        <w:ind w:left="1000"/>
        <w:spacing w:after="0"/>
        <w:rPr>
          <w:rFonts w:ascii="Times New Roman" w:cs="Times New Roman" w:eastAsia="Times New Roman" w:hAnsi="Times New Roman"/>
          <w:sz w:val="14"/>
          <w:szCs w:val="14"/>
          <w:u w:val="single" w:color="auto"/>
          <w:color w:val="0000FF"/>
        </w:rPr>
      </w:pPr>
      <w:hyperlink r:id="rId198">
        <w:r>
          <w:rPr>
            <w:rFonts w:ascii="Times New Roman" w:cs="Times New Roman" w:eastAsia="Times New Roman" w:hAnsi="Times New Roman"/>
            <w:sz w:val="14"/>
            <w:szCs w:val="14"/>
            <w:u w:val="single" w:color="auto"/>
            <w:color w:val="0000FF"/>
          </w:rPr>
          <w:t>agent</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10.26†</w:t>
            </w:r>
          </w:p>
        </w:tc>
        <w:tc>
          <w:tcPr>
            <w:tcW w:w="5800" w:type="dxa"/>
            <w:vAlign w:val="bottom"/>
            <w:gridSpan w:val="14"/>
          </w:tcPr>
          <w:p>
            <w:pPr>
              <w:spacing w:after="0"/>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Employment Agreement, dated as of May 27, 2020, between ZoomInfo Technologies Inc., ZoomInfo</w:t>
              </w:r>
            </w:hyperlink>
          </w:p>
        </w:tc>
        <w:tc>
          <w:tcPr>
            <w:tcW w:w="184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 filed June 8, 2020</w:t>
            </w:r>
          </w:p>
        </w:tc>
        <w:tc>
          <w:tcPr>
            <w:tcW w:w="140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w:t>
            </w:r>
          </w:p>
        </w:tc>
      </w:tr>
      <w:tr>
        <w:trPr>
          <w:trHeight w:val="136"/>
        </w:trPr>
        <w:tc>
          <w:tcPr>
            <w:tcW w:w="1000" w:type="dxa"/>
            <w:vAlign w:val="bottom"/>
          </w:tcPr>
          <w:p>
            <w:pPr>
              <w:spacing w:after="0"/>
              <w:rPr>
                <w:sz w:val="11"/>
                <w:szCs w:val="11"/>
                <w:color w:val="auto"/>
              </w:rPr>
            </w:pPr>
          </w:p>
        </w:tc>
        <w:tc>
          <w:tcPr>
            <w:tcW w:w="1420" w:type="dxa"/>
            <w:vAlign w:val="bottom"/>
            <w:tcBorders>
              <w:top w:val="single" w:sz="8" w:color="0000FF"/>
              <w:bottom w:val="single" w:sz="8" w:color="0000FF"/>
            </w:tcBorders>
            <w:gridSpan w:val="2"/>
          </w:tcPr>
          <w:p>
            <w:pPr>
              <w:spacing w:after="0" w:line="126" w:lineRule="exact"/>
              <w:rPr>
                <w:rFonts w:ascii="Times New Roman" w:cs="Times New Roman" w:eastAsia="Times New Roman" w:hAnsi="Times New Roman"/>
                <w:sz w:val="14"/>
                <w:szCs w:val="14"/>
                <w:color w:val="0000FF"/>
                <w:w w:val="99"/>
              </w:rPr>
            </w:pPr>
            <w:hyperlink r:id="rId201">
              <w:r>
                <w:rPr>
                  <w:rFonts w:ascii="Times New Roman" w:cs="Times New Roman" w:eastAsia="Times New Roman" w:hAnsi="Times New Roman"/>
                  <w:sz w:val="14"/>
                  <w:szCs w:val="14"/>
                  <w:color w:val="0000FF"/>
                  <w:w w:val="99"/>
                </w:rPr>
                <w:t>OpCo and Henry Schuck</w:t>
              </w:r>
            </w:hyperlink>
          </w:p>
        </w:tc>
        <w:tc>
          <w:tcPr>
            <w:tcW w:w="4320" w:type="dxa"/>
            <w:vAlign w:val="bottom"/>
            <w:tcBorders>
              <w:top w:val="single" w:sz="8" w:color="0000FF"/>
            </w:tcBorders>
            <w:gridSpan w:val="11"/>
          </w:tcPr>
          <w:p>
            <w:pPr>
              <w:spacing w:after="0"/>
              <w:rPr>
                <w:sz w:val="11"/>
                <w:szCs w:val="11"/>
                <w:color w:val="auto"/>
              </w:rPr>
            </w:pPr>
          </w:p>
        </w:tc>
        <w:tc>
          <w:tcPr>
            <w:tcW w:w="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56"/>
        </w:trPr>
        <w:tc>
          <w:tcPr>
            <w:tcW w:w="100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10.27†</w:t>
            </w:r>
          </w:p>
        </w:tc>
        <w:tc>
          <w:tcPr>
            <w:tcW w:w="5800" w:type="dxa"/>
            <w:vAlign w:val="bottom"/>
            <w:gridSpan w:val="14"/>
            <w:shd w:val="clear" w:color="auto" w:fill="CCEEFF"/>
          </w:tcPr>
          <w:p>
            <w:pPr>
              <w:spacing w:after="0" w:line="156"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Form of Standard Employee Stock Option Agreement under 2020 Omnibus Incentive Plan</w:t>
              </w:r>
            </w:hyperlink>
          </w:p>
        </w:tc>
        <w:tc>
          <w:tcPr>
            <w:tcW w:w="1840" w:type="dxa"/>
            <w:vAlign w:val="bottom"/>
            <w:shd w:val="clear" w:color="auto" w:fill="CCEEFF"/>
          </w:tcPr>
          <w:p>
            <w:pPr>
              <w:jc w:val="center"/>
              <w:ind w:right="109"/>
              <w:spacing w:after="0" w:line="156" w:lineRule="exact"/>
              <w:rPr>
                <w:sz w:val="20"/>
                <w:szCs w:val="20"/>
                <w:color w:val="auto"/>
              </w:rPr>
            </w:pPr>
            <w:r>
              <w:rPr>
                <w:rFonts w:ascii="Times New Roman" w:cs="Times New Roman" w:eastAsia="Times New Roman" w:hAnsi="Times New Roman"/>
                <w:sz w:val="14"/>
                <w:szCs w:val="14"/>
                <w:color w:val="auto"/>
              </w:rPr>
              <w:t>S-1/A filed May 22, 2020</w:t>
            </w:r>
          </w:p>
        </w:tc>
        <w:tc>
          <w:tcPr>
            <w:tcW w:w="1400" w:type="dxa"/>
            <w:vAlign w:val="bottom"/>
            <w:shd w:val="clear" w:color="auto" w:fill="CCEEFF"/>
          </w:tcPr>
          <w:p>
            <w:pPr>
              <w:jc w:val="center"/>
              <w:ind w:right="89"/>
              <w:spacing w:after="0" w:line="15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10.28</w:t>
            </w: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6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10.28†</w:t>
            </w:r>
          </w:p>
        </w:tc>
        <w:tc>
          <w:tcPr>
            <w:tcW w:w="5800" w:type="dxa"/>
            <w:vAlign w:val="bottom"/>
            <w:gridSpan w:val="14"/>
          </w:tcPr>
          <w:p>
            <w:pPr>
              <w:spacing w:after="0" w:line="146" w:lineRule="exact"/>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Form of Leverage Restoration Stock Option Agreement under 2020 Omnibus Incentive Plan</w:t>
              </w:r>
            </w:hyperlink>
          </w:p>
        </w:tc>
        <w:tc>
          <w:tcPr>
            <w:tcW w:w="184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S-1/A filed May 22, 2020</w:t>
            </w:r>
          </w:p>
        </w:tc>
        <w:tc>
          <w:tcPr>
            <w:tcW w:w="1400" w:type="dxa"/>
            <w:vAlign w:val="bottom"/>
          </w:tcPr>
          <w:p>
            <w:pPr>
              <w:jc w:val="center"/>
              <w:ind w:right="8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10.30</w:t>
            </w:r>
          </w:p>
        </w:tc>
      </w:tr>
      <w:tr>
        <w:trPr>
          <w:trHeight w:val="33"/>
        </w:trPr>
        <w:tc>
          <w:tcPr>
            <w:tcW w:w="1000" w:type="dxa"/>
            <w:vAlign w:val="bottom"/>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46"/>
        </w:trPr>
        <w:tc>
          <w:tcPr>
            <w:tcW w:w="10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10.29†</w:t>
            </w:r>
          </w:p>
        </w:tc>
        <w:tc>
          <w:tcPr>
            <w:tcW w:w="5800" w:type="dxa"/>
            <w:vAlign w:val="bottom"/>
            <w:gridSpan w:val="14"/>
            <w:shd w:val="clear" w:color="auto" w:fill="CCEEFF"/>
          </w:tcPr>
          <w:p>
            <w:pPr>
              <w:spacing w:after="0" w:line="146" w:lineRule="exact"/>
              <w:rPr>
                <w:rFonts w:ascii="Times New Roman" w:cs="Times New Roman" w:eastAsia="Times New Roman" w:hAnsi="Times New Roman"/>
                <w:sz w:val="14"/>
                <w:szCs w:val="14"/>
                <w:color w:val="0000FF"/>
              </w:rPr>
            </w:pPr>
            <w:hyperlink r:id="rId204">
              <w:r>
                <w:rPr>
                  <w:rFonts w:ascii="Times New Roman" w:cs="Times New Roman" w:eastAsia="Times New Roman" w:hAnsi="Times New Roman"/>
                  <w:sz w:val="14"/>
                  <w:szCs w:val="14"/>
                  <w:color w:val="0000FF"/>
                </w:rPr>
                <w:t>Form of Standard Employee Restricted Stock Unit Agreement under 2020 Omnibus Incentive Plan</w:t>
              </w:r>
            </w:hyperlink>
          </w:p>
        </w:tc>
        <w:tc>
          <w:tcPr>
            <w:tcW w:w="1840" w:type="dxa"/>
            <w:vAlign w:val="bottom"/>
            <w:shd w:val="clear" w:color="auto" w:fill="CCEEFF"/>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10-K filed February 16,</w:t>
            </w:r>
          </w:p>
        </w:tc>
        <w:tc>
          <w:tcPr>
            <w:tcW w:w="1400" w:type="dxa"/>
            <w:vAlign w:val="bottom"/>
            <w:shd w:val="clear" w:color="auto" w:fill="CCEEFF"/>
          </w:tcPr>
          <w:p>
            <w:pPr>
              <w:jc w:val="center"/>
              <w:ind w:right="8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10.30</w:t>
            </w:r>
          </w:p>
        </w:tc>
      </w:tr>
      <w:tr>
        <w:trPr>
          <w:trHeight w:val="166"/>
        </w:trPr>
        <w:tc>
          <w:tcPr>
            <w:tcW w:w="10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0000FF"/>
            </w:tcBorders>
            <w:shd w:val="clear" w:color="auto" w:fill="CCEEFF"/>
          </w:tcPr>
          <w:p>
            <w:pPr>
              <w:spacing w:after="0"/>
              <w:rPr>
                <w:sz w:val="14"/>
                <w:szCs w:val="14"/>
                <w:color w:val="auto"/>
              </w:rPr>
            </w:pPr>
          </w:p>
        </w:tc>
        <w:tc>
          <w:tcPr>
            <w:tcW w:w="60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36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right w:val="single" w:sz="8" w:color="CCEE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jc w:val="center"/>
              <w:ind w:right="89"/>
              <w:spacing w:after="0"/>
              <w:rPr>
                <w:sz w:val="20"/>
                <w:szCs w:val="20"/>
                <w:color w:val="auto"/>
              </w:rPr>
            </w:pPr>
            <w:r>
              <w:rPr>
                <w:rFonts w:ascii="Times New Roman" w:cs="Times New Roman" w:eastAsia="Times New Roman" w:hAnsi="Times New Roman"/>
                <w:sz w:val="14"/>
                <w:szCs w:val="14"/>
                <w:color w:val="auto"/>
                <w:w w:val="99"/>
              </w:rPr>
              <w:t>2023</w:t>
            </w:r>
          </w:p>
        </w:tc>
        <w:tc>
          <w:tcPr>
            <w:tcW w:w="14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10.30†</w:t>
            </w:r>
          </w:p>
        </w:tc>
        <w:tc>
          <w:tcPr>
            <w:tcW w:w="5800" w:type="dxa"/>
            <w:vAlign w:val="bottom"/>
            <w:gridSpan w:val="14"/>
          </w:tcPr>
          <w:p>
            <w:pPr>
              <w:spacing w:after="0" w:line="146" w:lineRule="exact"/>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Form of Non-Employee Director Annual Restricted Stock Unit Agreement under 2020 Omnibus</w:t>
              </w:r>
            </w:hyperlink>
          </w:p>
        </w:tc>
        <w:tc>
          <w:tcPr>
            <w:tcW w:w="184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S-1/A filed May 22, 2020</w:t>
            </w:r>
          </w:p>
        </w:tc>
        <w:tc>
          <w:tcPr>
            <w:tcW w:w="1400" w:type="dxa"/>
            <w:vAlign w:val="bottom"/>
          </w:tcPr>
          <w:p>
            <w:pPr>
              <w:jc w:val="center"/>
              <w:ind w:right="8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10.32</w:t>
            </w:r>
          </w:p>
        </w:tc>
      </w:tr>
      <w:tr>
        <w:trPr>
          <w:trHeight w:val="136"/>
        </w:trPr>
        <w:tc>
          <w:tcPr>
            <w:tcW w:w="1000" w:type="dxa"/>
            <w:vAlign w:val="bottom"/>
          </w:tcPr>
          <w:p>
            <w:pPr>
              <w:spacing w:after="0"/>
              <w:rPr>
                <w:sz w:val="11"/>
                <w:szCs w:val="11"/>
                <w:color w:val="auto"/>
              </w:rPr>
            </w:pPr>
          </w:p>
        </w:tc>
        <w:tc>
          <w:tcPr>
            <w:tcW w:w="820" w:type="dxa"/>
            <w:vAlign w:val="bottom"/>
            <w:tcBorders>
              <w:top w:val="single" w:sz="8" w:color="0000FF"/>
              <w:bottom w:val="single" w:sz="8" w:color="0000FF"/>
            </w:tcBorders>
          </w:tcPr>
          <w:p>
            <w:pPr>
              <w:spacing w:after="0" w:line="126" w:lineRule="exact"/>
              <w:rPr>
                <w:rFonts w:ascii="Times New Roman" w:cs="Times New Roman" w:eastAsia="Times New Roman" w:hAnsi="Times New Roman"/>
                <w:sz w:val="14"/>
                <w:szCs w:val="14"/>
                <w:color w:val="0000FF"/>
                <w:w w:val="99"/>
              </w:rPr>
            </w:pPr>
            <w:hyperlink r:id="rId205">
              <w:r>
                <w:rPr>
                  <w:rFonts w:ascii="Times New Roman" w:cs="Times New Roman" w:eastAsia="Times New Roman" w:hAnsi="Times New Roman"/>
                  <w:sz w:val="14"/>
                  <w:szCs w:val="14"/>
                  <w:color w:val="0000FF"/>
                  <w:w w:val="99"/>
                </w:rPr>
                <w:t>Incentive Plan</w:t>
              </w:r>
            </w:hyperlink>
          </w:p>
        </w:tc>
        <w:tc>
          <w:tcPr>
            <w:tcW w:w="4640" w:type="dxa"/>
            <w:vAlign w:val="bottom"/>
            <w:tcBorders>
              <w:top w:val="single" w:sz="8" w:color="0000FF"/>
            </w:tcBorders>
            <w:gridSpan w:val="8"/>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40" w:type="dxa"/>
            <w:vAlign w:val="bottom"/>
            <w:gridSpan w:val="2"/>
          </w:tcPr>
          <w:p>
            <w:pPr>
              <w:spacing w:after="0"/>
              <w:rPr>
                <w:sz w:val="11"/>
                <w:szCs w:val="11"/>
                <w:color w:val="auto"/>
              </w:rPr>
            </w:pPr>
          </w:p>
        </w:tc>
        <w:tc>
          <w:tcPr>
            <w:tcW w:w="18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56"/>
        </w:trPr>
        <w:tc>
          <w:tcPr>
            <w:tcW w:w="100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10.31†</w:t>
            </w:r>
          </w:p>
        </w:tc>
        <w:tc>
          <w:tcPr>
            <w:tcW w:w="5800" w:type="dxa"/>
            <w:vAlign w:val="bottom"/>
            <w:gridSpan w:val="14"/>
            <w:shd w:val="clear" w:color="auto" w:fill="CCEEFF"/>
          </w:tcPr>
          <w:p>
            <w:pPr>
              <w:spacing w:after="0" w:line="156" w:lineRule="exact"/>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Form of Non-Employee Director Sign-On Restricted Stock Unit Agreement under 2020 Omnibus</w:t>
              </w:r>
            </w:hyperlink>
          </w:p>
        </w:tc>
        <w:tc>
          <w:tcPr>
            <w:tcW w:w="1840" w:type="dxa"/>
            <w:vAlign w:val="bottom"/>
            <w:shd w:val="clear" w:color="auto" w:fill="CCEEFF"/>
          </w:tcPr>
          <w:p>
            <w:pPr>
              <w:jc w:val="center"/>
              <w:ind w:right="109"/>
              <w:spacing w:after="0" w:line="156" w:lineRule="exact"/>
              <w:rPr>
                <w:sz w:val="20"/>
                <w:szCs w:val="20"/>
                <w:color w:val="auto"/>
              </w:rPr>
            </w:pPr>
            <w:r>
              <w:rPr>
                <w:rFonts w:ascii="Times New Roman" w:cs="Times New Roman" w:eastAsia="Times New Roman" w:hAnsi="Times New Roman"/>
                <w:sz w:val="14"/>
                <w:szCs w:val="14"/>
                <w:color w:val="auto"/>
              </w:rPr>
              <w:t>S-1/A filed May 22, 2020</w:t>
            </w:r>
          </w:p>
        </w:tc>
        <w:tc>
          <w:tcPr>
            <w:tcW w:w="1400" w:type="dxa"/>
            <w:vAlign w:val="bottom"/>
            <w:shd w:val="clear" w:color="auto" w:fill="CCEEFF"/>
          </w:tcPr>
          <w:p>
            <w:pPr>
              <w:jc w:val="center"/>
              <w:ind w:right="89"/>
              <w:spacing w:after="0" w:line="15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10.33</w:t>
            </w:r>
          </w:p>
        </w:tc>
      </w:tr>
      <w:tr>
        <w:trPr>
          <w:trHeight w:val="146"/>
        </w:trPr>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0000FF"/>
              <w:bottom w:val="single" w:sz="8" w:color="0000FF"/>
            </w:tcBorders>
            <w:shd w:val="clear" w:color="auto" w:fill="CCEEFF"/>
          </w:tcPr>
          <w:p>
            <w:pPr>
              <w:spacing w:after="0" w:line="126" w:lineRule="exact"/>
              <w:rPr>
                <w:rFonts w:ascii="Times New Roman" w:cs="Times New Roman" w:eastAsia="Times New Roman" w:hAnsi="Times New Roman"/>
                <w:sz w:val="14"/>
                <w:szCs w:val="14"/>
                <w:color w:val="0000FF"/>
                <w:w w:val="99"/>
              </w:rPr>
            </w:pPr>
            <w:hyperlink r:id="rId206">
              <w:r>
                <w:rPr>
                  <w:rFonts w:ascii="Times New Roman" w:cs="Times New Roman" w:eastAsia="Times New Roman" w:hAnsi="Times New Roman"/>
                  <w:sz w:val="14"/>
                  <w:szCs w:val="14"/>
                  <w:color w:val="0000FF"/>
                  <w:w w:val="99"/>
                </w:rPr>
                <w:t>Incentive Plan</w:t>
              </w:r>
            </w:hyperlink>
          </w:p>
        </w:tc>
        <w:tc>
          <w:tcPr>
            <w:tcW w:w="4700" w:type="dxa"/>
            <w:vAlign w:val="bottom"/>
            <w:tcBorders>
              <w:top w:val="single" w:sz="8" w:color="0000FF"/>
              <w:bottom w:val="single" w:sz="8" w:color="CCEEFF"/>
            </w:tcBorders>
            <w:gridSpan w:val="9"/>
            <w:shd w:val="clear" w:color="auto" w:fill="CCEEFF"/>
          </w:tcPr>
          <w:p>
            <w:pPr>
              <w:spacing w:after="0"/>
              <w:rPr>
                <w:sz w:val="12"/>
                <w:szCs w:val="12"/>
                <w:color w:val="auto"/>
              </w:rPr>
            </w:pPr>
          </w:p>
        </w:tc>
        <w:tc>
          <w:tcPr>
            <w:tcW w:w="1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840" w:type="dxa"/>
            <w:vAlign w:val="bottom"/>
            <w:tcBorders>
              <w:top w:val="single" w:sz="8" w:color="CCEEFF"/>
              <w:bottom w:val="single" w:sz="8" w:color="CCEEFF"/>
            </w:tcBorders>
            <w:shd w:val="clear" w:color="auto" w:fill="CCEEFF"/>
          </w:tcPr>
          <w:p>
            <w:pPr>
              <w:spacing w:after="0"/>
              <w:rPr>
                <w:sz w:val="12"/>
                <w:szCs w:val="12"/>
                <w:color w:val="auto"/>
              </w:rPr>
            </w:pPr>
          </w:p>
        </w:tc>
        <w:tc>
          <w:tcPr>
            <w:tcW w:w="1400" w:type="dxa"/>
            <w:vAlign w:val="bottom"/>
            <w:tcBorders>
              <w:top w:val="single" w:sz="8" w:color="CCEEFF"/>
              <w:bottom w:val="single" w:sz="8" w:color="CCEEFF"/>
            </w:tcBorders>
            <w:shd w:val="clear" w:color="auto" w:fill="CCEEFF"/>
          </w:tcPr>
          <w:p>
            <w:pPr>
              <w:spacing w:after="0"/>
              <w:rPr>
                <w:sz w:val="12"/>
                <w:szCs w:val="12"/>
                <w:color w:val="auto"/>
              </w:rPr>
            </w:pPr>
          </w:p>
        </w:tc>
        <w:tc>
          <w:tcPr>
            <w:tcW w:w="12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10.32†</w:t>
            </w:r>
          </w:p>
        </w:tc>
        <w:tc>
          <w:tcPr>
            <w:tcW w:w="5800" w:type="dxa"/>
            <w:vAlign w:val="bottom"/>
            <w:gridSpan w:val="14"/>
          </w:tcPr>
          <w:p>
            <w:pPr>
              <w:spacing w:after="0" w:line="146" w:lineRule="exact"/>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Form of Restrictive Covenant Agreement Exhibit to Employee Equity Awards under 2020 Omnibus</w:t>
              </w:r>
            </w:hyperlink>
          </w:p>
        </w:tc>
        <w:tc>
          <w:tcPr>
            <w:tcW w:w="184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S-1/A filed May 22, 2020</w:t>
            </w:r>
          </w:p>
        </w:tc>
        <w:tc>
          <w:tcPr>
            <w:tcW w:w="1400" w:type="dxa"/>
            <w:vAlign w:val="bottom"/>
          </w:tcPr>
          <w:p>
            <w:pPr>
              <w:jc w:val="center"/>
              <w:ind w:right="8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10.36</w:t>
            </w:r>
          </w:p>
        </w:tc>
      </w:tr>
      <w:tr>
        <w:trPr>
          <w:trHeight w:val="136"/>
        </w:trPr>
        <w:tc>
          <w:tcPr>
            <w:tcW w:w="1000" w:type="dxa"/>
            <w:vAlign w:val="bottom"/>
          </w:tcPr>
          <w:p>
            <w:pPr>
              <w:spacing w:after="0"/>
              <w:rPr>
                <w:sz w:val="11"/>
                <w:szCs w:val="11"/>
                <w:color w:val="auto"/>
              </w:rPr>
            </w:pPr>
          </w:p>
        </w:tc>
        <w:tc>
          <w:tcPr>
            <w:tcW w:w="820" w:type="dxa"/>
            <w:vAlign w:val="bottom"/>
            <w:tcBorders>
              <w:top w:val="single" w:sz="8" w:color="0000FF"/>
              <w:bottom w:val="single" w:sz="8" w:color="0000FF"/>
            </w:tcBorders>
          </w:tcPr>
          <w:p>
            <w:pPr>
              <w:spacing w:after="0" w:line="126" w:lineRule="exact"/>
              <w:rPr>
                <w:rFonts w:ascii="Times New Roman" w:cs="Times New Roman" w:eastAsia="Times New Roman" w:hAnsi="Times New Roman"/>
                <w:sz w:val="14"/>
                <w:szCs w:val="14"/>
                <w:color w:val="0000FF"/>
                <w:w w:val="99"/>
              </w:rPr>
            </w:pPr>
            <w:hyperlink r:id="rId207">
              <w:r>
                <w:rPr>
                  <w:rFonts w:ascii="Times New Roman" w:cs="Times New Roman" w:eastAsia="Times New Roman" w:hAnsi="Times New Roman"/>
                  <w:sz w:val="14"/>
                  <w:szCs w:val="14"/>
                  <w:color w:val="0000FF"/>
                  <w:w w:val="99"/>
                </w:rPr>
                <w:t>Incentive Plan</w:t>
              </w:r>
            </w:hyperlink>
          </w:p>
        </w:tc>
        <w:tc>
          <w:tcPr>
            <w:tcW w:w="4840" w:type="dxa"/>
            <w:vAlign w:val="bottom"/>
            <w:tcBorders>
              <w:top w:val="single" w:sz="8" w:color="0000FF"/>
            </w:tcBorders>
            <w:gridSpan w:val="11"/>
          </w:tcPr>
          <w:p>
            <w:pPr>
              <w:spacing w:after="0"/>
              <w:rPr>
                <w:sz w:val="11"/>
                <w:szCs w:val="11"/>
                <w:color w:val="auto"/>
              </w:rPr>
            </w:pPr>
          </w:p>
        </w:tc>
        <w:tc>
          <w:tcPr>
            <w:tcW w:w="140" w:type="dxa"/>
            <w:vAlign w:val="bottom"/>
            <w:gridSpan w:val="2"/>
          </w:tcPr>
          <w:p>
            <w:pPr>
              <w:spacing w:after="0"/>
              <w:rPr>
                <w:sz w:val="11"/>
                <w:szCs w:val="11"/>
                <w:color w:val="auto"/>
              </w:rPr>
            </w:pPr>
          </w:p>
        </w:tc>
        <w:tc>
          <w:tcPr>
            <w:tcW w:w="18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69"/>
        </w:trPr>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10.33†</w:t>
            </w:r>
          </w:p>
        </w:tc>
        <w:tc>
          <w:tcPr>
            <w:tcW w:w="5800" w:type="dxa"/>
            <w:vAlign w:val="bottom"/>
            <w:gridSpan w:val="14"/>
            <w:shd w:val="clear" w:color="auto" w:fill="CCEEFF"/>
          </w:tcPr>
          <w:p>
            <w:pPr>
              <w:spacing w:after="0"/>
              <w:rPr>
                <w:rFonts w:ascii="Times New Roman" w:cs="Times New Roman" w:eastAsia="Times New Roman" w:hAnsi="Times New Roman"/>
                <w:sz w:val="14"/>
                <w:szCs w:val="14"/>
                <w:color w:val="0000FF"/>
              </w:rPr>
            </w:pPr>
            <w:hyperlink r:id="rId208">
              <w:r>
                <w:rPr>
                  <w:rFonts w:ascii="Times New Roman" w:cs="Times New Roman" w:eastAsia="Times New Roman" w:hAnsi="Times New Roman"/>
                  <w:sz w:val="14"/>
                  <w:szCs w:val="14"/>
                  <w:color w:val="0000FF"/>
                </w:rPr>
                <w:t>Form of Performance Restricted Stock Unit Agreement under 2020 Omnibus Incentive Plan</w:t>
              </w:r>
            </w:hyperlink>
          </w:p>
        </w:tc>
        <w:tc>
          <w:tcPr>
            <w:tcW w:w="1840" w:type="dxa"/>
            <w:vAlign w:val="bottom"/>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color w:val="auto"/>
              </w:rPr>
              <w:t>10-Q filed August 4, 2025</w:t>
            </w:r>
          </w:p>
        </w:tc>
        <w:tc>
          <w:tcPr>
            <w:tcW w:w="1400" w:type="dxa"/>
            <w:vAlign w:val="bottom"/>
            <w:shd w:val="clear" w:color="auto" w:fill="CCEEFF"/>
          </w:tcPr>
          <w:p>
            <w:pPr>
              <w:jc w:val="center"/>
              <w:ind w:right="89"/>
              <w:spacing w:after="0"/>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w:t>
            </w:r>
          </w:p>
        </w:tc>
      </w:tr>
      <w:tr>
        <w:trPr>
          <w:trHeight w:val="40"/>
        </w:trPr>
        <w:tc>
          <w:tcPr>
            <w:tcW w:w="1000" w:type="dxa"/>
            <w:vAlign w:val="bottom"/>
            <w:shd w:val="clear" w:color="auto" w:fill="CCEE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36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2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r>
      <w:tr>
        <w:trPr>
          <w:trHeight w:val="152"/>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10.34†</w:t>
            </w:r>
          </w:p>
        </w:tc>
        <w:tc>
          <w:tcPr>
            <w:tcW w:w="5800" w:type="dxa"/>
            <w:vAlign w:val="bottom"/>
            <w:gridSpan w:val="14"/>
          </w:tcPr>
          <w:p>
            <w:pPr>
              <w:spacing w:after="0" w:line="146" w:lineRule="exact"/>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CEO Premium</w:t>
            </w:r>
            <w:hyperlink r:id="rId209">
              <w:r>
                <w:rPr>
                  <w:rFonts w:ascii="Times New Roman" w:cs="Times New Roman" w:eastAsia="Times New Roman" w:hAnsi="Times New Roman"/>
                  <w:sz w:val="14"/>
                  <w:szCs w:val="14"/>
                  <w:color w:val="0000FF"/>
                </w:rPr>
                <w:t xml:space="preserve">-Priced </w:t>
              </w:r>
            </w:hyperlink>
            <w:r>
              <w:rPr>
                <w:rFonts w:ascii="Times New Roman" w:cs="Times New Roman" w:eastAsia="Times New Roman" w:hAnsi="Times New Roman"/>
                <w:sz w:val="14"/>
                <w:szCs w:val="14"/>
                <w:color w:val="0000FF"/>
              </w:rPr>
              <w:t xml:space="preserve">Performance </w:t>
            </w:r>
            <w:hyperlink r:id="rId209">
              <w:r>
                <w:rPr>
                  <w:rFonts w:ascii="Times New Roman" w:cs="Times New Roman" w:eastAsia="Times New Roman" w:hAnsi="Times New Roman"/>
                  <w:sz w:val="14"/>
                  <w:szCs w:val="14"/>
                  <w:color w:val="0000FF"/>
                </w:rPr>
                <w:t xml:space="preserve">Stock Option </w:t>
              </w:r>
            </w:hyperlink>
            <w:r>
              <w:rPr>
                <w:rFonts w:ascii="Times New Roman" w:cs="Times New Roman" w:eastAsia="Times New Roman" w:hAnsi="Times New Roman"/>
                <w:sz w:val="14"/>
                <w:szCs w:val="14"/>
                <w:color w:val="0000FF"/>
              </w:rPr>
              <w:t xml:space="preserve">Award </w:t>
            </w:r>
            <w:hyperlink r:id="rId209">
              <w:r>
                <w:rPr>
                  <w:rFonts w:ascii="Times New Roman" w:cs="Times New Roman" w:eastAsia="Times New Roman" w:hAnsi="Times New Roman"/>
                  <w:sz w:val="14"/>
                  <w:szCs w:val="14"/>
                  <w:color w:val="0000FF"/>
                </w:rPr>
                <w:t>Agreement dated November 26, 2025</w:t>
              </w:r>
            </w:hyperlink>
          </w:p>
        </w:tc>
        <w:tc>
          <w:tcPr>
            <w:tcW w:w="184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9"/>
              </w:rPr>
              <w:t>8-K filed November 28,</w:t>
            </w:r>
          </w:p>
        </w:tc>
        <w:tc>
          <w:tcPr>
            <w:tcW w:w="1400" w:type="dxa"/>
            <w:vAlign w:val="bottom"/>
          </w:tcPr>
          <w:p>
            <w:pPr>
              <w:jc w:val="center"/>
              <w:ind w:right="8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w:t>
            </w:r>
          </w:p>
        </w:tc>
      </w:tr>
      <w:tr>
        <w:trPr>
          <w:trHeight w:val="158"/>
        </w:trPr>
        <w:tc>
          <w:tcPr>
            <w:tcW w:w="1000" w:type="dxa"/>
            <w:vAlign w:val="bottom"/>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jc w:val="center"/>
              <w:ind w:right="89"/>
              <w:spacing w:after="0" w:line="157" w:lineRule="exact"/>
              <w:rPr>
                <w:sz w:val="20"/>
                <w:szCs w:val="20"/>
                <w:color w:val="auto"/>
              </w:rPr>
            </w:pPr>
            <w:r>
              <w:rPr>
                <w:rFonts w:ascii="Times New Roman" w:cs="Times New Roman" w:eastAsia="Times New Roman" w:hAnsi="Times New Roman"/>
                <w:sz w:val="14"/>
                <w:szCs w:val="14"/>
                <w:color w:val="auto"/>
                <w:w w:val="99"/>
              </w:rPr>
              <w:t>2025</w:t>
            </w:r>
          </w:p>
        </w:tc>
        <w:tc>
          <w:tcPr>
            <w:tcW w:w="14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100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10.35†</w:t>
            </w:r>
          </w:p>
        </w:tc>
        <w:tc>
          <w:tcPr>
            <w:tcW w:w="5800" w:type="dxa"/>
            <w:vAlign w:val="bottom"/>
            <w:gridSpan w:val="14"/>
            <w:shd w:val="clear" w:color="auto" w:fill="CCEEFF"/>
          </w:tcPr>
          <w:p>
            <w:pPr>
              <w:spacing w:after="0" w:line="147" w:lineRule="exact"/>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Employment Agreement dated February 11, 2025, between the Company and James Roth</w:t>
              </w:r>
            </w:hyperlink>
          </w:p>
        </w:tc>
        <w:tc>
          <w:tcPr>
            <w:tcW w:w="1840" w:type="dxa"/>
            <w:vAlign w:val="bottom"/>
            <w:shd w:val="clear" w:color="auto" w:fill="CCEEFF"/>
          </w:tcPr>
          <w:p>
            <w:pPr>
              <w:jc w:val="center"/>
              <w:ind w:right="109"/>
              <w:spacing w:after="0" w:line="147" w:lineRule="exact"/>
              <w:rPr>
                <w:sz w:val="20"/>
                <w:szCs w:val="20"/>
                <w:color w:val="auto"/>
              </w:rPr>
            </w:pPr>
            <w:r>
              <w:rPr>
                <w:rFonts w:ascii="Times New Roman" w:cs="Times New Roman" w:eastAsia="Times New Roman" w:hAnsi="Times New Roman"/>
                <w:sz w:val="14"/>
                <w:szCs w:val="14"/>
                <w:color w:val="auto"/>
              </w:rPr>
              <w:t>10-K filed February 25,</w:t>
            </w:r>
          </w:p>
        </w:tc>
        <w:tc>
          <w:tcPr>
            <w:tcW w:w="1400" w:type="dxa"/>
            <w:vAlign w:val="bottom"/>
            <w:shd w:val="clear" w:color="auto" w:fill="CCEEFF"/>
          </w:tcPr>
          <w:p>
            <w:pPr>
              <w:jc w:val="center"/>
              <w:ind w:right="89"/>
              <w:spacing w:after="0" w:line="147"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10.39</w:t>
            </w:r>
          </w:p>
        </w:tc>
      </w:tr>
      <w:tr>
        <w:trPr>
          <w:trHeight w:val="159"/>
        </w:trPr>
        <w:tc>
          <w:tcPr>
            <w:tcW w:w="10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36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CCEEFF"/>
            </w:tcBorders>
            <w:shd w:val="clear" w:color="auto" w:fill="CCEEFF"/>
          </w:tcPr>
          <w:p>
            <w:pPr>
              <w:jc w:val="center"/>
              <w:ind w:right="89"/>
              <w:spacing w:after="0" w:line="157" w:lineRule="exact"/>
              <w:rPr>
                <w:sz w:val="20"/>
                <w:szCs w:val="20"/>
                <w:color w:val="auto"/>
              </w:rPr>
            </w:pPr>
            <w:r>
              <w:rPr>
                <w:rFonts w:ascii="Times New Roman" w:cs="Times New Roman" w:eastAsia="Times New Roman" w:hAnsi="Times New Roman"/>
                <w:sz w:val="14"/>
                <w:szCs w:val="14"/>
                <w:color w:val="auto"/>
                <w:w w:val="99"/>
              </w:rPr>
              <w:t>2025</w:t>
            </w:r>
          </w:p>
        </w:tc>
        <w:tc>
          <w:tcPr>
            <w:tcW w:w="14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r>
      <w:tr>
        <w:trPr>
          <w:trHeight w:val="152"/>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10.36†</w:t>
            </w:r>
          </w:p>
        </w:tc>
        <w:tc>
          <w:tcPr>
            <w:tcW w:w="5800" w:type="dxa"/>
            <w:vAlign w:val="bottom"/>
            <w:gridSpan w:val="14"/>
          </w:tcPr>
          <w:p>
            <w:pPr>
              <w:spacing w:after="0" w:line="146" w:lineRule="exact"/>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Employment Agreement dated February 11, 2025, between the Company and Ashley McGrane</w:t>
              </w:r>
            </w:hyperlink>
          </w:p>
        </w:tc>
        <w:tc>
          <w:tcPr>
            <w:tcW w:w="184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10-K filed February 25,</w:t>
            </w:r>
          </w:p>
        </w:tc>
        <w:tc>
          <w:tcPr>
            <w:tcW w:w="1400" w:type="dxa"/>
            <w:vAlign w:val="bottom"/>
          </w:tcPr>
          <w:p>
            <w:pPr>
              <w:jc w:val="center"/>
              <w:ind w:right="8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10.40</w:t>
            </w:r>
          </w:p>
        </w:tc>
      </w:tr>
      <w:tr>
        <w:trPr>
          <w:trHeight w:val="158"/>
        </w:trPr>
        <w:tc>
          <w:tcPr>
            <w:tcW w:w="1000" w:type="dxa"/>
            <w:vAlign w:val="bottom"/>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jc w:val="center"/>
              <w:ind w:right="89"/>
              <w:spacing w:after="0" w:line="157" w:lineRule="exact"/>
              <w:rPr>
                <w:sz w:val="20"/>
                <w:szCs w:val="20"/>
                <w:color w:val="auto"/>
              </w:rPr>
            </w:pPr>
            <w:r>
              <w:rPr>
                <w:rFonts w:ascii="Times New Roman" w:cs="Times New Roman" w:eastAsia="Times New Roman" w:hAnsi="Times New Roman"/>
                <w:sz w:val="14"/>
                <w:szCs w:val="14"/>
                <w:color w:val="auto"/>
                <w:w w:val="99"/>
              </w:rPr>
              <w:t>2025</w:t>
            </w:r>
          </w:p>
        </w:tc>
        <w:tc>
          <w:tcPr>
            <w:tcW w:w="14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0"/>
        </w:trPr>
        <w:tc>
          <w:tcPr>
            <w:tcW w:w="1000" w:type="dxa"/>
            <w:vAlign w:val="bottom"/>
            <w:tcBorders>
              <w:bottom w:val="single" w:sz="8" w:color="CCEEFF"/>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color w:val="auto"/>
              </w:rPr>
              <w:t>10.37†</w:t>
            </w:r>
          </w:p>
        </w:tc>
        <w:tc>
          <w:tcPr>
            <w:tcW w:w="5400" w:type="dxa"/>
            <w:vAlign w:val="bottom"/>
            <w:tcBorders>
              <w:bottom w:val="single" w:sz="8" w:color="0000FF"/>
            </w:tcBorders>
            <w:gridSpan w:val="8"/>
            <w:shd w:val="clear" w:color="auto" w:fill="CCEEFF"/>
          </w:tcPr>
          <w:p>
            <w:pPr>
              <w:spacing w:after="0" w:line="160" w:lineRule="exact"/>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Employment Agreement dated August 1, 2025, between the Company and M. Graham O’Brien</w:t>
              </w:r>
            </w:hyperlink>
          </w:p>
        </w:tc>
        <w:tc>
          <w:tcPr>
            <w:tcW w:w="400" w:type="dxa"/>
            <w:vAlign w:val="bottom"/>
            <w:tcBorders>
              <w:bottom w:val="single" w:sz="8" w:color="CCEEFF"/>
            </w:tcBorders>
            <w:gridSpan w:val="6"/>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jc w:val="center"/>
              <w:ind w:right="109"/>
              <w:spacing w:after="0" w:line="160" w:lineRule="exact"/>
              <w:rPr>
                <w:sz w:val="20"/>
                <w:szCs w:val="20"/>
                <w:color w:val="auto"/>
              </w:rPr>
            </w:pPr>
            <w:r>
              <w:rPr>
                <w:rFonts w:ascii="Times New Roman" w:cs="Times New Roman" w:eastAsia="Times New Roman" w:hAnsi="Times New Roman"/>
                <w:sz w:val="14"/>
                <w:szCs w:val="14"/>
                <w:color w:val="auto"/>
              </w:rPr>
              <w:t>10-Q filed August 4, 2025</w:t>
            </w:r>
          </w:p>
        </w:tc>
        <w:tc>
          <w:tcPr>
            <w:tcW w:w="1400" w:type="dxa"/>
            <w:vAlign w:val="bottom"/>
            <w:tcBorders>
              <w:bottom w:val="single" w:sz="8" w:color="CCEEFF"/>
            </w:tcBorders>
            <w:shd w:val="clear" w:color="auto" w:fill="CCEEFF"/>
          </w:tcPr>
          <w:p>
            <w:pPr>
              <w:jc w:val="center"/>
              <w:ind w:right="89"/>
              <w:spacing w:after="0" w:line="160"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Borders>
              <w:bottom w:val="single" w:sz="8" w:color="CCEEFF"/>
            </w:tcBorders>
            <w:shd w:val="clear" w:color="auto" w:fill="CCEEFF"/>
          </w:tcPr>
          <w:p>
            <w:pPr>
              <w:jc w:val="center"/>
              <w:spacing w:after="0" w:line="160" w:lineRule="exact"/>
              <w:rPr>
                <w:sz w:val="20"/>
                <w:szCs w:val="20"/>
                <w:color w:val="auto"/>
              </w:rPr>
            </w:pPr>
            <w:r>
              <w:rPr>
                <w:rFonts w:ascii="Times New Roman" w:cs="Times New Roman" w:eastAsia="Times New Roman" w:hAnsi="Times New Roman"/>
                <w:sz w:val="14"/>
                <w:szCs w:val="14"/>
                <w:color w:val="auto"/>
              </w:rPr>
              <w:t>10.2</w:t>
            </w:r>
          </w:p>
        </w:tc>
      </w:tr>
      <w:tr>
        <w:trPr>
          <w:trHeight w:val="152"/>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w w:val="97"/>
              </w:rPr>
              <w:t>19.1</w:t>
            </w:r>
          </w:p>
        </w:tc>
        <w:tc>
          <w:tcPr>
            <w:tcW w:w="5800" w:type="dxa"/>
            <w:vAlign w:val="bottom"/>
            <w:gridSpan w:val="14"/>
          </w:tcPr>
          <w:p>
            <w:pPr>
              <w:spacing w:after="0" w:line="146" w:lineRule="exact"/>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Securities Trading Policy</w:t>
              </w:r>
            </w:hyperlink>
          </w:p>
        </w:tc>
        <w:tc>
          <w:tcPr>
            <w:tcW w:w="184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10-K filed February 25,</w:t>
            </w:r>
          </w:p>
        </w:tc>
        <w:tc>
          <w:tcPr>
            <w:tcW w:w="1400" w:type="dxa"/>
            <w:vAlign w:val="bottom"/>
          </w:tcPr>
          <w:p>
            <w:pPr>
              <w:jc w:val="center"/>
              <w:ind w:right="8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19.1</w:t>
            </w:r>
          </w:p>
        </w:tc>
      </w:tr>
      <w:tr>
        <w:trPr>
          <w:trHeight w:val="157"/>
        </w:trPr>
        <w:tc>
          <w:tcPr>
            <w:tcW w:w="1000" w:type="dxa"/>
            <w:vAlign w:val="bottom"/>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jc w:val="center"/>
              <w:ind w:right="89"/>
              <w:spacing w:after="0" w:line="157" w:lineRule="exact"/>
              <w:rPr>
                <w:sz w:val="20"/>
                <w:szCs w:val="20"/>
                <w:color w:val="auto"/>
              </w:rPr>
            </w:pPr>
            <w:r>
              <w:rPr>
                <w:rFonts w:ascii="Times New Roman" w:cs="Times New Roman" w:eastAsia="Times New Roman" w:hAnsi="Times New Roman"/>
                <w:sz w:val="14"/>
                <w:szCs w:val="14"/>
                <w:color w:val="auto"/>
                <w:w w:val="99"/>
              </w:rPr>
              <w:t>2025</w:t>
            </w:r>
          </w:p>
        </w:tc>
        <w:tc>
          <w:tcPr>
            <w:tcW w:w="1400" w:type="dxa"/>
            <w:vAlign w:val="bottom"/>
          </w:tcPr>
          <w:p>
            <w:pPr>
              <w:spacing w:after="0"/>
              <w:rPr>
                <w:sz w:val="13"/>
                <w:szCs w:val="13"/>
                <w:color w:val="auto"/>
              </w:rPr>
            </w:pPr>
          </w:p>
        </w:tc>
        <w:tc>
          <w:tcPr>
            <w:tcW w:w="1200" w:type="dxa"/>
            <w:vAlign w:val="bottom"/>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340"/>
        <w:spacing w:after="0"/>
        <w:rPr>
          <w:sz w:val="20"/>
          <w:szCs w:val="20"/>
          <w:color w:val="auto"/>
        </w:rPr>
      </w:pPr>
      <w:r>
        <w:rPr>
          <w:rFonts w:ascii="Times New Roman" w:cs="Times New Roman" w:eastAsia="Times New Roman" w:hAnsi="Times New Roman"/>
          <w:sz w:val="14"/>
          <w:szCs w:val="14"/>
          <w:color w:val="auto"/>
        </w:rPr>
        <w:t>+21.1</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+23.1</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+31.1</w:t>
      </w:r>
    </w:p>
    <w:p>
      <w:pPr>
        <w:spacing w:after="0" w:line="19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4"/>
          <w:szCs w:val="14"/>
          <w:color w:val="auto"/>
        </w:rPr>
        <w:t>+31.2</w:t>
      </w:r>
    </w:p>
    <w:p>
      <w:pPr>
        <w:spacing w:after="0" w:line="19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4"/>
          <w:szCs w:val="14"/>
          <w:color w:val="auto"/>
        </w:rPr>
        <w:t>+32.1*</w:t>
      </w:r>
    </w:p>
    <w:p>
      <w:pPr>
        <w:spacing w:after="0" w:line="19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4"/>
          <w:szCs w:val="14"/>
          <w:color w:val="auto"/>
        </w:rPr>
        <w:t>97.1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u w:val="single" w:color="auto"/>
          <w:color w:val="0000FF"/>
        </w:rPr>
        <w:t>Subsidiaries of ZoomInfo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-104140</wp:posOffset>
            </wp:positionV>
            <wp:extent cx="7134860" cy="1263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Consent of KPMG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21590</wp:posOffset>
            </wp:positionV>
            <wp:extent cx="7134860" cy="2273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7134860" cy="227330"/>
                    </a:xfrm>
                    <a:prstGeom prst="rect">
                      <a:avLst/>
                    </a:prstGeom>
                    <a:noFill/>
                  </pic:spPr>
                </pic:pic>
              </a:graphicData>
            </a:graphic>
          </wp:anchor>
        </w:drawing>
      </w:r>
    </w:p>
    <w:p>
      <w:pPr>
        <w:spacing w:after="0" w:line="18" w:lineRule="exact"/>
        <w:rPr>
          <w:sz w:val="20"/>
          <w:szCs w:val="20"/>
          <w:color w:val="auto"/>
        </w:rPr>
      </w:pPr>
    </w:p>
    <w:p>
      <w:pPr>
        <w:ind w:right="4480"/>
        <w:spacing w:after="0" w:line="251" w:lineRule="auto"/>
        <w:rPr>
          <w:sz w:val="20"/>
          <w:szCs w:val="20"/>
          <w:color w:val="auto"/>
        </w:rPr>
      </w:pPr>
      <w:r>
        <w:rPr>
          <w:rFonts w:ascii="Times New Roman" w:cs="Times New Roman" w:eastAsia="Times New Roman" w:hAnsi="Times New Roman"/>
          <w:sz w:val="14"/>
          <w:szCs w:val="14"/>
          <w:u w:val="single" w:color="auto"/>
          <w:color w:val="0000FF"/>
        </w:rPr>
        <w:t>Certification of Principal Executive Officer pursuant to Exchange Act Rules 13a-14(a) and 15d-14(a), as adopted pursuant to Section 302 of the Sarbanes-Oxley Act of 2002.</w:t>
      </w:r>
    </w:p>
    <w:p>
      <w:pPr>
        <w:spacing w:after="0" w:line="21" w:lineRule="exact"/>
        <w:rPr>
          <w:sz w:val="20"/>
          <w:szCs w:val="20"/>
          <w:color w:val="auto"/>
        </w:rPr>
      </w:pPr>
    </w:p>
    <w:p>
      <w:pPr>
        <w:ind w:right="4520"/>
        <w:spacing w:after="0" w:line="251" w:lineRule="auto"/>
        <w:rPr>
          <w:sz w:val="20"/>
          <w:szCs w:val="20"/>
          <w:color w:val="auto"/>
        </w:rPr>
      </w:pPr>
      <w:r>
        <w:rPr>
          <w:rFonts w:ascii="Times New Roman" w:cs="Times New Roman" w:eastAsia="Times New Roman" w:hAnsi="Times New Roman"/>
          <w:sz w:val="14"/>
          <w:szCs w:val="14"/>
          <w:u w:val="single" w:color="auto"/>
          <w:color w:val="0000FF"/>
        </w:rPr>
        <w:t>Certification of Principal Financial Officer pursuant to Exchange Act Rules 13a-14(a) and 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10795</wp:posOffset>
            </wp:positionV>
            <wp:extent cx="7134860" cy="2273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7134860" cy="22733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Certifications of Principal Executive Officer and Principal Financial Officer pursuant to 18 U.S.C.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Section 1350, as adopted pursuant to Section 906 of the Sarbanes-Oxley Act of 2002.</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tcPr>
          <w:p>
            <w:pPr>
              <w:spacing w:after="0"/>
              <w:rPr>
                <w:rFonts w:ascii="Times New Roman" w:cs="Times New Roman" w:eastAsia="Times New Roman" w:hAnsi="Times New Roman"/>
                <w:sz w:val="14"/>
                <w:szCs w:val="14"/>
                <w:color w:val="0000FF"/>
              </w:rPr>
            </w:pPr>
            <w:hyperlink r:id="rId217">
              <w:r>
                <w:rPr>
                  <w:rFonts w:ascii="Times New Roman" w:cs="Times New Roman" w:eastAsia="Times New Roman" w:hAnsi="Times New Roman"/>
                  <w:sz w:val="14"/>
                  <w:szCs w:val="14"/>
                  <w:color w:val="0000FF"/>
                </w:rPr>
                <w:t>ZoomInfo Technologies Inc. Clawback Policy</w:t>
              </w:r>
            </w:hyperlink>
          </w:p>
        </w:tc>
        <w:tc>
          <w:tcPr>
            <w:tcW w:w="3340" w:type="dxa"/>
            <w:vAlign w:val="bottom"/>
          </w:tcPr>
          <w:p>
            <w:pPr>
              <w:jc w:val="center"/>
              <w:ind w:left="1289"/>
              <w:spacing w:after="0"/>
              <w:rPr>
                <w:sz w:val="20"/>
                <w:szCs w:val="20"/>
                <w:color w:val="auto"/>
              </w:rPr>
            </w:pPr>
            <w:r>
              <w:rPr>
                <w:rFonts w:ascii="Times New Roman" w:cs="Times New Roman" w:eastAsia="Times New Roman" w:hAnsi="Times New Roman"/>
                <w:sz w:val="14"/>
                <w:szCs w:val="14"/>
                <w:color w:val="auto"/>
              </w:rPr>
              <w:t>10-K filed February 15,</w:t>
            </w:r>
          </w:p>
        </w:tc>
        <w:tc>
          <w:tcPr>
            <w:tcW w:w="142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164"/>
        </w:trPr>
        <w:tc>
          <w:tcPr>
            <w:tcW w:w="2600" w:type="dxa"/>
            <w:vAlign w:val="bottom"/>
            <w:tcBorders>
              <w:top w:val="single" w:sz="8" w:color="0000FF"/>
            </w:tcBorders>
          </w:tcPr>
          <w:p>
            <w:pPr>
              <w:spacing w:after="0"/>
              <w:rPr>
                <w:sz w:val="14"/>
                <w:szCs w:val="14"/>
                <w:color w:val="auto"/>
              </w:rPr>
            </w:pPr>
          </w:p>
        </w:tc>
        <w:tc>
          <w:tcPr>
            <w:tcW w:w="1680" w:type="dxa"/>
            <w:vAlign w:val="bottom"/>
          </w:tcPr>
          <w:p>
            <w:pPr>
              <w:spacing w:after="0"/>
              <w:rPr>
                <w:sz w:val="14"/>
                <w:szCs w:val="14"/>
                <w:color w:val="auto"/>
              </w:rPr>
            </w:pPr>
          </w:p>
        </w:tc>
        <w:tc>
          <w:tcPr>
            <w:tcW w:w="334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rPr>
              <w:t>2024</w:t>
            </w:r>
          </w:p>
        </w:tc>
        <w:tc>
          <w:tcPr>
            <w:tcW w:w="14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700" w:space="300"/>
            <w:col w:w="10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9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+101.INS</w:t>
            </w:r>
          </w:p>
        </w:tc>
        <w:tc>
          <w:tcPr>
            <w:tcW w:w="10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XBRL Instance Document</w:t>
            </w:r>
          </w:p>
        </w:tc>
      </w:tr>
      <w:tr>
        <w:trPr>
          <w:trHeight w:val="191"/>
        </w:trPr>
        <w:tc>
          <w:tcPr>
            <w:tcW w:w="9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+101.SCH</w:t>
            </w:r>
          </w:p>
        </w:tc>
        <w:tc>
          <w:tcPr>
            <w:tcW w:w="10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206"/>
        </w:trPr>
        <w:tc>
          <w:tcPr>
            <w:tcW w:w="9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9"/>
              </w:rPr>
              <w:t>+101.CAL</w:t>
            </w:r>
          </w:p>
        </w:tc>
        <w:tc>
          <w:tcPr>
            <w:tcW w:w="10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191"/>
        </w:trPr>
        <w:tc>
          <w:tcPr>
            <w:tcW w:w="9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+101.DEF</w:t>
            </w:r>
          </w:p>
        </w:tc>
        <w:tc>
          <w:tcPr>
            <w:tcW w:w="10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206"/>
        </w:trPr>
        <w:tc>
          <w:tcPr>
            <w:tcW w:w="9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9"/>
              </w:rPr>
              <w:t>+101.LAB</w:t>
            </w:r>
          </w:p>
        </w:tc>
        <w:tc>
          <w:tcPr>
            <w:tcW w:w="10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184"/>
        </w:trPr>
        <w:tc>
          <w:tcPr>
            <w:tcW w:w="9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+101.PRE</w:t>
            </w:r>
          </w:p>
        </w:tc>
        <w:tc>
          <w:tcPr>
            <w:tcW w:w="10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bl>
    <w:p>
      <w:pPr>
        <w:spacing w:after="0" w:line="6" w:lineRule="exact"/>
        <w:rPr>
          <w:sz w:val="20"/>
          <w:szCs w:val="20"/>
          <w:color w:val="auto"/>
        </w:rPr>
      </w:pPr>
    </w:p>
    <w:p>
      <w:pPr>
        <w:ind w:left="1000" w:hanging="610"/>
        <w:spacing w:after="0"/>
        <w:tabs>
          <w:tab w:leader="none" w:pos="100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117" w:lineRule="exact"/>
        <w:rPr>
          <w:rFonts w:ascii="Times New Roman" w:cs="Times New Roman" w:eastAsia="Times New Roman" w:hAnsi="Times New Roman"/>
          <w:sz w:val="14"/>
          <w:szCs w:val="14"/>
          <w:color w:val="auto"/>
        </w:rPr>
      </w:pPr>
    </w:p>
    <w:p>
      <w:pPr>
        <w:ind w:left="120" w:hanging="114"/>
        <w:spacing w:after="0"/>
        <w:tabs>
          <w:tab w:leader="none" w:pos="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-272415</wp:posOffset>
            </wp:positionV>
            <wp:extent cx="7134860" cy="1263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137" w:lineRule="exact"/>
        <w:rPr>
          <w:sz w:val="20"/>
          <w:szCs w:val="20"/>
          <w:color w:val="auto"/>
        </w:rPr>
      </w:pPr>
    </w:p>
    <w:p>
      <w:pPr>
        <w:jc w:val="both"/>
        <w:ind w:firstLine="6"/>
        <w:spacing w:after="0" w:line="273" w:lineRule="auto"/>
        <w:tabs>
          <w:tab w:leader="none" w:pos="109"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Form 10-K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Form 10-K, irrespective of any general incorporation language contained in such filing.</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12th day of February, 2026.</w:t>
      </w:r>
    </w:p>
    <w:p>
      <w:pPr>
        <w:spacing w:after="0" w:line="150"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ZOOMINFO TECHNOLOGIES INC.</w:t>
      </w:r>
    </w:p>
    <w:p>
      <w:pPr>
        <w:spacing w:after="0" w:line="230" w:lineRule="exact"/>
        <w:rPr>
          <w:sz w:val="20"/>
          <w:szCs w:val="20"/>
          <w:color w:val="auto"/>
        </w:rPr>
      </w:pPr>
    </w:p>
    <w:p>
      <w:pPr>
        <w:ind w:left="692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4707255</wp:posOffset>
            </wp:positionH>
            <wp:positionV relativeFrom="paragraph">
              <wp:posOffset>14605</wp:posOffset>
            </wp:positionV>
            <wp:extent cx="24314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ind w:left="7440"/>
        <w:spacing w:after="0"/>
        <w:rPr>
          <w:sz w:val="20"/>
          <w:szCs w:val="20"/>
          <w:color w:val="auto"/>
        </w:rPr>
      </w:pPr>
      <w:r>
        <w:rPr>
          <w:rFonts w:ascii="Times New Roman" w:cs="Times New Roman" w:eastAsia="Times New Roman" w:hAnsi="Times New Roman"/>
          <w:sz w:val="18"/>
          <w:szCs w:val="18"/>
          <w:color w:val="auto"/>
        </w:rPr>
        <w:t>Name: Henry Schuck</w:t>
      </w:r>
    </w:p>
    <w:p>
      <w:pPr>
        <w:ind w:left="74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14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2490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5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Henry Schuck</w:t>
      </w:r>
    </w:p>
    <w:p>
      <w:pPr>
        <w:spacing w:after="0" w:line="7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 Keith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Keith Enright</w:t>
      </w:r>
    </w:p>
    <w:p>
      <w:pPr>
        <w:spacing w:after="0" w:line="7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 Ashley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5">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Ashley Evans</w:t>
      </w:r>
    </w:p>
    <w:p>
      <w:pPr>
        <w:spacing w:after="0" w:line="7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 Robert Giglio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6">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Robert Giglio</w:t>
      </w:r>
    </w:p>
    <w:p>
      <w:pPr>
        <w:spacing w:after="0" w:line="7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Alison Gleeson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Alison Gleeson</w:t>
      </w:r>
    </w:p>
    <w:p>
      <w:pPr>
        <w:spacing w:after="0" w:line="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 Mark Mader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Mark Mader</w:t>
      </w:r>
    </w:p>
    <w:p>
      <w:pPr>
        <w:spacing w:after="0" w:line="7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Domenic Maida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9">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Domenic Maida</w:t>
      </w:r>
    </w:p>
    <w:p>
      <w:pPr>
        <w:spacing w:after="0" w:line="7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 Katie Rooney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0">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Katie Rooney</w:t>
      </w:r>
    </w:p>
    <w:p>
      <w:pPr>
        <w:spacing w:after="0" w:line="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D. Randall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 Randall Winn</w:t>
      </w:r>
    </w:p>
    <w:p>
      <w:pPr>
        <w:spacing w:after="0" w:line="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 Owen Wurzbacher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Owen Wurzbacher</w:t>
      </w:r>
    </w:p>
    <w:p>
      <w:pPr>
        <w:spacing w:after="0" w:line="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/s/ M. Graham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2490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M. Graham O’Brien</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15875</wp:posOffset>
            </wp:positionV>
            <wp:extent cx="32645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extLst>
                        <a:ext uri="{28A0092B-C50C-407E-A947-70E740481C1C}"/>
                      </a:extLst>
                    </a:blip>
                    <a:srcRect/>
                    <a:stretch>
                      <a:fillRect/>
                    </a:stretch>
                  </pic:blipFill>
                  <pic:spPr bwMode="auto">
                    <a:xfrm>
                      <a:off x="0" y="0"/>
                      <a:ext cx="3264535" cy="8255"/>
                    </a:xfrm>
                    <a:prstGeom prst="rect">
                      <a:avLst/>
                    </a:prstGeom>
                    <a:noFill/>
                  </pic:spPr>
                </pic:pic>
              </a:graphicData>
            </a:graphic>
          </wp:anchor>
        </w:drawing>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Chief Executive Officer and Chairman of the Board of Directors</w:t>
      </w:r>
    </w:p>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1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Director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Financial Officer (Principal Financial Officer and Principal</w:t>
      </w:r>
    </w:p>
    <w:p>
      <w:pPr>
        <w:jc w:val="center"/>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15875</wp:posOffset>
            </wp:positionV>
            <wp:extent cx="12617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5">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5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February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0">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3">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5">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450" w:lineRule="exact"/>
        <w:rPr>
          <w:sz w:val="20"/>
          <w:szCs w:val="20"/>
          <w:color w:val="auto"/>
        </w:rPr>
      </w:pPr>
    </w:p>
    <w:p>
      <w:pPr>
        <w:sectPr>
          <w:pgSz w:w="11900" w:h="16838" w:orient="portrait"/>
          <w:cols w:equalWidth="0" w:num="3">
            <w:col w:w="3560" w:space="720"/>
            <w:col w:w="4620" w:space="700"/>
            <w:col w:w="16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124</w:t>
      </w:r>
    </w:p>
    <w:p>
      <w:pPr>
        <w:sectPr>
          <w:pgSz w:w="11900" w:h="16838" w:orient="portrait"/>
          <w:cols w:equalWidth="0" w:num="1">
            <w:col w:w="11240"/>
          </w:cols>
          <w:pgMar w:left="320" w:top="121" w:right="339" w:bottom="1440" w:gutter="0" w:footer="0" w:header="0"/>
          <w:type w:val="continuous"/>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1180" w:type="dxa"/>
            <w:vAlign w:val="bottom"/>
            <w:gridSpan w:val="2"/>
          </w:tcPr>
          <w:p>
            <w:pPr>
              <w:ind w:left="3660"/>
              <w:spacing w:after="0"/>
              <w:rPr>
                <w:sz w:val="20"/>
                <w:szCs w:val="20"/>
                <w:color w:val="auto"/>
              </w:rPr>
            </w:pPr>
            <w:r>
              <w:rPr>
                <w:rFonts w:ascii="Times New Roman" w:cs="Times New Roman" w:eastAsia="Times New Roman" w:hAnsi="Times New Roman"/>
                <w:sz w:val="21"/>
                <w:szCs w:val="21"/>
                <w:b w:val="1"/>
                <w:bCs w:val="1"/>
                <w:color w:val="auto"/>
              </w:rPr>
              <w:t>Subsidiaries of ZoomInfo Technologies Inc.</w:t>
            </w:r>
          </w:p>
        </w:tc>
      </w:tr>
      <w:tr>
        <w:trPr>
          <w:trHeight w:val="716"/>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b w:val="1"/>
                <w:bCs w:val="1"/>
                <w:color w:val="auto"/>
              </w:rPr>
              <w:t>Name of Subsidiary</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b w:val="1"/>
                <w:bCs w:val="1"/>
                <w:color w:val="auto"/>
              </w:rPr>
              <w:t>Jurisdiction of Incorporation or Organization</w:t>
            </w:r>
          </w:p>
        </w:tc>
      </w:tr>
      <w:tr>
        <w:trPr>
          <w:trHeight w:val="29"/>
        </w:trPr>
        <w:tc>
          <w:tcPr>
            <w:tcW w:w="4980" w:type="dxa"/>
            <w:vAlign w:val="bottom"/>
            <w:tcBorders>
              <w:bottom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r>
      <w:tr>
        <w:trPr>
          <w:trHeight w:val="283"/>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Intermediate Inc.</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Holdings LLC</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Midco LLC</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LLC</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Clickagy LLC</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Technologies LLC</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Finance Corp.</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Neverbounce, LLC</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Ruby LLC</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International, LLC</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Comparably LLC</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Razor LLC</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Apollo LLC</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Datanyze, LLC</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DiscoverOrg Acquisition (Komiko), LLC</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Israel Ltd.</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Israel</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Technologies India Private Limited</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India</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ZI Technology India GTM Private Limited</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India</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Canada Corp.</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Canada</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UK Ltd.</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UK</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EverString Technology, LLC</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Ireland Limited</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Ireland</w:t>
            </w: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Ventures LLC</w:t>
            </w:r>
          </w:p>
        </w:tc>
        <w:tc>
          <w:tcPr>
            <w:tcW w:w="620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Delaware</w:t>
            </w:r>
          </w:p>
        </w:tc>
      </w:tr>
    </w:tbl>
    <w:p>
      <w:pPr>
        <w:sectPr>
          <w:pgSz w:w="11900" w:h="16838" w:orient="portrait"/>
          <w:cols w:equalWidth="0" w:num="1">
            <w:col w:w="11240"/>
          </w:cols>
          <w:pgMar w:left="320" w:top="119"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333-285327, No. 333-277121, and No. 333-269832) on Form S-8 of our report dated February 12, 2026, with respect to the consolidated financial statements of ZoomInfo Technologies Inc. and the effectiveness of internal control over financial reporting.</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Portland, Oregon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2026</w:t>
      </w:r>
    </w:p>
    <w:p>
      <w:pPr>
        <w:sectPr>
          <w:pgSz w:w="11900" w:h="16838" w:orient="portrait"/>
          <w:cols w:equalWidth="0" w:num="1">
            <w:col w:w="11240"/>
          </w:cols>
          <w:pgMar w:left="320" w:top="119"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Henry Schuck, certify that:</w:t>
      </w:r>
    </w:p>
    <w:p>
      <w:pPr>
        <w:spacing w:after="0" w:line="270" w:lineRule="exact"/>
        <w:rPr>
          <w:sz w:val="20"/>
          <w:szCs w:val="20"/>
          <w:color w:val="auto"/>
        </w:rPr>
      </w:pPr>
    </w:p>
    <w:p>
      <w:pPr>
        <w:ind w:left="180" w:hanging="174"/>
        <w:spacing w:after="0"/>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ZoomInfo Technologies Inc.;</w:t>
      </w:r>
    </w:p>
    <w:p>
      <w:pPr>
        <w:spacing w:after="0" w:line="283" w:lineRule="exact"/>
        <w:rPr>
          <w:rFonts w:ascii="Times New Roman" w:cs="Times New Roman" w:eastAsia="Times New Roman" w:hAnsi="Times New Roman"/>
          <w:sz w:val="18"/>
          <w:szCs w:val="18"/>
          <w:color w:val="auto"/>
        </w:rPr>
      </w:pPr>
    </w:p>
    <w:p>
      <w:pPr>
        <w:ind w:right="460" w:firstLine="6"/>
        <w:spacing w:after="0" w:line="336" w:lineRule="auto"/>
        <w:tabs>
          <w:tab w:leader="none" w:pos="17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17"/>
          <w:szCs w:val="17"/>
          <w:color w:val="auto"/>
        </w:rPr>
      </w:pPr>
    </w:p>
    <w:p>
      <w:pPr>
        <w:ind w:right="80" w:firstLine="6"/>
        <w:spacing w:after="0" w:line="304" w:lineRule="auto"/>
        <w:tabs>
          <w:tab w:leader="none" w:pos="1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4" w:lineRule="exact"/>
        <w:rPr>
          <w:rFonts w:ascii="Times New Roman" w:cs="Times New Roman" w:eastAsia="Times New Roman" w:hAnsi="Times New Roman"/>
          <w:sz w:val="18"/>
          <w:szCs w:val="18"/>
          <w:color w:val="auto"/>
        </w:rPr>
      </w:pPr>
    </w:p>
    <w:p>
      <w:pPr>
        <w:ind w:right="60" w:firstLine="6"/>
        <w:spacing w:after="0" w:line="298" w:lineRule="auto"/>
        <w:tabs>
          <w:tab w:leader="none" w:pos="1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Times New Roman" w:cs="Times New Roman" w:eastAsia="Times New Roman" w:hAnsi="Times New Roman"/>
          <w:sz w:val="18"/>
          <w:szCs w:val="18"/>
          <w:color w:val="auto"/>
        </w:rPr>
      </w:pPr>
    </w:p>
    <w:p>
      <w:pPr>
        <w:ind w:left="640" w:right="60" w:firstLine="2"/>
        <w:spacing w:after="0" w:line="298" w:lineRule="auto"/>
        <w:tabs>
          <w:tab w:leader="none" w:pos="8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44" w:lineRule="exact"/>
        <w:rPr>
          <w:rFonts w:ascii="Times New Roman" w:cs="Times New Roman" w:eastAsia="Times New Roman" w:hAnsi="Times New Roman"/>
          <w:sz w:val="18"/>
          <w:szCs w:val="18"/>
          <w:color w:val="auto"/>
        </w:rPr>
      </w:pPr>
    </w:p>
    <w:p>
      <w:pPr>
        <w:ind w:left="640" w:right="28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640" w:right="840" w:firstLine="2"/>
        <w:spacing w:after="0" w:line="336" w:lineRule="auto"/>
        <w:tabs>
          <w:tab w:leader="none" w:pos="88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17"/>
          <w:szCs w:val="17"/>
          <w:color w:val="auto"/>
        </w:rPr>
      </w:pPr>
    </w:p>
    <w:p>
      <w:pPr>
        <w:jc w:val="both"/>
        <w:ind w:left="640" w:right="300" w:firstLine="2"/>
        <w:spacing w:after="0" w:line="298" w:lineRule="auto"/>
        <w:tabs>
          <w:tab w:leader="none" w:pos="8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Times New Roman" w:cs="Times New Roman" w:eastAsia="Times New Roman" w:hAnsi="Times New Roman"/>
          <w:sz w:val="18"/>
          <w:szCs w:val="18"/>
          <w:color w:val="auto"/>
        </w:rPr>
      </w:pPr>
    </w:p>
    <w:p>
      <w:pPr>
        <w:ind w:right="680" w:firstLine="6"/>
        <w:spacing w:after="0" w:line="320" w:lineRule="auto"/>
        <w:tabs>
          <w:tab w:leader="none" w:pos="1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32" w:right="339" w:bottom="1440" w:gutter="0" w:footer="0" w:header="0"/>
        </w:sectPr>
      </w:pPr>
    </w:p>
    <w:bookmarkStart w:id="137" w:name="page138"/>
    <w:bookmarkEnd w:id="137"/>
    <w:p>
      <w:pPr>
        <w:ind w:left="940" w:right="40" w:hanging="318"/>
        <w:spacing w:after="0" w:line="320" w:lineRule="auto"/>
        <w:tabs>
          <w:tab w:leader="none" w:pos="93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940" w:hanging="318"/>
        <w:spacing w:after="0" w:line="320" w:lineRule="auto"/>
        <w:tabs>
          <w:tab w:leader="none" w:pos="93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31750</wp:posOffset>
            </wp:positionV>
            <wp:extent cx="30797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7">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38"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8"/>
          <w:szCs w:val="18"/>
          <w:color w:val="auto"/>
        </w:rPr>
        <w:t>Date: February 12, 2026</w:t>
      </w:r>
      <w:r>
        <w:rPr>
          <w:sz w:val="20"/>
          <w:szCs w:val="20"/>
          <w:color w:val="auto"/>
        </w:rPr>
        <w:tab/>
      </w:r>
      <w:r>
        <w:rPr>
          <w:rFonts w:ascii="Times New Roman" w:cs="Times New Roman" w:eastAsia="Times New Roman" w:hAnsi="Times New Roman"/>
          <w:sz w:val="17"/>
          <w:szCs w:val="17"/>
          <w:color w:val="auto"/>
        </w:rPr>
        <w:t>Henry Schuck</w:t>
      </w:r>
    </w:p>
    <w:p>
      <w:pPr>
        <w:spacing w:after="0" w:line="7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100"/>
          </w:cols>
          <w:pgMar w:left="340" w:top="1406" w:right="45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Graham O'Brien, certify that:</w:t>
      </w:r>
    </w:p>
    <w:p>
      <w:pPr>
        <w:spacing w:after="0" w:line="270" w:lineRule="exact"/>
        <w:rPr>
          <w:sz w:val="20"/>
          <w:szCs w:val="20"/>
          <w:color w:val="auto"/>
        </w:rPr>
      </w:pPr>
    </w:p>
    <w:p>
      <w:pPr>
        <w:ind w:left="180" w:hanging="174"/>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ZoomInfo Technologies Inc.;</w:t>
      </w:r>
    </w:p>
    <w:p>
      <w:pPr>
        <w:spacing w:after="0" w:line="283" w:lineRule="exact"/>
        <w:rPr>
          <w:rFonts w:ascii="Times New Roman" w:cs="Times New Roman" w:eastAsia="Times New Roman" w:hAnsi="Times New Roman"/>
          <w:sz w:val="18"/>
          <w:szCs w:val="18"/>
          <w:color w:val="auto"/>
        </w:rPr>
      </w:pPr>
    </w:p>
    <w:p>
      <w:pPr>
        <w:ind w:right="460" w:firstLine="6"/>
        <w:spacing w:after="0" w:line="336" w:lineRule="auto"/>
        <w:tabs>
          <w:tab w:leader="none" w:pos="17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17"/>
          <w:szCs w:val="17"/>
          <w:color w:val="auto"/>
        </w:rPr>
      </w:pPr>
    </w:p>
    <w:p>
      <w:pPr>
        <w:ind w:right="80" w:firstLine="6"/>
        <w:spacing w:after="0" w:line="304" w:lineRule="auto"/>
        <w:tabs>
          <w:tab w:leader="none" w:pos="1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4" w:lineRule="exact"/>
        <w:rPr>
          <w:rFonts w:ascii="Times New Roman" w:cs="Times New Roman" w:eastAsia="Times New Roman" w:hAnsi="Times New Roman"/>
          <w:sz w:val="18"/>
          <w:szCs w:val="18"/>
          <w:color w:val="auto"/>
        </w:rPr>
      </w:pPr>
    </w:p>
    <w:p>
      <w:pPr>
        <w:ind w:right="60" w:firstLine="6"/>
        <w:spacing w:after="0" w:line="298" w:lineRule="auto"/>
        <w:tabs>
          <w:tab w:leader="none" w:pos="1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5" w:lineRule="exact"/>
        <w:rPr>
          <w:rFonts w:ascii="Times New Roman" w:cs="Times New Roman" w:eastAsia="Times New Roman" w:hAnsi="Times New Roman"/>
          <w:sz w:val="18"/>
          <w:szCs w:val="18"/>
          <w:color w:val="auto"/>
        </w:rPr>
      </w:pPr>
    </w:p>
    <w:p>
      <w:pPr>
        <w:ind w:left="640" w:right="60" w:firstLine="2"/>
        <w:spacing w:after="0" w:line="298" w:lineRule="auto"/>
        <w:tabs>
          <w:tab w:leader="none" w:pos="8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44" w:lineRule="exact"/>
        <w:rPr>
          <w:rFonts w:ascii="Times New Roman" w:cs="Times New Roman" w:eastAsia="Times New Roman" w:hAnsi="Times New Roman"/>
          <w:sz w:val="18"/>
          <w:szCs w:val="18"/>
          <w:color w:val="auto"/>
        </w:rPr>
      </w:pPr>
    </w:p>
    <w:p>
      <w:pPr>
        <w:ind w:left="640" w:right="28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640" w:right="840" w:firstLine="2"/>
        <w:spacing w:after="0" w:line="336" w:lineRule="auto"/>
        <w:tabs>
          <w:tab w:leader="none" w:pos="88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17"/>
          <w:szCs w:val="17"/>
          <w:color w:val="auto"/>
        </w:rPr>
      </w:pPr>
    </w:p>
    <w:p>
      <w:pPr>
        <w:jc w:val="both"/>
        <w:ind w:left="640" w:right="300" w:firstLine="2"/>
        <w:spacing w:after="0" w:line="298" w:lineRule="auto"/>
        <w:tabs>
          <w:tab w:leader="none" w:pos="89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Times New Roman" w:cs="Times New Roman" w:eastAsia="Times New Roman" w:hAnsi="Times New Roman"/>
          <w:sz w:val="18"/>
          <w:szCs w:val="18"/>
          <w:color w:val="auto"/>
        </w:rPr>
      </w:pPr>
    </w:p>
    <w:p>
      <w:pPr>
        <w:ind w:right="680" w:firstLine="6"/>
        <w:spacing w:after="0" w:line="304" w:lineRule="auto"/>
        <w:tabs>
          <w:tab w:leader="none" w:pos="1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32" w:right="339" w:bottom="1440" w:gutter="0" w:footer="0" w:header="0"/>
        </w:sectPr>
      </w:pPr>
    </w:p>
    <w:bookmarkStart w:id="139" w:name="page140"/>
    <w:bookmarkEnd w:id="139"/>
    <w:p>
      <w:pPr>
        <w:ind w:left="940" w:right="40" w:hanging="318"/>
        <w:spacing w:after="0" w:line="320" w:lineRule="auto"/>
        <w:tabs>
          <w:tab w:leader="none" w:pos="93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940" w:hanging="318"/>
        <w:spacing w:after="0" w:line="320" w:lineRule="auto"/>
        <w:tabs>
          <w:tab w:leader="none" w:pos="93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 M. Graham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31750</wp:posOffset>
            </wp:positionV>
            <wp:extent cx="30797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8">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51"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8"/>
          <w:szCs w:val="18"/>
          <w:color w:val="auto"/>
        </w:rPr>
        <w:t>Date: February 12, 2026</w:t>
      </w:r>
      <w:r>
        <w:rPr>
          <w:sz w:val="20"/>
          <w:szCs w:val="20"/>
          <w:color w:val="auto"/>
        </w:rPr>
        <w:tab/>
      </w:r>
      <w:r>
        <w:rPr>
          <w:rFonts w:ascii="Times New Roman" w:cs="Times New Roman" w:eastAsia="Times New Roman" w:hAnsi="Times New Roman"/>
          <w:sz w:val="17"/>
          <w:szCs w:val="17"/>
          <w:color w:val="auto"/>
        </w:rPr>
        <w:t>M. Graham O'Brien</w:t>
      </w:r>
    </w:p>
    <w:p>
      <w:pPr>
        <w:spacing w:after="0" w:line="5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100"/>
          </w:cols>
          <w:pgMar w:left="340" w:top="1406" w:right="45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5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12" w:lineRule="exact"/>
        <w:rPr>
          <w:sz w:val="20"/>
          <w:szCs w:val="20"/>
          <w:color w:val="auto"/>
        </w:rPr>
      </w:pPr>
    </w:p>
    <w:p>
      <w:pPr>
        <w:ind w:right="40" w:firstLine="636"/>
        <w:spacing w:after="0" w:line="337" w:lineRule="auto"/>
        <w:rPr>
          <w:sz w:val="20"/>
          <w:szCs w:val="20"/>
          <w:color w:val="auto"/>
        </w:rPr>
      </w:pPr>
      <w:r>
        <w:rPr>
          <w:rFonts w:ascii="Times New Roman" w:cs="Times New Roman" w:eastAsia="Times New Roman" w:hAnsi="Times New Roman"/>
          <w:sz w:val="18"/>
          <w:szCs w:val="18"/>
          <w:color w:val="auto"/>
        </w:rPr>
        <w:t>In connection with the Annual Report on Form 10-K of ZoomInfo Technologies Inc. (the “Company”) for the year ended December 31, 2025 as filed with the Securities and Exchange Commission on the date hereof (the “Report”), Henry Schuck, as Chief Executive Officer of the Company, and M. Graham O'Brien, as Chief Financial Officer of the Company, each hereby certifies, pursuant to 18 U.S.C. § 1350, as adopted pursuant to § 906 of the Sarbanes-Oxley Act of 2002, that, to the best of his knowledge:</w:t>
      </w:r>
    </w:p>
    <w:p>
      <w:pPr>
        <w:spacing w:after="0" w:line="176" w:lineRule="exact"/>
        <w:rPr>
          <w:sz w:val="20"/>
          <w:szCs w:val="20"/>
          <w:color w:val="auto"/>
        </w:rPr>
      </w:pPr>
    </w:p>
    <w:p>
      <w:pPr>
        <w:ind w:left="900" w:hanging="258"/>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83"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right="200" w:firstLine="318"/>
        <w:spacing w:after="0" w:line="350"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31750</wp:posOffset>
            </wp:positionV>
            <wp:extent cx="30880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5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Henry Schuck</w:t>
      </w:r>
    </w:p>
    <w:p>
      <w:pPr>
        <w:spacing w:after="0" w:line="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M. Graham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31750</wp:posOffset>
            </wp:positionV>
            <wp:extent cx="30880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5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 Graham O'Brien</w:t>
      </w:r>
    </w:p>
    <w:p>
      <w:pPr>
        <w:spacing w:after="0" w:line="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lvl w:ilvl="1">
      <w:lvlJc w:val="left"/>
      <w:lvlText w:val="▪"/>
      <w:numFmt w:val="bullet"/>
      <w:start w:val="1"/>
    </w:lvl>
  </w:abstractNum>
  <w:abstractNum w:abstractNumId="3">
    <w:nsid w:val="71F32454"/>
    <w:multiLevelType w:val="hybridMultilevel"/>
    <w:lvl w:ilvl="0">
      <w:lvlJc w:val="left"/>
      <w:lvlText w:val="•"/>
      <w:numFmt w:val="bullet"/>
      <w:start w:val="1"/>
    </w:lvl>
    <w:lvl w:ilvl="1">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3"/>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3"/>
    </w:lvl>
  </w:abstractNum>
  <w:abstractNum w:abstractNumId="31">
    <w:nsid w:val="3855585C"/>
    <w:multiLevelType w:val="hybridMultilevel"/>
    <w:lvl w:ilvl="0">
      <w:lvlJc w:val="left"/>
      <w:lvlText w:val="(%1)"/>
      <w:numFmt w:val="decimal"/>
      <w:start w:val="4"/>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5"/>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lowerLetter"/>
      <w:start w:val="1"/>
    </w:lvl>
    <w:lvl w:ilvl="1">
      <w:lvlJc w:val="left"/>
      <w:lvlText w:val="%2."/>
      <w:numFmt w:val="decimal"/>
      <w:start w:val="1"/>
    </w:lvl>
  </w:abstractNum>
  <w:abstractNum w:abstractNumId="44">
    <w:nsid w:val="7644A45C"/>
    <w:multiLevelType w:val="hybridMultilevel"/>
    <w:lvl w:ilvl="0">
      <w:lvlJc w:val="left"/>
      <w:lvlText w:val="†"/>
      <w:numFmt w:val="bullet"/>
      <w:start w:val="1"/>
    </w:lvl>
    <w:lvl w:ilvl="1">
      <w:lvlJc w:val="left"/>
      <w:lvlText w:val="%2"/>
      <w:numFmt w:val="decimal"/>
      <w:start w:val="104"/>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decimal"/>
      <w:start w:val="1"/>
    </w:lvl>
    <w:lvl w:ilvl="1">
      <w:lvlJc w:val="left"/>
      <w:lvlText w:val="(%2)"/>
      <w:numFmt w:val="lowerLetter"/>
      <w:start w:val="1"/>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62" Type="http://schemas.openxmlformats.org/officeDocument/2006/relationships/image" Target="media/image152.png"/><Relationship Id="rId165" Type="http://schemas.openxmlformats.org/officeDocument/2006/relationships/image" Target="media/image153.png"/><Relationship Id="rId168" Type="http://schemas.openxmlformats.org/officeDocument/2006/relationships/image" Target="media/image154.png"/><Relationship Id="rId170" Type="http://schemas.openxmlformats.org/officeDocument/2006/relationships/image" Target="media/image155.png"/><Relationship Id="rId173" Type="http://schemas.openxmlformats.org/officeDocument/2006/relationships/image" Target="media/image156.png"/><Relationship Id="rId176" Type="http://schemas.openxmlformats.org/officeDocument/2006/relationships/image" Target="media/image157.png"/><Relationship Id="rId179" Type="http://schemas.openxmlformats.org/officeDocument/2006/relationships/image" Target="media/image158.png"/><Relationship Id="rId184"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225" Type="http://schemas.openxmlformats.org/officeDocument/2006/relationships/image" Target="media/image172.png"/><Relationship Id="rId226" Type="http://schemas.openxmlformats.org/officeDocument/2006/relationships/image" Target="media/image173.png"/><Relationship Id="rId227" Type="http://schemas.openxmlformats.org/officeDocument/2006/relationships/image" Target="media/image174.png"/><Relationship Id="rId228" Type="http://schemas.openxmlformats.org/officeDocument/2006/relationships/image" Target="media/image175.png"/><Relationship Id="rId229" Type="http://schemas.openxmlformats.org/officeDocument/2006/relationships/image" Target="media/image176.png"/><Relationship Id="rId230" Type="http://schemas.openxmlformats.org/officeDocument/2006/relationships/image" Target="media/image177.png"/><Relationship Id="rId231" Type="http://schemas.openxmlformats.org/officeDocument/2006/relationships/image" Target="media/image178.png"/><Relationship Id="rId232" Type="http://schemas.openxmlformats.org/officeDocument/2006/relationships/image" Target="media/image179.png"/><Relationship Id="rId233" Type="http://schemas.openxmlformats.org/officeDocument/2006/relationships/image" Target="media/image180.png"/><Relationship Id="rId234" Type="http://schemas.openxmlformats.org/officeDocument/2006/relationships/image" Target="media/image181.png"/><Relationship Id="rId235" Type="http://schemas.openxmlformats.org/officeDocument/2006/relationships/image" Target="media/image182.png"/><Relationship Id="rId236" Type="http://schemas.openxmlformats.org/officeDocument/2006/relationships/image" Target="media/image183.png"/><Relationship Id="rId237" Type="http://schemas.openxmlformats.org/officeDocument/2006/relationships/image" Target="media/image184.png"/><Relationship Id="rId238" Type="http://schemas.openxmlformats.org/officeDocument/2006/relationships/image" Target="media/image185.png"/><Relationship Id="rId239" Type="http://schemas.openxmlformats.org/officeDocument/2006/relationships/image" Target="media/image186.png"/><Relationship Id="rId240" Type="http://schemas.openxmlformats.org/officeDocument/2006/relationships/image" Target="media/image187.png"/><Relationship Id="rId241" Type="http://schemas.openxmlformats.org/officeDocument/2006/relationships/image" Target="media/image188.png"/><Relationship Id="rId242" Type="http://schemas.openxmlformats.org/officeDocument/2006/relationships/image" Target="media/image189.png"/><Relationship Id="rId243" Type="http://schemas.openxmlformats.org/officeDocument/2006/relationships/image" Target="media/image190.png"/><Relationship Id="rId244" Type="http://schemas.openxmlformats.org/officeDocument/2006/relationships/image" Target="media/image191.png"/><Relationship Id="rId245" Type="http://schemas.openxmlformats.org/officeDocument/2006/relationships/image" Target="media/image192.png"/><Relationship Id="rId246" Type="http://schemas.openxmlformats.org/officeDocument/2006/relationships/image" Target="media/image193.png"/><Relationship Id="rId247" Type="http://schemas.openxmlformats.org/officeDocument/2006/relationships/image" Target="media/image194.png"/><Relationship Id="rId248" Type="http://schemas.openxmlformats.org/officeDocument/2006/relationships/image" Target="media/image195.png"/><Relationship Id="rId249" Type="http://schemas.openxmlformats.org/officeDocument/2006/relationships/image" Target="media/image196.png"/><Relationship Id="rId250" Type="http://schemas.openxmlformats.org/officeDocument/2006/relationships/image" Target="media/image197.png"/><Relationship Id="rId159" Type="http://schemas.openxmlformats.org/officeDocument/2006/relationships/hyperlink" Target="https://www.sec.gov/Archives/edgar/data/0001794515/000179451521000307/a21pubcomergeragreement.htm" TargetMode="External"/><Relationship Id="rId160" Type="http://schemas.openxmlformats.org/officeDocument/2006/relationships/hyperlink" Target="https://www.sec.gov/Archives/edgar/data/0001794515/000179451521000307/a22opcomergeragreement.htm" TargetMode="External"/><Relationship Id="rId161" Type="http://schemas.openxmlformats.org/officeDocument/2006/relationships/hyperlink" Target="https://www.sec.gov/Archives/edgar/data/1794515/000179451522000095/zi-ex31x20220518.htm" TargetMode="External"/><Relationship Id="rId163" Type="http://schemas.openxmlformats.org/officeDocument/2006/relationships/hyperlink" Target="https://www.sec.gov/Archives/edgar/data/1794515/000179451523000169/zi-ex32x20231030.htm" TargetMode="External"/><Relationship Id="rId164" Type="http://schemas.openxmlformats.org/officeDocument/2006/relationships/hyperlink" Target="https://www.sec.gov/Archives/edgar/data/1794515/000179451522000015/zi-ex41x20220224.htm" TargetMode="External"/><Relationship Id="rId166" Type="http://schemas.openxmlformats.org/officeDocument/2006/relationships/hyperlink" Target="https://www.sec.gov/Archives/edgar/data/1794515/000179451521000034/exhibit041xclosingxindent.htm" TargetMode="External"/><Relationship Id="rId167" Type="http://schemas.openxmlformats.org/officeDocument/2006/relationships/hyperlink" Target="https://www.sec.gov/Archives/edgar/data/0001794515/000179451521000174/zi-8kex42x20210715.htm" TargetMode="External"/><Relationship Id="rId169" Type="http://schemas.openxmlformats.org/officeDocument/2006/relationships/hyperlink" Target="https://www.sec.gov/Archives/edgar/data/1794515/000179451522000015/zi-ex101x0220224.htm" TargetMode="External"/><Relationship Id="rId171" Type="http://schemas.openxmlformats.org/officeDocument/2006/relationships/hyperlink" Target="https://www.sec.gov/Archives/edgar/data/1794515/000162828020009137/exhibit103-closing8xkxexch.htm" TargetMode="External"/><Relationship Id="rId172" Type="http://schemas.openxmlformats.org/officeDocument/2006/relationships/hyperlink" Target="https://www.sec.gov/Archives/edgar/data/1794515/000179451521000318/zi-ex103x20211101.htm" TargetMode="External"/><Relationship Id="rId174" Type="http://schemas.openxmlformats.org/officeDocument/2006/relationships/hyperlink" Target="https://www.sec.gov/Archives/edgar/data/0001794515/000179451521000307/a101exchangetraamendment.htm" TargetMode="External"/><Relationship Id="rId175" Type="http://schemas.openxmlformats.org/officeDocument/2006/relationships/hyperlink" Target="https://www.sec.gov/Archives/edgar/data/1794515/000162828020009137/exhibit104-closing8xkxreor.htm" TargetMode="External"/><Relationship Id="rId177" Type="http://schemas.openxmlformats.org/officeDocument/2006/relationships/hyperlink" Target="https://www.sec.gov/Archives/edgar/data/1794515/000179451521000318/zi-ex102x20211101.htm" TargetMode="External"/><Relationship Id="rId178" Type="http://schemas.openxmlformats.org/officeDocument/2006/relationships/hyperlink" Target="https://www.sec.gov/Archives/edgar/data/0001794515/000179451521000307/a102reorganizationtraamend.htm" TargetMode="External"/><Relationship Id="rId180" Type="http://schemas.openxmlformats.org/officeDocument/2006/relationships/hyperlink" Target="https://www.sec.gov/Archives/edgar/data/1794515/000162828020009137/exhibit105-closing8xkxregi.htm" TargetMode="External"/><Relationship Id="rId181" Type="http://schemas.openxmlformats.org/officeDocument/2006/relationships/hyperlink" Target="https://www.sec.gov/Archives/edgar/data/1794515/000162828020009137/exhibit106-closing8xkxstoc.htm" TargetMode="External"/><Relationship Id="rId182" Type="http://schemas.openxmlformats.org/officeDocument/2006/relationships/hyperlink" Target="https://www.sec.gov/Archives/edgar/data/1794515/000162828020009137/exhibit107-closing8xkx2020.htm" TargetMode="External"/><Relationship Id="rId183" Type="http://schemas.openxmlformats.org/officeDocument/2006/relationships/hyperlink" Target="https://www.sec.gov/Archives/edgar/data/1794515/000162828020009137/exhibit108-closing8xkxempl.htm" TargetMode="External"/><Relationship Id="rId185" Type="http://schemas.openxmlformats.org/officeDocument/2006/relationships/hyperlink" Target="https://www.sec.gov/Archives/edgar/data/1794515/000179451523000034/zi-ex1012x20230216.htm" TargetMode="External"/><Relationship Id="rId186" Type="http://schemas.openxmlformats.org/officeDocument/2006/relationships/hyperlink" Target="https://www.sec.gov/Archives/edgar/data/1794515/000162828020008444/exhibit109s-1aformofindemn.htm" TargetMode="External"/><Relationship Id="rId187" Type="http://schemas.openxmlformats.org/officeDocument/2006/relationships/hyperlink" Target="https://www.sec.gov/Archives/edgar/data/1794515/000162828020002344/exhibit1010-firstliencredi.htm" TargetMode="External"/><Relationship Id="rId188" Type="http://schemas.openxmlformats.org/officeDocument/2006/relationships/hyperlink" Target="https://www.sec.gov/Archives/edgar/data/1794515/000162828020002344/exhibit1011-amendmentno1da.htm" TargetMode="External"/><Relationship Id="rId189" Type="http://schemas.openxmlformats.org/officeDocument/2006/relationships/hyperlink" Target="https://www.sec.gov/Archives/edgar/data/1794515/000179451521000034/exhibit101xclosingxcredxam.htm" TargetMode="External"/><Relationship Id="rId190" Type="http://schemas.openxmlformats.org/officeDocument/2006/relationships/hyperlink" Target="https://www.sec.gov/Archives/edgar/data/1794515/000179451521000183/zi-8kex101x20210720.htm" TargetMode="External"/><Relationship Id="rId191" Type="http://schemas.openxmlformats.org/officeDocument/2006/relationships/hyperlink" Target="https://www.sec.gov/Archives/edgar/data/1794515/000179451523000034/zi-ex1018x20230216.htm" TargetMode="External"/><Relationship Id="rId192" Type="http://schemas.openxmlformats.org/officeDocument/2006/relationships/hyperlink" Target="https://www.sec.gov/Archives/edgar/data/1794515/000179451523000041/zi-ex101x20230228.htm" TargetMode="External"/><Relationship Id="rId193" Type="http://schemas.openxmlformats.org/officeDocument/2006/relationships/hyperlink" Target="https://www.sec.gov/Archives/edgar/data/1794515/000179451523000183/zi-ex101x20231208.htm" TargetMode="External"/><Relationship Id="rId194" Type="http://schemas.openxmlformats.org/officeDocument/2006/relationships/hyperlink" Target="https://www.sec.gov/Archives/edgar/data/1794515/000179451524000114/zi-ex101x20240610.htm" TargetMode="External"/><Relationship Id="rId195" Type="http://schemas.openxmlformats.org/officeDocument/2006/relationships/hyperlink" Target="https://www.sec.gov/Archives/edgar/data/1794515/000162828020002344/exhibit1012-firstliensecur.htm" TargetMode="External"/><Relationship Id="rId196" Type="http://schemas.openxmlformats.org/officeDocument/2006/relationships/hyperlink" Target="https://www.sec.gov/Archives/edgar/data/1794515/000162828020002344/exhibit1013-firstlienholdi.htm" TargetMode="External"/><Relationship Id="rId197" Type="http://schemas.openxmlformats.org/officeDocument/2006/relationships/hyperlink" Target="https://www.sec.gov/Archives/edgar/data/1794515/000162828020002344/exhibit1014-firstliensubsi.htm" TargetMode="External"/><Relationship Id="rId198" Type="http://schemas.openxmlformats.org/officeDocument/2006/relationships/hyperlink" Target="https://www.sec.gov/Archives/edgar/data/1794515/000162828020002344/exhibit1015-firstlieninter.htm" TargetMode="External"/><Relationship Id="rId201" Type="http://schemas.openxmlformats.org/officeDocument/2006/relationships/hyperlink" Target="https://www.sec.gov/Archives/edgar/data/1794515/000162828020009137/exhibit109-closing8xkxform.htm" TargetMode="External"/><Relationship Id="rId202" Type="http://schemas.openxmlformats.org/officeDocument/2006/relationships/hyperlink" Target="https://www.sec.gov/Archives/edgar/data/1794515/000162828020008317/exhibit1028formofstandarde.htm" TargetMode="External"/><Relationship Id="rId203" Type="http://schemas.openxmlformats.org/officeDocument/2006/relationships/hyperlink" Target="https://www.sec.gov/Archives/edgar/data/1794515/000162828020008317/exhibit1030formofleverager.htm" TargetMode="External"/><Relationship Id="rId204" Type="http://schemas.openxmlformats.org/officeDocument/2006/relationships/hyperlink" Target="https://www.sec.gov/Archives/edgar/data/1794515/000179451523000034/zi-ex1030x20230216.htm" TargetMode="External"/><Relationship Id="rId205" Type="http://schemas.openxmlformats.org/officeDocument/2006/relationships/hyperlink" Target="https://www.sec.gov/Archives/edgar/data/1794515/000162828020008317/exhibit1032formofnon-emplo.htm" TargetMode="External"/><Relationship Id="rId206" Type="http://schemas.openxmlformats.org/officeDocument/2006/relationships/hyperlink" Target="https://www.sec.gov/Archives/edgar/data/1794515/000162828020008317/exhibit1033formofnon-emplo.htm" TargetMode="External"/><Relationship Id="rId207" Type="http://schemas.openxmlformats.org/officeDocument/2006/relationships/hyperlink" Target="https://www.sec.gov/Archives/edgar/data/1794515/000162828020008317/exhibit1036formofrestricti.htm" TargetMode="External"/><Relationship Id="rId208" Type="http://schemas.openxmlformats.org/officeDocument/2006/relationships/hyperlink" Target="https://www.sec.gov/Archives/edgar/data/1794515/000179451525000167/zi-ex101x20250630.htm" TargetMode="External"/><Relationship Id="rId209" Type="http://schemas.openxmlformats.org/officeDocument/2006/relationships/hyperlink" Target="https://www.sec.gov/Archives/edgar/data/1794515/000179451525000188/zi-8kx101x20251126.htm" TargetMode="External"/><Relationship Id="rId210" Type="http://schemas.openxmlformats.org/officeDocument/2006/relationships/hyperlink" Target="https://www.sec.gov/Archives/edgar/data/1794515/000179451525000045/zi-ex1039x20250225.htm" TargetMode="External"/><Relationship Id="rId211" Type="http://schemas.openxmlformats.org/officeDocument/2006/relationships/hyperlink" Target="https://www.sec.gov/Archives/edgar/data/1794515/000179451525000045/zi-ex1040x20250225.htm" TargetMode="External"/><Relationship Id="rId212" Type="http://schemas.openxmlformats.org/officeDocument/2006/relationships/hyperlink" Target="https://www.sec.gov/Archives/edgar/data/1794515/000179451525000167/zi-ex102x20250630.htm" TargetMode="External"/><Relationship Id="rId213" Type="http://schemas.openxmlformats.org/officeDocument/2006/relationships/hyperlink" Target="https://www.sec.gov/Archives/edgar/data/1794515/000179451525000045/zi-ex191x20250225.htm" TargetMode="External"/><Relationship Id="rId217" Type="http://schemas.openxmlformats.org/officeDocument/2006/relationships/hyperlink" Target="https://www.sec.gov/Archives/edgar/data/1794515/000179451524000016/zi-ex971x202402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2026-02-12T15:38:06Z</dcterms:created>
  <dcterms:modified xsi:type="dcterms:W3CDTF">2026-02-12T15:38:06Z</dcterms:modified>
</cp:coreProperties>
</file>