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189230</wp:posOffset>
            </wp:positionH>
            <wp:positionV relativeFrom="page">
              <wp:posOffset>501015</wp:posOffset>
            </wp:positionV>
            <wp:extent cx="717105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1055" cy="6350"/>
                    </a:xfrm>
                    <a:prstGeom prst="rect">
                      <a:avLst/>
                    </a:prstGeom>
                    <a:noFill/>
                  </pic:spPr>
                </pic:pic>
              </a:graphicData>
            </a:graphic>
          </wp:anchor>
        </w:drawing>
        <w:drawing>
          <wp:anchor simplePos="0" relativeHeight="251657728" behindDoc="1" locked="0" layoutInCell="0" allowOverlap="1">
            <wp:simplePos x="0" y="0"/>
            <wp:positionH relativeFrom="page">
              <wp:posOffset>189230</wp:posOffset>
            </wp:positionH>
            <wp:positionV relativeFrom="page">
              <wp:posOffset>520065</wp:posOffset>
            </wp:positionV>
            <wp:extent cx="717105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1055" cy="6350"/>
                    </a:xfrm>
                    <a:prstGeom prst="rect">
                      <a:avLst/>
                    </a:prstGeom>
                    <a:noFill/>
                  </pic:spPr>
                </pic:pic>
              </a:graphicData>
            </a:graphic>
          </wp:anchor>
        </w:drawing>
        <w:t>UNITED STATES</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52070</wp:posOffset>
            </wp:positionV>
            <wp:extent cx="123126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1265" cy="6350"/>
                    </a:xfrm>
                    <a:prstGeom prst="rect">
                      <a:avLst/>
                    </a:prstGeom>
                    <a:noFill/>
                  </pic:spPr>
                </pic:pic>
              </a:graphicData>
            </a:graphic>
          </wp:anchor>
        </w:drawing>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63500</wp:posOffset>
            </wp:positionV>
            <wp:extent cx="123126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1265" cy="6350"/>
                    </a:xfrm>
                    <a:prstGeom prst="rect">
                      <a:avLst/>
                    </a:prstGeom>
                    <a:noFill/>
                  </pic:spPr>
                </pic:pic>
              </a:graphicData>
            </a:graphic>
          </wp:anchor>
        </w:drawing>
      </w:r>
    </w:p>
    <w:p>
      <w:pPr>
        <w:spacing w:after="0" w:line="174" w:lineRule="exact"/>
        <w:rPr>
          <w:sz w:val="24"/>
          <w:szCs w:val="24"/>
          <w:color w:val="auto"/>
        </w:rPr>
      </w:pPr>
    </w:p>
    <w:p>
      <w:pPr>
        <w:ind w:left="240"/>
        <w:spacing w:after="0"/>
        <w:rPr>
          <w:sz w:val="20"/>
          <w:szCs w:val="20"/>
          <w:color w:val="auto"/>
        </w:rPr>
      </w:pPr>
      <w:r>
        <w:rPr>
          <w:rFonts w:ascii="Arial" w:cs="Arial" w:eastAsia="Arial" w:hAnsi="Arial"/>
          <w:sz w:val="13"/>
          <w:szCs w:val="13"/>
          <w:b w:val="1"/>
          <w:bCs w:val="1"/>
          <w:color w:val="auto"/>
        </w:rPr>
        <w:t>(Mark One)</w:t>
      </w:r>
    </w:p>
    <w:p>
      <w:pPr>
        <w:spacing w:after="0" w:line="83" w:lineRule="exact"/>
        <w:rPr>
          <w:sz w:val="24"/>
          <w:szCs w:val="24"/>
          <w:color w:val="auto"/>
        </w:rPr>
      </w:pPr>
    </w:p>
    <w:p>
      <w:pPr>
        <w:ind w:left="500" w:hanging="270"/>
        <w:spacing w:after="0"/>
        <w:tabs>
          <w:tab w:leader="none" w:pos="50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83"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For the quarterly period ended June 30, 2021</w:t>
      </w:r>
    </w:p>
    <w:p>
      <w:pPr>
        <w:spacing w:after="0" w:line="18"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or</w:t>
      </w:r>
    </w:p>
    <w:p>
      <w:pPr>
        <w:spacing w:after="0" w:line="71" w:lineRule="exact"/>
        <w:rPr>
          <w:sz w:val="24"/>
          <w:szCs w:val="24"/>
          <w:color w:val="auto"/>
        </w:rPr>
      </w:pPr>
    </w:p>
    <w:p>
      <w:pPr>
        <w:ind w:left="500" w:hanging="270"/>
        <w:spacing w:after="0"/>
        <w:tabs>
          <w:tab w:leader="none" w:pos="50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ectPr>
          <w:pgSz w:w="11900" w:h="16838" w:orient="portrait"/>
          <w:cols w:equalWidth="0" w:num="1">
            <w:col w:w="11300"/>
          </w:cols>
          <w:pgMar w:left="300" w:top="908" w:right="299" w:bottom="1440" w:gutter="0" w:footer="0" w:header="0"/>
        </w:sectPr>
      </w:pPr>
    </w:p>
    <w:p>
      <w:pPr>
        <w:spacing w:after="0" w:line="83" w:lineRule="exact"/>
        <w:rPr>
          <w:sz w:val="24"/>
          <w:szCs w:val="24"/>
          <w:color w:val="auto"/>
        </w:rPr>
      </w:pPr>
    </w:p>
    <w:p>
      <w:pPr>
        <w:ind w:left="4380"/>
        <w:spacing w:after="0"/>
        <w:rPr>
          <w:sz w:val="20"/>
          <w:szCs w:val="20"/>
          <w:color w:val="auto"/>
        </w:rPr>
      </w:pPr>
      <w:r>
        <w:rPr>
          <w:rFonts w:ascii="Arial" w:cs="Arial" w:eastAsia="Arial" w:hAnsi="Arial"/>
          <w:sz w:val="13"/>
          <w:szCs w:val="13"/>
          <w:b w:val="1"/>
          <w:bCs w:val="1"/>
          <w:color w:val="auto"/>
        </w:rPr>
        <w:t>For the transition period from</w:t>
      </w:r>
    </w:p>
    <w:p>
      <w:pPr>
        <w:spacing w:after="0" w:line="18" w:lineRule="exact"/>
        <w:rPr>
          <w:sz w:val="24"/>
          <w:szCs w:val="24"/>
          <w:color w:val="auto"/>
        </w:rPr>
      </w:pPr>
    </w:p>
    <w:p>
      <w:pPr>
        <w:ind w:left="4520"/>
        <w:spacing w:after="0"/>
        <w:rPr>
          <w:sz w:val="20"/>
          <w:szCs w:val="20"/>
          <w:color w:val="auto"/>
        </w:rPr>
      </w:pPr>
      <w:r>
        <w:rPr>
          <w:rFonts w:ascii="Arial" w:cs="Arial" w:eastAsia="Arial" w:hAnsi="Arial"/>
          <w:sz w:val="11"/>
          <w:szCs w:val="11"/>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74295</wp:posOffset>
            </wp:positionV>
            <wp:extent cx="123126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1265" cy="6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to</w:t>
      </w:r>
    </w:p>
    <w:p>
      <w:pPr>
        <w:spacing w:after="0" w:line="372" w:lineRule="exact"/>
        <w:rPr>
          <w:sz w:val="24"/>
          <w:szCs w:val="24"/>
          <w:color w:val="auto"/>
        </w:rPr>
      </w:pPr>
    </w:p>
    <w:p>
      <w:pPr>
        <w:sectPr>
          <w:pgSz w:w="11900" w:h="16838" w:orient="portrait"/>
          <w:cols w:equalWidth="0" w:num="2">
            <w:col w:w="6520" w:space="20"/>
            <w:col w:w="4760"/>
          </w:cols>
          <w:pgMar w:left="300" w:top="908" w:right="299" w:bottom="1440" w:gutter="0" w:footer="0" w:header="0"/>
          <w:type w:val="continuous"/>
        </w:sectPr>
      </w:pPr>
    </w:p>
    <w:tbl>
      <w:tblPr>
        <w:tblLayout w:type="fixed"/>
        <w:tblInd w:w="10" w:type="dxa"/>
        <w:tblCellMar>
          <w:top w:w="0" w:type="dxa"/>
          <w:left w:w="0" w:type="dxa"/>
          <w:bottom w:w="0" w:type="dxa"/>
          <w:right w:w="0" w:type="dxa"/>
        </w:tblCellMar>
      </w:tblPr>
      <w:tr>
        <w:trPr>
          <w:trHeight w:val="275"/>
        </w:trPr>
        <w:tc>
          <w:tcPr>
            <w:tcW w:w="3780" w:type="dxa"/>
            <w:vAlign w:val="bottom"/>
          </w:tcPr>
          <w:p>
            <w:pPr>
              <w:spacing w:after="0"/>
              <w:rPr>
                <w:sz w:val="23"/>
                <w:szCs w:val="23"/>
                <w:color w:val="auto"/>
              </w:rPr>
            </w:pPr>
          </w:p>
        </w:tc>
        <w:tc>
          <w:tcPr>
            <w:tcW w:w="3760" w:type="dxa"/>
            <w:vAlign w:val="bottom"/>
            <w:gridSpan w:val="5"/>
          </w:tcPr>
          <w:p>
            <w:pPr>
              <w:jc w:val="center"/>
              <w:ind w:right="40"/>
              <w:spacing w:after="0"/>
              <w:rPr>
                <w:sz w:val="20"/>
                <w:szCs w:val="20"/>
                <w:color w:val="auto"/>
              </w:rPr>
            </w:pPr>
            <w:r>
              <w:rPr>
                <w:rFonts w:ascii="Arial" w:cs="Arial" w:eastAsia="Arial" w:hAnsi="Arial"/>
                <w:sz w:val="23"/>
                <w:szCs w:val="23"/>
                <w:b w:val="1"/>
                <w:bCs w:val="1"/>
                <w:color w:val="auto"/>
                <w:w w:val="90"/>
              </w:rPr>
              <w:t>ZoomInfo Technologies Inc.</w:t>
            </w:r>
          </w:p>
        </w:tc>
        <w:tc>
          <w:tcPr>
            <w:tcW w:w="3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3780" w:type="dxa"/>
            <w:vAlign w:val="bottom"/>
          </w:tcPr>
          <w:p>
            <w:pPr>
              <w:spacing w:after="0"/>
              <w:rPr>
                <w:sz w:val="11"/>
                <w:szCs w:val="11"/>
                <w:color w:val="auto"/>
              </w:rPr>
            </w:pPr>
          </w:p>
        </w:tc>
        <w:tc>
          <w:tcPr>
            <w:tcW w:w="3760" w:type="dxa"/>
            <w:vAlign w:val="bottom"/>
            <w:gridSpan w:val="5"/>
          </w:tcPr>
          <w:p>
            <w:pPr>
              <w:jc w:val="center"/>
              <w:ind w:right="40"/>
              <w:spacing w:after="0"/>
              <w:rPr>
                <w:sz w:val="20"/>
                <w:szCs w:val="20"/>
                <w:color w:val="auto"/>
              </w:rPr>
            </w:pPr>
            <w:r>
              <w:rPr>
                <w:rFonts w:ascii="Arial" w:cs="Arial" w:eastAsia="Arial" w:hAnsi="Arial"/>
                <w:sz w:val="10"/>
                <w:szCs w:val="10"/>
                <w:b w:val="1"/>
                <w:bCs w:val="1"/>
                <w:color w:val="auto"/>
                <w:w w:val="92"/>
              </w:rPr>
              <w:t>(Exact name of registrant as specified in its charter)</w:t>
            </w: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37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Delaware</w:t>
            </w:r>
          </w:p>
        </w:tc>
        <w:tc>
          <w:tcPr>
            <w:tcW w:w="9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780" w:type="dxa"/>
            <w:vAlign w:val="bottom"/>
            <w:vMerge w:val="restart"/>
          </w:tcPr>
          <w:p>
            <w:pPr>
              <w:jc w:val="right"/>
              <w:ind w:right="1609"/>
              <w:spacing w:after="0"/>
              <w:rPr>
                <w:sz w:val="20"/>
                <w:szCs w:val="20"/>
                <w:color w:val="auto"/>
              </w:rPr>
            </w:pPr>
            <w:r>
              <w:rPr>
                <w:rFonts w:ascii="Arial" w:cs="Arial" w:eastAsia="Arial" w:hAnsi="Arial"/>
                <w:sz w:val="10"/>
                <w:szCs w:val="10"/>
                <w:b w:val="1"/>
                <w:bCs w:val="1"/>
                <w:color w:val="auto"/>
              </w:rPr>
              <w:t>84-3721253</w:t>
            </w: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3780" w:type="dxa"/>
            <w:vAlign w:val="bottom"/>
          </w:tcPr>
          <w:p>
            <w:pPr>
              <w:jc w:val="center"/>
              <w:spacing w:after="0"/>
              <w:rPr>
                <w:sz w:val="20"/>
                <w:szCs w:val="20"/>
                <w:color w:val="auto"/>
              </w:rPr>
            </w:pPr>
            <w:r>
              <w:rPr>
                <w:rFonts w:ascii="Arial" w:cs="Arial" w:eastAsia="Arial" w:hAnsi="Arial"/>
                <w:sz w:val="10"/>
                <w:szCs w:val="10"/>
                <w:b w:val="1"/>
                <w:bCs w:val="1"/>
                <w:color w:val="auto"/>
                <w:w w:val="93"/>
              </w:rPr>
              <w:t>(State or other jurisdiction of</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780" w:type="dxa"/>
            <w:vAlign w:val="bottom"/>
          </w:tcPr>
          <w:p>
            <w:pPr>
              <w:jc w:val="center"/>
              <w:spacing w:after="0"/>
              <w:rPr>
                <w:sz w:val="20"/>
                <w:szCs w:val="20"/>
                <w:color w:val="auto"/>
              </w:rPr>
            </w:pPr>
            <w:r>
              <w:rPr>
                <w:rFonts w:ascii="Arial" w:cs="Arial" w:eastAsia="Arial" w:hAnsi="Arial"/>
                <w:sz w:val="10"/>
                <w:szCs w:val="10"/>
                <w:b w:val="1"/>
                <w:bCs w:val="1"/>
                <w:color w:val="auto"/>
                <w:w w:val="96"/>
              </w:rPr>
              <w:t>(I.R.S. Employer</w:t>
            </w:r>
          </w:p>
        </w:tc>
        <w:tc>
          <w:tcPr>
            <w:tcW w:w="0" w:type="dxa"/>
            <w:vAlign w:val="bottom"/>
          </w:tcPr>
          <w:p>
            <w:pPr>
              <w:spacing w:after="0"/>
              <w:rPr>
                <w:sz w:val="1"/>
                <w:szCs w:val="1"/>
                <w:color w:val="auto"/>
              </w:rPr>
            </w:pPr>
          </w:p>
        </w:tc>
      </w:tr>
      <w:tr>
        <w:trPr>
          <w:trHeight w:val="134"/>
        </w:trPr>
        <w:tc>
          <w:tcPr>
            <w:tcW w:w="3780" w:type="dxa"/>
            <w:vAlign w:val="bottom"/>
          </w:tcPr>
          <w:p>
            <w:pPr>
              <w:jc w:val="center"/>
              <w:spacing w:after="0"/>
              <w:rPr>
                <w:sz w:val="20"/>
                <w:szCs w:val="20"/>
                <w:color w:val="auto"/>
              </w:rPr>
            </w:pPr>
            <w:r>
              <w:rPr>
                <w:rFonts w:ascii="Arial" w:cs="Arial" w:eastAsia="Arial" w:hAnsi="Arial"/>
                <w:sz w:val="10"/>
                <w:szCs w:val="10"/>
                <w:b w:val="1"/>
                <w:bCs w:val="1"/>
                <w:color w:val="auto"/>
                <w:w w:val="95"/>
              </w:rPr>
              <w:t>incorporation or organization)</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780" w:type="dxa"/>
            <w:vAlign w:val="bottom"/>
          </w:tcPr>
          <w:p>
            <w:pPr>
              <w:jc w:val="center"/>
              <w:spacing w:after="0"/>
              <w:rPr>
                <w:sz w:val="20"/>
                <w:szCs w:val="20"/>
                <w:color w:val="auto"/>
              </w:rPr>
            </w:pPr>
            <w:r>
              <w:rPr>
                <w:rFonts w:ascii="Arial" w:cs="Arial" w:eastAsia="Arial" w:hAnsi="Arial"/>
                <w:sz w:val="10"/>
                <w:szCs w:val="10"/>
                <w:b w:val="1"/>
                <w:bCs w:val="1"/>
                <w:color w:val="auto"/>
                <w:w w:val="97"/>
              </w:rPr>
              <w:t>Identification No.)</w:t>
            </w:r>
          </w:p>
        </w:tc>
        <w:tc>
          <w:tcPr>
            <w:tcW w:w="0" w:type="dxa"/>
            <w:vAlign w:val="bottom"/>
          </w:tcPr>
          <w:p>
            <w:pPr>
              <w:spacing w:after="0"/>
              <w:rPr>
                <w:sz w:val="1"/>
                <w:szCs w:val="1"/>
                <w:color w:val="auto"/>
              </w:rPr>
            </w:pPr>
          </w:p>
        </w:tc>
      </w:tr>
      <w:tr>
        <w:trPr>
          <w:trHeight w:val="177"/>
        </w:trPr>
        <w:tc>
          <w:tcPr>
            <w:tcW w:w="3780" w:type="dxa"/>
            <w:vAlign w:val="bottom"/>
          </w:tcPr>
          <w:p>
            <w:pPr>
              <w:jc w:val="center"/>
              <w:ind w:left="169"/>
              <w:spacing w:after="0"/>
              <w:rPr>
                <w:sz w:val="20"/>
                <w:szCs w:val="20"/>
                <w:color w:val="auto"/>
              </w:rPr>
            </w:pPr>
            <w:r>
              <w:rPr>
                <w:rFonts w:ascii="Arial" w:cs="Arial" w:eastAsia="Arial" w:hAnsi="Arial"/>
                <w:sz w:val="10"/>
                <w:szCs w:val="10"/>
                <w:b w:val="1"/>
                <w:bCs w:val="1"/>
                <w:color w:val="auto"/>
                <w:w w:val="91"/>
              </w:rPr>
              <w:t>805 Broadway Street, Suite 900</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3780" w:type="dxa"/>
            <w:vAlign w:val="bottom"/>
          </w:tcPr>
          <w:p>
            <w:pPr>
              <w:jc w:val="center"/>
              <w:ind w:left="169"/>
              <w:spacing w:after="0"/>
              <w:rPr>
                <w:sz w:val="20"/>
                <w:szCs w:val="20"/>
                <w:color w:val="auto"/>
              </w:rPr>
            </w:pPr>
            <w:r>
              <w:rPr>
                <w:rFonts w:ascii="Arial" w:cs="Arial" w:eastAsia="Arial" w:hAnsi="Arial"/>
                <w:sz w:val="10"/>
                <w:szCs w:val="10"/>
                <w:b w:val="1"/>
                <w:bCs w:val="1"/>
                <w:color w:val="auto"/>
                <w:w w:val="91"/>
              </w:rPr>
              <w:t>Vancouver, Washington</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780" w:type="dxa"/>
            <w:vAlign w:val="bottom"/>
          </w:tcPr>
          <w:p>
            <w:pPr>
              <w:jc w:val="right"/>
              <w:ind w:right="1609"/>
              <w:spacing w:after="0"/>
              <w:rPr>
                <w:sz w:val="20"/>
                <w:szCs w:val="20"/>
                <w:color w:val="auto"/>
              </w:rPr>
            </w:pPr>
            <w:r>
              <w:rPr>
                <w:rFonts w:ascii="Arial" w:cs="Arial" w:eastAsia="Arial" w:hAnsi="Arial"/>
                <w:sz w:val="10"/>
                <w:szCs w:val="10"/>
                <w:b w:val="1"/>
                <w:bCs w:val="1"/>
                <w:color w:val="auto"/>
              </w:rPr>
              <w:t>98660</w:t>
            </w:r>
          </w:p>
        </w:tc>
        <w:tc>
          <w:tcPr>
            <w:tcW w:w="0" w:type="dxa"/>
            <w:vAlign w:val="bottom"/>
          </w:tcPr>
          <w:p>
            <w:pPr>
              <w:spacing w:after="0"/>
              <w:rPr>
                <w:sz w:val="1"/>
                <w:szCs w:val="1"/>
                <w:color w:val="auto"/>
              </w:rPr>
            </w:pPr>
          </w:p>
        </w:tc>
      </w:tr>
      <w:tr>
        <w:trPr>
          <w:trHeight w:val="271"/>
        </w:trPr>
        <w:tc>
          <w:tcPr>
            <w:tcW w:w="3780" w:type="dxa"/>
            <w:vAlign w:val="bottom"/>
          </w:tcPr>
          <w:p>
            <w:pPr>
              <w:jc w:val="center"/>
              <w:ind w:left="169"/>
              <w:spacing w:after="0"/>
              <w:rPr>
                <w:sz w:val="20"/>
                <w:szCs w:val="20"/>
                <w:color w:val="auto"/>
              </w:rPr>
            </w:pPr>
            <w:r>
              <w:rPr>
                <w:rFonts w:ascii="Arial" w:cs="Arial" w:eastAsia="Arial" w:hAnsi="Arial"/>
                <w:sz w:val="10"/>
                <w:szCs w:val="10"/>
                <w:color w:val="auto"/>
                <w:w w:val="95"/>
              </w:rPr>
              <w:t>(Address of principal executive offices)</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780" w:type="dxa"/>
            <w:vAlign w:val="bottom"/>
          </w:tcPr>
          <w:p>
            <w:pPr>
              <w:jc w:val="right"/>
              <w:ind w:right="1509"/>
              <w:spacing w:after="0"/>
              <w:rPr>
                <w:sz w:val="20"/>
                <w:szCs w:val="20"/>
                <w:color w:val="auto"/>
              </w:rPr>
            </w:pPr>
            <w:r>
              <w:rPr>
                <w:rFonts w:ascii="Arial" w:cs="Arial" w:eastAsia="Arial" w:hAnsi="Arial"/>
                <w:sz w:val="10"/>
                <w:szCs w:val="10"/>
                <w:color w:val="auto"/>
              </w:rPr>
              <w:t>(Zip Code)</w:t>
            </w:r>
          </w:p>
        </w:tc>
        <w:tc>
          <w:tcPr>
            <w:tcW w:w="0" w:type="dxa"/>
            <w:vAlign w:val="bottom"/>
          </w:tcPr>
          <w:p>
            <w:pPr>
              <w:spacing w:after="0"/>
              <w:rPr>
                <w:sz w:val="1"/>
                <w:szCs w:val="1"/>
                <w:color w:val="auto"/>
              </w:rPr>
            </w:pPr>
          </w:p>
        </w:tc>
      </w:tr>
      <w:tr>
        <w:trPr>
          <w:trHeight w:val="155"/>
        </w:trPr>
        <w:tc>
          <w:tcPr>
            <w:tcW w:w="3780" w:type="dxa"/>
            <w:vAlign w:val="bottom"/>
          </w:tcPr>
          <w:p>
            <w:pPr>
              <w:spacing w:after="0"/>
              <w:rPr>
                <w:sz w:val="13"/>
                <w:szCs w:val="13"/>
                <w:color w:val="auto"/>
              </w:rPr>
            </w:pPr>
          </w:p>
        </w:tc>
        <w:tc>
          <w:tcPr>
            <w:tcW w:w="2840" w:type="dxa"/>
            <w:vAlign w:val="bottom"/>
            <w:gridSpan w:val="3"/>
          </w:tcPr>
          <w:p>
            <w:pPr>
              <w:jc w:val="right"/>
              <w:ind w:right="485"/>
              <w:spacing w:after="0"/>
              <w:rPr>
                <w:sz w:val="20"/>
                <w:szCs w:val="20"/>
                <w:color w:val="auto"/>
              </w:rPr>
            </w:pPr>
            <w:r>
              <w:rPr>
                <w:rFonts w:ascii="Arial" w:cs="Arial" w:eastAsia="Arial" w:hAnsi="Arial"/>
                <w:sz w:val="10"/>
                <w:szCs w:val="10"/>
                <w:b w:val="1"/>
                <w:bCs w:val="1"/>
                <w:color w:val="auto"/>
              </w:rPr>
              <w:t>(800) 914-1220</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3780" w:type="dxa"/>
            <w:vAlign w:val="bottom"/>
          </w:tcPr>
          <w:p>
            <w:pPr>
              <w:spacing w:after="0"/>
              <w:rPr>
                <w:sz w:val="23"/>
                <w:szCs w:val="23"/>
                <w:color w:val="auto"/>
              </w:rPr>
            </w:pPr>
          </w:p>
        </w:tc>
        <w:tc>
          <w:tcPr>
            <w:tcW w:w="3760" w:type="dxa"/>
            <w:vAlign w:val="bottom"/>
            <w:gridSpan w:val="5"/>
          </w:tcPr>
          <w:p>
            <w:pPr>
              <w:jc w:val="center"/>
              <w:ind w:left="132"/>
              <w:spacing w:after="0"/>
              <w:rPr>
                <w:sz w:val="20"/>
                <w:szCs w:val="20"/>
                <w:color w:val="auto"/>
              </w:rPr>
            </w:pPr>
            <w:r>
              <w:rPr>
                <w:rFonts w:ascii="Arial" w:cs="Arial" w:eastAsia="Arial" w:hAnsi="Arial"/>
                <w:sz w:val="10"/>
                <w:szCs w:val="10"/>
                <w:color w:val="auto"/>
                <w:w w:val="93"/>
              </w:rPr>
              <w:t>(Registrant’s telephone number, including area code)</w:t>
            </w:r>
          </w:p>
        </w:tc>
        <w:tc>
          <w:tcPr>
            <w:tcW w:w="3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6"/>
        </w:trPr>
        <w:tc>
          <w:tcPr>
            <w:tcW w:w="3780" w:type="dxa"/>
            <w:vAlign w:val="bottom"/>
            <w:vMerge w:val="restart"/>
          </w:tcPr>
          <w:p>
            <w:pPr>
              <w:spacing w:after="0"/>
              <w:rPr>
                <w:sz w:val="20"/>
                <w:szCs w:val="20"/>
                <w:color w:val="auto"/>
              </w:rPr>
            </w:pPr>
            <w:r>
              <w:rPr>
                <w:rFonts w:ascii="Arial" w:cs="Arial" w:eastAsia="Arial" w:hAnsi="Arial"/>
                <w:sz w:val="10"/>
                <w:szCs w:val="10"/>
                <w:color w:val="auto"/>
              </w:rPr>
              <w:t>Securities registered pursuant to Section 12(b) of the Act:</w:t>
            </w:r>
          </w:p>
        </w:tc>
        <w:tc>
          <w:tcPr>
            <w:tcW w:w="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7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2"/>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780" w:type="dxa"/>
            <w:vAlign w:val="bottom"/>
            <w:tcBorders>
              <w:left w:val="single" w:sz="8" w:color="auto"/>
              <w:right w:val="single" w:sz="8" w:color="auto"/>
            </w:tcBorders>
          </w:tcPr>
          <w:p>
            <w:pPr>
              <w:ind w:left="1500"/>
              <w:spacing w:after="0"/>
              <w:rPr>
                <w:sz w:val="20"/>
                <w:szCs w:val="20"/>
                <w:color w:val="auto"/>
              </w:rPr>
            </w:pPr>
            <w:r>
              <w:rPr>
                <w:rFonts w:ascii="Arial" w:cs="Arial" w:eastAsia="Arial" w:hAnsi="Arial"/>
                <w:sz w:val="9"/>
                <w:szCs w:val="9"/>
                <w:b w:val="1"/>
                <w:bCs w:val="1"/>
                <w:color w:val="auto"/>
              </w:rPr>
              <w:t>Title of Each Class</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40" w:type="dxa"/>
            <w:vAlign w:val="bottom"/>
            <w:tcBorders>
              <w:right w:val="single" w:sz="8" w:color="auto"/>
            </w:tcBorders>
            <w:gridSpan w:val="3"/>
          </w:tcPr>
          <w:p>
            <w:pPr>
              <w:jc w:val="center"/>
              <w:ind w:right="1020"/>
              <w:spacing w:after="0"/>
              <w:rPr>
                <w:sz w:val="20"/>
                <w:szCs w:val="20"/>
                <w:color w:val="auto"/>
              </w:rPr>
            </w:pPr>
            <w:r>
              <w:rPr>
                <w:rFonts w:ascii="Arial" w:cs="Arial" w:eastAsia="Arial" w:hAnsi="Arial"/>
                <w:sz w:val="9"/>
                <w:szCs w:val="9"/>
                <w:b w:val="1"/>
                <w:bCs w:val="1"/>
                <w:color w:val="auto"/>
                <w:w w:val="91"/>
              </w:rPr>
              <w:t>Trading Symbol(s)</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9"/>
                <w:szCs w:val="9"/>
                <w:b w:val="1"/>
                <w:bCs w:val="1"/>
                <w:color w:val="auto"/>
                <w:w w:val="88"/>
              </w:rPr>
              <w:t>Name of each exchange on which registered</w:t>
            </w:r>
          </w:p>
        </w:tc>
        <w:tc>
          <w:tcPr>
            <w:tcW w:w="0" w:type="dxa"/>
            <w:vAlign w:val="bottom"/>
          </w:tcPr>
          <w:p>
            <w:pPr>
              <w:spacing w:after="0"/>
              <w:rPr>
                <w:sz w:val="1"/>
                <w:szCs w:val="1"/>
                <w:color w:val="auto"/>
              </w:rPr>
            </w:pPr>
          </w:p>
        </w:tc>
      </w:tr>
      <w:tr>
        <w:trPr>
          <w:trHeight w:val="22"/>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3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Class A common stock, par value $0.01 per share</w:t>
            </w: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40" w:type="dxa"/>
            <w:vAlign w:val="bottom"/>
            <w:tcBorders>
              <w:bottom w:val="single" w:sz="8" w:color="auto"/>
              <w:right w:val="single" w:sz="8" w:color="auto"/>
            </w:tcBorders>
            <w:gridSpan w:val="3"/>
          </w:tcPr>
          <w:p>
            <w:pPr>
              <w:jc w:val="center"/>
              <w:ind w:right="1020"/>
              <w:spacing w:after="0"/>
              <w:rPr>
                <w:sz w:val="20"/>
                <w:szCs w:val="20"/>
                <w:color w:val="auto"/>
              </w:rPr>
            </w:pPr>
            <w:r>
              <w:rPr>
                <w:rFonts w:ascii="Arial" w:cs="Arial" w:eastAsia="Arial" w:hAnsi="Arial"/>
                <w:sz w:val="13"/>
                <w:szCs w:val="13"/>
                <w:color w:val="auto"/>
              </w:rPr>
              <w:t>ZI</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The Nasdaq Stock Market LLC</w:t>
            </w:r>
          </w:p>
        </w:tc>
        <w:tc>
          <w:tcPr>
            <w:tcW w:w="0" w:type="dxa"/>
            <w:vAlign w:val="bottom"/>
          </w:tcPr>
          <w:p>
            <w:pPr>
              <w:spacing w:after="0"/>
              <w:rPr>
                <w:sz w:val="1"/>
                <w:szCs w:val="1"/>
                <w:color w:val="auto"/>
              </w:rPr>
            </w:pPr>
          </w:p>
        </w:tc>
      </w:tr>
      <w:tr>
        <w:trPr>
          <w:trHeight w:val="86"/>
        </w:trPr>
        <w:tc>
          <w:tcPr>
            <w:tcW w:w="3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3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1" w:lineRule="exact"/>
        <w:rPr>
          <w:sz w:val="24"/>
          <w:szCs w:val="24"/>
          <w:color w:val="auto"/>
        </w:rPr>
      </w:pPr>
    </w:p>
    <w:p>
      <w:pPr>
        <w:jc w:val="both"/>
        <w:ind w:right="20" w:firstLine="233"/>
        <w:spacing w:after="0" w:line="134"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91" w:lineRule="exact"/>
        <w:rPr>
          <w:sz w:val="24"/>
          <w:szCs w:val="24"/>
          <w:color w:val="auto"/>
        </w:rPr>
      </w:pPr>
    </w:p>
    <w:p>
      <w:pPr>
        <w:jc w:val="both"/>
        <w:ind w:right="20" w:firstLine="233"/>
        <w:spacing w:after="0" w:line="134"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91" w:lineRule="exact"/>
        <w:rPr>
          <w:sz w:val="24"/>
          <w:szCs w:val="24"/>
          <w:color w:val="auto"/>
        </w:rPr>
      </w:pPr>
    </w:p>
    <w:p>
      <w:pPr>
        <w:jc w:val="both"/>
        <w:ind w:right="20" w:firstLine="233"/>
        <w:spacing w:after="0" w:line="274"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20" w:type="dxa"/>
        <w:tblCellMar>
          <w:top w:w="0" w:type="dxa"/>
          <w:left w:w="0" w:type="dxa"/>
          <w:bottom w:w="0" w:type="dxa"/>
          <w:right w:w="0" w:type="dxa"/>
        </w:tblCellMar>
      </w:tblPr>
      <w:tr>
        <w:trPr>
          <w:trHeight w:val="155"/>
        </w:trPr>
        <w:tc>
          <w:tcPr>
            <w:tcW w:w="136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4100" w:type="dxa"/>
            <w:vAlign w:val="bottom"/>
          </w:tcPr>
          <w:p>
            <w:pPr>
              <w:ind w:left="420"/>
              <w:spacing w:after="0" w:line="101" w:lineRule="exact"/>
              <w:rPr>
                <w:sz w:val="20"/>
                <w:szCs w:val="20"/>
                <w:color w:val="auto"/>
              </w:rPr>
            </w:pPr>
            <w:r>
              <w:rPr>
                <w:rFonts w:ascii="MS PGothic" w:cs="MS PGothic" w:eastAsia="MS PGothic" w:hAnsi="MS PGothic"/>
                <w:sz w:val="10"/>
                <w:szCs w:val="10"/>
                <w:color w:val="auto"/>
              </w:rPr>
              <w:t>☐</w:t>
            </w:r>
          </w:p>
        </w:tc>
        <w:tc>
          <w:tcPr>
            <w:tcW w:w="5120" w:type="dxa"/>
            <w:vAlign w:val="bottom"/>
          </w:tcPr>
          <w:p>
            <w:pPr>
              <w:ind w:left="3580"/>
              <w:spacing w:after="0"/>
              <w:rPr>
                <w:sz w:val="20"/>
                <w:szCs w:val="20"/>
                <w:color w:val="auto"/>
              </w:rPr>
            </w:pPr>
            <w:r>
              <w:rPr>
                <w:rFonts w:ascii="Arial" w:cs="Arial" w:eastAsia="Arial" w:hAnsi="Arial"/>
                <w:sz w:val="10"/>
                <w:szCs w:val="10"/>
                <w:color w:val="auto"/>
              </w:rPr>
              <w:t>Accelerated Filer</w:t>
            </w:r>
          </w:p>
        </w:tc>
        <w:tc>
          <w:tcPr>
            <w:tcW w:w="520" w:type="dxa"/>
            <w:vAlign w:val="bottom"/>
          </w:tcPr>
          <w:p>
            <w:pPr>
              <w:ind w:left="42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55"/>
        </w:trPr>
        <w:tc>
          <w:tcPr>
            <w:tcW w:w="1360" w:type="dxa"/>
            <w:vAlign w:val="bottom"/>
          </w:tcPr>
          <w:p>
            <w:pPr>
              <w:spacing w:after="0"/>
              <w:rPr>
                <w:sz w:val="20"/>
                <w:szCs w:val="20"/>
                <w:color w:val="auto"/>
              </w:rPr>
            </w:pPr>
            <w:r>
              <w:rPr>
                <w:rFonts w:ascii="Arial" w:cs="Arial" w:eastAsia="Arial" w:hAnsi="Arial"/>
                <w:sz w:val="10"/>
                <w:szCs w:val="10"/>
                <w:color w:val="auto"/>
              </w:rPr>
              <w:t>Non-accelerated Filer</w:t>
            </w:r>
          </w:p>
        </w:tc>
        <w:tc>
          <w:tcPr>
            <w:tcW w:w="4100" w:type="dxa"/>
            <w:vAlign w:val="bottom"/>
          </w:tcPr>
          <w:p>
            <w:pPr>
              <w:ind w:left="420"/>
              <w:spacing w:after="0" w:line="101" w:lineRule="exact"/>
              <w:rPr>
                <w:sz w:val="20"/>
                <w:szCs w:val="20"/>
                <w:color w:val="auto"/>
              </w:rPr>
            </w:pPr>
            <w:r>
              <w:rPr>
                <w:rFonts w:ascii="MS PGothic" w:cs="MS PGothic" w:eastAsia="MS PGothic" w:hAnsi="MS PGothic"/>
                <w:sz w:val="10"/>
                <w:szCs w:val="10"/>
                <w:color w:val="auto"/>
              </w:rPr>
              <w:t>☒</w:t>
            </w:r>
          </w:p>
        </w:tc>
        <w:tc>
          <w:tcPr>
            <w:tcW w:w="5120" w:type="dxa"/>
            <w:vAlign w:val="bottom"/>
          </w:tcPr>
          <w:p>
            <w:pPr>
              <w:ind w:left="3580"/>
              <w:spacing w:after="0"/>
              <w:rPr>
                <w:sz w:val="20"/>
                <w:szCs w:val="20"/>
                <w:color w:val="auto"/>
              </w:rPr>
            </w:pPr>
            <w:r>
              <w:rPr>
                <w:rFonts w:ascii="Arial" w:cs="Arial" w:eastAsia="Arial" w:hAnsi="Arial"/>
                <w:sz w:val="10"/>
                <w:szCs w:val="10"/>
                <w:color w:val="auto"/>
              </w:rPr>
              <w:t>Smaller reporting company</w:t>
            </w:r>
          </w:p>
        </w:tc>
        <w:tc>
          <w:tcPr>
            <w:tcW w:w="520" w:type="dxa"/>
            <w:vAlign w:val="bottom"/>
          </w:tcPr>
          <w:p>
            <w:pPr>
              <w:ind w:left="42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62"/>
        </w:trPr>
        <w:tc>
          <w:tcPr>
            <w:tcW w:w="13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120" w:type="dxa"/>
            <w:vAlign w:val="bottom"/>
          </w:tcPr>
          <w:p>
            <w:pPr>
              <w:ind w:left="3580"/>
              <w:spacing w:after="0"/>
              <w:rPr>
                <w:sz w:val="20"/>
                <w:szCs w:val="20"/>
                <w:color w:val="auto"/>
              </w:rPr>
            </w:pPr>
            <w:r>
              <w:rPr>
                <w:rFonts w:ascii="Arial" w:cs="Arial" w:eastAsia="Arial" w:hAnsi="Arial"/>
                <w:sz w:val="10"/>
                <w:szCs w:val="10"/>
                <w:color w:val="auto"/>
              </w:rPr>
              <w:t>Emerging growth company</w:t>
            </w:r>
          </w:p>
        </w:tc>
        <w:tc>
          <w:tcPr>
            <w:tcW w:w="520" w:type="dxa"/>
            <w:vAlign w:val="bottom"/>
          </w:tcPr>
          <w:p>
            <w:pPr>
              <w:ind w:left="42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42" w:lineRule="exact"/>
        <w:rPr>
          <w:sz w:val="24"/>
          <w:szCs w:val="24"/>
          <w:color w:val="auto"/>
        </w:rPr>
      </w:pPr>
    </w:p>
    <w:p>
      <w:pPr>
        <w:ind w:left="240"/>
        <w:spacing w:after="0" w:line="104" w:lineRule="exact"/>
        <w:rPr>
          <w:sz w:val="20"/>
          <w:szCs w:val="20"/>
          <w:color w:val="auto"/>
        </w:rPr>
      </w:pPr>
      <w:r>
        <w:rPr>
          <w:rFonts w:ascii="Arial" w:cs="Arial" w:eastAsia="Arial" w:hAnsi="Arial"/>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p>
    <w:p>
      <w:pPr>
        <w:spacing w:after="0" w:line="139" w:lineRule="exact"/>
        <w:rPr>
          <w:sz w:val="24"/>
          <w:szCs w:val="24"/>
          <w:color w:val="auto"/>
        </w:rPr>
      </w:pPr>
    </w:p>
    <w:p>
      <w:pPr>
        <w:ind w:left="240"/>
        <w:spacing w:after="0" w:line="104" w:lineRule="exact"/>
        <w:tabs>
          <w:tab w:leader="none" w:pos="5320" w:val="left"/>
        </w:tabs>
        <w:rPr>
          <w:sz w:val="20"/>
          <w:szCs w:val="20"/>
          <w:color w:val="auto"/>
        </w:rPr>
      </w:pPr>
      <w:r>
        <w:rPr>
          <w:rFonts w:ascii="Arial" w:cs="Arial" w:eastAsia="Arial" w:hAnsi="Arial"/>
          <w:sz w:val="9"/>
          <w:szCs w:val="9"/>
          <w:color w:val="auto"/>
        </w:rPr>
        <w:t xml:space="preserve">Indicate by check mark whether the registrant is a shell company (as defined by Rule 12b-2 of the Exchange Act). Yes </w:t>
      </w:r>
      <w:r>
        <w:rPr>
          <w:rFonts w:ascii="MS PGothic" w:cs="MS PGothic" w:eastAsia="MS PGothic" w:hAnsi="MS PGothic"/>
          <w:sz w:val="9"/>
          <w:szCs w:val="9"/>
          <w:color w:val="auto"/>
        </w:rPr>
        <w:t>☐</w:t>
      </w:r>
      <w:r>
        <w:rPr>
          <w:rFonts w:ascii="Arial" w:cs="Arial" w:eastAsia="Arial" w:hAnsi="Arial"/>
          <w:sz w:val="9"/>
          <w:szCs w:val="9"/>
          <w:color w:val="auto"/>
        </w:rPr>
        <w:tab/>
        <w:t xml:space="preserve">No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3045460</wp:posOffset>
            </wp:positionH>
            <wp:positionV relativeFrom="paragraph">
              <wp:posOffset>78105</wp:posOffset>
            </wp:positionV>
            <wp:extent cx="123126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1265" cy="6350"/>
                    </a:xfrm>
                    <a:prstGeom prst="rect">
                      <a:avLst/>
                    </a:prstGeom>
                    <a:noFill/>
                  </pic:spPr>
                </pic:pic>
              </a:graphicData>
            </a:graphic>
          </wp:anchor>
        </w:drawing>
      </w:r>
    </w:p>
    <w:p>
      <w:pPr>
        <w:spacing w:after="0" w:line="371" w:lineRule="exact"/>
        <w:rPr>
          <w:sz w:val="24"/>
          <w:szCs w:val="24"/>
          <w:color w:val="auto"/>
        </w:rPr>
      </w:pPr>
    </w:p>
    <w:p>
      <w:pPr>
        <w:ind w:left="240"/>
        <w:spacing w:after="0"/>
        <w:rPr>
          <w:sz w:val="20"/>
          <w:szCs w:val="20"/>
          <w:color w:val="auto"/>
        </w:rPr>
      </w:pPr>
      <w:r>
        <w:rPr>
          <w:rFonts w:ascii="Arial" w:cs="Arial" w:eastAsia="Arial" w:hAnsi="Arial"/>
          <w:sz w:val="10"/>
          <w:szCs w:val="10"/>
          <w:color w:val="auto"/>
        </w:rPr>
        <w:t>As of July 23, 2021, the number of outstanding shares of the registrant's common stock was:</w:t>
      </w:r>
    </w:p>
    <w:p>
      <w:pPr>
        <w:spacing w:after="0" w:line="118" w:lineRule="exact"/>
        <w:rPr>
          <w:sz w:val="24"/>
          <w:szCs w:val="24"/>
          <w:color w:val="auto"/>
        </w:rPr>
      </w:pPr>
    </w:p>
    <w:p>
      <w:pPr>
        <w:ind w:left="240"/>
        <w:spacing w:after="0"/>
        <w:rPr>
          <w:sz w:val="20"/>
          <w:szCs w:val="20"/>
          <w:color w:val="auto"/>
        </w:rPr>
      </w:pPr>
      <w:r>
        <w:rPr>
          <w:rFonts w:ascii="Arial" w:cs="Arial" w:eastAsia="Arial" w:hAnsi="Arial"/>
          <w:sz w:val="10"/>
          <w:szCs w:val="10"/>
          <w:color w:val="auto"/>
        </w:rPr>
        <w:t>123,988,075 shares of Class A common stock.</w:t>
      </w:r>
    </w:p>
    <w:p>
      <w:pPr>
        <w:spacing w:after="0" w:line="118" w:lineRule="exact"/>
        <w:rPr>
          <w:sz w:val="24"/>
          <w:szCs w:val="24"/>
          <w:color w:val="auto"/>
        </w:rPr>
      </w:pPr>
    </w:p>
    <w:p>
      <w:pPr>
        <w:ind w:left="240"/>
        <w:spacing w:after="0"/>
        <w:rPr>
          <w:sz w:val="20"/>
          <w:szCs w:val="20"/>
          <w:color w:val="auto"/>
        </w:rPr>
      </w:pPr>
      <w:r>
        <w:rPr>
          <w:rFonts w:ascii="Arial" w:cs="Arial" w:eastAsia="Arial" w:hAnsi="Arial"/>
          <w:sz w:val="10"/>
          <w:szCs w:val="10"/>
          <w:color w:val="auto"/>
        </w:rPr>
        <w:t>190,396,902 shares of Class B common stock.</w:t>
      </w:r>
    </w:p>
    <w:p>
      <w:pPr>
        <w:spacing w:after="0" w:line="118" w:lineRule="exact"/>
        <w:rPr>
          <w:sz w:val="24"/>
          <w:szCs w:val="24"/>
          <w:color w:val="auto"/>
        </w:rPr>
      </w:pPr>
    </w:p>
    <w:p>
      <w:pPr>
        <w:ind w:left="240"/>
        <w:spacing w:after="0"/>
        <w:rPr>
          <w:sz w:val="20"/>
          <w:szCs w:val="20"/>
          <w:color w:val="auto"/>
        </w:rPr>
      </w:pPr>
      <w:r>
        <w:rPr>
          <w:rFonts w:ascii="Arial" w:cs="Arial" w:eastAsia="Arial" w:hAnsi="Arial"/>
          <w:sz w:val="10"/>
          <w:szCs w:val="10"/>
          <w:color w:val="auto"/>
        </w:rPr>
        <w:t>77,338,315 shares of 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340995</wp:posOffset>
            </wp:positionV>
            <wp:extent cx="7196455"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6455" cy="3746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95250</wp:posOffset>
            </wp:positionV>
            <wp:extent cx="706755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67550" cy="6350"/>
                    </a:xfrm>
                    <a:prstGeom prst="rect">
                      <a:avLst/>
                    </a:prstGeom>
                    <a:noFill/>
                  </pic:spPr>
                </pic:pic>
              </a:graphicData>
            </a:graphic>
          </wp:anchor>
        </w:drawing>
      </w:r>
    </w:p>
    <w:p>
      <w:pPr>
        <w:sectPr>
          <w:pgSz w:w="11900" w:h="16838" w:orient="portrait"/>
          <w:cols w:equalWidth="0" w:num="1">
            <w:col w:w="11300"/>
          </w:cols>
          <w:pgMar w:left="300" w:top="908"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5"/>
        </w:trPr>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20" w:type="dxa"/>
            <w:vAlign w:val="bottom"/>
            <w:gridSpan w:val="4"/>
          </w:tcPr>
          <w:p>
            <w:pPr>
              <w:jc w:val="center"/>
              <w:ind w:right="3700"/>
              <w:spacing w:after="0"/>
              <w:rPr>
                <w:sz w:val="20"/>
                <w:szCs w:val="20"/>
                <w:color w:val="auto"/>
              </w:rPr>
            </w:pPr>
            <w:r>
              <w:rPr>
                <w:rFonts w:ascii="Arial" w:cs="Arial" w:eastAsia="Arial" w:hAnsi="Arial"/>
                <w:sz w:val="13"/>
                <w:szCs w:val="13"/>
                <w:b w:val="1"/>
                <w:bCs w:val="1"/>
                <w:color w:val="auto"/>
                <w:w w:val="88"/>
              </w:rPr>
              <w:t>ZoomInfo Technologies Inc.</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55"/>
        </w:trPr>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20" w:type="dxa"/>
            <w:vAlign w:val="bottom"/>
            <w:gridSpan w:val="4"/>
          </w:tcPr>
          <w:p>
            <w:pPr>
              <w:jc w:val="center"/>
              <w:ind w:right="3700"/>
              <w:spacing w:after="0"/>
              <w:rPr>
                <w:sz w:val="20"/>
                <w:szCs w:val="20"/>
                <w:color w:val="auto"/>
              </w:rPr>
            </w:pPr>
            <w:r>
              <w:rPr>
                <w:rFonts w:ascii="Arial" w:cs="Arial" w:eastAsia="Arial" w:hAnsi="Arial"/>
                <w:sz w:val="13"/>
                <w:szCs w:val="13"/>
                <w:b w:val="1"/>
                <w:bCs w:val="1"/>
                <w:color w:val="auto"/>
                <w:w w:val="94"/>
              </w:rPr>
              <w:t>Quarterly Report on Form 10-Q</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67"/>
        </w:trPr>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60" w:type="dxa"/>
            <w:vAlign w:val="bottom"/>
            <w:gridSpan w:val="6"/>
          </w:tcPr>
          <w:p>
            <w:pPr>
              <w:jc w:val="center"/>
              <w:ind w:right="2800"/>
              <w:spacing w:after="0"/>
              <w:rPr>
                <w:sz w:val="20"/>
                <w:szCs w:val="20"/>
                <w:color w:val="auto"/>
              </w:rPr>
            </w:pPr>
            <w:r>
              <w:rPr>
                <w:rFonts w:ascii="Arial" w:cs="Arial" w:eastAsia="Arial" w:hAnsi="Arial"/>
                <w:sz w:val="13"/>
                <w:szCs w:val="13"/>
                <w:b w:val="1"/>
                <w:bCs w:val="1"/>
                <w:color w:val="auto"/>
                <w:w w:val="91"/>
              </w:rPr>
              <w:t>For the Quarterly Period Ended June 30, 2021</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627"/>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40" w:type="dxa"/>
            <w:vAlign w:val="bottom"/>
            <w:gridSpan w:val="5"/>
          </w:tcPr>
          <w:p>
            <w:pPr>
              <w:jc w:val="center"/>
              <w:ind w:right="3800"/>
              <w:spacing w:after="0"/>
              <w:rPr>
                <w:sz w:val="20"/>
                <w:szCs w:val="20"/>
                <w:color w:val="auto"/>
              </w:rPr>
            </w:pPr>
            <w:r>
              <w:rPr>
                <w:rFonts w:ascii="Arial" w:cs="Arial" w:eastAsia="Arial" w:hAnsi="Arial"/>
                <w:sz w:val="18"/>
                <w:szCs w:val="18"/>
                <w:b w:val="1"/>
                <w:bCs w:val="1"/>
                <w:color w:val="auto"/>
                <w:w w:val="99"/>
              </w:rPr>
              <w:t>TABLE OF CONTENTS</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5"/>
        </w:trPr>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7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w w:val="83"/>
              </w:rPr>
              <w:t>Page</w:t>
            </w:r>
          </w:p>
        </w:tc>
      </w:tr>
      <w:tr>
        <w:trPr>
          <w:trHeight w:val="136"/>
        </w:trPr>
        <w:tc>
          <w:tcPr>
            <w:tcW w:w="10500" w:type="dxa"/>
            <w:vAlign w:val="bottom"/>
            <w:gridSpan w:val="25"/>
          </w:tcPr>
          <w:p>
            <w:pPr>
              <w:spacing w:after="0" w:line="136" w:lineRule="exact"/>
              <w:rPr>
                <w:rFonts w:ascii="Arial" w:cs="Arial" w:eastAsia="Arial" w:hAnsi="Arial"/>
                <w:sz w:val="13"/>
                <w:szCs w:val="13"/>
                <w:color w:val="0000FF"/>
              </w:rPr>
            </w:pPr>
            <w:hyperlink w:anchor="page2">
              <w:r>
                <w:rPr>
                  <w:rFonts w:ascii="Arial" w:cs="Arial" w:eastAsia="Arial" w:hAnsi="Arial"/>
                  <w:sz w:val="13"/>
                  <w:szCs w:val="13"/>
                  <w:color w:val="0000FF"/>
                </w:rPr>
                <w:t>Glossary</w:t>
              </w:r>
            </w:hyperlink>
          </w:p>
        </w:tc>
        <w:tc>
          <w:tcPr>
            <w:tcW w:w="360" w:type="dxa"/>
            <w:vAlign w:val="bottom"/>
          </w:tcPr>
          <w:p>
            <w:pPr>
              <w:spacing w:after="0"/>
              <w:rPr>
                <w:sz w:val="11"/>
                <w:szCs w:val="11"/>
                <w:color w:val="auto"/>
              </w:rPr>
            </w:pPr>
          </w:p>
        </w:tc>
        <w:tc>
          <w:tcPr>
            <w:tcW w:w="420" w:type="dxa"/>
            <w:vAlign w:val="bottom"/>
            <w:gridSpan w:val="2"/>
          </w:tcPr>
          <w:p>
            <w:pPr>
              <w:jc w:val="center"/>
              <w:ind w:right="360"/>
              <w:spacing w:after="0"/>
              <w:rPr>
                <w:rFonts w:ascii="Arial" w:cs="Arial" w:eastAsia="Arial" w:hAnsi="Arial"/>
                <w:sz w:val="10"/>
                <w:szCs w:val="10"/>
                <w:b w:val="1"/>
                <w:bCs w:val="1"/>
                <w:u w:val="single" w:color="auto"/>
                <w:color w:val="0000FF"/>
              </w:rPr>
            </w:pPr>
            <w:hyperlink w:anchor="page2">
              <w:r>
                <w:rPr>
                  <w:rFonts w:ascii="Arial" w:cs="Arial" w:eastAsia="Arial" w:hAnsi="Arial"/>
                  <w:sz w:val="10"/>
                  <w:szCs w:val="10"/>
                  <w:b w:val="1"/>
                  <w:bCs w:val="1"/>
                  <w:u w:val="single" w:color="auto"/>
                  <w:color w:val="0000FF"/>
                </w:rPr>
                <w:t>ii</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4"/>
        </w:trPr>
        <w:tc>
          <w:tcPr>
            <w:tcW w:w="10500" w:type="dxa"/>
            <w:vAlign w:val="bottom"/>
            <w:gridSpan w:val="25"/>
          </w:tcPr>
          <w:p>
            <w:pPr>
              <w:spacing w:after="0"/>
              <w:rPr>
                <w:rFonts w:ascii="Arial" w:cs="Arial" w:eastAsia="Arial" w:hAnsi="Arial"/>
                <w:sz w:val="13"/>
                <w:szCs w:val="13"/>
                <w:color w:val="0000FF"/>
              </w:rPr>
            </w:pPr>
            <w:hyperlink w:anchor="page4">
              <w:r>
                <w:rPr>
                  <w:rFonts w:ascii="Arial" w:cs="Arial" w:eastAsia="Arial" w:hAnsi="Arial"/>
                  <w:sz w:val="13"/>
                  <w:szCs w:val="13"/>
                  <w:color w:val="0000FF"/>
                </w:rPr>
                <w:t>Cautionary Statement Regarding Forward-Looking Statements</w:t>
              </w:r>
            </w:hyperlink>
          </w:p>
        </w:tc>
        <w:tc>
          <w:tcPr>
            <w:tcW w:w="360" w:type="dxa"/>
            <w:vAlign w:val="bottom"/>
          </w:tcPr>
          <w:p>
            <w:pPr>
              <w:spacing w:after="0"/>
              <w:rPr>
                <w:sz w:val="15"/>
                <w:szCs w:val="15"/>
                <w:color w:val="auto"/>
              </w:rPr>
            </w:pPr>
          </w:p>
        </w:tc>
        <w:tc>
          <w:tcPr>
            <w:tcW w:w="420" w:type="dxa"/>
            <w:vAlign w:val="bottom"/>
            <w:gridSpan w:val="2"/>
          </w:tcPr>
          <w:p>
            <w:pPr>
              <w:jc w:val="center"/>
              <w:ind w:right="360"/>
              <w:spacing w:after="0"/>
              <w:rPr>
                <w:rFonts w:ascii="Arial" w:cs="Arial" w:eastAsia="Arial" w:hAnsi="Arial"/>
                <w:sz w:val="10"/>
                <w:szCs w:val="10"/>
                <w:b w:val="1"/>
                <w:bCs w:val="1"/>
                <w:color w:val="0000FF"/>
                <w:w w:val="71"/>
              </w:rPr>
            </w:pPr>
            <w:hyperlink w:anchor="page4">
              <w:r>
                <w:rPr>
                  <w:rFonts w:ascii="Arial" w:cs="Arial" w:eastAsia="Arial" w:hAnsi="Arial"/>
                  <w:sz w:val="10"/>
                  <w:szCs w:val="10"/>
                  <w:b w:val="1"/>
                  <w:bCs w:val="1"/>
                  <w:color w:val="0000FF"/>
                  <w:w w:val="71"/>
                </w:rPr>
                <w:t>iv</w:t>
              </w:r>
            </w:hyperlink>
          </w:p>
        </w:tc>
      </w:tr>
      <w:tr>
        <w:trPr>
          <w:trHeight w:val="329"/>
        </w:trPr>
        <w:tc>
          <w:tcPr>
            <w:tcW w:w="4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40" w:type="dxa"/>
            <w:vAlign w:val="bottom"/>
            <w:gridSpan w:val="5"/>
          </w:tcPr>
          <w:p>
            <w:pPr>
              <w:jc w:val="center"/>
              <w:ind w:right="3820"/>
              <w:spacing w:after="0"/>
              <w:rPr>
                <w:rFonts w:ascii="Arial" w:cs="Arial" w:eastAsia="Arial" w:hAnsi="Arial"/>
                <w:sz w:val="13"/>
                <w:szCs w:val="13"/>
                <w:color w:val="0000FF"/>
                <w:w w:val="98"/>
              </w:rPr>
            </w:pPr>
            <w:hyperlink w:anchor="page6">
              <w:r>
                <w:rPr>
                  <w:rFonts w:ascii="Arial" w:cs="Arial" w:eastAsia="Arial" w:hAnsi="Arial"/>
                  <w:sz w:val="13"/>
                  <w:szCs w:val="13"/>
                  <w:color w:val="0000FF"/>
                  <w:w w:val="98"/>
                </w:rPr>
                <w:t>PART I - FINANCIAL INFORMATION</w:t>
              </w:r>
            </w:hyperlink>
          </w:p>
        </w:tc>
        <w:tc>
          <w:tcPr>
            <w:tcW w:w="36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r>
      <w:tr>
        <w:trPr>
          <w:trHeight w:val="174"/>
        </w:trPr>
        <w:tc>
          <w:tcPr>
            <w:tcW w:w="4560" w:type="dxa"/>
            <w:vAlign w:val="bottom"/>
            <w:gridSpan w:val="20"/>
          </w:tcPr>
          <w:p>
            <w:pPr>
              <w:spacing w:after="0"/>
              <w:rPr>
                <w:rFonts w:ascii="Arial" w:cs="Arial" w:eastAsia="Arial" w:hAnsi="Arial"/>
                <w:sz w:val="13"/>
                <w:szCs w:val="13"/>
                <w:color w:val="0000FF"/>
              </w:rPr>
            </w:pPr>
            <w:hyperlink w:anchor="page7">
              <w:r>
                <w:rPr>
                  <w:rFonts w:ascii="Arial" w:cs="Arial" w:eastAsia="Arial" w:hAnsi="Arial"/>
                  <w:sz w:val="13"/>
                  <w:szCs w:val="13"/>
                  <w:color w:val="0000FF"/>
                </w:rPr>
                <w:t>Item 1. Financial Statements</w:t>
              </w:r>
            </w:hyperlink>
          </w:p>
        </w:tc>
        <w:tc>
          <w:tcPr>
            <w:tcW w:w="2120" w:type="dxa"/>
            <w:vAlign w:val="bottom"/>
            <w:tcBorders>
              <w:top w:val="single" w:sz="8" w:color="0000FF"/>
            </w:tcBorders>
            <w:gridSpan w:val="4"/>
          </w:tcPr>
          <w:p>
            <w:pPr>
              <w:spacing w:after="0"/>
              <w:rPr>
                <w:sz w:val="15"/>
                <w:szCs w:val="15"/>
                <w:color w:val="auto"/>
              </w:rPr>
            </w:pPr>
          </w:p>
        </w:tc>
        <w:tc>
          <w:tcPr>
            <w:tcW w:w="3820" w:type="dxa"/>
            <w:vAlign w:val="bottom"/>
          </w:tcPr>
          <w:p>
            <w:pPr>
              <w:spacing w:after="0"/>
              <w:rPr>
                <w:sz w:val="15"/>
                <w:szCs w:val="15"/>
                <w:color w:val="auto"/>
              </w:rPr>
            </w:pPr>
          </w:p>
        </w:tc>
        <w:tc>
          <w:tcPr>
            <w:tcW w:w="420" w:type="dxa"/>
            <w:vAlign w:val="bottom"/>
            <w:gridSpan w:val="2"/>
          </w:tcPr>
          <w:p>
            <w:pPr>
              <w:jc w:val="center"/>
              <w:ind w:left="296"/>
              <w:spacing w:after="0"/>
              <w:rPr>
                <w:rFonts w:ascii="Arial" w:cs="Arial" w:eastAsia="Arial" w:hAnsi="Arial"/>
                <w:sz w:val="13"/>
                <w:szCs w:val="13"/>
                <w:color w:val="0000FF"/>
                <w:w w:val="82"/>
              </w:rPr>
            </w:pPr>
            <w:hyperlink w:anchor="page7">
              <w:r>
                <w:rPr>
                  <w:rFonts w:ascii="Arial" w:cs="Arial" w:eastAsia="Arial" w:hAnsi="Arial"/>
                  <w:sz w:val="13"/>
                  <w:szCs w:val="13"/>
                  <w:color w:val="0000FF"/>
                  <w:w w:val="82"/>
                </w:rPr>
                <w:t>1</w:t>
              </w:r>
            </w:hyperlink>
          </w:p>
        </w:tc>
        <w:tc>
          <w:tcPr>
            <w:tcW w:w="360" w:type="dxa"/>
            <w:vAlign w:val="bottom"/>
          </w:tcPr>
          <w:p>
            <w:pPr>
              <w:spacing w:after="0"/>
              <w:rPr>
                <w:sz w:val="15"/>
                <w:szCs w:val="15"/>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4"/>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gridSpan w:val="23"/>
          </w:tcPr>
          <w:p>
            <w:pPr>
              <w:spacing w:after="0"/>
              <w:rPr>
                <w:rFonts w:ascii="Arial" w:cs="Arial" w:eastAsia="Arial" w:hAnsi="Arial"/>
                <w:sz w:val="13"/>
                <w:szCs w:val="13"/>
                <w:color w:val="0000FF"/>
              </w:rPr>
            </w:pPr>
            <w:hyperlink w:anchor="page8">
              <w:r>
                <w:rPr>
                  <w:rFonts w:ascii="Arial" w:cs="Arial" w:eastAsia="Arial" w:hAnsi="Arial"/>
                  <w:sz w:val="13"/>
                  <w:szCs w:val="13"/>
                  <w:color w:val="0000FF"/>
                </w:rPr>
                <w:t>Condensed Consolidated Balance Sheets</w:t>
              </w:r>
            </w:hyperlink>
          </w:p>
        </w:tc>
        <w:tc>
          <w:tcPr>
            <w:tcW w:w="420" w:type="dxa"/>
            <w:vAlign w:val="bottom"/>
            <w:gridSpan w:val="2"/>
          </w:tcPr>
          <w:p>
            <w:pPr>
              <w:jc w:val="center"/>
              <w:ind w:left="296"/>
              <w:spacing w:after="0"/>
              <w:rPr>
                <w:rFonts w:ascii="Arial" w:cs="Arial" w:eastAsia="Arial" w:hAnsi="Arial"/>
                <w:sz w:val="13"/>
                <w:szCs w:val="13"/>
                <w:color w:val="0000FF"/>
                <w:w w:val="82"/>
              </w:rPr>
            </w:pPr>
            <w:hyperlink w:anchor="page8">
              <w:r>
                <w:rPr>
                  <w:rFonts w:ascii="Arial" w:cs="Arial" w:eastAsia="Arial" w:hAnsi="Arial"/>
                  <w:sz w:val="13"/>
                  <w:szCs w:val="13"/>
                  <w:color w:val="0000FF"/>
                  <w:w w:val="82"/>
                </w:rPr>
                <w:t>2</w:t>
              </w:r>
            </w:hyperlink>
          </w:p>
        </w:tc>
        <w:tc>
          <w:tcPr>
            <w:tcW w:w="36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4"/>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9"/>
          </w:tcPr>
          <w:p>
            <w:pPr>
              <w:spacing w:after="0"/>
              <w:rPr>
                <w:rFonts w:ascii="Arial" w:cs="Arial" w:eastAsia="Arial" w:hAnsi="Arial"/>
                <w:sz w:val="13"/>
                <w:szCs w:val="13"/>
                <w:color w:val="0000FF"/>
                <w:w w:val="85"/>
              </w:rPr>
            </w:pPr>
            <w:hyperlink w:anchor="page8">
              <w:r>
                <w:rPr>
                  <w:rFonts w:ascii="Arial" w:cs="Arial" w:eastAsia="Arial" w:hAnsi="Arial"/>
                  <w:sz w:val="13"/>
                  <w:szCs w:val="13"/>
                  <w:color w:val="0000FF"/>
                  <w:w w:val="85"/>
                </w:rPr>
                <w:t>Consolidated Statements of Operations</w:t>
              </w:r>
            </w:hyperlink>
          </w:p>
        </w:tc>
        <w:tc>
          <w:tcPr>
            <w:tcW w:w="80" w:type="dxa"/>
            <w:vAlign w:val="bottom"/>
            <w:gridSpan w:val="2"/>
          </w:tcPr>
          <w:p>
            <w:pPr>
              <w:spacing w:after="0"/>
              <w:rPr>
                <w:sz w:val="15"/>
                <w:szCs w:val="15"/>
                <w:color w:val="auto"/>
              </w:rPr>
            </w:pPr>
          </w:p>
        </w:tc>
        <w:tc>
          <w:tcPr>
            <w:tcW w:w="7920" w:type="dxa"/>
            <w:vAlign w:val="bottom"/>
            <w:gridSpan w:val="12"/>
          </w:tcPr>
          <w:p>
            <w:pPr>
              <w:spacing w:after="0"/>
              <w:rPr>
                <w:sz w:val="15"/>
                <w:szCs w:val="15"/>
                <w:color w:val="auto"/>
              </w:rPr>
            </w:pPr>
          </w:p>
        </w:tc>
        <w:tc>
          <w:tcPr>
            <w:tcW w:w="420" w:type="dxa"/>
            <w:vAlign w:val="bottom"/>
            <w:gridSpan w:val="2"/>
          </w:tcPr>
          <w:p>
            <w:pPr>
              <w:jc w:val="center"/>
              <w:ind w:left="296"/>
              <w:spacing w:after="0"/>
              <w:rPr>
                <w:rFonts w:ascii="Arial" w:cs="Arial" w:eastAsia="Arial" w:hAnsi="Arial"/>
                <w:sz w:val="13"/>
                <w:szCs w:val="13"/>
                <w:color w:val="0000FF"/>
                <w:w w:val="82"/>
              </w:rPr>
            </w:pPr>
            <w:hyperlink w:anchor="page8">
              <w:r>
                <w:rPr>
                  <w:rFonts w:ascii="Arial" w:cs="Arial" w:eastAsia="Arial" w:hAnsi="Arial"/>
                  <w:sz w:val="13"/>
                  <w:szCs w:val="13"/>
                  <w:color w:val="0000FF"/>
                  <w:w w:val="82"/>
                </w:rPr>
                <w:t>3</w:t>
              </w:r>
            </w:hyperlink>
          </w:p>
        </w:tc>
        <w:tc>
          <w:tcPr>
            <w:tcW w:w="36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4"/>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13"/>
          </w:tcPr>
          <w:p>
            <w:pPr>
              <w:spacing w:after="0"/>
              <w:rPr>
                <w:rFonts w:ascii="Arial" w:cs="Arial" w:eastAsia="Arial" w:hAnsi="Arial"/>
                <w:sz w:val="13"/>
                <w:szCs w:val="13"/>
                <w:color w:val="0000FF"/>
                <w:w w:val="86"/>
              </w:rPr>
            </w:pPr>
            <w:hyperlink w:anchor="page9">
              <w:r>
                <w:rPr>
                  <w:rFonts w:ascii="Arial" w:cs="Arial" w:eastAsia="Arial" w:hAnsi="Arial"/>
                  <w:sz w:val="13"/>
                  <w:szCs w:val="13"/>
                  <w:color w:val="0000FF"/>
                  <w:w w:val="86"/>
                </w:rPr>
                <w:t>Consolidated Statements of Comprehensive Loss</w:t>
              </w:r>
            </w:hyperlink>
          </w:p>
        </w:tc>
        <w:tc>
          <w:tcPr>
            <w:tcW w:w="7480" w:type="dxa"/>
            <w:vAlign w:val="bottom"/>
            <w:gridSpan w:val="10"/>
          </w:tcPr>
          <w:p>
            <w:pPr>
              <w:spacing w:after="0"/>
              <w:rPr>
                <w:sz w:val="15"/>
                <w:szCs w:val="15"/>
                <w:color w:val="auto"/>
              </w:rPr>
            </w:pPr>
          </w:p>
        </w:tc>
        <w:tc>
          <w:tcPr>
            <w:tcW w:w="420" w:type="dxa"/>
            <w:vAlign w:val="bottom"/>
            <w:gridSpan w:val="2"/>
          </w:tcPr>
          <w:p>
            <w:pPr>
              <w:jc w:val="center"/>
              <w:ind w:left="296"/>
              <w:spacing w:after="0"/>
              <w:rPr>
                <w:rFonts w:ascii="Arial" w:cs="Arial" w:eastAsia="Arial" w:hAnsi="Arial"/>
                <w:sz w:val="13"/>
                <w:szCs w:val="13"/>
                <w:color w:val="0000FF"/>
                <w:w w:val="82"/>
              </w:rPr>
            </w:pPr>
            <w:hyperlink w:anchor="page9">
              <w:r>
                <w:rPr>
                  <w:rFonts w:ascii="Arial" w:cs="Arial" w:eastAsia="Arial" w:hAnsi="Arial"/>
                  <w:sz w:val="13"/>
                  <w:szCs w:val="13"/>
                  <w:color w:val="0000FF"/>
                  <w:w w:val="82"/>
                </w:rPr>
                <w:t>4</w:t>
              </w:r>
            </w:hyperlink>
          </w:p>
        </w:tc>
        <w:tc>
          <w:tcPr>
            <w:tcW w:w="36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4"/>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15"/>
          </w:tcPr>
          <w:p>
            <w:pPr>
              <w:spacing w:after="0"/>
              <w:rPr>
                <w:rFonts w:ascii="Arial" w:cs="Arial" w:eastAsia="Arial" w:hAnsi="Arial"/>
                <w:sz w:val="13"/>
                <w:szCs w:val="13"/>
                <w:color w:val="0000FF"/>
                <w:w w:val="88"/>
              </w:rPr>
            </w:pPr>
            <w:hyperlink w:anchor="page10">
              <w:r>
                <w:rPr>
                  <w:rFonts w:ascii="Arial" w:cs="Arial" w:eastAsia="Arial" w:hAnsi="Arial"/>
                  <w:sz w:val="13"/>
                  <w:szCs w:val="13"/>
                  <w:color w:val="0000FF"/>
                  <w:w w:val="88"/>
                </w:rPr>
                <w:t>Consolidated Statements of Changes in Equity (Deficit)</w:t>
              </w:r>
            </w:hyperlink>
          </w:p>
        </w:tc>
        <w:tc>
          <w:tcPr>
            <w:tcW w:w="7140" w:type="dxa"/>
            <w:vAlign w:val="bottom"/>
            <w:gridSpan w:val="8"/>
          </w:tcPr>
          <w:p>
            <w:pPr>
              <w:spacing w:after="0"/>
              <w:rPr>
                <w:sz w:val="15"/>
                <w:szCs w:val="15"/>
                <w:color w:val="auto"/>
              </w:rPr>
            </w:pPr>
          </w:p>
        </w:tc>
        <w:tc>
          <w:tcPr>
            <w:tcW w:w="420" w:type="dxa"/>
            <w:vAlign w:val="bottom"/>
            <w:gridSpan w:val="2"/>
          </w:tcPr>
          <w:p>
            <w:pPr>
              <w:jc w:val="center"/>
              <w:ind w:left="296"/>
              <w:spacing w:after="0"/>
              <w:rPr>
                <w:rFonts w:ascii="Arial" w:cs="Arial" w:eastAsia="Arial" w:hAnsi="Arial"/>
                <w:sz w:val="13"/>
                <w:szCs w:val="13"/>
                <w:color w:val="0000FF"/>
                <w:w w:val="82"/>
              </w:rPr>
            </w:pPr>
            <w:hyperlink w:anchor="page10">
              <w:r>
                <w:rPr>
                  <w:rFonts w:ascii="Arial" w:cs="Arial" w:eastAsia="Arial" w:hAnsi="Arial"/>
                  <w:sz w:val="13"/>
                  <w:szCs w:val="13"/>
                  <w:color w:val="0000FF"/>
                  <w:w w:val="82"/>
                </w:rPr>
                <w:t>5</w:t>
              </w:r>
            </w:hyperlink>
          </w:p>
        </w:tc>
        <w:tc>
          <w:tcPr>
            <w:tcW w:w="36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4"/>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10"/>
          </w:tcPr>
          <w:p>
            <w:pPr>
              <w:spacing w:after="0"/>
              <w:rPr>
                <w:rFonts w:ascii="Arial" w:cs="Arial" w:eastAsia="Arial" w:hAnsi="Arial"/>
                <w:sz w:val="13"/>
                <w:szCs w:val="13"/>
                <w:color w:val="0000FF"/>
                <w:w w:val="85"/>
              </w:rPr>
            </w:pPr>
            <w:hyperlink w:anchor="page13">
              <w:r>
                <w:rPr>
                  <w:rFonts w:ascii="Arial" w:cs="Arial" w:eastAsia="Arial" w:hAnsi="Arial"/>
                  <w:sz w:val="13"/>
                  <w:szCs w:val="13"/>
                  <w:color w:val="0000FF"/>
                  <w:w w:val="85"/>
                </w:rPr>
                <w:t>Consolidated Statements of Cash Flows</w:t>
              </w:r>
            </w:hyperlink>
          </w:p>
        </w:tc>
        <w:tc>
          <w:tcPr>
            <w:tcW w:w="820" w:type="dxa"/>
            <w:vAlign w:val="bottom"/>
            <w:gridSpan w:val="5"/>
          </w:tcPr>
          <w:p>
            <w:pPr>
              <w:spacing w:after="0"/>
              <w:rPr>
                <w:sz w:val="15"/>
                <w:szCs w:val="15"/>
                <w:color w:val="auto"/>
              </w:rPr>
            </w:pPr>
          </w:p>
        </w:tc>
        <w:tc>
          <w:tcPr>
            <w:tcW w:w="7140" w:type="dxa"/>
            <w:vAlign w:val="bottom"/>
            <w:gridSpan w:val="8"/>
          </w:tcPr>
          <w:p>
            <w:pPr>
              <w:spacing w:after="0"/>
              <w:rPr>
                <w:sz w:val="15"/>
                <w:szCs w:val="15"/>
                <w:color w:val="auto"/>
              </w:rPr>
            </w:pPr>
          </w:p>
        </w:tc>
        <w:tc>
          <w:tcPr>
            <w:tcW w:w="420" w:type="dxa"/>
            <w:vAlign w:val="bottom"/>
            <w:gridSpan w:val="2"/>
          </w:tcPr>
          <w:p>
            <w:pPr>
              <w:jc w:val="center"/>
              <w:ind w:left="296"/>
              <w:spacing w:after="0"/>
              <w:rPr>
                <w:rFonts w:ascii="Arial" w:cs="Arial" w:eastAsia="Arial" w:hAnsi="Arial"/>
                <w:sz w:val="13"/>
                <w:szCs w:val="13"/>
                <w:color w:val="0000FF"/>
                <w:w w:val="82"/>
              </w:rPr>
            </w:pPr>
            <w:hyperlink w:anchor="page13">
              <w:r>
                <w:rPr>
                  <w:rFonts w:ascii="Arial" w:cs="Arial" w:eastAsia="Arial" w:hAnsi="Arial"/>
                  <w:sz w:val="13"/>
                  <w:szCs w:val="13"/>
                  <w:color w:val="0000FF"/>
                  <w:w w:val="82"/>
                </w:rPr>
                <w:t>8</w:t>
              </w:r>
            </w:hyperlink>
          </w:p>
        </w:tc>
        <w:tc>
          <w:tcPr>
            <w:tcW w:w="36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4"/>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gridSpan w:val="23"/>
          </w:tcPr>
          <w:p>
            <w:pPr>
              <w:spacing w:after="0"/>
              <w:rPr>
                <w:rFonts w:ascii="Arial" w:cs="Arial" w:eastAsia="Arial" w:hAnsi="Arial"/>
                <w:sz w:val="13"/>
                <w:szCs w:val="13"/>
                <w:color w:val="0000FF"/>
              </w:rPr>
            </w:pPr>
            <w:hyperlink w:anchor="page15">
              <w:r>
                <w:rPr>
                  <w:rFonts w:ascii="Arial" w:cs="Arial" w:eastAsia="Arial" w:hAnsi="Arial"/>
                  <w:sz w:val="13"/>
                  <w:szCs w:val="13"/>
                  <w:color w:val="0000FF"/>
                </w:rPr>
                <w:t>Notes to the Consolidated Financial Statements</w:t>
              </w:r>
            </w:hyperlink>
          </w:p>
        </w:tc>
        <w:tc>
          <w:tcPr>
            <w:tcW w:w="420" w:type="dxa"/>
            <w:vAlign w:val="bottom"/>
            <w:gridSpan w:val="2"/>
          </w:tcPr>
          <w:p>
            <w:pPr>
              <w:jc w:val="center"/>
              <w:ind w:left="236"/>
              <w:spacing w:after="0"/>
              <w:rPr>
                <w:rFonts w:ascii="Arial" w:cs="Arial" w:eastAsia="Arial" w:hAnsi="Arial"/>
                <w:sz w:val="13"/>
                <w:szCs w:val="13"/>
                <w:color w:val="0000FF"/>
                <w:w w:val="82"/>
              </w:rPr>
            </w:pPr>
            <w:hyperlink w:anchor="page15">
              <w:r>
                <w:rPr>
                  <w:rFonts w:ascii="Arial" w:cs="Arial" w:eastAsia="Arial" w:hAnsi="Arial"/>
                  <w:sz w:val="13"/>
                  <w:szCs w:val="13"/>
                  <w:color w:val="0000FF"/>
                  <w:w w:val="82"/>
                </w:rPr>
                <w:t>10</w:t>
              </w:r>
            </w:hyperlink>
          </w:p>
        </w:tc>
        <w:tc>
          <w:tcPr>
            <w:tcW w:w="360" w:type="dxa"/>
            <w:vAlign w:val="bottom"/>
          </w:tcPr>
          <w:p>
            <w:pPr>
              <w:spacing w:after="0"/>
              <w:rPr>
                <w:sz w:val="15"/>
                <w:szCs w:val="15"/>
                <w:color w:val="auto"/>
              </w:rPr>
            </w:pPr>
          </w:p>
        </w:tc>
      </w:tr>
      <w:tr>
        <w:trPr>
          <w:trHeight w:val="20"/>
        </w:trPr>
        <w:tc>
          <w:tcPr>
            <w:tcW w:w="540" w:type="dxa"/>
            <w:vAlign w:val="bottom"/>
            <w:tcBorders>
              <w:right w:val="single" w:sz="8" w:color="0000FF"/>
            </w:tcBorders>
            <w:gridSpan w:val="2"/>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74"/>
        </w:trPr>
        <w:tc>
          <w:tcPr>
            <w:tcW w:w="5020" w:type="dxa"/>
            <w:vAlign w:val="bottom"/>
            <w:gridSpan w:val="22"/>
          </w:tcPr>
          <w:p>
            <w:pPr>
              <w:spacing w:after="0"/>
              <w:rPr>
                <w:rFonts w:ascii="Arial" w:cs="Arial" w:eastAsia="Arial" w:hAnsi="Arial"/>
                <w:sz w:val="13"/>
                <w:szCs w:val="13"/>
                <w:color w:val="0000FF"/>
                <w:w w:val="90"/>
              </w:rPr>
            </w:pPr>
            <w:hyperlink w:anchor="page51">
              <w:r>
                <w:rPr>
                  <w:rFonts w:ascii="Arial" w:cs="Arial" w:eastAsia="Arial" w:hAnsi="Arial"/>
                  <w:sz w:val="13"/>
                  <w:szCs w:val="13"/>
                  <w:color w:val="0000FF"/>
                  <w:w w:val="90"/>
                </w:rPr>
                <w:t>Item 2. Management's Discussion and Analysis of Financial Condition and Results of Operations</w:t>
              </w:r>
            </w:hyperlink>
          </w:p>
        </w:tc>
        <w:tc>
          <w:tcPr>
            <w:tcW w:w="5480" w:type="dxa"/>
            <w:vAlign w:val="bottom"/>
            <w:gridSpan w:val="3"/>
          </w:tcPr>
          <w:p>
            <w:pPr>
              <w:spacing w:after="0"/>
              <w:rPr>
                <w:sz w:val="15"/>
                <w:szCs w:val="15"/>
                <w:color w:val="auto"/>
              </w:rPr>
            </w:pPr>
          </w:p>
        </w:tc>
        <w:tc>
          <w:tcPr>
            <w:tcW w:w="420" w:type="dxa"/>
            <w:vAlign w:val="bottom"/>
            <w:gridSpan w:val="2"/>
          </w:tcPr>
          <w:p>
            <w:pPr>
              <w:jc w:val="center"/>
              <w:ind w:left="236"/>
              <w:spacing w:after="0"/>
              <w:rPr>
                <w:rFonts w:ascii="Arial" w:cs="Arial" w:eastAsia="Arial" w:hAnsi="Arial"/>
                <w:sz w:val="13"/>
                <w:szCs w:val="13"/>
                <w:color w:val="0000FF"/>
                <w:w w:val="82"/>
              </w:rPr>
            </w:pPr>
            <w:hyperlink w:anchor="page51">
              <w:r>
                <w:rPr>
                  <w:rFonts w:ascii="Arial" w:cs="Arial" w:eastAsia="Arial" w:hAnsi="Arial"/>
                  <w:sz w:val="13"/>
                  <w:szCs w:val="13"/>
                  <w:color w:val="0000FF"/>
                  <w:w w:val="82"/>
                </w:rPr>
                <w:t>46</w:t>
              </w:r>
            </w:hyperlink>
          </w:p>
        </w:tc>
        <w:tc>
          <w:tcPr>
            <w:tcW w:w="360" w:type="dxa"/>
            <w:vAlign w:val="bottom"/>
          </w:tcPr>
          <w:p>
            <w:pPr>
              <w:spacing w:after="0"/>
              <w:rPr>
                <w:sz w:val="15"/>
                <w:szCs w:val="15"/>
                <w:color w:val="auto"/>
              </w:rPr>
            </w:pPr>
          </w:p>
        </w:tc>
      </w:tr>
      <w:tr>
        <w:trPr>
          <w:trHeight w:val="20"/>
        </w:trPr>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6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74"/>
        </w:trPr>
        <w:tc>
          <w:tcPr>
            <w:tcW w:w="3540" w:type="dxa"/>
            <w:vAlign w:val="bottom"/>
            <w:gridSpan w:val="19"/>
          </w:tcPr>
          <w:p>
            <w:pPr>
              <w:spacing w:after="0"/>
              <w:rPr>
                <w:rFonts w:ascii="Arial" w:cs="Arial" w:eastAsia="Arial" w:hAnsi="Arial"/>
                <w:sz w:val="13"/>
                <w:szCs w:val="13"/>
                <w:color w:val="0000FF"/>
                <w:w w:val="91"/>
              </w:rPr>
            </w:pPr>
            <w:hyperlink w:anchor="page74">
              <w:r>
                <w:rPr>
                  <w:rFonts w:ascii="Arial" w:cs="Arial" w:eastAsia="Arial" w:hAnsi="Arial"/>
                  <w:sz w:val="13"/>
                  <w:szCs w:val="13"/>
                  <w:color w:val="0000FF"/>
                  <w:w w:val="91"/>
                </w:rPr>
                <w:t>Item 3. Quantitative and Qualitative Disclosures About Market Risk</w:t>
              </w:r>
            </w:hyperlink>
          </w:p>
        </w:tc>
        <w:tc>
          <w:tcPr>
            <w:tcW w:w="1480" w:type="dxa"/>
            <w:vAlign w:val="bottom"/>
            <w:gridSpan w:val="3"/>
          </w:tcPr>
          <w:p>
            <w:pPr>
              <w:spacing w:after="0"/>
              <w:rPr>
                <w:sz w:val="15"/>
                <w:szCs w:val="15"/>
                <w:color w:val="auto"/>
              </w:rPr>
            </w:pPr>
          </w:p>
        </w:tc>
        <w:tc>
          <w:tcPr>
            <w:tcW w:w="5480" w:type="dxa"/>
            <w:vAlign w:val="bottom"/>
            <w:gridSpan w:val="3"/>
          </w:tcPr>
          <w:p>
            <w:pPr>
              <w:spacing w:after="0"/>
              <w:rPr>
                <w:sz w:val="15"/>
                <w:szCs w:val="15"/>
                <w:color w:val="auto"/>
              </w:rPr>
            </w:pPr>
          </w:p>
        </w:tc>
        <w:tc>
          <w:tcPr>
            <w:tcW w:w="420" w:type="dxa"/>
            <w:vAlign w:val="bottom"/>
            <w:gridSpan w:val="2"/>
          </w:tcPr>
          <w:p>
            <w:pPr>
              <w:jc w:val="center"/>
              <w:ind w:left="236"/>
              <w:spacing w:after="0"/>
              <w:rPr>
                <w:rFonts w:ascii="Arial" w:cs="Arial" w:eastAsia="Arial" w:hAnsi="Arial"/>
                <w:sz w:val="13"/>
                <w:szCs w:val="13"/>
                <w:color w:val="0000FF"/>
                <w:w w:val="82"/>
              </w:rPr>
            </w:pPr>
            <w:hyperlink w:anchor="page74">
              <w:r>
                <w:rPr>
                  <w:rFonts w:ascii="Arial" w:cs="Arial" w:eastAsia="Arial" w:hAnsi="Arial"/>
                  <w:sz w:val="13"/>
                  <w:szCs w:val="13"/>
                  <w:color w:val="0000FF"/>
                  <w:w w:val="82"/>
                </w:rPr>
                <w:t>68</w:t>
              </w:r>
            </w:hyperlink>
          </w:p>
        </w:tc>
        <w:tc>
          <w:tcPr>
            <w:tcW w:w="360" w:type="dxa"/>
            <w:vAlign w:val="bottom"/>
          </w:tcPr>
          <w:p>
            <w:pPr>
              <w:spacing w:after="0"/>
              <w:rPr>
                <w:sz w:val="15"/>
                <w:szCs w:val="15"/>
                <w:color w:val="auto"/>
              </w:rPr>
            </w:pPr>
          </w:p>
        </w:tc>
      </w:tr>
      <w:tr>
        <w:trPr>
          <w:trHeight w:val="20"/>
        </w:trPr>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6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74"/>
        </w:trPr>
        <w:tc>
          <w:tcPr>
            <w:tcW w:w="3540" w:type="dxa"/>
            <w:vAlign w:val="bottom"/>
            <w:gridSpan w:val="19"/>
          </w:tcPr>
          <w:p>
            <w:pPr>
              <w:spacing w:after="0"/>
              <w:rPr>
                <w:rFonts w:ascii="Arial" w:cs="Arial" w:eastAsia="Arial" w:hAnsi="Arial"/>
                <w:sz w:val="13"/>
                <w:szCs w:val="13"/>
                <w:color w:val="0000FF"/>
              </w:rPr>
            </w:pPr>
            <w:hyperlink w:anchor="page75">
              <w:r>
                <w:rPr>
                  <w:rFonts w:ascii="Arial" w:cs="Arial" w:eastAsia="Arial" w:hAnsi="Arial"/>
                  <w:sz w:val="13"/>
                  <w:szCs w:val="13"/>
                  <w:color w:val="0000FF"/>
                </w:rPr>
                <w:t>Item 4. Controls and Procedures</w:t>
              </w:r>
            </w:hyperlink>
          </w:p>
        </w:tc>
        <w:tc>
          <w:tcPr>
            <w:tcW w:w="6960" w:type="dxa"/>
            <w:vAlign w:val="bottom"/>
            <w:gridSpan w:val="6"/>
          </w:tcPr>
          <w:p>
            <w:pPr>
              <w:spacing w:after="0"/>
              <w:rPr>
                <w:sz w:val="15"/>
                <w:szCs w:val="15"/>
                <w:color w:val="auto"/>
              </w:rPr>
            </w:pPr>
          </w:p>
        </w:tc>
        <w:tc>
          <w:tcPr>
            <w:tcW w:w="420" w:type="dxa"/>
            <w:vAlign w:val="bottom"/>
            <w:gridSpan w:val="2"/>
          </w:tcPr>
          <w:p>
            <w:pPr>
              <w:jc w:val="center"/>
              <w:ind w:left="236"/>
              <w:spacing w:after="0"/>
              <w:rPr>
                <w:rFonts w:ascii="Arial" w:cs="Arial" w:eastAsia="Arial" w:hAnsi="Arial"/>
                <w:sz w:val="13"/>
                <w:szCs w:val="13"/>
                <w:color w:val="0000FF"/>
                <w:w w:val="82"/>
              </w:rPr>
            </w:pPr>
            <w:hyperlink w:anchor="page75">
              <w:r>
                <w:rPr>
                  <w:rFonts w:ascii="Arial" w:cs="Arial" w:eastAsia="Arial" w:hAnsi="Arial"/>
                  <w:sz w:val="13"/>
                  <w:szCs w:val="13"/>
                  <w:color w:val="0000FF"/>
                  <w:w w:val="82"/>
                </w:rPr>
                <w:t>69</w:t>
              </w:r>
            </w:hyperlink>
          </w:p>
        </w:tc>
        <w:tc>
          <w:tcPr>
            <w:tcW w:w="360" w:type="dxa"/>
            <w:vAlign w:val="bottom"/>
          </w:tcPr>
          <w:p>
            <w:pPr>
              <w:spacing w:after="0"/>
              <w:rPr>
                <w:sz w:val="15"/>
                <w:szCs w:val="15"/>
                <w:color w:val="auto"/>
              </w:rPr>
            </w:pPr>
          </w:p>
        </w:tc>
      </w:tr>
      <w:tr>
        <w:trPr>
          <w:trHeight w:val="174"/>
        </w:trPr>
        <w:tc>
          <w:tcPr>
            <w:tcW w:w="4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20" w:type="dxa"/>
            <w:vAlign w:val="bottom"/>
            <w:gridSpan w:val="4"/>
          </w:tcPr>
          <w:p>
            <w:pPr>
              <w:jc w:val="center"/>
              <w:ind w:right="3940"/>
              <w:spacing w:after="0"/>
              <w:rPr>
                <w:rFonts w:ascii="Arial" w:cs="Arial" w:eastAsia="Arial" w:hAnsi="Arial"/>
                <w:sz w:val="13"/>
                <w:szCs w:val="13"/>
                <w:color w:val="0000FF"/>
                <w:w w:val="95"/>
              </w:rPr>
            </w:pPr>
            <w:hyperlink w:anchor="page75">
              <w:r>
                <w:rPr>
                  <w:rFonts w:ascii="Arial" w:cs="Arial" w:eastAsia="Arial" w:hAnsi="Arial"/>
                  <w:sz w:val="13"/>
                  <w:szCs w:val="13"/>
                  <w:color w:val="0000FF"/>
                  <w:w w:val="95"/>
                </w:rPr>
                <w:t>PART II - OTHER INFORMATION</w:t>
              </w:r>
            </w:hyperlink>
          </w:p>
        </w:tc>
        <w:tc>
          <w:tcPr>
            <w:tcW w:w="36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60" w:type="dxa"/>
            <w:vAlign w:val="bottom"/>
          </w:tcPr>
          <w:p>
            <w:pPr>
              <w:spacing w:after="0"/>
              <w:rPr>
                <w:sz w:val="15"/>
                <w:szCs w:val="15"/>
                <w:color w:val="auto"/>
              </w:rPr>
            </w:pPr>
          </w:p>
        </w:tc>
      </w:tr>
      <w:tr>
        <w:trPr>
          <w:trHeight w:val="174"/>
        </w:trPr>
        <w:tc>
          <w:tcPr>
            <w:tcW w:w="1340" w:type="dxa"/>
            <w:vAlign w:val="bottom"/>
            <w:gridSpan w:val="7"/>
          </w:tcPr>
          <w:p>
            <w:pPr>
              <w:spacing w:after="0"/>
              <w:rPr>
                <w:rFonts w:ascii="Arial" w:cs="Arial" w:eastAsia="Arial" w:hAnsi="Arial"/>
                <w:sz w:val="13"/>
                <w:szCs w:val="13"/>
                <w:color w:val="0000FF"/>
                <w:w w:val="86"/>
              </w:rPr>
            </w:pPr>
            <w:hyperlink w:anchor="page76">
              <w:r>
                <w:rPr>
                  <w:rFonts w:ascii="Arial" w:cs="Arial" w:eastAsia="Arial" w:hAnsi="Arial"/>
                  <w:sz w:val="13"/>
                  <w:szCs w:val="13"/>
                  <w:color w:val="0000FF"/>
                  <w:w w:val="86"/>
                </w:rPr>
                <w:t>Item 1. Legal Proceedings</w:t>
              </w:r>
            </w:hyperlink>
          </w:p>
        </w:tc>
        <w:tc>
          <w:tcPr>
            <w:tcW w:w="3340" w:type="dxa"/>
            <w:vAlign w:val="bottom"/>
            <w:gridSpan w:val="14"/>
          </w:tcPr>
          <w:p>
            <w:pPr>
              <w:spacing w:after="0"/>
              <w:rPr>
                <w:sz w:val="15"/>
                <w:szCs w:val="15"/>
                <w:color w:val="auto"/>
              </w:rPr>
            </w:pPr>
          </w:p>
        </w:tc>
        <w:tc>
          <w:tcPr>
            <w:tcW w:w="1880" w:type="dxa"/>
            <w:vAlign w:val="bottom"/>
            <w:tcBorders>
              <w:top w:val="single" w:sz="8" w:color="0000FF"/>
            </w:tcBorders>
            <w:gridSpan w:val="2"/>
          </w:tcPr>
          <w:p>
            <w:pPr>
              <w:spacing w:after="0"/>
              <w:rPr>
                <w:sz w:val="15"/>
                <w:szCs w:val="15"/>
                <w:color w:val="auto"/>
              </w:rPr>
            </w:pPr>
          </w:p>
        </w:tc>
        <w:tc>
          <w:tcPr>
            <w:tcW w:w="3940" w:type="dxa"/>
            <w:vAlign w:val="bottom"/>
            <w:gridSpan w:val="2"/>
          </w:tcPr>
          <w:p>
            <w:pPr>
              <w:spacing w:after="0"/>
              <w:rPr>
                <w:sz w:val="15"/>
                <w:szCs w:val="15"/>
                <w:color w:val="auto"/>
              </w:rPr>
            </w:pPr>
          </w:p>
        </w:tc>
        <w:tc>
          <w:tcPr>
            <w:tcW w:w="420" w:type="dxa"/>
            <w:vAlign w:val="bottom"/>
            <w:gridSpan w:val="2"/>
          </w:tcPr>
          <w:p>
            <w:pPr>
              <w:jc w:val="center"/>
              <w:ind w:left="236"/>
              <w:spacing w:after="0"/>
              <w:rPr>
                <w:rFonts w:ascii="Arial" w:cs="Arial" w:eastAsia="Arial" w:hAnsi="Arial"/>
                <w:sz w:val="13"/>
                <w:szCs w:val="13"/>
                <w:color w:val="0000FF"/>
                <w:w w:val="82"/>
              </w:rPr>
            </w:pPr>
            <w:hyperlink w:anchor="page76">
              <w:r>
                <w:rPr>
                  <w:rFonts w:ascii="Arial" w:cs="Arial" w:eastAsia="Arial" w:hAnsi="Arial"/>
                  <w:sz w:val="13"/>
                  <w:szCs w:val="13"/>
                  <w:color w:val="0000FF"/>
                  <w:w w:val="82"/>
                </w:rPr>
                <w:t>70</w:t>
              </w:r>
            </w:hyperlink>
          </w:p>
        </w:tc>
        <w:tc>
          <w:tcPr>
            <w:tcW w:w="360" w:type="dxa"/>
            <w:vAlign w:val="bottom"/>
          </w:tcPr>
          <w:p>
            <w:pPr>
              <w:spacing w:after="0"/>
              <w:rPr>
                <w:sz w:val="15"/>
                <w:szCs w:val="15"/>
                <w:color w:val="auto"/>
              </w:rPr>
            </w:pPr>
          </w:p>
        </w:tc>
      </w:tr>
      <w:tr>
        <w:trPr>
          <w:trHeight w:val="20"/>
        </w:trPr>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3"/>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c>
          <w:tcPr>
            <w:tcW w:w="698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74"/>
        </w:trPr>
        <w:tc>
          <w:tcPr>
            <w:tcW w:w="1140" w:type="dxa"/>
            <w:vAlign w:val="bottom"/>
            <w:gridSpan w:val="6"/>
          </w:tcPr>
          <w:p>
            <w:pPr>
              <w:spacing w:after="0"/>
              <w:rPr>
                <w:rFonts w:ascii="Arial" w:cs="Arial" w:eastAsia="Arial" w:hAnsi="Arial"/>
                <w:sz w:val="13"/>
                <w:szCs w:val="13"/>
                <w:color w:val="0000FF"/>
                <w:w w:val="90"/>
              </w:rPr>
            </w:pPr>
            <w:hyperlink w:anchor="page76">
              <w:r>
                <w:rPr>
                  <w:rFonts w:ascii="Arial" w:cs="Arial" w:eastAsia="Arial" w:hAnsi="Arial"/>
                  <w:sz w:val="13"/>
                  <w:szCs w:val="13"/>
                  <w:color w:val="0000FF"/>
                  <w:w w:val="90"/>
                </w:rPr>
                <w:t>Item 1A. Risk Factors</w:t>
              </w:r>
            </w:hyperlink>
          </w:p>
        </w:tc>
        <w:tc>
          <w:tcPr>
            <w:tcW w:w="200" w:type="dxa"/>
            <w:vAlign w:val="bottom"/>
          </w:tcPr>
          <w:p>
            <w:pPr>
              <w:spacing w:after="0"/>
              <w:rPr>
                <w:sz w:val="15"/>
                <w:szCs w:val="15"/>
                <w:color w:val="auto"/>
              </w:rPr>
            </w:pPr>
          </w:p>
        </w:tc>
        <w:tc>
          <w:tcPr>
            <w:tcW w:w="9160" w:type="dxa"/>
            <w:vAlign w:val="bottom"/>
            <w:gridSpan w:val="18"/>
          </w:tcPr>
          <w:p>
            <w:pPr>
              <w:spacing w:after="0"/>
              <w:rPr>
                <w:sz w:val="15"/>
                <w:szCs w:val="15"/>
                <w:color w:val="auto"/>
              </w:rPr>
            </w:pPr>
          </w:p>
        </w:tc>
        <w:tc>
          <w:tcPr>
            <w:tcW w:w="420" w:type="dxa"/>
            <w:vAlign w:val="bottom"/>
            <w:gridSpan w:val="2"/>
          </w:tcPr>
          <w:p>
            <w:pPr>
              <w:jc w:val="center"/>
              <w:ind w:left="236"/>
              <w:spacing w:after="0"/>
              <w:rPr>
                <w:rFonts w:ascii="Arial" w:cs="Arial" w:eastAsia="Arial" w:hAnsi="Arial"/>
                <w:sz w:val="13"/>
                <w:szCs w:val="13"/>
                <w:color w:val="0000FF"/>
                <w:w w:val="82"/>
              </w:rPr>
            </w:pPr>
            <w:hyperlink w:anchor="page76">
              <w:r>
                <w:rPr>
                  <w:rFonts w:ascii="Arial" w:cs="Arial" w:eastAsia="Arial" w:hAnsi="Arial"/>
                  <w:sz w:val="13"/>
                  <w:szCs w:val="13"/>
                  <w:color w:val="0000FF"/>
                  <w:w w:val="82"/>
                </w:rPr>
                <w:t>70</w:t>
              </w:r>
            </w:hyperlink>
          </w:p>
        </w:tc>
        <w:tc>
          <w:tcPr>
            <w:tcW w:w="360" w:type="dxa"/>
            <w:vAlign w:val="bottom"/>
          </w:tcPr>
          <w:p>
            <w:pPr>
              <w:spacing w:after="0"/>
              <w:rPr>
                <w:sz w:val="15"/>
                <w:szCs w:val="15"/>
                <w:color w:val="auto"/>
              </w:rPr>
            </w:pPr>
          </w:p>
        </w:tc>
      </w:tr>
      <w:tr>
        <w:trPr>
          <w:trHeight w:val="20"/>
        </w:trPr>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c>
          <w:tcPr>
            <w:tcW w:w="698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74"/>
        </w:trPr>
        <w:tc>
          <w:tcPr>
            <w:tcW w:w="3520" w:type="dxa"/>
            <w:vAlign w:val="bottom"/>
            <w:gridSpan w:val="18"/>
          </w:tcPr>
          <w:p>
            <w:pPr>
              <w:spacing w:after="0"/>
              <w:rPr>
                <w:rFonts w:ascii="Arial" w:cs="Arial" w:eastAsia="Arial" w:hAnsi="Arial"/>
                <w:sz w:val="13"/>
                <w:szCs w:val="13"/>
                <w:color w:val="0000FF"/>
                <w:w w:val="88"/>
              </w:rPr>
            </w:pPr>
            <w:hyperlink w:anchor="page76">
              <w:r>
                <w:rPr>
                  <w:rFonts w:ascii="Arial" w:cs="Arial" w:eastAsia="Arial" w:hAnsi="Arial"/>
                  <w:sz w:val="13"/>
                  <w:szCs w:val="13"/>
                  <w:color w:val="0000FF"/>
                  <w:w w:val="88"/>
                </w:rPr>
                <w:t>Item 2. Unregistered Sales of Equity Securities and Use of Proceeds</w:t>
              </w:r>
            </w:hyperlink>
          </w:p>
        </w:tc>
        <w:tc>
          <w:tcPr>
            <w:tcW w:w="6980" w:type="dxa"/>
            <w:vAlign w:val="bottom"/>
            <w:gridSpan w:val="7"/>
          </w:tcPr>
          <w:p>
            <w:pPr>
              <w:spacing w:after="0"/>
              <w:rPr>
                <w:sz w:val="15"/>
                <w:szCs w:val="15"/>
                <w:color w:val="auto"/>
              </w:rPr>
            </w:pPr>
          </w:p>
        </w:tc>
        <w:tc>
          <w:tcPr>
            <w:tcW w:w="420" w:type="dxa"/>
            <w:vAlign w:val="bottom"/>
            <w:gridSpan w:val="2"/>
          </w:tcPr>
          <w:p>
            <w:pPr>
              <w:jc w:val="center"/>
              <w:ind w:left="236"/>
              <w:spacing w:after="0"/>
              <w:rPr>
                <w:rFonts w:ascii="Arial" w:cs="Arial" w:eastAsia="Arial" w:hAnsi="Arial"/>
                <w:sz w:val="13"/>
                <w:szCs w:val="13"/>
                <w:color w:val="0000FF"/>
                <w:w w:val="82"/>
              </w:rPr>
            </w:pPr>
            <w:hyperlink w:anchor="page76">
              <w:r>
                <w:rPr>
                  <w:rFonts w:ascii="Arial" w:cs="Arial" w:eastAsia="Arial" w:hAnsi="Arial"/>
                  <w:sz w:val="13"/>
                  <w:szCs w:val="13"/>
                  <w:color w:val="0000FF"/>
                  <w:w w:val="82"/>
                </w:rPr>
                <w:t>70</w:t>
              </w:r>
            </w:hyperlink>
          </w:p>
        </w:tc>
        <w:tc>
          <w:tcPr>
            <w:tcW w:w="360" w:type="dxa"/>
            <w:vAlign w:val="bottom"/>
          </w:tcPr>
          <w:p>
            <w:pPr>
              <w:spacing w:after="0"/>
              <w:rPr>
                <w:sz w:val="15"/>
                <w:szCs w:val="15"/>
                <w:color w:val="auto"/>
              </w:rPr>
            </w:pPr>
          </w:p>
        </w:tc>
      </w:tr>
      <w:tr>
        <w:trPr>
          <w:trHeight w:val="20"/>
        </w:trPr>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460" w:type="dxa"/>
            <w:vAlign w:val="bottom"/>
            <w:gridSpan w:val="8"/>
            <w:shd w:val="clear" w:color="auto" w:fill="0000FF"/>
          </w:tcPr>
          <w:p>
            <w:pPr>
              <w:spacing w:after="0" w:line="20" w:lineRule="exact"/>
              <w:rPr>
                <w:sz w:val="1"/>
                <w:szCs w:val="1"/>
                <w:color w:val="auto"/>
              </w:rPr>
            </w:pPr>
          </w:p>
        </w:tc>
        <w:tc>
          <w:tcPr>
            <w:tcW w:w="698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74"/>
        </w:trPr>
        <w:tc>
          <w:tcPr>
            <w:tcW w:w="2060" w:type="dxa"/>
            <w:vAlign w:val="bottom"/>
            <w:gridSpan w:val="10"/>
          </w:tcPr>
          <w:p>
            <w:pPr>
              <w:spacing w:after="0"/>
              <w:rPr>
                <w:rFonts w:ascii="Arial" w:cs="Arial" w:eastAsia="Arial" w:hAnsi="Arial"/>
                <w:sz w:val="13"/>
                <w:szCs w:val="13"/>
                <w:color w:val="0000FF"/>
                <w:w w:val="89"/>
              </w:rPr>
            </w:pPr>
            <w:hyperlink w:anchor="page76">
              <w:r>
                <w:rPr>
                  <w:rFonts w:ascii="Arial" w:cs="Arial" w:eastAsia="Arial" w:hAnsi="Arial"/>
                  <w:sz w:val="13"/>
                  <w:szCs w:val="13"/>
                  <w:color w:val="0000FF"/>
                  <w:w w:val="89"/>
                </w:rPr>
                <w:t>Item 3. Defaults Upon Senior Securities</w:t>
              </w:r>
            </w:hyperlink>
          </w:p>
        </w:tc>
        <w:tc>
          <w:tcPr>
            <w:tcW w:w="1460" w:type="dxa"/>
            <w:vAlign w:val="bottom"/>
            <w:gridSpan w:val="8"/>
          </w:tcPr>
          <w:p>
            <w:pPr>
              <w:spacing w:after="0"/>
              <w:rPr>
                <w:sz w:val="15"/>
                <w:szCs w:val="15"/>
                <w:color w:val="auto"/>
              </w:rPr>
            </w:pPr>
          </w:p>
        </w:tc>
        <w:tc>
          <w:tcPr>
            <w:tcW w:w="6980" w:type="dxa"/>
            <w:vAlign w:val="bottom"/>
            <w:gridSpan w:val="7"/>
          </w:tcPr>
          <w:p>
            <w:pPr>
              <w:spacing w:after="0"/>
              <w:rPr>
                <w:sz w:val="15"/>
                <w:szCs w:val="15"/>
                <w:color w:val="auto"/>
              </w:rPr>
            </w:pPr>
          </w:p>
        </w:tc>
        <w:tc>
          <w:tcPr>
            <w:tcW w:w="420" w:type="dxa"/>
            <w:vAlign w:val="bottom"/>
            <w:gridSpan w:val="2"/>
          </w:tcPr>
          <w:p>
            <w:pPr>
              <w:jc w:val="center"/>
              <w:ind w:left="236"/>
              <w:spacing w:after="0"/>
              <w:rPr>
                <w:rFonts w:ascii="Arial" w:cs="Arial" w:eastAsia="Arial" w:hAnsi="Arial"/>
                <w:sz w:val="13"/>
                <w:szCs w:val="13"/>
                <w:color w:val="0000FF"/>
                <w:w w:val="82"/>
              </w:rPr>
            </w:pPr>
            <w:hyperlink w:anchor="page76">
              <w:r>
                <w:rPr>
                  <w:rFonts w:ascii="Arial" w:cs="Arial" w:eastAsia="Arial" w:hAnsi="Arial"/>
                  <w:sz w:val="13"/>
                  <w:szCs w:val="13"/>
                  <w:color w:val="0000FF"/>
                  <w:w w:val="82"/>
                </w:rPr>
                <w:t>70</w:t>
              </w:r>
            </w:hyperlink>
          </w:p>
        </w:tc>
        <w:tc>
          <w:tcPr>
            <w:tcW w:w="360" w:type="dxa"/>
            <w:vAlign w:val="bottom"/>
          </w:tcPr>
          <w:p>
            <w:pPr>
              <w:spacing w:after="0"/>
              <w:rPr>
                <w:sz w:val="15"/>
                <w:szCs w:val="15"/>
                <w:color w:val="auto"/>
              </w:rPr>
            </w:pPr>
          </w:p>
        </w:tc>
      </w:tr>
      <w:tr>
        <w:trPr>
          <w:trHeight w:val="20"/>
        </w:trPr>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8440" w:type="dxa"/>
            <w:vAlign w:val="bottom"/>
            <w:gridSpan w:val="15"/>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74"/>
        </w:trPr>
        <w:tc>
          <w:tcPr>
            <w:tcW w:w="2060" w:type="dxa"/>
            <w:vAlign w:val="bottom"/>
            <w:gridSpan w:val="10"/>
          </w:tcPr>
          <w:p>
            <w:pPr>
              <w:spacing w:after="0"/>
              <w:rPr>
                <w:rFonts w:ascii="Arial" w:cs="Arial" w:eastAsia="Arial" w:hAnsi="Arial"/>
                <w:sz w:val="13"/>
                <w:szCs w:val="13"/>
                <w:color w:val="0000FF"/>
              </w:rPr>
            </w:pPr>
            <w:hyperlink w:anchor="page76">
              <w:r>
                <w:rPr>
                  <w:rFonts w:ascii="Arial" w:cs="Arial" w:eastAsia="Arial" w:hAnsi="Arial"/>
                  <w:sz w:val="13"/>
                  <w:szCs w:val="13"/>
                  <w:color w:val="0000FF"/>
                </w:rPr>
                <w:t>Item 4. Mine Safety Disclosures</w:t>
              </w:r>
            </w:hyperlink>
          </w:p>
        </w:tc>
        <w:tc>
          <w:tcPr>
            <w:tcW w:w="8440" w:type="dxa"/>
            <w:vAlign w:val="bottom"/>
            <w:gridSpan w:val="15"/>
          </w:tcPr>
          <w:p>
            <w:pPr>
              <w:spacing w:after="0"/>
              <w:rPr>
                <w:sz w:val="15"/>
                <w:szCs w:val="15"/>
                <w:color w:val="auto"/>
              </w:rPr>
            </w:pPr>
          </w:p>
        </w:tc>
        <w:tc>
          <w:tcPr>
            <w:tcW w:w="420" w:type="dxa"/>
            <w:vAlign w:val="bottom"/>
            <w:gridSpan w:val="2"/>
          </w:tcPr>
          <w:p>
            <w:pPr>
              <w:jc w:val="center"/>
              <w:ind w:left="236"/>
              <w:spacing w:after="0"/>
              <w:rPr>
                <w:rFonts w:ascii="Arial" w:cs="Arial" w:eastAsia="Arial" w:hAnsi="Arial"/>
                <w:sz w:val="13"/>
                <w:szCs w:val="13"/>
                <w:color w:val="0000FF"/>
                <w:w w:val="82"/>
              </w:rPr>
            </w:pPr>
            <w:hyperlink w:anchor="page76">
              <w:r>
                <w:rPr>
                  <w:rFonts w:ascii="Arial" w:cs="Arial" w:eastAsia="Arial" w:hAnsi="Arial"/>
                  <w:sz w:val="13"/>
                  <w:szCs w:val="13"/>
                  <w:color w:val="0000FF"/>
                  <w:w w:val="82"/>
                </w:rPr>
                <w:t>70</w:t>
              </w:r>
            </w:hyperlink>
          </w:p>
        </w:tc>
        <w:tc>
          <w:tcPr>
            <w:tcW w:w="360" w:type="dxa"/>
            <w:vAlign w:val="bottom"/>
          </w:tcPr>
          <w:p>
            <w:pPr>
              <w:spacing w:after="0"/>
              <w:rPr>
                <w:sz w:val="15"/>
                <w:szCs w:val="15"/>
                <w:color w:val="auto"/>
              </w:rPr>
            </w:pPr>
          </w:p>
        </w:tc>
      </w:tr>
      <w:tr>
        <w:trPr>
          <w:trHeight w:val="20"/>
        </w:trPr>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160" w:type="dxa"/>
            <w:vAlign w:val="bottom"/>
            <w:tcBorders>
              <w:left w:val="single" w:sz="8" w:color="0000FF"/>
            </w:tcBorders>
            <w:gridSpan w:val="18"/>
            <w:shd w:val="clear" w:color="auto" w:fill="0000FF"/>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74"/>
        </w:trPr>
        <w:tc>
          <w:tcPr>
            <w:tcW w:w="1340" w:type="dxa"/>
            <w:vAlign w:val="bottom"/>
            <w:gridSpan w:val="7"/>
          </w:tcPr>
          <w:p>
            <w:pPr>
              <w:spacing w:after="0"/>
              <w:rPr>
                <w:rFonts w:ascii="Arial" w:cs="Arial" w:eastAsia="Arial" w:hAnsi="Arial"/>
                <w:sz w:val="13"/>
                <w:szCs w:val="13"/>
                <w:color w:val="0000FF"/>
                <w:w w:val="89"/>
              </w:rPr>
            </w:pPr>
            <w:hyperlink w:anchor="page76">
              <w:r>
                <w:rPr>
                  <w:rFonts w:ascii="Arial" w:cs="Arial" w:eastAsia="Arial" w:hAnsi="Arial"/>
                  <w:sz w:val="13"/>
                  <w:szCs w:val="13"/>
                  <w:color w:val="0000FF"/>
                  <w:w w:val="89"/>
                </w:rPr>
                <w:t>Item 5. Other Information</w:t>
              </w:r>
            </w:hyperlink>
          </w:p>
        </w:tc>
        <w:tc>
          <w:tcPr>
            <w:tcW w:w="9160" w:type="dxa"/>
            <w:vAlign w:val="bottom"/>
            <w:gridSpan w:val="18"/>
          </w:tcPr>
          <w:p>
            <w:pPr>
              <w:spacing w:after="0"/>
              <w:rPr>
                <w:sz w:val="15"/>
                <w:szCs w:val="15"/>
                <w:color w:val="auto"/>
              </w:rPr>
            </w:pPr>
          </w:p>
        </w:tc>
        <w:tc>
          <w:tcPr>
            <w:tcW w:w="420" w:type="dxa"/>
            <w:vAlign w:val="bottom"/>
            <w:gridSpan w:val="2"/>
          </w:tcPr>
          <w:p>
            <w:pPr>
              <w:jc w:val="center"/>
              <w:ind w:left="236"/>
              <w:spacing w:after="0"/>
              <w:rPr>
                <w:rFonts w:ascii="Arial" w:cs="Arial" w:eastAsia="Arial" w:hAnsi="Arial"/>
                <w:sz w:val="13"/>
                <w:szCs w:val="13"/>
                <w:color w:val="0000FF"/>
                <w:w w:val="82"/>
              </w:rPr>
            </w:pPr>
            <w:hyperlink w:anchor="page76">
              <w:r>
                <w:rPr>
                  <w:rFonts w:ascii="Arial" w:cs="Arial" w:eastAsia="Arial" w:hAnsi="Arial"/>
                  <w:sz w:val="13"/>
                  <w:szCs w:val="13"/>
                  <w:color w:val="0000FF"/>
                  <w:w w:val="82"/>
                </w:rPr>
                <w:t>70</w:t>
              </w:r>
            </w:hyperlink>
          </w:p>
        </w:tc>
        <w:tc>
          <w:tcPr>
            <w:tcW w:w="360" w:type="dxa"/>
            <w:vAlign w:val="bottom"/>
          </w:tcPr>
          <w:p>
            <w:pPr>
              <w:spacing w:after="0"/>
              <w:rPr>
                <w:sz w:val="15"/>
                <w:szCs w:val="15"/>
                <w:color w:val="auto"/>
              </w:rPr>
            </w:pPr>
          </w:p>
        </w:tc>
      </w:tr>
      <w:tr>
        <w:trPr>
          <w:trHeight w:val="20"/>
        </w:trPr>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160" w:type="dxa"/>
            <w:vAlign w:val="bottom"/>
            <w:gridSpan w:val="18"/>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74"/>
        </w:trPr>
        <w:tc>
          <w:tcPr>
            <w:tcW w:w="820" w:type="dxa"/>
            <w:vAlign w:val="bottom"/>
            <w:gridSpan w:val="5"/>
          </w:tcPr>
          <w:p>
            <w:pPr>
              <w:spacing w:after="0"/>
              <w:rPr>
                <w:rFonts w:ascii="Arial" w:cs="Arial" w:eastAsia="Arial" w:hAnsi="Arial"/>
                <w:sz w:val="13"/>
                <w:szCs w:val="13"/>
                <w:color w:val="0000FF"/>
                <w:w w:val="89"/>
              </w:rPr>
            </w:pPr>
            <w:hyperlink w:anchor="page76">
              <w:r>
                <w:rPr>
                  <w:rFonts w:ascii="Arial" w:cs="Arial" w:eastAsia="Arial" w:hAnsi="Arial"/>
                  <w:sz w:val="13"/>
                  <w:szCs w:val="13"/>
                  <w:color w:val="0000FF"/>
                  <w:w w:val="89"/>
                </w:rPr>
                <w:t>Item 6. Exhibits</w:t>
              </w:r>
            </w:hyperlink>
          </w:p>
        </w:tc>
        <w:tc>
          <w:tcPr>
            <w:tcW w:w="520" w:type="dxa"/>
            <w:vAlign w:val="bottom"/>
            <w:gridSpan w:val="2"/>
          </w:tcPr>
          <w:p>
            <w:pPr>
              <w:spacing w:after="0"/>
              <w:rPr>
                <w:sz w:val="15"/>
                <w:szCs w:val="15"/>
                <w:color w:val="auto"/>
              </w:rPr>
            </w:pPr>
          </w:p>
        </w:tc>
        <w:tc>
          <w:tcPr>
            <w:tcW w:w="9160" w:type="dxa"/>
            <w:vAlign w:val="bottom"/>
            <w:gridSpan w:val="18"/>
          </w:tcPr>
          <w:p>
            <w:pPr>
              <w:spacing w:after="0"/>
              <w:rPr>
                <w:sz w:val="15"/>
                <w:szCs w:val="15"/>
                <w:color w:val="auto"/>
              </w:rPr>
            </w:pPr>
          </w:p>
        </w:tc>
        <w:tc>
          <w:tcPr>
            <w:tcW w:w="420" w:type="dxa"/>
            <w:vAlign w:val="bottom"/>
            <w:gridSpan w:val="2"/>
          </w:tcPr>
          <w:p>
            <w:pPr>
              <w:jc w:val="center"/>
              <w:ind w:left="236"/>
              <w:spacing w:after="0"/>
              <w:rPr>
                <w:rFonts w:ascii="Arial" w:cs="Arial" w:eastAsia="Arial" w:hAnsi="Arial"/>
                <w:sz w:val="13"/>
                <w:szCs w:val="13"/>
                <w:color w:val="0000FF"/>
                <w:w w:val="82"/>
              </w:rPr>
            </w:pPr>
            <w:hyperlink w:anchor="page76">
              <w:r>
                <w:rPr>
                  <w:rFonts w:ascii="Arial" w:cs="Arial" w:eastAsia="Arial" w:hAnsi="Arial"/>
                  <w:sz w:val="13"/>
                  <w:szCs w:val="13"/>
                  <w:color w:val="0000FF"/>
                  <w:w w:val="82"/>
                </w:rPr>
                <w:t>71</w:t>
              </w:r>
            </w:hyperlink>
          </w:p>
        </w:tc>
        <w:tc>
          <w:tcPr>
            <w:tcW w:w="360" w:type="dxa"/>
            <w:vAlign w:val="bottom"/>
          </w:tcPr>
          <w:p>
            <w:pPr>
              <w:spacing w:after="0"/>
              <w:rPr>
                <w:sz w:val="15"/>
                <w:szCs w:val="15"/>
                <w:color w:val="auto"/>
              </w:rPr>
            </w:pPr>
          </w:p>
        </w:tc>
      </w:tr>
      <w:tr>
        <w:trPr>
          <w:trHeight w:val="20"/>
        </w:trPr>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9680" w:type="dxa"/>
            <w:vAlign w:val="bottom"/>
            <w:gridSpan w:val="20"/>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174"/>
        </w:trPr>
        <w:tc>
          <w:tcPr>
            <w:tcW w:w="540" w:type="dxa"/>
            <w:vAlign w:val="bottom"/>
            <w:gridSpan w:val="2"/>
          </w:tcPr>
          <w:p>
            <w:pPr>
              <w:spacing w:after="0"/>
              <w:rPr>
                <w:rFonts w:ascii="Arial" w:cs="Arial" w:eastAsia="Arial" w:hAnsi="Arial"/>
                <w:sz w:val="13"/>
                <w:szCs w:val="13"/>
                <w:color w:val="0000FF"/>
                <w:w w:val="80"/>
              </w:rPr>
            </w:pPr>
            <w:hyperlink w:anchor="page77">
              <w:r>
                <w:rPr>
                  <w:rFonts w:ascii="Arial" w:cs="Arial" w:eastAsia="Arial" w:hAnsi="Arial"/>
                  <w:sz w:val="13"/>
                  <w:szCs w:val="13"/>
                  <w:color w:val="0000FF"/>
                  <w:w w:val="80"/>
                </w:rPr>
                <w:t>Signatures</w:t>
              </w:r>
            </w:hyperlink>
          </w:p>
        </w:tc>
        <w:tc>
          <w:tcPr>
            <w:tcW w:w="280" w:type="dxa"/>
            <w:vAlign w:val="bottom"/>
            <w:gridSpan w:val="3"/>
          </w:tcPr>
          <w:p>
            <w:pPr>
              <w:spacing w:after="0"/>
              <w:rPr>
                <w:sz w:val="15"/>
                <w:szCs w:val="15"/>
                <w:color w:val="auto"/>
              </w:rPr>
            </w:pPr>
          </w:p>
        </w:tc>
        <w:tc>
          <w:tcPr>
            <w:tcW w:w="9680" w:type="dxa"/>
            <w:vAlign w:val="bottom"/>
            <w:gridSpan w:val="20"/>
          </w:tcPr>
          <w:p>
            <w:pPr>
              <w:spacing w:after="0"/>
              <w:rPr>
                <w:sz w:val="15"/>
                <w:szCs w:val="15"/>
                <w:color w:val="auto"/>
              </w:rPr>
            </w:pPr>
          </w:p>
        </w:tc>
        <w:tc>
          <w:tcPr>
            <w:tcW w:w="420" w:type="dxa"/>
            <w:vAlign w:val="bottom"/>
            <w:gridSpan w:val="2"/>
          </w:tcPr>
          <w:p>
            <w:pPr>
              <w:jc w:val="center"/>
              <w:ind w:left="236"/>
              <w:spacing w:after="0"/>
              <w:rPr>
                <w:rFonts w:ascii="Arial" w:cs="Arial" w:eastAsia="Arial" w:hAnsi="Arial"/>
                <w:sz w:val="13"/>
                <w:szCs w:val="13"/>
                <w:color w:val="0000FF"/>
                <w:w w:val="82"/>
              </w:rPr>
            </w:pPr>
            <w:hyperlink w:anchor="page77">
              <w:r>
                <w:rPr>
                  <w:rFonts w:ascii="Arial" w:cs="Arial" w:eastAsia="Arial" w:hAnsi="Arial"/>
                  <w:sz w:val="13"/>
                  <w:szCs w:val="13"/>
                  <w:color w:val="0000FF"/>
                  <w:w w:val="82"/>
                </w:rPr>
                <w:t>72</w:t>
              </w:r>
            </w:hyperlink>
          </w:p>
        </w:tc>
        <w:tc>
          <w:tcPr>
            <w:tcW w:w="360" w:type="dxa"/>
            <w:vAlign w:val="bottom"/>
          </w:tcPr>
          <w:p>
            <w:pPr>
              <w:spacing w:after="0"/>
              <w:rPr>
                <w:sz w:val="15"/>
                <w:szCs w:val="15"/>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119380</wp:posOffset>
            </wp:positionV>
            <wp:extent cx="7196455"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280"/>
          </w:cols>
          <w:pgMar w:left="320" w:top="1174" w:right="299" w:bottom="1440" w:gutter="0" w:footer="0" w:header="0"/>
        </w:sectPr>
      </w:pPr>
    </w:p>
    <w:bookmarkStart w:id="2" w:name="page3"/>
    <w:bookmarkEnd w:id="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3"/>
          <w:szCs w:val="13"/>
          <w:b w:val="1"/>
          <w:bCs w:val="1"/>
          <w:color w:val="auto"/>
        </w:rPr>
        <w:t>GLOSSARY</w:t>
      </w:r>
    </w:p>
    <w:p>
      <w:pPr>
        <w:spacing w:after="0" w:line="126" w:lineRule="exact"/>
        <w:rPr>
          <w:sz w:val="20"/>
          <w:szCs w:val="20"/>
          <w:color w:val="auto"/>
        </w:rPr>
      </w:pPr>
    </w:p>
    <w:p>
      <w:pPr>
        <w:jc w:val="both"/>
        <w:ind w:right="20" w:firstLine="233"/>
        <w:spacing w:after="0" w:line="256" w:lineRule="auto"/>
        <w:rPr>
          <w:sz w:val="20"/>
          <w:szCs w:val="20"/>
          <w:color w:val="auto"/>
        </w:rPr>
      </w:pPr>
      <w:r>
        <w:rPr>
          <w:rFonts w:ascii="Arial" w:cs="Arial" w:eastAsia="Arial" w:hAnsi="Arial"/>
          <w:sz w:val="13"/>
          <w:szCs w:val="13"/>
          <w:color w:val="auto"/>
        </w:rPr>
        <w:t>As used in this quarterly report on Form 10-Q (this “</w:t>
      </w:r>
      <w:r>
        <w:rPr>
          <w:rFonts w:ascii="Arial" w:cs="Arial" w:eastAsia="Arial" w:hAnsi="Arial"/>
          <w:sz w:val="13"/>
          <w:szCs w:val="13"/>
          <w:u w:val="single" w:color="auto"/>
          <w:color w:val="auto"/>
        </w:rPr>
        <w:t>Form 10-Q</w:t>
      </w:r>
      <w:r>
        <w:rPr>
          <w:rFonts w:ascii="Arial" w:cs="Arial" w:eastAsia="Arial" w:hAnsi="Arial"/>
          <w:sz w:val="13"/>
          <w:szCs w:val="13"/>
          <w:color w:val="auto"/>
        </w:rPr>
        <w:t>”), the terms identified below have the meanings specified below unless otherwise noted or the context indicates otherwise. 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w:t>
      </w:r>
    </w:p>
    <w:p>
      <w:pPr>
        <w:spacing w:after="0" w:line="99" w:lineRule="exact"/>
        <w:rPr>
          <w:sz w:val="20"/>
          <w:szCs w:val="20"/>
          <w:color w:val="auto"/>
        </w:rPr>
      </w:pPr>
    </w:p>
    <w:p>
      <w:pPr>
        <w:ind w:left="460" w:hanging="230"/>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2020 Form 10-K</w:t>
      </w:r>
      <w:r>
        <w:rPr>
          <w:rFonts w:ascii="Arial" w:cs="Arial" w:eastAsia="Arial" w:hAnsi="Arial"/>
          <w:sz w:val="13"/>
          <w:szCs w:val="13"/>
          <w:color w:val="auto"/>
        </w:rPr>
        <w:t>” refers to the Annual Report on Form 10-K of ZoomInfo Technologies Inc. for the fiscal year ended December 31, 2020 as filed with the SEC on February 26, 2021.</w:t>
      </w:r>
    </w:p>
    <w:p>
      <w:pPr>
        <w:spacing w:after="0" w:line="13" w:lineRule="exact"/>
        <w:rPr>
          <w:rFonts w:ascii="Arial" w:cs="Arial" w:eastAsia="Arial" w:hAnsi="Arial"/>
          <w:sz w:val="13"/>
          <w:szCs w:val="13"/>
          <w:color w:val="auto"/>
        </w:rPr>
      </w:pPr>
    </w:p>
    <w:p>
      <w:pPr>
        <w:ind w:left="460" w:right="20" w:hanging="230"/>
        <w:spacing w:after="0" w:line="248" w:lineRule="auto"/>
        <w:tabs>
          <w:tab w:leader="none" w:pos="457"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ACV</w:t>
      </w:r>
      <w:r>
        <w:rPr>
          <w:rFonts w:ascii="Arial" w:cs="Arial" w:eastAsia="Arial" w:hAnsi="Arial"/>
          <w:sz w:val="13"/>
          <w:szCs w:val="13"/>
          <w:color w:val="auto"/>
        </w:rPr>
        <w:t>” refers to annual contract value, or the total annualized value that a customer has agreed to pay for subscription services at any particular point in time under contract(s) that are or were enforceable at that point in time.</w:t>
      </w:r>
    </w:p>
    <w:p>
      <w:pPr>
        <w:spacing w:after="0" w:line="1" w:lineRule="exact"/>
        <w:rPr>
          <w:rFonts w:ascii="Arial" w:cs="Arial" w:eastAsia="Arial" w:hAnsi="Arial"/>
          <w:sz w:val="13"/>
          <w:szCs w:val="13"/>
          <w:color w:val="auto"/>
        </w:rPr>
      </w:pPr>
    </w:p>
    <w:p>
      <w:pPr>
        <w:ind w:left="460" w:hanging="230"/>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Blocker Companies</w:t>
      </w:r>
      <w:r>
        <w:rPr>
          <w:rFonts w:ascii="Arial" w:cs="Arial" w:eastAsia="Arial" w:hAnsi="Arial"/>
          <w:sz w:val="13"/>
          <w:szCs w:val="13"/>
          <w:color w:val="auto"/>
        </w:rPr>
        <w:t>” refers to certain of our Pre-IPO OpCo Unitholders that are taxable as corporations for U.S. federal income tax purposes.</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Blocker Mergers</w:t>
      </w:r>
      <w:r>
        <w:rPr>
          <w:rFonts w:ascii="Arial" w:cs="Arial" w:eastAsia="Arial" w:hAnsi="Arial"/>
          <w:sz w:val="12"/>
          <w:szCs w:val="12"/>
          <w:color w:val="auto"/>
        </w:rPr>
        <w:t>” refers to the mergers described under “Reorganization Transactions” in Note 1 to our unaudited consolidated financial statements included in Part I, Item 1 of this Form 10-Q.</w:t>
      </w:r>
    </w:p>
    <w:p>
      <w:pPr>
        <w:spacing w:after="0" w:line="17" w:lineRule="exact"/>
        <w:rPr>
          <w:rFonts w:ascii="Arial" w:cs="Arial" w:eastAsia="Arial" w:hAnsi="Arial"/>
          <w:sz w:val="12"/>
          <w:szCs w:val="12"/>
          <w:color w:val="auto"/>
        </w:rPr>
      </w:pPr>
    </w:p>
    <w:p>
      <w:pPr>
        <w:ind w:left="460" w:hanging="230"/>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Carlyle</w:t>
      </w:r>
      <w:r>
        <w:rPr>
          <w:rFonts w:ascii="Arial" w:cs="Arial" w:eastAsia="Arial" w:hAnsi="Arial"/>
          <w:sz w:val="13"/>
          <w:szCs w:val="13"/>
          <w:color w:val="auto"/>
        </w:rPr>
        <w:t>” refers to investment funds associated with The Carlyle Group.</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Class P Units</w:t>
      </w:r>
      <w:r>
        <w:rPr>
          <w:rFonts w:ascii="Arial" w:cs="Arial" w:eastAsia="Arial" w:hAnsi="Arial"/>
          <w:sz w:val="13"/>
          <w:szCs w:val="13"/>
          <w:color w:val="auto"/>
        </w:rPr>
        <w:t>” refers to Class P Units (including, without limitation, any indirectly held Class P Units) of ZoomInfo OpCo.</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Continuing Class P Unitholders</w:t>
      </w:r>
      <w:r>
        <w:rPr>
          <w:rFonts w:ascii="Arial" w:cs="Arial" w:eastAsia="Arial" w:hAnsi="Arial"/>
          <w:sz w:val="13"/>
          <w:szCs w:val="13"/>
          <w:color w:val="auto"/>
        </w:rPr>
        <w:t>” refers to certain Pre-IPO Owners who continued to hold Class P Units following the consummation of the Reorganization Transactions and the IPO.</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Continuing members</w:t>
      </w:r>
      <w:r>
        <w:rPr>
          <w:rFonts w:ascii="Arial" w:cs="Arial" w:eastAsia="Arial" w:hAnsi="Arial"/>
          <w:sz w:val="13"/>
          <w:szCs w:val="13"/>
          <w:color w:val="auto"/>
        </w:rPr>
        <w:t>” refers to Pre-IPO Owners who continue to hold HoldCo Units or OpCo Units following the Reorganization Transactions and the IPO.</w:t>
      </w:r>
    </w:p>
    <w:p>
      <w:pPr>
        <w:spacing w:after="0" w:line="5" w:lineRule="exact"/>
        <w:rPr>
          <w:rFonts w:ascii="Arial" w:cs="Arial" w:eastAsia="Arial" w:hAnsi="Arial"/>
          <w:sz w:val="13"/>
          <w:szCs w:val="13"/>
          <w:color w:val="auto"/>
        </w:rPr>
      </w:pPr>
    </w:p>
    <w:p>
      <w:pPr>
        <w:ind w:left="460" w:right="20" w:hanging="230"/>
        <w:spacing w:after="0" w:line="248" w:lineRule="auto"/>
        <w:tabs>
          <w:tab w:leader="none" w:pos="457"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Customers</w:t>
      </w:r>
      <w:r>
        <w:rPr>
          <w:rFonts w:ascii="Arial" w:cs="Arial" w:eastAsia="Arial" w:hAnsi="Arial"/>
          <w:sz w:val="13"/>
          <w:szCs w:val="13"/>
          <w:color w:val="auto"/>
        </w:rPr>
        <w:t>”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spacing w:after="0" w:line="1" w:lineRule="exact"/>
        <w:rPr>
          <w:rFonts w:ascii="Arial" w:cs="Arial" w:eastAsia="Arial" w:hAnsi="Arial"/>
          <w:sz w:val="13"/>
          <w:szCs w:val="13"/>
          <w:color w:val="auto"/>
        </w:rPr>
      </w:pPr>
    </w:p>
    <w:p>
      <w:pPr>
        <w:ind w:left="460" w:hanging="230"/>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Exchange Tax Receivable Agreement</w:t>
      </w:r>
      <w:r>
        <w:rPr>
          <w:rFonts w:ascii="Arial" w:cs="Arial" w:eastAsia="Arial" w:hAnsi="Arial"/>
          <w:sz w:val="13"/>
          <w:szCs w:val="13"/>
          <w:color w:val="auto"/>
        </w:rPr>
        <w:t>” refers to the tax receivable agreement entered into with certain Pre-IPO OpCo Unitholders.</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Founders</w:t>
      </w:r>
      <w:r>
        <w:rPr>
          <w:rFonts w:ascii="Arial" w:cs="Arial" w:eastAsia="Arial" w:hAnsi="Arial"/>
          <w:sz w:val="13"/>
          <w:szCs w:val="13"/>
          <w:color w:val="auto"/>
        </w:rPr>
        <w:t>” refers to Henry Schuck, our Chief Executive Officer, and Kirk Brown.</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HoldCo Units</w:t>
      </w:r>
      <w:r>
        <w:rPr>
          <w:rFonts w:ascii="Arial" w:cs="Arial" w:eastAsia="Arial" w:hAnsi="Arial"/>
          <w:sz w:val="13"/>
          <w:szCs w:val="13"/>
          <w:color w:val="auto"/>
        </w:rPr>
        <w:t>” refers to the class of units of ZoomInfo HoldCo.</w:t>
      </w:r>
    </w:p>
    <w:p>
      <w:pPr>
        <w:spacing w:after="0" w:line="5" w:lineRule="exact"/>
        <w:rPr>
          <w:rFonts w:ascii="Arial" w:cs="Arial" w:eastAsia="Arial" w:hAnsi="Arial"/>
          <w:sz w:val="13"/>
          <w:szCs w:val="13"/>
          <w:color w:val="auto"/>
        </w:rPr>
      </w:pPr>
    </w:p>
    <w:p>
      <w:pPr>
        <w:ind w:left="460" w:right="20" w:hanging="230"/>
        <w:spacing w:after="0" w:line="248" w:lineRule="auto"/>
        <w:tabs>
          <w:tab w:leader="none" w:pos="457"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HSKB</w:t>
      </w:r>
      <w:r>
        <w:rPr>
          <w:rFonts w:ascii="Arial" w:cs="Arial" w:eastAsia="Arial" w:hAnsi="Arial"/>
          <w:sz w:val="13"/>
          <w:szCs w:val="13"/>
          <w:color w:val="auto"/>
        </w:rPr>
        <w:t>” and “</w:t>
      </w:r>
      <w:r>
        <w:rPr>
          <w:rFonts w:ascii="Arial" w:cs="Arial" w:eastAsia="Arial" w:hAnsi="Arial"/>
          <w:sz w:val="13"/>
          <w:szCs w:val="13"/>
          <w:u w:val="single" w:color="auto"/>
          <w:color w:val="auto"/>
        </w:rPr>
        <w:t>HSKB I</w:t>
      </w:r>
      <w:r>
        <w:rPr>
          <w:rFonts w:ascii="Arial" w:cs="Arial" w:eastAsia="Arial" w:hAnsi="Arial"/>
          <w:sz w:val="13"/>
          <w:szCs w:val="13"/>
          <w:color w:val="auto"/>
        </w:rPr>
        <w:t>” refers to HSKB Funds, LLC, a privately held limited liability company formed on February 9, 2016 for the purpose of issuing equity to certain persons who had performed and would continue to perform services for ZoomInfo OpCo.</w:t>
      </w:r>
    </w:p>
    <w:p>
      <w:pPr>
        <w:spacing w:after="0" w:line="1" w:lineRule="exact"/>
        <w:rPr>
          <w:rFonts w:ascii="Arial" w:cs="Arial" w:eastAsia="Arial" w:hAnsi="Arial"/>
          <w:sz w:val="13"/>
          <w:szCs w:val="13"/>
          <w:color w:val="auto"/>
        </w:rPr>
      </w:pPr>
    </w:p>
    <w:p>
      <w:pPr>
        <w:ind w:left="460" w:hanging="230"/>
        <w:spacing w:after="0" w:line="248" w:lineRule="auto"/>
        <w:tabs>
          <w:tab w:leader="none" w:pos="457"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HSKB II</w:t>
      </w:r>
      <w:r>
        <w:rPr>
          <w:rFonts w:ascii="Arial" w:cs="Arial" w:eastAsia="Arial" w:hAnsi="Arial"/>
          <w:sz w:val="13"/>
          <w:szCs w:val="13"/>
          <w:color w:val="auto"/>
        </w:rPr>
        <w:t>” refers to HSKB Funds II, LLC, a privately held limited liability company formed on May 28, 2020 for the purpose of effecting a reorganization of HSKB I at the time of the IPO and to issue equity to certain persons who had performed and would continue to perform services for ZoomInfo OpCo.</w:t>
      </w:r>
    </w:p>
    <w:p>
      <w:pPr>
        <w:spacing w:after="0" w:line="1" w:lineRule="exact"/>
        <w:rPr>
          <w:rFonts w:ascii="Arial" w:cs="Arial" w:eastAsia="Arial" w:hAnsi="Arial"/>
          <w:sz w:val="13"/>
          <w:szCs w:val="13"/>
          <w:color w:val="auto"/>
        </w:rPr>
      </w:pPr>
    </w:p>
    <w:p>
      <w:pPr>
        <w:ind w:left="460" w:hanging="230"/>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IPO</w:t>
      </w:r>
      <w:r>
        <w:rPr>
          <w:rFonts w:ascii="Arial" w:cs="Arial" w:eastAsia="Arial" w:hAnsi="Arial"/>
          <w:sz w:val="13"/>
          <w:szCs w:val="13"/>
          <w:color w:val="auto"/>
        </w:rPr>
        <w:t>” refers to the initial public offering of Class A common stock of ZoomInfo Technologies Inc.</w:t>
      </w:r>
    </w:p>
    <w:p>
      <w:pPr>
        <w:spacing w:after="0" w:line="5" w:lineRule="exact"/>
        <w:rPr>
          <w:rFonts w:ascii="Arial" w:cs="Arial" w:eastAsia="Arial" w:hAnsi="Arial"/>
          <w:sz w:val="13"/>
          <w:szCs w:val="13"/>
          <w:color w:val="auto"/>
        </w:rPr>
      </w:pPr>
    </w:p>
    <w:p>
      <w:pPr>
        <w:ind w:left="460" w:right="20" w:hanging="230"/>
        <w:spacing w:after="0" w:line="248" w:lineRule="auto"/>
        <w:tabs>
          <w:tab w:leader="none" w:pos="457"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LTIP Units</w:t>
      </w:r>
      <w:r>
        <w:rPr>
          <w:rFonts w:ascii="Arial" w:cs="Arial" w:eastAsia="Arial" w:hAnsi="Arial"/>
          <w:sz w:val="13"/>
          <w:szCs w:val="13"/>
          <w:color w:val="auto"/>
        </w:rPr>
        <w:t>” refers to a class of partnership units that are intended to qualify as “profit interests” in ZoomInfo OpCo for federal income tax purposes that, subject to certain conditions, including vesting, are convertible by the holder into OpCo Units.</w:t>
      </w:r>
    </w:p>
    <w:p>
      <w:pPr>
        <w:spacing w:after="0" w:line="1" w:lineRule="exact"/>
        <w:rPr>
          <w:rFonts w:ascii="Arial" w:cs="Arial" w:eastAsia="Arial" w:hAnsi="Arial"/>
          <w:sz w:val="13"/>
          <w:szCs w:val="13"/>
          <w:color w:val="auto"/>
        </w:rPr>
      </w:pPr>
    </w:p>
    <w:p>
      <w:pPr>
        <w:ind w:left="460" w:hanging="230"/>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OpCo Units</w:t>
      </w:r>
      <w:r>
        <w:rPr>
          <w:rFonts w:ascii="Arial" w:cs="Arial" w:eastAsia="Arial" w:hAnsi="Arial"/>
          <w:sz w:val="13"/>
          <w:szCs w:val="13"/>
          <w:color w:val="auto"/>
        </w:rPr>
        <w:t>” refers to the class of units of ZoomInfo OpCo and does not include Class P Units.</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Pre-Acquisition ZI</w:t>
      </w:r>
      <w:r>
        <w:rPr>
          <w:rFonts w:ascii="Arial" w:cs="Arial" w:eastAsia="Arial" w:hAnsi="Arial"/>
          <w:sz w:val="13"/>
          <w:szCs w:val="13"/>
          <w:color w:val="auto"/>
        </w:rPr>
        <w:t>” refers to Zoom Information Inc.</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Pre-IPO Blocker Holders</w:t>
      </w:r>
      <w:r>
        <w:rPr>
          <w:rFonts w:ascii="Arial" w:cs="Arial" w:eastAsia="Arial" w:hAnsi="Arial"/>
          <w:sz w:val="13"/>
          <w:szCs w:val="13"/>
          <w:color w:val="auto"/>
        </w:rPr>
        <w:t>” refers to the Pre-IPO Owners that held their interests in us through the Blocker Companies immediately prior to the IPO.</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Pre-IPO HoldCo Unitholders</w:t>
      </w:r>
      <w:r>
        <w:rPr>
          <w:rFonts w:ascii="Arial" w:cs="Arial" w:eastAsia="Arial" w:hAnsi="Arial"/>
          <w:sz w:val="13"/>
          <w:szCs w:val="13"/>
          <w:color w:val="auto"/>
        </w:rPr>
        <w:t>” refers to the Pre-IPO Owners that held HoldCo Units immediately prior to the IPO.</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Pre-IPO OpCo Unitholders</w:t>
      </w:r>
      <w:r>
        <w:rPr>
          <w:rFonts w:ascii="Arial" w:cs="Arial" w:eastAsia="Arial" w:hAnsi="Arial"/>
          <w:sz w:val="13"/>
          <w:szCs w:val="13"/>
          <w:color w:val="auto"/>
        </w:rPr>
        <w:t>” refers to the Pre-IPO Owners that held OpCo Units immediately prior to the IPO.</w:t>
      </w:r>
    </w:p>
    <w:p>
      <w:pPr>
        <w:spacing w:after="0" w:line="5" w:lineRule="exact"/>
        <w:rPr>
          <w:rFonts w:ascii="Arial" w:cs="Arial" w:eastAsia="Arial" w:hAnsi="Arial"/>
          <w:sz w:val="13"/>
          <w:szCs w:val="13"/>
          <w:color w:val="auto"/>
        </w:rPr>
      </w:pPr>
    </w:p>
    <w:p>
      <w:pPr>
        <w:ind w:left="460" w:right="20" w:hanging="230"/>
        <w:spacing w:after="0" w:line="257" w:lineRule="auto"/>
        <w:tabs>
          <w:tab w:leader="none" w:pos="457"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Pre-IPO Owners</w:t>
      </w:r>
      <w:r>
        <w:rPr>
          <w:rFonts w:ascii="Arial" w:cs="Arial" w:eastAsia="Arial" w:hAnsi="Arial"/>
          <w:sz w:val="13"/>
          <w:szCs w:val="13"/>
          <w:color w:val="auto"/>
        </w:rPr>
        <w:t>” refers collectively to the Sponsors, the Founders, and the management and other equity holders who were the owners of ZoomInfo OpCo immediately prior to the Reorganization Transactions.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 w:name="page4"/>
    <w:bookmarkEnd w:id="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0" w:hanging="230"/>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Reorganization Tax Receivable Agreement</w:t>
      </w:r>
      <w:r>
        <w:rPr>
          <w:rFonts w:ascii="Arial" w:cs="Arial" w:eastAsia="Arial" w:hAnsi="Arial"/>
          <w:sz w:val="13"/>
          <w:szCs w:val="13"/>
          <w:color w:val="auto"/>
        </w:rPr>
        <w:t>” refers to the tax receivable agreement entered into with the Pre-IPO Blocker Holders.</w:t>
      </w:r>
    </w:p>
    <w:p>
      <w:pPr>
        <w:spacing w:after="0" w:line="13" w:lineRule="exact"/>
        <w:rPr>
          <w:rFonts w:ascii="Arial" w:cs="Arial" w:eastAsia="Arial" w:hAnsi="Arial"/>
          <w:sz w:val="13"/>
          <w:szCs w:val="13"/>
          <w:color w:val="auto"/>
        </w:rPr>
      </w:pPr>
    </w:p>
    <w:p>
      <w:pPr>
        <w:ind w:left="460" w:hanging="230"/>
        <w:spacing w:after="0" w:line="248" w:lineRule="auto"/>
        <w:tabs>
          <w:tab w:leader="none" w:pos="457"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Reorganization Transactions</w:t>
      </w:r>
      <w:r>
        <w:rPr>
          <w:rFonts w:ascii="Arial" w:cs="Arial" w:eastAsia="Arial" w:hAnsi="Arial"/>
          <w:sz w:val="13"/>
          <w:szCs w:val="13"/>
          <w:color w:val="auto"/>
        </w:rPr>
        <w:t>” refers to the transactions described under “Reorganization Transactions” in Note 1 to our unaudited consolidated financial statements included in Part I, Item 1 of this Form 10-Q.</w:t>
      </w:r>
    </w:p>
    <w:p>
      <w:pPr>
        <w:spacing w:after="0" w:line="1" w:lineRule="exact"/>
        <w:rPr>
          <w:rFonts w:ascii="Arial" w:cs="Arial" w:eastAsia="Arial" w:hAnsi="Arial"/>
          <w:sz w:val="13"/>
          <w:szCs w:val="13"/>
          <w:color w:val="auto"/>
        </w:rPr>
      </w:pPr>
    </w:p>
    <w:p>
      <w:pPr>
        <w:ind w:left="460" w:hanging="230"/>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w:t>
      </w:r>
      <w:r>
        <w:rPr>
          <w:rFonts w:ascii="Arial" w:cs="Arial" w:eastAsia="Arial" w:hAnsi="Arial"/>
          <w:sz w:val="13"/>
          <w:szCs w:val="13"/>
          <w:color w:val="auto"/>
        </w:rPr>
        <w:t>” refers to the Securities and Exchange Commission.</w:t>
      </w:r>
    </w:p>
    <w:p>
      <w:pPr>
        <w:spacing w:after="0" w:line="5" w:lineRule="exact"/>
        <w:rPr>
          <w:rFonts w:ascii="Arial" w:cs="Arial" w:eastAsia="Arial" w:hAnsi="Arial"/>
          <w:sz w:val="13"/>
          <w:szCs w:val="13"/>
          <w:color w:val="auto"/>
        </w:rPr>
      </w:pPr>
    </w:p>
    <w:p>
      <w:pPr>
        <w:jc w:val="both"/>
        <w:ind w:left="460" w:right="200" w:hanging="230"/>
        <w:spacing w:after="0" w:line="234" w:lineRule="auto"/>
        <w:tabs>
          <w:tab w:leader="none" w:pos="457"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Secondary Offerings</w:t>
      </w:r>
      <w:r>
        <w:rPr>
          <w:rFonts w:ascii="Arial" w:cs="Arial" w:eastAsia="Arial" w:hAnsi="Arial"/>
          <w:sz w:val="13"/>
          <w:szCs w:val="13"/>
          <w:color w:val="auto"/>
        </w:rPr>
        <w:t>” refers to (i) the offering by certain selling stockholders, including entities affiliated with the Sponsors, of 17,179,135 shares of Class A common stock of ZoomInfo Technologies Inc. completed on August 24, 2020; and (ii) the offering by certain selling stockholders, including entities affiliated with the Sponsors, of 14,375,000 shares of Class A common stock of ZoomInfo Technologies Inc. completed on December 4, 2020, as applicable.</w:t>
      </w:r>
    </w:p>
    <w:p>
      <w:pPr>
        <w:ind w:left="460" w:hanging="230"/>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Securities Act</w:t>
      </w:r>
      <w:r>
        <w:rPr>
          <w:rFonts w:ascii="Arial" w:cs="Arial" w:eastAsia="Arial" w:hAnsi="Arial"/>
          <w:sz w:val="13"/>
          <w:szCs w:val="13"/>
          <w:color w:val="auto"/>
        </w:rPr>
        <w:t>” refers to the Securities Act of 1933, as amended.</w:t>
      </w:r>
    </w:p>
    <w:p>
      <w:pPr>
        <w:spacing w:after="0" w:line="3" w:lineRule="exact"/>
        <w:rPr>
          <w:rFonts w:ascii="Arial" w:cs="Arial" w:eastAsia="Arial" w:hAnsi="Arial"/>
          <w:sz w:val="13"/>
          <w:szCs w:val="13"/>
          <w:color w:val="auto"/>
        </w:rPr>
      </w:pPr>
    </w:p>
    <w:p>
      <w:pPr>
        <w:ind w:left="460" w:hanging="230"/>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Series A Preferred Units</w:t>
      </w:r>
      <w:r>
        <w:rPr>
          <w:rFonts w:ascii="Arial" w:cs="Arial" w:eastAsia="Arial" w:hAnsi="Arial"/>
          <w:sz w:val="13"/>
          <w:szCs w:val="13"/>
          <w:color w:val="auto"/>
        </w:rPr>
        <w:t>” refers to the Series A preferred units of ZoomInfo OpCo outstanding immediately prior to the IPO.</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Sponsors</w:t>
      </w:r>
      <w:r>
        <w:rPr>
          <w:rFonts w:ascii="Arial" w:cs="Arial" w:eastAsia="Arial" w:hAnsi="Arial"/>
          <w:sz w:val="13"/>
          <w:szCs w:val="13"/>
          <w:color w:val="auto"/>
        </w:rPr>
        <w:t>” refers collectively to TA Associates, Carlyle, and investment funds associated with 22C Capital LLC and its predecessor.</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 Associates</w:t>
      </w:r>
      <w:r>
        <w:rPr>
          <w:rFonts w:ascii="Arial" w:cs="Arial" w:eastAsia="Arial" w:hAnsi="Arial"/>
          <w:sz w:val="13"/>
          <w:szCs w:val="13"/>
          <w:color w:val="auto"/>
        </w:rPr>
        <w:t>” refers to investment funds associated with TA Associates.</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 Receivable Agreements</w:t>
      </w:r>
      <w:r>
        <w:rPr>
          <w:rFonts w:ascii="Arial" w:cs="Arial" w:eastAsia="Arial" w:hAnsi="Arial"/>
          <w:sz w:val="13"/>
          <w:szCs w:val="13"/>
          <w:color w:val="auto"/>
        </w:rPr>
        <w:t>” or “</w:t>
      </w:r>
      <w:r>
        <w:rPr>
          <w:rFonts w:ascii="Arial" w:cs="Arial" w:eastAsia="Arial" w:hAnsi="Arial"/>
          <w:sz w:val="13"/>
          <w:szCs w:val="13"/>
          <w:u w:val="single" w:color="auto"/>
          <w:color w:val="auto"/>
        </w:rPr>
        <w:t>TRA</w:t>
      </w:r>
      <w:r>
        <w:rPr>
          <w:rFonts w:ascii="Arial" w:cs="Arial" w:eastAsia="Arial" w:hAnsi="Arial"/>
          <w:sz w:val="13"/>
          <w:szCs w:val="13"/>
          <w:color w:val="auto"/>
        </w:rPr>
        <w:t>” refers collectively to the Exchange Tax Receivable Agreement and the Reorganization Tax Receivable Agreement.</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Topic 606</w:t>
      </w:r>
      <w:r>
        <w:rPr>
          <w:rFonts w:ascii="Arial" w:cs="Arial" w:eastAsia="Arial" w:hAnsi="Arial"/>
          <w:sz w:val="13"/>
          <w:szCs w:val="13"/>
          <w:color w:val="auto"/>
        </w:rPr>
        <w:t>” refers to Accounting Standard Update (“</w:t>
      </w:r>
      <w:r>
        <w:rPr>
          <w:rFonts w:ascii="Arial" w:cs="Arial" w:eastAsia="Arial" w:hAnsi="Arial"/>
          <w:sz w:val="13"/>
          <w:szCs w:val="13"/>
          <w:u w:val="single" w:color="auto"/>
          <w:color w:val="auto"/>
        </w:rPr>
        <w:t>ASU</w:t>
      </w:r>
      <w:r>
        <w:rPr>
          <w:rFonts w:ascii="Arial" w:cs="Arial" w:eastAsia="Arial" w:hAnsi="Arial"/>
          <w:sz w:val="13"/>
          <w:szCs w:val="13"/>
          <w:color w:val="auto"/>
        </w:rPr>
        <w:t>”) 2014-09, Revenue from Contracts with Customers, later codified as Accounting Standards Codification (“</w:t>
      </w:r>
      <w:r>
        <w:rPr>
          <w:rFonts w:ascii="Arial" w:cs="Arial" w:eastAsia="Arial" w:hAnsi="Arial"/>
          <w:sz w:val="13"/>
          <w:szCs w:val="13"/>
          <w:u w:val="single" w:color="auto"/>
          <w:color w:val="auto"/>
        </w:rPr>
        <w:t>ASC</w:t>
      </w:r>
      <w:r>
        <w:rPr>
          <w:rFonts w:ascii="Arial" w:cs="Arial" w:eastAsia="Arial" w:hAnsi="Arial"/>
          <w:sz w:val="13"/>
          <w:szCs w:val="13"/>
          <w:color w:val="auto"/>
        </w:rPr>
        <w:t>”) Topic 606.</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ZoomInfo HoldCo</w:t>
      </w:r>
      <w:r>
        <w:rPr>
          <w:rFonts w:ascii="Arial" w:cs="Arial" w:eastAsia="Arial" w:hAnsi="Arial"/>
          <w:sz w:val="13"/>
          <w:szCs w:val="13"/>
          <w:color w:val="auto"/>
        </w:rPr>
        <w:t>” refers to ZoomInfo Intermediate Holdings LLC, a Delaware limited liability company, and a direct subsidiary of ZoomInfo Technologies Inc.</w:t>
      </w:r>
    </w:p>
    <w:p>
      <w:pPr>
        <w:spacing w:after="0" w:line="5" w:lineRule="exact"/>
        <w:rPr>
          <w:rFonts w:ascii="Arial" w:cs="Arial" w:eastAsia="Arial" w:hAnsi="Arial"/>
          <w:sz w:val="13"/>
          <w:szCs w:val="13"/>
          <w:color w:val="auto"/>
        </w:rPr>
      </w:pPr>
    </w:p>
    <w:p>
      <w:pPr>
        <w:ind w:left="460" w:hanging="230"/>
        <w:spacing w:after="0" w:line="257" w:lineRule="auto"/>
        <w:tabs>
          <w:tab w:leader="none" w:pos="457"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ZoomInfo OpCo</w:t>
      </w:r>
      <w:r>
        <w:rPr>
          <w:rFonts w:ascii="Arial" w:cs="Arial" w:eastAsia="Arial" w:hAnsi="Arial"/>
          <w:sz w:val="13"/>
          <w:szCs w:val="13"/>
          <w:color w:val="auto"/>
        </w:rPr>
        <w:t>” refers to ZoomInfo Holdings LLC (formerly known as DiscoverOrg Holdings, LLC), a Delaware limited liability company, and a direct subsidiary of ZoomInfo HoldCo and indirect subsidiary of ZoomInfo Technologies Inc.</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126" w:lineRule="exact"/>
        <w:rPr>
          <w:sz w:val="20"/>
          <w:szCs w:val="20"/>
          <w:color w:val="auto"/>
        </w:rPr>
      </w:pPr>
    </w:p>
    <w:p>
      <w:pPr>
        <w:jc w:val="both"/>
        <w:ind w:firstLine="465"/>
        <w:spacing w:after="0" w:line="284" w:lineRule="auto"/>
        <w:rPr>
          <w:sz w:val="20"/>
          <w:szCs w:val="20"/>
          <w:color w:val="auto"/>
        </w:rPr>
      </w:pPr>
      <w:r>
        <w:rPr>
          <w:rFonts w:ascii="Arial" w:cs="Arial" w:eastAsia="Arial" w:hAnsi="Arial"/>
          <w:sz w:val="12"/>
          <w:szCs w:val="12"/>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w:t>
      </w:r>
    </w:p>
    <w:p>
      <w:pPr>
        <w:spacing w:after="0" w:line="84" w:lineRule="exact"/>
        <w:rPr>
          <w:sz w:val="20"/>
          <w:szCs w:val="20"/>
          <w:color w:val="auto"/>
        </w:rPr>
      </w:pPr>
    </w:p>
    <w:p>
      <w:pPr>
        <w:jc w:val="both"/>
        <w:ind w:firstLine="465"/>
        <w:spacing w:after="0" w:line="259" w:lineRule="auto"/>
        <w:rPr>
          <w:sz w:val="20"/>
          <w:szCs w:val="20"/>
          <w:color w:val="auto"/>
        </w:rPr>
      </w:pPr>
      <w:r>
        <w:rPr>
          <w:rFonts w:ascii="Arial" w:cs="Arial" w:eastAsia="Arial" w:hAnsi="Arial"/>
          <w:sz w:val="13"/>
          <w:szCs w:val="13"/>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are some of the factors that could cause actual results to differ from those expressed or implied by our forward-looking statements, including forward-looking statements contained in this</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Quarterly Report on Form 10-Q:</w:t>
      </w:r>
    </w:p>
    <w:p>
      <w:pPr>
        <w:spacing w:after="0" w:line="114" w:lineRule="exact"/>
        <w:rPr>
          <w:sz w:val="20"/>
          <w:szCs w:val="20"/>
          <w:color w:val="auto"/>
        </w:rPr>
      </w:pPr>
    </w:p>
    <w:p>
      <w:pPr>
        <w:ind w:left="460" w:hanging="230"/>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COVID-19 pandemic, including the global economic uncertainty and measures taken in response, could materially impact our business and future results of operations;</w:t>
      </w:r>
    </w:p>
    <w:p>
      <w:pPr>
        <w:spacing w:after="0" w:line="13" w:lineRule="exact"/>
        <w:rPr>
          <w:rFonts w:ascii="Arial" w:cs="Arial" w:eastAsia="Arial" w:hAnsi="Arial"/>
          <w:sz w:val="13"/>
          <w:szCs w:val="13"/>
          <w:color w:val="auto"/>
        </w:rPr>
      </w:pPr>
    </w:p>
    <w:p>
      <w:pPr>
        <w:ind w:left="460" w:hanging="230"/>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larger well-funded companies shifting their existing business models to become more competitive with us;</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ability to provide or adapt our platform for changes in laws and regulations or public perception, or changes in the enforcement of such laws, relating to data privacy;</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effects of companies more effectively catering to our customers by offering more tailored products or platforms at lower costs;</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adverse general economic and market conditions reducing spending on sales and marketing;</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effects of declining demand for sales and marketing subscription platforms;</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ability to improve our technology and keep up with new processes for data collection, organization, and cleansing;</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ability to provide a highly accurate, reliable, and comprehensive platform moving forward;</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reliance on third-party systems that we do not control to integrate with our system and our potential inability to continue to support integration;</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ability to adequately fund research and development potentially limiting introduction of new features, integrations, and enhancements;</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ability to attract new customers and expand existing subscriptions;</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 decrease in participation in our contributory network or increased opt-out rates impacting the depth, breadth, and accuracy of our platform;</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failure to protect and maintain our brand and our ability to attract and retain customers;</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failure to maintain effective internal controls over financial reporting;</w:t>
      </w:r>
    </w:p>
    <w:p>
      <w:pPr>
        <w:spacing w:after="0" w:line="5" w:lineRule="exact"/>
        <w:rPr>
          <w:rFonts w:ascii="Arial" w:cs="Arial" w:eastAsia="Arial" w:hAnsi="Arial"/>
          <w:sz w:val="13"/>
          <w:szCs w:val="13"/>
          <w:color w:val="auto"/>
        </w:rPr>
      </w:pPr>
    </w:p>
    <w:p>
      <w:pPr>
        <w:ind w:left="460" w:hanging="230"/>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ability to successfully integrate acquired businesses, services, databases and technologies into our operations;</w:t>
      </w:r>
    </w:p>
    <w:p>
      <w:pPr>
        <w:spacing w:after="0" w:line="5" w:lineRule="exact"/>
        <w:rPr>
          <w:rFonts w:ascii="Arial" w:cs="Arial" w:eastAsia="Arial" w:hAnsi="Arial"/>
          <w:sz w:val="13"/>
          <w:szCs w:val="13"/>
          <w:color w:val="auto"/>
        </w:rPr>
      </w:pPr>
    </w:p>
    <w:p>
      <w:pPr>
        <w:ind w:left="460" w:right="80" w:hanging="230"/>
        <w:spacing w:after="0" w:line="269" w:lineRule="auto"/>
        <w:tabs>
          <w:tab w:leader="none" w:pos="457"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substantial indebtedness, which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ind w:left="460" w:hanging="230"/>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parties to our stockholders agreement controlling us and their interests conflicting with ours or our other stockholders in the future;</w:t>
      </w:r>
    </w:p>
    <w:p>
      <w:pPr>
        <w:spacing w:after="0" w:line="5" w:lineRule="exact"/>
        <w:rPr>
          <w:rFonts w:ascii="Arial" w:cs="Arial" w:eastAsia="Arial" w:hAnsi="Arial"/>
          <w:sz w:val="13"/>
          <w:szCs w:val="13"/>
          <w:color w:val="auto"/>
        </w:rPr>
      </w:pPr>
    </w:p>
    <w:p>
      <w:pPr>
        <w:ind w:left="460" w:right="80" w:hanging="230"/>
        <w:spacing w:after="0" w:line="257" w:lineRule="auto"/>
        <w:tabs>
          <w:tab w:leader="none" w:pos="457"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being a “controlled company” within the meaning of the Nasdaq rules and, as a result, qualifying for exemptions from certain corporate governance requirements, as a result of which our stockholders will not have the same protections afforded to stockholders of companies that are subject to such requirements; and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 w:name="page6"/>
    <w:bookmarkEnd w:id="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0" w:hanging="230"/>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other factors described under “Risk Factors” in Part I, Item 1A of our 2020 Form 10-K, and in other reports we file from time to time with the SEC.</w:t>
      </w:r>
    </w:p>
    <w:p>
      <w:pPr>
        <w:spacing w:after="0" w:line="112" w:lineRule="exact"/>
        <w:rPr>
          <w:sz w:val="20"/>
          <w:szCs w:val="20"/>
          <w:color w:val="auto"/>
        </w:rPr>
      </w:pPr>
    </w:p>
    <w:p>
      <w:pPr>
        <w:jc w:val="both"/>
        <w:ind w:right="20" w:firstLine="233"/>
        <w:spacing w:after="0" w:line="256" w:lineRule="auto"/>
        <w:rPr>
          <w:sz w:val="20"/>
          <w:szCs w:val="20"/>
          <w:color w:val="auto"/>
        </w:rPr>
      </w:pPr>
      <w:r>
        <w:rPr>
          <w:rFonts w:ascii="Arial" w:cs="Arial" w:eastAsia="Arial" w:hAnsi="Arial"/>
          <w:sz w:val="13"/>
          <w:szCs w:val="13"/>
          <w:color w:val="auto"/>
        </w:rPr>
        <w:t>These factors should not be construed as exhaustive and should be read in conjunction with the other cautionary statements that are included in this Form 10-Q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spacing w:after="0" w:line="99" w:lineRule="exact"/>
        <w:rPr>
          <w:sz w:val="20"/>
          <w:szCs w:val="20"/>
          <w:color w:val="auto"/>
        </w:rPr>
      </w:pPr>
    </w:p>
    <w:p>
      <w:pPr>
        <w:jc w:val="both"/>
        <w:ind w:right="20" w:firstLine="233"/>
        <w:spacing w:after="0" w:line="270" w:lineRule="auto"/>
        <w:rPr>
          <w:sz w:val="20"/>
          <w:szCs w:val="20"/>
          <w:color w:val="auto"/>
        </w:rPr>
      </w:pPr>
      <w:r>
        <w:rPr>
          <w:rFonts w:ascii="Arial" w:cs="Arial" w:eastAsia="Arial" w:hAnsi="Arial"/>
          <w:sz w:val="13"/>
          <w:szCs w:val="13"/>
          <w:color w:val="auto"/>
        </w:rPr>
        <w:t>You should not place undue reliance on our forward-looking statements. 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Website Disclosure</w:t>
      </w:r>
    </w:p>
    <w:p>
      <w:pPr>
        <w:spacing w:after="0" w:line="126" w:lineRule="exact"/>
        <w:rPr>
          <w:sz w:val="20"/>
          <w:szCs w:val="20"/>
          <w:color w:val="auto"/>
        </w:rPr>
      </w:pPr>
    </w:p>
    <w:p>
      <w:pPr>
        <w:jc w:val="both"/>
        <w:ind w:firstLine="233"/>
        <w:spacing w:after="0" w:line="291" w:lineRule="auto"/>
        <w:rPr>
          <w:sz w:val="20"/>
          <w:szCs w:val="20"/>
          <w:color w:val="auto"/>
        </w:rPr>
      </w:pPr>
      <w:r>
        <w:rPr>
          <w:rFonts w:ascii="Arial" w:cs="Arial" w:eastAsia="Arial" w:hAnsi="Arial"/>
          <w:sz w:val="12"/>
          <w:szCs w:val="12"/>
          <w:color w:val="auto"/>
        </w:rPr>
        <w:t>The Company intends to use its website as a distribution channel of material company information. Financial and other important information regarding the Company is routinely posted on and accessible through the Company’s website at https://ir.zoominfo.com. In addition, you may automatically receive email alerts and other information about the Company when you enroll your email address by visiting the “Email Alerts” section of our investor relations page at https://ir.zoominfo.com.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6" w:name="page7"/>
    <w:bookmarkEnd w:id="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300" w:type="dxa"/>
            <w:vAlign w:val="bottom"/>
          </w:tcPr>
          <w:p>
            <w:pPr>
              <w:jc w:val="center"/>
              <w:ind w:right="1315"/>
              <w:spacing w:after="0"/>
              <w:rPr>
                <w:sz w:val="20"/>
                <w:szCs w:val="20"/>
                <w:color w:val="auto"/>
              </w:rPr>
            </w:pPr>
            <w:r>
              <w:rPr>
                <w:rFonts w:ascii="Arial" w:cs="Arial" w:eastAsia="Arial" w:hAnsi="Arial"/>
                <w:sz w:val="13"/>
                <w:szCs w:val="13"/>
                <w:b w:val="1"/>
                <w:bCs w:val="1"/>
                <w:color w:val="auto"/>
              </w:rPr>
              <w:t>PART I - FINANCIAL INFORMATION</w:t>
            </w:r>
          </w:p>
        </w:tc>
        <w:tc>
          <w:tcPr>
            <w:tcW w:w="2340" w:type="dxa"/>
            <w:vAlign w:val="bottom"/>
          </w:tcPr>
          <w:p>
            <w:pPr>
              <w:spacing w:after="0"/>
              <w:rPr>
                <w:sz w:val="14"/>
                <w:szCs w:val="14"/>
                <w:color w:val="auto"/>
              </w:rPr>
            </w:pPr>
          </w:p>
        </w:tc>
      </w:tr>
      <w:tr>
        <w:trPr>
          <w:trHeight w:val="271"/>
        </w:trPr>
        <w:tc>
          <w:tcPr>
            <w:tcW w:w="8980" w:type="dxa"/>
            <w:vAlign w:val="bottom"/>
            <w:gridSpan w:val="7"/>
          </w:tcPr>
          <w:p>
            <w:pPr>
              <w:spacing w:after="0"/>
              <w:rPr>
                <w:sz w:val="20"/>
                <w:szCs w:val="20"/>
                <w:color w:val="auto"/>
              </w:rPr>
            </w:pPr>
            <w:r>
              <w:rPr>
                <w:rFonts w:ascii="Arial" w:cs="Arial" w:eastAsia="Arial" w:hAnsi="Arial"/>
                <w:sz w:val="13"/>
                <w:szCs w:val="13"/>
                <w:b w:val="1"/>
                <w:bCs w:val="1"/>
                <w:color w:val="auto"/>
              </w:rPr>
              <w:t>ITEM 1. FINANCIAL STATEMENTS</w:t>
            </w:r>
          </w:p>
        </w:tc>
        <w:tc>
          <w:tcPr>
            <w:tcW w:w="2340" w:type="dxa"/>
            <w:vAlign w:val="bottom"/>
          </w:tcPr>
          <w:p>
            <w:pPr>
              <w:spacing w:after="0"/>
              <w:rPr>
                <w:sz w:val="23"/>
                <w:szCs w:val="23"/>
                <w:color w:val="auto"/>
              </w:rPr>
            </w:pPr>
          </w:p>
        </w:tc>
      </w:tr>
      <w:tr>
        <w:trPr>
          <w:trHeight w:val="562"/>
        </w:trPr>
        <w:tc>
          <w:tcPr>
            <w:tcW w:w="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00" w:type="dxa"/>
            <w:vAlign w:val="bottom"/>
          </w:tcPr>
          <w:p>
            <w:pPr>
              <w:jc w:val="center"/>
              <w:ind w:right="1295"/>
              <w:spacing w:after="0"/>
              <w:rPr>
                <w:sz w:val="20"/>
                <w:szCs w:val="20"/>
                <w:color w:val="auto"/>
              </w:rPr>
            </w:pPr>
            <w:r>
              <w:rPr>
                <w:rFonts w:ascii="Arial" w:cs="Arial" w:eastAsia="Arial" w:hAnsi="Arial"/>
                <w:sz w:val="13"/>
                <w:szCs w:val="13"/>
                <w:b w:val="1"/>
                <w:bCs w:val="1"/>
                <w:color w:val="auto"/>
              </w:rPr>
              <w:t>INDEX TO FINANCIAL STATEMENTS</w:t>
            </w:r>
          </w:p>
        </w:tc>
        <w:tc>
          <w:tcPr>
            <w:tcW w:w="2340" w:type="dxa"/>
            <w:vAlign w:val="bottom"/>
          </w:tcPr>
          <w:p>
            <w:pPr>
              <w:spacing w:after="0"/>
              <w:rPr>
                <w:sz w:val="24"/>
                <w:szCs w:val="24"/>
                <w:color w:val="auto"/>
              </w:rPr>
            </w:pPr>
          </w:p>
        </w:tc>
      </w:tr>
      <w:tr>
        <w:trPr>
          <w:trHeight w:val="494"/>
        </w:trPr>
        <w:tc>
          <w:tcPr>
            <w:tcW w:w="8980" w:type="dxa"/>
            <w:vAlign w:val="bottom"/>
            <w:gridSpan w:val="7"/>
          </w:tcPr>
          <w:p>
            <w:pPr>
              <w:ind w:left="280"/>
              <w:spacing w:after="0"/>
              <w:rPr>
                <w:sz w:val="20"/>
                <w:szCs w:val="20"/>
                <w:color w:val="auto"/>
              </w:rPr>
            </w:pPr>
            <w:r>
              <w:rPr>
                <w:rFonts w:ascii="Arial" w:cs="Arial" w:eastAsia="Arial" w:hAnsi="Arial"/>
                <w:sz w:val="13"/>
                <w:szCs w:val="13"/>
                <w:b w:val="1"/>
                <w:bCs w:val="1"/>
                <w:color w:val="auto"/>
              </w:rPr>
              <w:t>Unaudited Consolidated Financial Statements of ZoomInfo Technologies Inc. and Subsidiaries</w:t>
            </w:r>
          </w:p>
        </w:tc>
        <w:tc>
          <w:tcPr>
            <w:tcW w:w="2340" w:type="dxa"/>
            <w:vAlign w:val="bottom"/>
          </w:tcPr>
          <w:p>
            <w:pPr>
              <w:spacing w:after="0"/>
              <w:rPr>
                <w:sz w:val="24"/>
                <w:szCs w:val="24"/>
                <w:color w:val="auto"/>
              </w:rPr>
            </w:pPr>
          </w:p>
        </w:tc>
      </w:tr>
      <w:tr>
        <w:trPr>
          <w:trHeight w:val="359"/>
        </w:trPr>
        <w:tc>
          <w:tcPr>
            <w:tcW w:w="640" w:type="dxa"/>
            <w:vAlign w:val="bottom"/>
          </w:tcPr>
          <w:p>
            <w:pPr>
              <w:spacing w:after="0"/>
              <w:rPr>
                <w:sz w:val="24"/>
                <w:szCs w:val="24"/>
                <w:color w:val="auto"/>
              </w:rPr>
            </w:pPr>
          </w:p>
        </w:tc>
        <w:tc>
          <w:tcPr>
            <w:tcW w:w="2060" w:type="dxa"/>
            <w:vAlign w:val="bottom"/>
            <w:gridSpan w:val="2"/>
          </w:tcPr>
          <w:p>
            <w:pPr>
              <w:spacing w:after="0"/>
              <w:rPr>
                <w:rFonts w:ascii="Arial" w:cs="Arial" w:eastAsia="Arial" w:hAnsi="Arial"/>
                <w:sz w:val="13"/>
                <w:szCs w:val="13"/>
                <w:color w:val="0000FF"/>
                <w:w w:val="83"/>
              </w:rPr>
            </w:pPr>
            <w:hyperlink w:anchor="page8">
              <w:r>
                <w:rPr>
                  <w:rFonts w:ascii="Arial" w:cs="Arial" w:eastAsia="Arial" w:hAnsi="Arial"/>
                  <w:sz w:val="13"/>
                  <w:szCs w:val="13"/>
                  <w:color w:val="0000FF"/>
                  <w:w w:val="83"/>
                </w:rPr>
                <w:t>Condensed Consolidated Balance Sheets</w:t>
              </w:r>
            </w:hyperlink>
          </w:p>
        </w:tc>
        <w:tc>
          <w:tcPr>
            <w:tcW w:w="6280" w:type="dxa"/>
            <w:vAlign w:val="bottom"/>
            <w:gridSpan w:val="4"/>
          </w:tcPr>
          <w:p>
            <w:pPr>
              <w:spacing w:after="0"/>
              <w:rPr>
                <w:sz w:val="24"/>
                <w:szCs w:val="24"/>
                <w:color w:val="auto"/>
              </w:rPr>
            </w:pPr>
          </w:p>
        </w:tc>
        <w:tc>
          <w:tcPr>
            <w:tcW w:w="2340" w:type="dxa"/>
            <w:vAlign w:val="bottom"/>
          </w:tcPr>
          <w:p>
            <w:pPr>
              <w:jc w:val="center"/>
              <w:ind w:left="2135"/>
              <w:spacing w:after="0"/>
              <w:rPr>
                <w:rFonts w:ascii="Arial" w:cs="Arial" w:eastAsia="Arial" w:hAnsi="Arial"/>
                <w:sz w:val="13"/>
                <w:szCs w:val="13"/>
                <w:color w:val="0000FF"/>
                <w:w w:val="82"/>
              </w:rPr>
            </w:pPr>
            <w:hyperlink w:anchor="page8">
              <w:r>
                <w:rPr>
                  <w:rFonts w:ascii="Arial" w:cs="Arial" w:eastAsia="Arial" w:hAnsi="Arial"/>
                  <w:sz w:val="13"/>
                  <w:szCs w:val="13"/>
                  <w:color w:val="0000FF"/>
                  <w:w w:val="82"/>
                </w:rPr>
                <w:t>2</w:t>
              </w:r>
            </w:hyperlink>
          </w:p>
        </w:tc>
      </w:tr>
      <w:tr>
        <w:trPr>
          <w:trHeight w:val="20"/>
        </w:trPr>
        <w:tc>
          <w:tcPr>
            <w:tcW w:w="64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340" w:type="dxa"/>
            <w:vAlign w:val="bottom"/>
            <w:tcBorders>
              <w:right w:val="single" w:sz="8" w:color="0000FF"/>
            </w:tcBorders>
          </w:tcPr>
          <w:p>
            <w:pPr>
              <w:spacing w:after="0" w:line="20" w:lineRule="exact"/>
              <w:rPr>
                <w:sz w:val="1"/>
                <w:szCs w:val="1"/>
                <w:color w:val="auto"/>
              </w:rPr>
            </w:pPr>
          </w:p>
        </w:tc>
      </w:tr>
      <w:tr>
        <w:trPr>
          <w:trHeight w:val="174"/>
        </w:trPr>
        <w:tc>
          <w:tcPr>
            <w:tcW w:w="640" w:type="dxa"/>
            <w:vAlign w:val="bottom"/>
          </w:tcPr>
          <w:p>
            <w:pPr>
              <w:spacing w:after="0"/>
              <w:rPr>
                <w:sz w:val="15"/>
                <w:szCs w:val="15"/>
                <w:color w:val="auto"/>
              </w:rPr>
            </w:pPr>
          </w:p>
        </w:tc>
        <w:tc>
          <w:tcPr>
            <w:tcW w:w="2060" w:type="dxa"/>
            <w:vAlign w:val="bottom"/>
            <w:gridSpan w:val="2"/>
          </w:tcPr>
          <w:p>
            <w:pPr>
              <w:spacing w:after="0"/>
              <w:rPr>
                <w:rFonts w:ascii="Arial" w:cs="Arial" w:eastAsia="Arial" w:hAnsi="Arial"/>
                <w:sz w:val="13"/>
                <w:szCs w:val="13"/>
                <w:color w:val="0000FF"/>
                <w:w w:val="89"/>
              </w:rPr>
            </w:pPr>
            <w:hyperlink w:anchor="page8">
              <w:r>
                <w:rPr>
                  <w:rFonts w:ascii="Arial" w:cs="Arial" w:eastAsia="Arial" w:hAnsi="Arial"/>
                  <w:sz w:val="13"/>
                  <w:szCs w:val="13"/>
                  <w:color w:val="0000FF"/>
                  <w:w w:val="89"/>
                </w:rPr>
                <w:t>Consolidated Statements of Operations</w:t>
              </w:r>
            </w:hyperlink>
          </w:p>
        </w:tc>
        <w:tc>
          <w:tcPr>
            <w:tcW w:w="6280" w:type="dxa"/>
            <w:vAlign w:val="bottom"/>
            <w:gridSpan w:val="4"/>
          </w:tcPr>
          <w:p>
            <w:pPr>
              <w:spacing w:after="0"/>
              <w:rPr>
                <w:sz w:val="15"/>
                <w:szCs w:val="15"/>
                <w:color w:val="auto"/>
              </w:rPr>
            </w:pPr>
          </w:p>
        </w:tc>
        <w:tc>
          <w:tcPr>
            <w:tcW w:w="2340" w:type="dxa"/>
            <w:vAlign w:val="bottom"/>
          </w:tcPr>
          <w:p>
            <w:pPr>
              <w:jc w:val="center"/>
              <w:ind w:left="2135"/>
              <w:spacing w:after="0"/>
              <w:rPr>
                <w:rFonts w:ascii="Arial" w:cs="Arial" w:eastAsia="Arial" w:hAnsi="Arial"/>
                <w:sz w:val="13"/>
                <w:szCs w:val="13"/>
                <w:color w:val="0000FF"/>
                <w:w w:val="82"/>
              </w:rPr>
            </w:pPr>
            <w:hyperlink w:anchor="page8">
              <w:r>
                <w:rPr>
                  <w:rFonts w:ascii="Arial" w:cs="Arial" w:eastAsia="Arial" w:hAnsi="Arial"/>
                  <w:sz w:val="13"/>
                  <w:szCs w:val="13"/>
                  <w:color w:val="0000FF"/>
                  <w:w w:val="82"/>
                </w:rPr>
                <w:t>3</w:t>
              </w:r>
            </w:hyperlink>
          </w:p>
        </w:tc>
      </w:tr>
      <w:tr>
        <w:trPr>
          <w:trHeight w:val="20"/>
        </w:trPr>
        <w:tc>
          <w:tcPr>
            <w:tcW w:w="6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340" w:type="dxa"/>
            <w:vAlign w:val="bottom"/>
            <w:tcBorders>
              <w:right w:val="single" w:sz="8" w:color="0000FF"/>
            </w:tcBorders>
          </w:tcPr>
          <w:p>
            <w:pPr>
              <w:spacing w:after="0" w:line="20" w:lineRule="exact"/>
              <w:rPr>
                <w:sz w:val="1"/>
                <w:szCs w:val="1"/>
                <w:color w:val="auto"/>
              </w:rPr>
            </w:pPr>
          </w:p>
        </w:tc>
      </w:tr>
      <w:tr>
        <w:trPr>
          <w:trHeight w:val="174"/>
        </w:trPr>
        <w:tc>
          <w:tcPr>
            <w:tcW w:w="640" w:type="dxa"/>
            <w:vAlign w:val="bottom"/>
          </w:tcPr>
          <w:p>
            <w:pPr>
              <w:spacing w:after="0"/>
              <w:rPr>
                <w:sz w:val="15"/>
                <w:szCs w:val="15"/>
                <w:color w:val="auto"/>
              </w:rPr>
            </w:pPr>
          </w:p>
        </w:tc>
        <w:tc>
          <w:tcPr>
            <w:tcW w:w="8340" w:type="dxa"/>
            <w:vAlign w:val="bottom"/>
            <w:gridSpan w:val="6"/>
          </w:tcPr>
          <w:p>
            <w:pPr>
              <w:spacing w:after="0"/>
              <w:rPr>
                <w:rFonts w:ascii="Arial" w:cs="Arial" w:eastAsia="Arial" w:hAnsi="Arial"/>
                <w:sz w:val="13"/>
                <w:szCs w:val="13"/>
                <w:color w:val="0000FF"/>
              </w:rPr>
            </w:pPr>
            <w:hyperlink w:anchor="page9">
              <w:r>
                <w:rPr>
                  <w:rFonts w:ascii="Arial" w:cs="Arial" w:eastAsia="Arial" w:hAnsi="Arial"/>
                  <w:sz w:val="13"/>
                  <w:szCs w:val="13"/>
                  <w:color w:val="0000FF"/>
                </w:rPr>
                <w:t>Consolidated Statements of Comprehensive Income (Loss)</w:t>
              </w:r>
            </w:hyperlink>
          </w:p>
        </w:tc>
        <w:tc>
          <w:tcPr>
            <w:tcW w:w="2340" w:type="dxa"/>
            <w:vAlign w:val="bottom"/>
          </w:tcPr>
          <w:p>
            <w:pPr>
              <w:jc w:val="center"/>
              <w:ind w:left="2135"/>
              <w:spacing w:after="0"/>
              <w:rPr>
                <w:rFonts w:ascii="Arial" w:cs="Arial" w:eastAsia="Arial" w:hAnsi="Arial"/>
                <w:sz w:val="13"/>
                <w:szCs w:val="13"/>
                <w:color w:val="0000FF"/>
                <w:w w:val="82"/>
              </w:rPr>
            </w:pPr>
            <w:hyperlink w:anchor="page9">
              <w:r>
                <w:rPr>
                  <w:rFonts w:ascii="Arial" w:cs="Arial" w:eastAsia="Arial" w:hAnsi="Arial"/>
                  <w:sz w:val="13"/>
                  <w:szCs w:val="13"/>
                  <w:color w:val="0000FF"/>
                  <w:w w:val="82"/>
                </w:rPr>
                <w:t>4</w:t>
              </w:r>
            </w:hyperlink>
          </w:p>
        </w:tc>
      </w:tr>
      <w:tr>
        <w:trPr>
          <w:trHeight w:val="20"/>
        </w:trPr>
        <w:tc>
          <w:tcPr>
            <w:tcW w:w="6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60" w:type="dxa"/>
            <w:vAlign w:val="bottom"/>
            <w:gridSpan w:val="2"/>
            <w:shd w:val="clear" w:color="auto" w:fill="0000FF"/>
          </w:tcPr>
          <w:p>
            <w:pPr>
              <w:spacing w:after="0" w:line="20" w:lineRule="exact"/>
              <w:rPr>
                <w:sz w:val="1"/>
                <w:szCs w:val="1"/>
                <w:color w:val="auto"/>
              </w:rPr>
            </w:pPr>
          </w:p>
        </w:tc>
        <w:tc>
          <w:tcPr>
            <w:tcW w:w="2340" w:type="dxa"/>
            <w:vAlign w:val="bottom"/>
            <w:tcBorders>
              <w:right w:val="single" w:sz="8" w:color="0000FF"/>
            </w:tcBorders>
          </w:tcPr>
          <w:p>
            <w:pPr>
              <w:spacing w:after="0" w:line="20" w:lineRule="exact"/>
              <w:rPr>
                <w:sz w:val="1"/>
                <w:szCs w:val="1"/>
                <w:color w:val="auto"/>
              </w:rPr>
            </w:pPr>
          </w:p>
        </w:tc>
      </w:tr>
      <w:tr>
        <w:trPr>
          <w:trHeight w:val="174"/>
        </w:trPr>
        <w:tc>
          <w:tcPr>
            <w:tcW w:w="640" w:type="dxa"/>
            <w:vAlign w:val="bottom"/>
          </w:tcPr>
          <w:p>
            <w:pPr>
              <w:spacing w:after="0"/>
              <w:rPr>
                <w:sz w:val="15"/>
                <w:szCs w:val="15"/>
                <w:color w:val="auto"/>
              </w:rPr>
            </w:pPr>
          </w:p>
        </w:tc>
        <w:tc>
          <w:tcPr>
            <w:tcW w:w="8340" w:type="dxa"/>
            <w:vAlign w:val="bottom"/>
            <w:gridSpan w:val="6"/>
          </w:tcPr>
          <w:p>
            <w:pPr>
              <w:spacing w:after="0"/>
              <w:rPr>
                <w:rFonts w:ascii="Arial" w:cs="Arial" w:eastAsia="Arial" w:hAnsi="Arial"/>
                <w:sz w:val="13"/>
                <w:szCs w:val="13"/>
                <w:color w:val="0000FF"/>
              </w:rPr>
            </w:pPr>
            <w:hyperlink w:anchor="page10">
              <w:r>
                <w:rPr>
                  <w:rFonts w:ascii="Arial" w:cs="Arial" w:eastAsia="Arial" w:hAnsi="Arial"/>
                  <w:sz w:val="13"/>
                  <w:szCs w:val="13"/>
                  <w:color w:val="0000FF"/>
                </w:rPr>
                <w:t>Consolidated Statements of Changes in Equity (Deficit)</w:t>
              </w:r>
            </w:hyperlink>
          </w:p>
        </w:tc>
        <w:tc>
          <w:tcPr>
            <w:tcW w:w="2340" w:type="dxa"/>
            <w:vAlign w:val="bottom"/>
          </w:tcPr>
          <w:p>
            <w:pPr>
              <w:jc w:val="center"/>
              <w:ind w:left="2135"/>
              <w:spacing w:after="0"/>
              <w:rPr>
                <w:rFonts w:ascii="Arial" w:cs="Arial" w:eastAsia="Arial" w:hAnsi="Arial"/>
                <w:sz w:val="13"/>
                <w:szCs w:val="13"/>
                <w:color w:val="0000FF"/>
                <w:w w:val="82"/>
              </w:rPr>
            </w:pPr>
            <w:hyperlink w:anchor="page10">
              <w:r>
                <w:rPr>
                  <w:rFonts w:ascii="Arial" w:cs="Arial" w:eastAsia="Arial" w:hAnsi="Arial"/>
                  <w:sz w:val="13"/>
                  <w:szCs w:val="13"/>
                  <w:color w:val="0000FF"/>
                  <w:w w:val="82"/>
                </w:rPr>
                <w:t>5</w:t>
              </w:r>
            </w:hyperlink>
          </w:p>
        </w:tc>
      </w:tr>
      <w:tr>
        <w:trPr>
          <w:trHeight w:val="20"/>
        </w:trPr>
        <w:tc>
          <w:tcPr>
            <w:tcW w:w="6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5900" w:type="dxa"/>
            <w:vAlign w:val="bottom"/>
            <w:gridSpan w:val="3"/>
            <w:shd w:val="clear" w:color="auto" w:fill="0000FF"/>
          </w:tcPr>
          <w:p>
            <w:pPr>
              <w:spacing w:after="0" w:line="20" w:lineRule="exact"/>
              <w:rPr>
                <w:sz w:val="1"/>
                <w:szCs w:val="1"/>
                <w:color w:val="auto"/>
              </w:rPr>
            </w:pPr>
          </w:p>
        </w:tc>
        <w:tc>
          <w:tcPr>
            <w:tcW w:w="2340" w:type="dxa"/>
            <w:vAlign w:val="bottom"/>
            <w:tcBorders>
              <w:right w:val="single" w:sz="8" w:color="0000FF"/>
            </w:tcBorders>
          </w:tcPr>
          <w:p>
            <w:pPr>
              <w:spacing w:after="0" w:line="20" w:lineRule="exact"/>
              <w:rPr>
                <w:sz w:val="1"/>
                <w:szCs w:val="1"/>
                <w:color w:val="auto"/>
              </w:rPr>
            </w:pPr>
          </w:p>
        </w:tc>
      </w:tr>
      <w:tr>
        <w:trPr>
          <w:trHeight w:val="174"/>
        </w:trPr>
        <w:tc>
          <w:tcPr>
            <w:tcW w:w="640" w:type="dxa"/>
            <w:vAlign w:val="bottom"/>
          </w:tcPr>
          <w:p>
            <w:pPr>
              <w:spacing w:after="0"/>
              <w:rPr>
                <w:sz w:val="15"/>
                <w:szCs w:val="15"/>
                <w:color w:val="auto"/>
              </w:rPr>
            </w:pPr>
          </w:p>
        </w:tc>
        <w:tc>
          <w:tcPr>
            <w:tcW w:w="2060" w:type="dxa"/>
            <w:vAlign w:val="bottom"/>
            <w:gridSpan w:val="2"/>
          </w:tcPr>
          <w:p>
            <w:pPr>
              <w:spacing w:after="0"/>
              <w:rPr>
                <w:rFonts w:ascii="Arial" w:cs="Arial" w:eastAsia="Arial" w:hAnsi="Arial"/>
                <w:sz w:val="13"/>
                <w:szCs w:val="13"/>
                <w:color w:val="0000FF"/>
                <w:w w:val="87"/>
              </w:rPr>
            </w:pPr>
            <w:hyperlink w:anchor="page13">
              <w:r>
                <w:rPr>
                  <w:rFonts w:ascii="Arial" w:cs="Arial" w:eastAsia="Arial" w:hAnsi="Arial"/>
                  <w:sz w:val="13"/>
                  <w:szCs w:val="13"/>
                  <w:color w:val="0000FF"/>
                  <w:w w:val="87"/>
                </w:rPr>
                <w:t>Consolidated Statements of Cash Flows</w:t>
              </w:r>
            </w:hyperlink>
          </w:p>
        </w:tc>
        <w:tc>
          <w:tcPr>
            <w:tcW w:w="6280" w:type="dxa"/>
            <w:vAlign w:val="bottom"/>
            <w:gridSpan w:val="4"/>
          </w:tcPr>
          <w:p>
            <w:pPr>
              <w:spacing w:after="0"/>
              <w:rPr>
                <w:sz w:val="15"/>
                <w:szCs w:val="15"/>
                <w:color w:val="auto"/>
              </w:rPr>
            </w:pPr>
          </w:p>
        </w:tc>
        <w:tc>
          <w:tcPr>
            <w:tcW w:w="2340" w:type="dxa"/>
            <w:vAlign w:val="bottom"/>
          </w:tcPr>
          <w:p>
            <w:pPr>
              <w:jc w:val="center"/>
              <w:ind w:left="2135"/>
              <w:spacing w:after="0"/>
              <w:rPr>
                <w:rFonts w:ascii="Arial" w:cs="Arial" w:eastAsia="Arial" w:hAnsi="Arial"/>
                <w:sz w:val="13"/>
                <w:szCs w:val="13"/>
                <w:color w:val="0000FF"/>
                <w:w w:val="82"/>
              </w:rPr>
            </w:pPr>
            <w:hyperlink w:anchor="page13">
              <w:r>
                <w:rPr>
                  <w:rFonts w:ascii="Arial" w:cs="Arial" w:eastAsia="Arial" w:hAnsi="Arial"/>
                  <w:sz w:val="13"/>
                  <w:szCs w:val="13"/>
                  <w:color w:val="0000FF"/>
                  <w:w w:val="82"/>
                </w:rPr>
                <w:t>8</w:t>
              </w:r>
            </w:hyperlink>
          </w:p>
        </w:tc>
      </w:tr>
      <w:tr>
        <w:trPr>
          <w:trHeight w:val="20"/>
        </w:trPr>
        <w:tc>
          <w:tcPr>
            <w:tcW w:w="6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2340" w:type="dxa"/>
            <w:vAlign w:val="bottom"/>
            <w:tcBorders>
              <w:right w:val="single" w:sz="8" w:color="0000FF"/>
            </w:tcBorders>
          </w:tcPr>
          <w:p>
            <w:pPr>
              <w:spacing w:after="0" w:line="20" w:lineRule="exact"/>
              <w:rPr>
                <w:sz w:val="1"/>
                <w:szCs w:val="1"/>
                <w:color w:val="auto"/>
              </w:rPr>
            </w:pPr>
          </w:p>
        </w:tc>
      </w:tr>
      <w:tr>
        <w:trPr>
          <w:trHeight w:val="174"/>
        </w:trPr>
        <w:tc>
          <w:tcPr>
            <w:tcW w:w="640" w:type="dxa"/>
            <w:vAlign w:val="bottom"/>
          </w:tcPr>
          <w:p>
            <w:pPr>
              <w:spacing w:after="0"/>
              <w:rPr>
                <w:sz w:val="15"/>
                <w:szCs w:val="15"/>
                <w:color w:val="auto"/>
              </w:rPr>
            </w:pPr>
          </w:p>
        </w:tc>
        <w:tc>
          <w:tcPr>
            <w:tcW w:w="8340" w:type="dxa"/>
            <w:vAlign w:val="bottom"/>
            <w:gridSpan w:val="6"/>
          </w:tcPr>
          <w:p>
            <w:pPr>
              <w:spacing w:after="0"/>
              <w:rPr>
                <w:rFonts w:ascii="Arial" w:cs="Arial" w:eastAsia="Arial" w:hAnsi="Arial"/>
                <w:sz w:val="13"/>
                <w:szCs w:val="13"/>
                <w:color w:val="0000FF"/>
              </w:rPr>
            </w:pPr>
            <w:hyperlink w:anchor="page15">
              <w:r>
                <w:rPr>
                  <w:rFonts w:ascii="Arial" w:cs="Arial" w:eastAsia="Arial" w:hAnsi="Arial"/>
                  <w:sz w:val="13"/>
                  <w:szCs w:val="13"/>
                  <w:color w:val="0000FF"/>
                </w:rPr>
                <w:t>Notes to the Consolidated Financial Statements</w:t>
              </w:r>
            </w:hyperlink>
          </w:p>
        </w:tc>
        <w:tc>
          <w:tcPr>
            <w:tcW w:w="2340" w:type="dxa"/>
            <w:vAlign w:val="bottom"/>
          </w:tcPr>
          <w:p>
            <w:pPr>
              <w:jc w:val="center"/>
              <w:ind w:left="2135"/>
              <w:spacing w:after="0"/>
              <w:rPr>
                <w:rFonts w:ascii="Arial" w:cs="Arial" w:eastAsia="Arial" w:hAnsi="Arial"/>
                <w:sz w:val="13"/>
                <w:szCs w:val="13"/>
                <w:color w:val="0000FF"/>
                <w:w w:val="96"/>
              </w:rPr>
            </w:pPr>
            <w:hyperlink w:anchor="page15">
              <w:r>
                <w:rPr>
                  <w:rFonts w:ascii="Arial" w:cs="Arial" w:eastAsia="Arial" w:hAnsi="Arial"/>
                  <w:sz w:val="13"/>
                  <w:szCs w:val="13"/>
                  <w:color w:val="0000FF"/>
                  <w:w w:val="96"/>
                </w:rPr>
                <w:t>10</w:t>
              </w:r>
            </w:hyperlink>
          </w:p>
        </w:tc>
      </w:tr>
      <w:tr>
        <w:trPr>
          <w:trHeight w:val="20"/>
        </w:trPr>
        <w:tc>
          <w:tcPr>
            <w:tcW w:w="64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340" w:type="dxa"/>
            <w:vAlign w:val="bottom"/>
            <w:tcBorders>
              <w:righ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20"/>
          </w:cols>
          <w:pgMar w:left="300" w:top="125" w:right="279" w:bottom="1440" w:gutter="0" w:footer="0" w:header="0"/>
        </w:sectPr>
      </w:pPr>
    </w:p>
    <w:bookmarkStart w:id="7" w:name="page8"/>
    <w:bookmarkEnd w:id="7"/>
    <w:p>
      <w:pPr>
        <w:ind w:left="2"/>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90" w:lineRule="exact"/>
        <w:rPr>
          <w:sz w:val="20"/>
          <w:szCs w:val="20"/>
          <w:color w:val="auto"/>
        </w:rPr>
      </w:pPr>
    </w:p>
    <w:p>
      <w:pPr>
        <w:jc w:val="center"/>
        <w:ind w:left="680"/>
        <w:spacing w:after="0"/>
        <w:rPr>
          <w:sz w:val="20"/>
          <w:szCs w:val="20"/>
          <w:color w:val="auto"/>
        </w:rPr>
      </w:pPr>
      <w:r>
        <w:rPr>
          <w:rFonts w:ascii="Arial" w:cs="Arial" w:eastAsia="Arial" w:hAnsi="Arial"/>
          <w:sz w:val="13"/>
          <w:szCs w:val="13"/>
          <w:b w:val="1"/>
          <w:bCs w:val="1"/>
          <w:color w:val="auto"/>
        </w:rPr>
        <w:t>ZoomInfo Technologies Inc.</w:t>
      </w:r>
    </w:p>
    <w:p>
      <w:pPr>
        <w:spacing w:after="0" w:line="44" w:lineRule="exact"/>
        <w:rPr>
          <w:sz w:val="20"/>
          <w:szCs w:val="20"/>
          <w:color w:val="auto"/>
        </w:rPr>
      </w:pPr>
    </w:p>
    <w:p>
      <w:pPr>
        <w:jc w:val="center"/>
        <w:ind w:left="680"/>
        <w:spacing w:after="0"/>
        <w:rPr>
          <w:sz w:val="20"/>
          <w:szCs w:val="20"/>
          <w:color w:val="auto"/>
        </w:rPr>
      </w:pPr>
      <w:r>
        <w:rPr>
          <w:rFonts w:ascii="Arial" w:cs="Arial" w:eastAsia="Arial" w:hAnsi="Arial"/>
          <w:sz w:val="13"/>
          <w:szCs w:val="13"/>
          <w:b w:val="1"/>
          <w:bCs w:val="1"/>
          <w:color w:val="auto"/>
        </w:rPr>
        <w:t>Condensed Consolidated Balance Sheets</w:t>
      </w:r>
    </w:p>
    <w:p>
      <w:pPr>
        <w:spacing w:after="0" w:line="161" w:lineRule="exact"/>
        <w:rPr>
          <w:sz w:val="20"/>
          <w:szCs w:val="20"/>
          <w:color w:val="auto"/>
        </w:rPr>
      </w:pPr>
    </w:p>
    <w:tbl>
      <w:tblPr>
        <w:tblLayout w:type="fixed"/>
        <w:tblInd w:w="242" w:type="dxa"/>
        <w:tblCellMar>
          <w:top w:w="0" w:type="dxa"/>
          <w:left w:w="0" w:type="dxa"/>
          <w:bottom w:w="0" w:type="dxa"/>
          <w:right w:w="0" w:type="dxa"/>
        </w:tblCellMar>
      </w:tblPr>
      <w:tr>
        <w:trPr>
          <w:trHeight w:val="130"/>
        </w:trPr>
        <w:tc>
          <w:tcPr>
            <w:tcW w:w="4320" w:type="dxa"/>
            <w:vAlign w:val="bottom"/>
          </w:tcPr>
          <w:p>
            <w:pPr>
              <w:spacing w:after="0"/>
              <w:rPr>
                <w:sz w:val="11"/>
                <w:szCs w:val="11"/>
                <w:color w:val="auto"/>
              </w:rPr>
            </w:pPr>
          </w:p>
        </w:tc>
        <w:tc>
          <w:tcPr>
            <w:tcW w:w="4640" w:type="dxa"/>
            <w:vAlign w:val="bottom"/>
            <w:gridSpan w:val="2"/>
          </w:tcPr>
          <w:p>
            <w:pPr>
              <w:jc w:val="right"/>
              <w:ind w:right="2484"/>
              <w:spacing w:after="0"/>
              <w:rPr>
                <w:sz w:val="20"/>
                <w:szCs w:val="20"/>
                <w:color w:val="auto"/>
              </w:rPr>
            </w:pPr>
            <w:r>
              <w:rPr>
                <w:rFonts w:ascii="Arial" w:cs="Arial" w:eastAsia="Arial" w:hAnsi="Arial"/>
                <w:sz w:val="10"/>
                <w:szCs w:val="10"/>
                <w:b w:val="1"/>
                <w:bCs w:val="1"/>
                <w:i w:val="1"/>
                <w:iCs w:val="1"/>
                <w:color w:val="auto"/>
              </w:rPr>
              <w:t>(in millions, except share data)</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32"/>
        </w:trPr>
        <w:tc>
          <w:tcPr>
            <w:tcW w:w="43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260" w:type="dxa"/>
            <w:vAlign w:val="bottom"/>
            <w:tcBorders>
              <w:bottom w:val="single" w:sz="8" w:color="auto"/>
            </w:tcBorders>
          </w:tcPr>
          <w:p>
            <w:pPr>
              <w:jc w:val="center"/>
              <w:ind w:left="644"/>
              <w:spacing w:after="0"/>
              <w:rPr>
                <w:sz w:val="20"/>
                <w:szCs w:val="20"/>
                <w:color w:val="auto"/>
              </w:rPr>
            </w:pPr>
            <w:r>
              <w:rPr>
                <w:rFonts w:ascii="Arial" w:cs="Arial" w:eastAsia="Arial" w:hAnsi="Arial"/>
                <w:sz w:val="10"/>
                <w:szCs w:val="10"/>
                <w:b w:val="1"/>
                <w:bCs w:val="1"/>
                <w:color w:val="auto"/>
                <w:w w:val="89"/>
              </w:rPr>
              <w:t>June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December 31,</w:t>
            </w:r>
          </w:p>
        </w:tc>
      </w:tr>
      <w:tr>
        <w:trPr>
          <w:trHeight w:val="145"/>
        </w:trPr>
        <w:tc>
          <w:tcPr>
            <w:tcW w:w="4320" w:type="dxa"/>
            <w:vAlign w:val="bottom"/>
          </w:tcPr>
          <w:p>
            <w:pPr>
              <w:spacing w:after="0"/>
              <w:rPr>
                <w:sz w:val="12"/>
                <w:szCs w:val="12"/>
                <w:color w:val="auto"/>
              </w:rPr>
            </w:pPr>
          </w:p>
        </w:tc>
        <w:tc>
          <w:tcPr>
            <w:tcW w:w="4640" w:type="dxa"/>
            <w:vAlign w:val="bottom"/>
            <w:gridSpan w:val="2"/>
          </w:tcPr>
          <w:p>
            <w:pPr>
              <w:jc w:val="center"/>
              <w:ind w:left="4021"/>
              <w:spacing w:after="0"/>
              <w:rPr>
                <w:sz w:val="20"/>
                <w:szCs w:val="20"/>
                <w:color w:val="auto"/>
              </w:rPr>
            </w:pPr>
            <w:r>
              <w:rPr>
                <w:rFonts w:ascii="Arial" w:cs="Arial" w:eastAsia="Arial" w:hAnsi="Arial"/>
                <w:sz w:val="10"/>
                <w:szCs w:val="10"/>
                <w:b w:val="1"/>
                <w:bCs w:val="1"/>
                <w:color w:val="auto"/>
                <w:w w:val="89"/>
              </w:rPr>
              <w:t>2021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jc w:val="right"/>
              <w:ind w:right="416"/>
              <w:spacing w:after="0"/>
              <w:rPr>
                <w:sz w:val="20"/>
                <w:szCs w:val="20"/>
                <w:color w:val="auto"/>
              </w:rPr>
            </w:pPr>
            <w:r>
              <w:rPr>
                <w:rFonts w:ascii="Arial" w:cs="Arial" w:eastAsia="Arial" w:hAnsi="Arial"/>
                <w:sz w:val="10"/>
                <w:szCs w:val="10"/>
                <w:b w:val="1"/>
                <w:bCs w:val="1"/>
                <w:color w:val="auto"/>
              </w:rPr>
              <w:t>2020</w:t>
            </w:r>
          </w:p>
        </w:tc>
      </w:tr>
      <w:tr>
        <w:trPr>
          <w:trHeight w:val="184"/>
        </w:trPr>
        <w:tc>
          <w:tcPr>
            <w:tcW w:w="43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60" w:type="dxa"/>
            <w:vAlign w:val="bottom"/>
            <w:tcBorders>
              <w:top w:val="single" w:sz="8" w:color="auto"/>
            </w:tcBorders>
          </w:tcPr>
          <w:p>
            <w:pPr>
              <w:jc w:val="center"/>
              <w:ind w:left="644"/>
              <w:spacing w:after="0"/>
              <w:rPr>
                <w:sz w:val="20"/>
                <w:szCs w:val="20"/>
                <w:color w:val="auto"/>
              </w:rPr>
            </w:pPr>
            <w:r>
              <w:rPr>
                <w:rFonts w:ascii="Arial" w:cs="Arial" w:eastAsia="Arial" w:hAnsi="Arial"/>
                <w:sz w:val="10"/>
                <w:szCs w:val="10"/>
                <w:b w:val="1"/>
                <w:bCs w:val="1"/>
                <w:color w:val="auto"/>
                <w:w w:val="95"/>
              </w:rPr>
              <w:t>(unaudited)</w:t>
            </w: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56"/>
              <w:spacing w:after="0"/>
              <w:rPr>
                <w:sz w:val="20"/>
                <w:szCs w:val="20"/>
                <w:color w:val="auto"/>
              </w:rPr>
            </w:pPr>
            <w:r>
              <w:rPr>
                <w:rFonts w:ascii="Arial" w:cs="Arial" w:eastAsia="Arial" w:hAnsi="Arial"/>
                <w:sz w:val="13"/>
                <w:szCs w:val="13"/>
                <w:color w:val="auto"/>
              </w:rPr>
              <w:t>(*)</w:t>
            </w:r>
          </w:p>
        </w:tc>
      </w:tr>
      <w:tr>
        <w:trPr>
          <w:trHeight w:val="183"/>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Assets</w:t>
            </w:r>
          </w:p>
        </w:tc>
        <w:tc>
          <w:tcPr>
            <w:tcW w:w="3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74"/>
        </w:trPr>
        <w:tc>
          <w:tcPr>
            <w:tcW w:w="4320" w:type="dxa"/>
            <w:vAlign w:val="bottom"/>
          </w:tcPr>
          <w:p>
            <w:pPr>
              <w:ind w:left="240"/>
              <w:spacing w:after="0"/>
              <w:rPr>
                <w:sz w:val="20"/>
                <w:szCs w:val="20"/>
                <w:color w:val="auto"/>
              </w:rPr>
            </w:pPr>
            <w:r>
              <w:rPr>
                <w:rFonts w:ascii="Arial" w:cs="Arial" w:eastAsia="Arial" w:hAnsi="Arial"/>
                <w:sz w:val="13"/>
                <w:szCs w:val="13"/>
                <w:color w:val="auto"/>
              </w:rPr>
              <w:t>Current assets:</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4"/>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Cash and cash equivalents</w:t>
            </w:r>
          </w:p>
        </w:tc>
        <w:tc>
          <w:tcPr>
            <w:tcW w:w="4640" w:type="dxa"/>
            <w:vAlign w:val="bottom"/>
            <w:tcBorders>
              <w:bottom w:val="single" w:sz="8" w:color="CCEEFF"/>
            </w:tcBorders>
            <w:gridSpan w:val="2"/>
            <w:shd w:val="clear" w:color="auto" w:fill="CCEEFF"/>
          </w:tcPr>
          <w:p>
            <w:pPr>
              <w:jc w:val="right"/>
              <w:ind w:right="904"/>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332.9</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269</w:t>
            </w:r>
          </w:p>
        </w:tc>
      </w:tr>
      <w:tr>
        <w:trPr>
          <w:trHeight w:val="174"/>
        </w:trPr>
        <w:tc>
          <w:tcPr>
            <w:tcW w:w="4320" w:type="dxa"/>
            <w:vAlign w:val="bottom"/>
          </w:tcPr>
          <w:p>
            <w:pPr>
              <w:ind w:left="380"/>
              <w:spacing w:after="0"/>
              <w:rPr>
                <w:sz w:val="20"/>
                <w:szCs w:val="20"/>
                <w:color w:val="auto"/>
              </w:rPr>
            </w:pPr>
            <w:r>
              <w:rPr>
                <w:rFonts w:ascii="Arial" w:cs="Arial" w:eastAsia="Arial" w:hAnsi="Arial"/>
                <w:sz w:val="13"/>
                <w:szCs w:val="13"/>
                <w:color w:val="auto"/>
              </w:rPr>
              <w:t>Short-term investments</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66.8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4"/>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Restricted cash, current</w:t>
            </w:r>
          </w:p>
        </w:tc>
        <w:tc>
          <w:tcPr>
            <w:tcW w:w="3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74"/>
        </w:trPr>
        <w:tc>
          <w:tcPr>
            <w:tcW w:w="4320" w:type="dxa"/>
            <w:vAlign w:val="bottom"/>
          </w:tcPr>
          <w:p>
            <w:pPr>
              <w:ind w:left="380"/>
              <w:spacing w:after="0"/>
              <w:rPr>
                <w:sz w:val="20"/>
                <w:szCs w:val="20"/>
                <w:color w:val="auto"/>
              </w:rPr>
            </w:pPr>
            <w:r>
              <w:rPr>
                <w:rFonts w:ascii="Arial" w:cs="Arial" w:eastAsia="Arial" w:hAnsi="Arial"/>
                <w:sz w:val="13"/>
                <w:szCs w:val="13"/>
                <w:color w:val="auto"/>
              </w:rPr>
              <w:t>Accounts receivable</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111.2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121</w:t>
            </w: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4"/>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Prepaid expenses and other current assets</w:t>
            </w:r>
          </w:p>
        </w:tc>
        <w:tc>
          <w:tcPr>
            <w:tcW w:w="3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74"/>
        </w:trPr>
        <w:tc>
          <w:tcPr>
            <w:tcW w:w="4320" w:type="dxa"/>
            <w:vAlign w:val="bottom"/>
          </w:tcPr>
          <w:p>
            <w:pPr>
              <w:ind w:left="380"/>
              <w:spacing w:after="0"/>
              <w:rPr>
                <w:sz w:val="20"/>
                <w:szCs w:val="20"/>
                <w:color w:val="auto"/>
              </w:rPr>
            </w:pPr>
            <w:r>
              <w:rPr>
                <w:rFonts w:ascii="Arial" w:cs="Arial" w:eastAsia="Arial" w:hAnsi="Arial"/>
                <w:sz w:val="13"/>
                <w:szCs w:val="13"/>
                <w:color w:val="auto"/>
              </w:rPr>
              <w:t>Income tax receivable</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4"/>
        </w:trPr>
        <w:tc>
          <w:tcPr>
            <w:tcW w:w="4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3"/>
                <w:szCs w:val="13"/>
                <w:color w:val="auto"/>
              </w:rPr>
              <w:t>Total current assets</w:t>
            </w:r>
          </w:p>
        </w:tc>
        <w:tc>
          <w:tcPr>
            <w:tcW w:w="3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530.0</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439</w:t>
            </w:r>
          </w:p>
        </w:tc>
      </w:tr>
      <w:tr>
        <w:trPr>
          <w:trHeight w:val="87"/>
        </w:trPr>
        <w:tc>
          <w:tcPr>
            <w:tcW w:w="43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r>
      <w:tr>
        <w:trPr>
          <w:trHeight w:val="174"/>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Property and equipment, net</w:t>
            </w:r>
          </w:p>
        </w:tc>
        <w:tc>
          <w:tcPr>
            <w:tcW w:w="3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74"/>
        </w:trPr>
        <w:tc>
          <w:tcPr>
            <w:tcW w:w="4320" w:type="dxa"/>
            <w:vAlign w:val="bottom"/>
          </w:tcPr>
          <w:p>
            <w:pPr>
              <w:ind w:left="400"/>
              <w:spacing w:after="0"/>
              <w:rPr>
                <w:sz w:val="20"/>
                <w:szCs w:val="20"/>
                <w:color w:val="auto"/>
              </w:rPr>
            </w:pPr>
            <w:r>
              <w:rPr>
                <w:rFonts w:ascii="Arial" w:cs="Arial" w:eastAsia="Arial" w:hAnsi="Arial"/>
                <w:sz w:val="13"/>
                <w:szCs w:val="13"/>
                <w:color w:val="auto"/>
              </w:rPr>
              <w:t>Operating lease right-of-use assets, net</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64.7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4"/>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Intangible assets, net</w:t>
            </w:r>
          </w:p>
        </w:tc>
        <w:tc>
          <w:tcPr>
            <w:tcW w:w="3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354.1</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365</w:t>
            </w:r>
          </w:p>
        </w:tc>
      </w:tr>
      <w:tr>
        <w:trPr>
          <w:trHeight w:val="174"/>
        </w:trPr>
        <w:tc>
          <w:tcPr>
            <w:tcW w:w="4320" w:type="dxa"/>
            <w:vAlign w:val="bottom"/>
          </w:tcPr>
          <w:p>
            <w:pPr>
              <w:ind w:left="380"/>
              <w:spacing w:after="0"/>
              <w:rPr>
                <w:sz w:val="20"/>
                <w:szCs w:val="20"/>
                <w:color w:val="auto"/>
              </w:rPr>
            </w:pPr>
            <w:r>
              <w:rPr>
                <w:rFonts w:ascii="Arial" w:cs="Arial" w:eastAsia="Arial" w:hAnsi="Arial"/>
                <w:sz w:val="13"/>
                <w:szCs w:val="13"/>
                <w:color w:val="auto"/>
              </w:rPr>
              <w:t>Goodwill</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2"/>
              </w:rPr>
              <w:t>1,023.8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w:t>
            </w: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4"/>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Deferred tax assets</w:t>
            </w:r>
          </w:p>
        </w:tc>
        <w:tc>
          <w:tcPr>
            <w:tcW w:w="3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755.5</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415</w:t>
            </w:r>
          </w:p>
        </w:tc>
      </w:tr>
      <w:tr>
        <w:trPr>
          <w:trHeight w:val="174"/>
        </w:trPr>
        <w:tc>
          <w:tcPr>
            <w:tcW w:w="4320" w:type="dxa"/>
            <w:vAlign w:val="bottom"/>
          </w:tcPr>
          <w:p>
            <w:pPr>
              <w:ind w:left="380"/>
              <w:spacing w:after="0"/>
              <w:rPr>
                <w:sz w:val="20"/>
                <w:szCs w:val="20"/>
                <w:color w:val="auto"/>
              </w:rPr>
            </w:pPr>
            <w:r>
              <w:rPr>
                <w:rFonts w:ascii="Arial" w:cs="Arial" w:eastAsia="Arial" w:hAnsi="Arial"/>
                <w:sz w:val="13"/>
                <w:szCs w:val="13"/>
                <w:color w:val="auto"/>
              </w:rPr>
              <w:t>Deferred costs and other assets, net of current portion</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60.2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4"/>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Restricted cash, non-current</w:t>
            </w:r>
          </w:p>
        </w:tc>
        <w:tc>
          <w:tcPr>
            <w:tcW w:w="3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202"/>
        </w:trPr>
        <w:tc>
          <w:tcPr>
            <w:tcW w:w="4320" w:type="dxa"/>
            <w:vAlign w:val="bottom"/>
            <w:tcBorders>
              <w:bottom w:val="single" w:sz="8" w:color="CCEEFF"/>
            </w:tcBorders>
          </w:tcPr>
          <w:p>
            <w:pPr>
              <w:ind w:left="560"/>
              <w:spacing w:after="0"/>
              <w:rPr>
                <w:sz w:val="20"/>
                <w:szCs w:val="20"/>
                <w:color w:val="auto"/>
              </w:rPr>
            </w:pPr>
            <w:r>
              <w:rPr>
                <w:rFonts w:ascii="Arial" w:cs="Arial" w:eastAsia="Arial" w:hAnsi="Arial"/>
                <w:sz w:val="13"/>
                <w:szCs w:val="13"/>
                <w:color w:val="auto"/>
              </w:rPr>
              <w:t>Total assets</w:t>
            </w:r>
          </w:p>
        </w:tc>
        <w:tc>
          <w:tcPr>
            <w:tcW w:w="338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904"/>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2"/>
              </w:rPr>
              <w:t>2,823.3</w:t>
            </w:r>
          </w:p>
        </w:tc>
        <w:tc>
          <w:tcPr>
            <w:tcW w:w="10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2,327</w:t>
            </w:r>
          </w:p>
        </w:tc>
      </w:tr>
      <w:tr>
        <w:trPr>
          <w:trHeight w:val="87"/>
        </w:trPr>
        <w:tc>
          <w:tcPr>
            <w:tcW w:w="4320" w:type="dxa"/>
            <w:vAlign w:val="bottom"/>
            <w:shd w:val="clear" w:color="auto" w:fill="CCEEFF"/>
          </w:tcPr>
          <w:p>
            <w:pPr>
              <w:spacing w:after="0"/>
              <w:rPr>
                <w:sz w:val="7"/>
                <w:szCs w:val="7"/>
                <w:color w:val="auto"/>
              </w:rPr>
            </w:pPr>
          </w:p>
        </w:tc>
        <w:tc>
          <w:tcPr>
            <w:tcW w:w="33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174"/>
        </w:trPr>
        <w:tc>
          <w:tcPr>
            <w:tcW w:w="4320" w:type="dxa"/>
            <w:vAlign w:val="bottom"/>
          </w:tcPr>
          <w:p>
            <w:pPr>
              <w:ind w:left="240"/>
              <w:spacing w:after="0"/>
              <w:rPr>
                <w:sz w:val="20"/>
                <w:szCs w:val="20"/>
                <w:color w:val="auto"/>
              </w:rPr>
            </w:pPr>
            <w:r>
              <w:rPr>
                <w:rFonts w:ascii="Arial" w:cs="Arial" w:eastAsia="Arial" w:hAnsi="Arial"/>
                <w:sz w:val="13"/>
                <w:szCs w:val="13"/>
                <w:b w:val="1"/>
                <w:bCs w:val="1"/>
                <w:color w:val="auto"/>
              </w:rPr>
              <w:t>Liabilities, Temporary, and Permanent Equity (Deficit)</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4"/>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Current liabilities:</w:t>
            </w:r>
          </w:p>
        </w:tc>
        <w:tc>
          <w:tcPr>
            <w:tcW w:w="3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74"/>
        </w:trPr>
        <w:tc>
          <w:tcPr>
            <w:tcW w:w="4320" w:type="dxa"/>
            <w:vAlign w:val="bottom"/>
          </w:tcPr>
          <w:p>
            <w:pPr>
              <w:ind w:left="380"/>
              <w:spacing w:after="0"/>
              <w:rPr>
                <w:sz w:val="20"/>
                <w:szCs w:val="20"/>
                <w:color w:val="auto"/>
              </w:rPr>
            </w:pPr>
            <w:r>
              <w:rPr>
                <w:rFonts w:ascii="Arial" w:cs="Arial" w:eastAsia="Arial" w:hAnsi="Arial"/>
                <w:sz w:val="13"/>
                <w:szCs w:val="13"/>
                <w:color w:val="auto"/>
              </w:rPr>
              <w:t>Accounts payable</w:t>
            </w:r>
          </w:p>
        </w:tc>
        <w:tc>
          <w:tcPr>
            <w:tcW w:w="4640" w:type="dxa"/>
            <w:vAlign w:val="bottom"/>
            <w:gridSpan w:val="2"/>
          </w:tcPr>
          <w:p>
            <w:pPr>
              <w:jc w:val="right"/>
              <w:ind w:right="90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15"/>
                <w:szCs w:val="15"/>
                <w:color w:val="auto"/>
              </w:rPr>
            </w:pPr>
          </w:p>
        </w:tc>
        <w:tc>
          <w:tcPr>
            <w:tcW w:w="50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4"/>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Accrued expenses and other current liabilities</w:t>
            </w:r>
          </w:p>
        </w:tc>
        <w:tc>
          <w:tcPr>
            <w:tcW w:w="3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71.3</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w:t>
            </w:r>
          </w:p>
        </w:tc>
      </w:tr>
      <w:tr>
        <w:trPr>
          <w:trHeight w:val="174"/>
        </w:trPr>
        <w:tc>
          <w:tcPr>
            <w:tcW w:w="4320" w:type="dxa"/>
            <w:vAlign w:val="bottom"/>
          </w:tcPr>
          <w:p>
            <w:pPr>
              <w:ind w:left="380"/>
              <w:spacing w:after="0"/>
              <w:rPr>
                <w:sz w:val="20"/>
                <w:szCs w:val="20"/>
                <w:color w:val="auto"/>
              </w:rPr>
            </w:pPr>
            <w:r>
              <w:rPr>
                <w:rFonts w:ascii="Arial" w:cs="Arial" w:eastAsia="Arial" w:hAnsi="Arial"/>
                <w:sz w:val="13"/>
                <w:szCs w:val="13"/>
                <w:color w:val="auto"/>
              </w:rPr>
              <w:t>Unearned revenue, current portion</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274.1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221</w:t>
            </w: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4"/>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Income taxes payable</w:t>
            </w:r>
          </w:p>
        </w:tc>
        <w:tc>
          <w:tcPr>
            <w:tcW w:w="3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74"/>
        </w:trPr>
        <w:tc>
          <w:tcPr>
            <w:tcW w:w="4320" w:type="dxa"/>
            <w:vAlign w:val="bottom"/>
          </w:tcPr>
          <w:p>
            <w:pPr>
              <w:ind w:left="380"/>
              <w:spacing w:after="0"/>
              <w:rPr>
                <w:sz w:val="20"/>
                <w:szCs w:val="20"/>
                <w:color w:val="auto"/>
              </w:rPr>
            </w:pPr>
            <w:r>
              <w:rPr>
                <w:rFonts w:ascii="Arial" w:cs="Arial" w:eastAsia="Arial" w:hAnsi="Arial"/>
                <w:sz w:val="13"/>
                <w:szCs w:val="13"/>
                <w:color w:val="auto"/>
              </w:rPr>
              <w:t>Current portion of tax receivable agreements liability</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4"/>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Current portion of operating lease liabilities</w:t>
            </w:r>
          </w:p>
        </w:tc>
        <w:tc>
          <w:tcPr>
            <w:tcW w:w="3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3"/>
        </w:trPr>
        <w:tc>
          <w:tcPr>
            <w:tcW w:w="4320" w:type="dxa"/>
            <w:vAlign w:val="bottom"/>
          </w:tcPr>
          <w:p>
            <w:pPr>
              <w:ind w:left="560"/>
              <w:spacing w:after="0"/>
              <w:rPr>
                <w:sz w:val="20"/>
                <w:szCs w:val="20"/>
                <w:color w:val="auto"/>
              </w:rPr>
            </w:pPr>
            <w:r>
              <w:rPr>
                <w:rFonts w:ascii="Arial" w:cs="Arial" w:eastAsia="Arial" w:hAnsi="Arial"/>
                <w:sz w:val="13"/>
                <w:szCs w:val="13"/>
                <w:color w:val="auto"/>
              </w:rPr>
              <w:t>Total current liabilities</w:t>
            </w:r>
          </w:p>
        </w:tc>
        <w:tc>
          <w:tcPr>
            <w:tcW w:w="338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385.5</w:t>
            </w: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320</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7"/>
        </w:trPr>
        <w:tc>
          <w:tcPr>
            <w:tcW w:w="4320" w:type="dxa"/>
            <w:vAlign w:val="bottom"/>
            <w:shd w:val="clear" w:color="auto" w:fill="CCEEFF"/>
          </w:tcPr>
          <w:p>
            <w:pPr>
              <w:spacing w:after="0"/>
              <w:rPr>
                <w:sz w:val="7"/>
                <w:szCs w:val="7"/>
                <w:color w:val="auto"/>
              </w:rPr>
            </w:pPr>
          </w:p>
        </w:tc>
        <w:tc>
          <w:tcPr>
            <w:tcW w:w="33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174"/>
        </w:trPr>
        <w:tc>
          <w:tcPr>
            <w:tcW w:w="4320" w:type="dxa"/>
            <w:vAlign w:val="bottom"/>
          </w:tcPr>
          <w:p>
            <w:pPr>
              <w:ind w:left="240"/>
              <w:spacing w:after="0"/>
              <w:rPr>
                <w:sz w:val="20"/>
                <w:szCs w:val="20"/>
                <w:color w:val="auto"/>
              </w:rPr>
            </w:pPr>
            <w:r>
              <w:rPr>
                <w:rFonts w:ascii="Arial" w:cs="Arial" w:eastAsia="Arial" w:hAnsi="Arial"/>
                <w:sz w:val="13"/>
                <w:szCs w:val="13"/>
                <w:color w:val="auto"/>
              </w:rPr>
              <w:t>Unearned revenue, net of current portion</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4"/>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Tax receivable agreements liability, net of current portion</w:t>
            </w:r>
          </w:p>
        </w:tc>
        <w:tc>
          <w:tcPr>
            <w:tcW w:w="3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545.2</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271</w:t>
            </w:r>
          </w:p>
        </w:tc>
      </w:tr>
      <w:tr>
        <w:trPr>
          <w:trHeight w:val="174"/>
        </w:trPr>
        <w:tc>
          <w:tcPr>
            <w:tcW w:w="4320" w:type="dxa"/>
            <w:vAlign w:val="bottom"/>
          </w:tcPr>
          <w:p>
            <w:pPr>
              <w:ind w:left="240"/>
              <w:spacing w:after="0"/>
              <w:rPr>
                <w:sz w:val="20"/>
                <w:szCs w:val="20"/>
                <w:color w:val="auto"/>
              </w:rPr>
            </w:pPr>
            <w:r>
              <w:rPr>
                <w:rFonts w:ascii="Arial" w:cs="Arial" w:eastAsia="Arial" w:hAnsi="Arial"/>
                <w:sz w:val="13"/>
                <w:szCs w:val="13"/>
                <w:color w:val="auto"/>
              </w:rPr>
              <w:t>Operating lease liabilities, net of current portion</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65.3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4"/>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Long-term debt, net of current portion</w:t>
            </w:r>
          </w:p>
        </w:tc>
        <w:tc>
          <w:tcPr>
            <w:tcW w:w="3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739.2</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744</w:t>
            </w:r>
          </w:p>
        </w:tc>
      </w:tr>
      <w:tr>
        <w:trPr>
          <w:trHeight w:val="174"/>
        </w:trPr>
        <w:tc>
          <w:tcPr>
            <w:tcW w:w="4320" w:type="dxa"/>
            <w:vAlign w:val="bottom"/>
          </w:tcPr>
          <w:p>
            <w:pPr>
              <w:ind w:left="240"/>
              <w:spacing w:after="0"/>
              <w:rPr>
                <w:sz w:val="20"/>
                <w:szCs w:val="20"/>
                <w:color w:val="auto"/>
              </w:rPr>
            </w:pPr>
            <w:r>
              <w:rPr>
                <w:rFonts w:ascii="Arial" w:cs="Arial" w:eastAsia="Arial" w:hAnsi="Arial"/>
                <w:sz w:val="13"/>
                <w:szCs w:val="13"/>
                <w:color w:val="auto"/>
              </w:rPr>
              <w:t>Deferred tax liabilities</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88.4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4"/>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Other long-term liabilities</w:t>
            </w:r>
          </w:p>
        </w:tc>
        <w:tc>
          <w:tcPr>
            <w:tcW w:w="3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63"/>
        </w:trPr>
        <w:tc>
          <w:tcPr>
            <w:tcW w:w="4320" w:type="dxa"/>
            <w:vAlign w:val="bottom"/>
          </w:tcPr>
          <w:p>
            <w:pPr>
              <w:ind w:left="560"/>
              <w:spacing w:after="0"/>
              <w:rPr>
                <w:sz w:val="20"/>
                <w:szCs w:val="20"/>
                <w:color w:val="auto"/>
              </w:rPr>
            </w:pPr>
            <w:r>
              <w:rPr>
                <w:rFonts w:ascii="Arial" w:cs="Arial" w:eastAsia="Arial" w:hAnsi="Arial"/>
                <w:sz w:val="13"/>
                <w:szCs w:val="13"/>
                <w:color w:val="auto"/>
              </w:rPr>
              <w:t>Total liabilities</w:t>
            </w:r>
          </w:p>
        </w:tc>
        <w:tc>
          <w:tcPr>
            <w:tcW w:w="338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2"/>
              </w:rPr>
              <w:t>1,831.6</w:t>
            </w: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1,387</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7"/>
        </w:trPr>
        <w:tc>
          <w:tcPr>
            <w:tcW w:w="4320" w:type="dxa"/>
            <w:vAlign w:val="bottom"/>
            <w:shd w:val="clear" w:color="auto" w:fill="CCEEFF"/>
          </w:tcPr>
          <w:p>
            <w:pPr>
              <w:spacing w:after="0"/>
              <w:rPr>
                <w:sz w:val="7"/>
                <w:szCs w:val="7"/>
                <w:color w:val="auto"/>
              </w:rPr>
            </w:pPr>
          </w:p>
        </w:tc>
        <w:tc>
          <w:tcPr>
            <w:tcW w:w="33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174"/>
        </w:trPr>
        <w:tc>
          <w:tcPr>
            <w:tcW w:w="4320" w:type="dxa"/>
            <w:vAlign w:val="bottom"/>
          </w:tcPr>
          <w:p>
            <w:pPr>
              <w:ind w:left="240"/>
              <w:spacing w:after="0"/>
              <w:rPr>
                <w:sz w:val="20"/>
                <w:szCs w:val="20"/>
                <w:color w:val="auto"/>
              </w:rPr>
            </w:pPr>
            <w:r>
              <w:rPr>
                <w:rFonts w:ascii="Arial" w:cs="Arial" w:eastAsia="Arial" w:hAnsi="Arial"/>
                <w:sz w:val="13"/>
                <w:szCs w:val="13"/>
                <w:color w:val="auto"/>
              </w:rPr>
              <w:t>Commitments and Contingencies (Note 11)</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07"/>
        </w:trPr>
        <w:tc>
          <w:tcPr>
            <w:tcW w:w="4320" w:type="dxa"/>
            <w:vAlign w:val="bottom"/>
            <w:shd w:val="clear" w:color="auto" w:fill="CCEEFF"/>
          </w:tcPr>
          <w:p>
            <w:pPr>
              <w:spacing w:after="0"/>
              <w:rPr>
                <w:sz w:val="9"/>
                <w:szCs w:val="9"/>
                <w:color w:val="auto"/>
              </w:rPr>
            </w:pPr>
          </w:p>
        </w:tc>
        <w:tc>
          <w:tcPr>
            <w:tcW w:w="33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74"/>
        </w:trPr>
        <w:tc>
          <w:tcPr>
            <w:tcW w:w="4320" w:type="dxa"/>
            <w:vAlign w:val="bottom"/>
          </w:tcPr>
          <w:p>
            <w:pPr>
              <w:ind w:left="240"/>
              <w:spacing w:after="0"/>
              <w:rPr>
                <w:sz w:val="20"/>
                <w:szCs w:val="20"/>
                <w:color w:val="auto"/>
              </w:rPr>
            </w:pPr>
            <w:r>
              <w:rPr>
                <w:rFonts w:ascii="Arial" w:cs="Arial" w:eastAsia="Arial" w:hAnsi="Arial"/>
                <w:sz w:val="13"/>
                <w:szCs w:val="13"/>
                <w:color w:val="auto"/>
              </w:rPr>
              <w:t>Permanent Equity (Deficit)</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4"/>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Class A common stock, par value $0.01</w:t>
            </w:r>
          </w:p>
        </w:tc>
        <w:tc>
          <w:tcPr>
            <w:tcW w:w="3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174"/>
        </w:trPr>
        <w:tc>
          <w:tcPr>
            <w:tcW w:w="4320" w:type="dxa"/>
            <w:vAlign w:val="bottom"/>
          </w:tcPr>
          <w:p>
            <w:pPr>
              <w:ind w:left="380"/>
              <w:spacing w:after="0"/>
              <w:rPr>
                <w:sz w:val="20"/>
                <w:szCs w:val="20"/>
                <w:color w:val="auto"/>
              </w:rPr>
            </w:pPr>
            <w:r>
              <w:rPr>
                <w:rFonts w:ascii="Arial" w:cs="Arial" w:eastAsia="Arial" w:hAnsi="Arial"/>
                <w:sz w:val="13"/>
                <w:szCs w:val="13"/>
                <w:color w:val="auto"/>
              </w:rPr>
              <w:t>Class B common stock, par value $0.01</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4"/>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Class C common stock, par value $0.01</w:t>
            </w:r>
          </w:p>
        </w:tc>
        <w:tc>
          <w:tcPr>
            <w:tcW w:w="3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174"/>
        </w:trPr>
        <w:tc>
          <w:tcPr>
            <w:tcW w:w="4320" w:type="dxa"/>
            <w:vAlign w:val="bottom"/>
          </w:tcPr>
          <w:p>
            <w:pPr>
              <w:ind w:left="380"/>
              <w:spacing w:after="0"/>
              <w:rPr>
                <w:sz w:val="20"/>
                <w:szCs w:val="20"/>
                <w:color w:val="auto"/>
              </w:rPr>
            </w:pPr>
            <w:r>
              <w:rPr>
                <w:rFonts w:ascii="Arial" w:cs="Arial" w:eastAsia="Arial" w:hAnsi="Arial"/>
                <w:sz w:val="13"/>
                <w:szCs w:val="13"/>
                <w:color w:val="auto"/>
              </w:rPr>
              <w:t>Additional paid-in capital</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602.7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505</w:t>
            </w: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4"/>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Accumulated other comprehensive income (loss)</w:t>
            </w:r>
          </w:p>
        </w:tc>
        <w:tc>
          <w:tcPr>
            <w:tcW w:w="3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74"/>
        </w:trPr>
        <w:tc>
          <w:tcPr>
            <w:tcW w:w="4320" w:type="dxa"/>
            <w:vAlign w:val="bottom"/>
          </w:tcPr>
          <w:p>
            <w:pPr>
              <w:ind w:left="380"/>
              <w:spacing w:after="0"/>
              <w:rPr>
                <w:sz w:val="20"/>
                <w:szCs w:val="20"/>
                <w:color w:val="auto"/>
              </w:rPr>
            </w:pPr>
            <w:r>
              <w:rPr>
                <w:rFonts w:ascii="Arial" w:cs="Arial" w:eastAsia="Arial" w:hAnsi="Arial"/>
                <w:sz w:val="13"/>
                <w:szCs w:val="13"/>
                <w:color w:val="auto"/>
              </w:rPr>
              <w:t>Retained Earnings</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4"/>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Noncontrolling interests</w:t>
            </w:r>
          </w:p>
        </w:tc>
        <w:tc>
          <w:tcPr>
            <w:tcW w:w="3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375.4</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436</w:t>
            </w:r>
          </w:p>
        </w:tc>
      </w:tr>
      <w:tr>
        <w:trPr>
          <w:trHeight w:val="163"/>
        </w:trPr>
        <w:tc>
          <w:tcPr>
            <w:tcW w:w="4320" w:type="dxa"/>
            <w:vAlign w:val="bottom"/>
          </w:tcPr>
          <w:p>
            <w:pPr>
              <w:ind w:left="560"/>
              <w:spacing w:after="0"/>
              <w:rPr>
                <w:sz w:val="20"/>
                <w:szCs w:val="20"/>
                <w:color w:val="auto"/>
              </w:rPr>
            </w:pPr>
            <w:r>
              <w:rPr>
                <w:rFonts w:ascii="Arial" w:cs="Arial" w:eastAsia="Arial" w:hAnsi="Arial"/>
                <w:sz w:val="13"/>
                <w:szCs w:val="13"/>
                <w:color w:val="auto"/>
              </w:rPr>
              <w:t>Total equity (deficit)</w:t>
            </w:r>
          </w:p>
        </w:tc>
        <w:tc>
          <w:tcPr>
            <w:tcW w:w="338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991.7</w:t>
            </w: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939</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7"/>
        </w:trPr>
        <w:tc>
          <w:tcPr>
            <w:tcW w:w="4320" w:type="dxa"/>
            <w:vAlign w:val="bottom"/>
            <w:shd w:val="clear" w:color="auto" w:fill="CCEEFF"/>
          </w:tcPr>
          <w:p>
            <w:pPr>
              <w:spacing w:after="0"/>
              <w:rPr>
                <w:sz w:val="7"/>
                <w:szCs w:val="7"/>
                <w:color w:val="auto"/>
              </w:rPr>
            </w:pPr>
          </w:p>
        </w:tc>
        <w:tc>
          <w:tcPr>
            <w:tcW w:w="33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193"/>
        </w:trPr>
        <w:tc>
          <w:tcPr>
            <w:tcW w:w="4320" w:type="dxa"/>
            <w:vAlign w:val="bottom"/>
          </w:tcPr>
          <w:p>
            <w:pPr>
              <w:ind w:left="560"/>
              <w:spacing w:after="0"/>
              <w:rPr>
                <w:sz w:val="20"/>
                <w:szCs w:val="20"/>
                <w:color w:val="auto"/>
              </w:rPr>
            </w:pPr>
            <w:r>
              <w:rPr>
                <w:rFonts w:ascii="Arial" w:cs="Arial" w:eastAsia="Arial" w:hAnsi="Arial"/>
                <w:sz w:val="13"/>
                <w:szCs w:val="13"/>
                <w:color w:val="auto"/>
              </w:rPr>
              <w:t>Total liabilities, temporary, and permanent equity (deficit)</w:t>
            </w:r>
          </w:p>
        </w:tc>
        <w:tc>
          <w:tcPr>
            <w:tcW w:w="4640" w:type="dxa"/>
            <w:vAlign w:val="bottom"/>
            <w:gridSpan w:val="2"/>
          </w:tcPr>
          <w:p>
            <w:pPr>
              <w:jc w:val="right"/>
              <w:ind w:right="90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2"/>
              </w:rPr>
              <w:t>2,823.3</w:t>
            </w:r>
          </w:p>
        </w:tc>
        <w:tc>
          <w:tcPr>
            <w:tcW w:w="100" w:type="dxa"/>
            <w:vAlign w:val="bottom"/>
          </w:tcPr>
          <w:p>
            <w:pPr>
              <w:spacing w:after="0"/>
              <w:rPr>
                <w:sz w:val="16"/>
                <w:szCs w:val="16"/>
                <w:color w:val="auto"/>
              </w:rPr>
            </w:pPr>
          </w:p>
        </w:tc>
        <w:tc>
          <w:tcPr>
            <w:tcW w:w="50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2,327</w:t>
            </w: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2"/>
        <w:spacing w:after="0"/>
        <w:rPr>
          <w:sz w:val="20"/>
          <w:szCs w:val="20"/>
          <w:color w:val="auto"/>
        </w:rPr>
      </w:pPr>
      <w:r>
        <w:rPr>
          <w:rFonts w:ascii="Arial" w:cs="Arial" w:eastAsia="Arial" w:hAnsi="Arial"/>
          <w:sz w:val="13"/>
          <w:szCs w:val="13"/>
          <w:color w:val="auto"/>
        </w:rPr>
        <w:t>________________</w:t>
      </w:r>
    </w:p>
    <w:p>
      <w:pPr>
        <w:spacing w:after="0" w:line="10" w:lineRule="exact"/>
        <w:rPr>
          <w:sz w:val="20"/>
          <w:szCs w:val="20"/>
          <w:color w:val="auto"/>
        </w:rPr>
      </w:pPr>
    </w:p>
    <w:p>
      <w:pPr>
        <w:ind w:left="2" w:right="80" w:hanging="2"/>
        <w:spacing w:after="0" w:line="257" w:lineRule="auto"/>
        <w:tabs>
          <w:tab w:leader="none" w:pos="155" w:val="left"/>
        </w:tabs>
        <w:numPr>
          <w:ilvl w:val="0"/>
          <w:numId w:val="7"/>
        </w:numPr>
        <w:rPr>
          <w:rFonts w:ascii="Arial" w:cs="Arial" w:eastAsia="Arial" w:hAnsi="Arial"/>
          <w:sz w:val="10"/>
          <w:szCs w:val="10"/>
          <w:color w:val="auto"/>
        </w:rPr>
      </w:pPr>
      <w:r>
        <w:rPr>
          <w:rFonts w:ascii="Arial" w:cs="Arial" w:eastAsia="Arial" w:hAnsi="Arial"/>
          <w:sz w:val="10"/>
          <w:szCs w:val="10"/>
          <w:color w:val="auto"/>
        </w:rPr>
        <w:t>The Condensed Consolidated Balance Sheet as of December 31, 2020 has been derived from the audited consolidated financial statements at that date but does not include all of the information and footnotes required by generally accepted accounting principles for complete financial statements.</w:t>
      </w:r>
    </w:p>
    <w:p>
      <w:pPr>
        <w:spacing w:after="0" w:line="60" w:lineRule="exact"/>
        <w:rPr>
          <w:sz w:val="20"/>
          <w:szCs w:val="20"/>
          <w:color w:val="auto"/>
        </w:rPr>
      </w:pPr>
    </w:p>
    <w:p>
      <w:pPr>
        <w:jc w:val="center"/>
        <w:ind w:right="58"/>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119380</wp:posOffset>
            </wp:positionV>
            <wp:extent cx="719645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2"/>
          </w:cols>
          <w:pgMar w:left="298" w:top="125" w:right="239" w:bottom="1440" w:gutter="0" w:footer="0" w:header="0"/>
        </w:sectPr>
      </w:pPr>
    </w:p>
    <w:bookmarkStart w:id="8" w:name="page9"/>
    <w:bookmarkEnd w:id="8"/>
    <w:p>
      <w:pPr>
        <w:ind w:left="2"/>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ZoomInfo Technologies Inc.</w:t>
      </w:r>
    </w:p>
    <w:p>
      <w:pPr>
        <w:spacing w:after="0" w:line="35"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41" w:lineRule="exact"/>
        <w:rPr>
          <w:sz w:val="20"/>
          <w:szCs w:val="20"/>
          <w:color w:val="auto"/>
        </w:rPr>
      </w:pPr>
    </w:p>
    <w:tbl>
      <w:tblPr>
        <w:tblLayout w:type="fixed"/>
        <w:tblInd w:w="2" w:type="dxa"/>
        <w:tblCellMar>
          <w:top w:w="0" w:type="dxa"/>
          <w:left w:w="0" w:type="dxa"/>
          <w:bottom w:w="0" w:type="dxa"/>
          <w:right w:w="0" w:type="dxa"/>
        </w:tblCellMar>
      </w:tblPr>
      <w:tr>
        <w:trPr>
          <w:trHeight w:val="130"/>
        </w:trPr>
        <w:tc>
          <w:tcPr>
            <w:tcW w:w="4440" w:type="dxa"/>
            <w:vAlign w:val="bottom"/>
          </w:tcPr>
          <w:p>
            <w:pPr>
              <w:spacing w:after="0"/>
              <w:rPr>
                <w:sz w:val="11"/>
                <w:szCs w:val="11"/>
                <w:color w:val="auto"/>
              </w:rPr>
            </w:pPr>
          </w:p>
        </w:tc>
        <w:tc>
          <w:tcPr>
            <w:tcW w:w="2720" w:type="dxa"/>
            <w:vAlign w:val="bottom"/>
            <w:gridSpan w:val="5"/>
          </w:tcPr>
          <w:p>
            <w:pPr>
              <w:jc w:val="right"/>
              <w:ind w:right="375"/>
              <w:spacing w:after="0"/>
              <w:rPr>
                <w:sz w:val="20"/>
                <w:szCs w:val="20"/>
                <w:color w:val="auto"/>
              </w:rPr>
            </w:pPr>
            <w:r>
              <w:rPr>
                <w:rFonts w:ascii="Arial" w:cs="Arial" w:eastAsia="Arial" w:hAnsi="Arial"/>
                <w:sz w:val="10"/>
                <w:szCs w:val="10"/>
                <w:b w:val="1"/>
                <w:bCs w:val="1"/>
                <w:i w:val="1"/>
                <w:iCs w:val="1"/>
                <w:color w:val="auto"/>
                <w:w w:val="94"/>
              </w:rPr>
              <w:t>(in millions, except per share amounts; unaudited)</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03"/>
        </w:trPr>
        <w:tc>
          <w:tcPr>
            <w:tcW w:w="4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June 30,</w:t>
            </w: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920" w:type="dxa"/>
            <w:vAlign w:val="bottom"/>
            <w:tcBorders>
              <w:bottom w:val="single" w:sz="8" w:color="auto"/>
            </w:tcBorders>
          </w:tcPr>
          <w:p>
            <w:pPr>
              <w:spacing w:after="0"/>
              <w:rPr>
                <w:sz w:val="17"/>
                <w:szCs w:val="17"/>
                <w:color w:val="auto"/>
              </w:rPr>
            </w:pPr>
          </w:p>
        </w:tc>
      </w:tr>
      <w:tr>
        <w:trPr>
          <w:trHeight w:val="145"/>
        </w:trPr>
        <w:tc>
          <w:tcPr>
            <w:tcW w:w="4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96"/>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96"/>
              <w:spacing w:after="0"/>
              <w:rPr>
                <w:sz w:val="20"/>
                <w:szCs w:val="20"/>
                <w:color w:val="auto"/>
              </w:rPr>
            </w:pPr>
            <w:r>
              <w:rPr>
                <w:rFonts w:ascii="Arial" w:cs="Arial" w:eastAsia="Arial" w:hAnsi="Arial"/>
                <w:sz w:val="10"/>
                <w:szCs w:val="10"/>
                <w:b w:val="1"/>
                <w:bCs w:val="1"/>
                <w:color w:val="auto"/>
                <w:w w:val="98"/>
              </w:rPr>
              <w:t>2020</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16"/>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16"/>
              <w:spacing w:after="0"/>
              <w:rPr>
                <w:sz w:val="20"/>
                <w:szCs w:val="20"/>
                <w:color w:val="auto"/>
              </w:rPr>
            </w:pPr>
            <w:r>
              <w:rPr>
                <w:rFonts w:ascii="Arial" w:cs="Arial" w:eastAsia="Arial" w:hAnsi="Arial"/>
                <w:sz w:val="10"/>
                <w:szCs w:val="10"/>
                <w:b w:val="1"/>
                <w:bCs w:val="1"/>
                <w:color w:val="auto"/>
                <w:w w:val="98"/>
              </w:rPr>
              <w:t>2020</w:t>
            </w:r>
          </w:p>
        </w:tc>
      </w:tr>
      <w:tr>
        <w:trPr>
          <w:trHeight w:val="106"/>
        </w:trPr>
        <w:tc>
          <w:tcPr>
            <w:tcW w:w="4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7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820" w:type="dxa"/>
            <w:vAlign w:val="bottom"/>
            <w:tcBorders>
              <w:bottom w:val="single" w:sz="8" w:color="CCEEFF"/>
            </w:tcBorders>
            <w:gridSpan w:val="2"/>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174.0</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495"/>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327.3</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213.1</w:t>
            </w:r>
          </w:p>
        </w:tc>
      </w:tr>
      <w:tr>
        <w:trPr>
          <w:trHeight w:val="174"/>
        </w:trPr>
        <w:tc>
          <w:tcPr>
            <w:tcW w:w="4440" w:type="dxa"/>
            <w:vAlign w:val="bottom"/>
          </w:tcPr>
          <w:p>
            <w:pPr>
              <w:ind w:left="20"/>
              <w:spacing w:after="0"/>
              <w:rPr>
                <w:sz w:val="20"/>
                <w:szCs w:val="20"/>
                <w:color w:val="auto"/>
              </w:rPr>
            </w:pPr>
            <w:r>
              <w:rPr>
                <w:rFonts w:ascii="Arial" w:cs="Arial" w:eastAsia="Arial" w:hAnsi="Arial"/>
                <w:sz w:val="13"/>
                <w:szCs w:val="13"/>
                <w:color w:val="auto"/>
              </w:rPr>
              <w:t>Cost of service:</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4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4"/>
        </w:trPr>
        <w:tc>
          <w:tcPr>
            <w:tcW w:w="44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Cost of service</w:t>
            </w:r>
            <w:r>
              <w:rPr>
                <w:rFonts w:ascii="Arial" w:cs="Arial" w:eastAsia="Arial" w:hAnsi="Arial"/>
                <w:sz w:val="16"/>
                <w:szCs w:val="16"/>
                <w:color w:val="auto"/>
                <w:vertAlign w:val="superscript"/>
              </w:rPr>
              <w:t>(1)</w:t>
            </w: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r>
      <w:tr>
        <w:trPr>
          <w:trHeight w:val="174"/>
        </w:trPr>
        <w:tc>
          <w:tcPr>
            <w:tcW w:w="4440" w:type="dxa"/>
            <w:vAlign w:val="bottom"/>
          </w:tcPr>
          <w:p>
            <w:pPr>
              <w:ind w:left="160"/>
              <w:spacing w:after="0"/>
              <w:rPr>
                <w:sz w:val="20"/>
                <w:szCs w:val="20"/>
                <w:color w:val="auto"/>
              </w:rPr>
            </w:pPr>
            <w:r>
              <w:rPr>
                <w:rFonts w:ascii="Arial" w:cs="Arial" w:eastAsia="Arial" w:hAnsi="Arial"/>
                <w:sz w:val="13"/>
                <w:szCs w:val="13"/>
                <w:color w:val="auto"/>
              </w:rPr>
              <w:t>Amortization of acquired technology</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13.5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11.2</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4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143.7</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77.1</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268.9</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158.9</w:t>
            </w:r>
          </w:p>
        </w:tc>
      </w:tr>
      <w:tr>
        <w:trPr>
          <w:trHeight w:val="174"/>
        </w:trPr>
        <w:tc>
          <w:tcPr>
            <w:tcW w:w="444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4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4"/>
        </w:trPr>
        <w:tc>
          <w:tcPr>
            <w:tcW w:w="44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Sales and marketing</w:t>
            </w:r>
            <w:r>
              <w:rPr>
                <w:rFonts w:ascii="Arial" w:cs="Arial" w:eastAsia="Arial" w:hAnsi="Arial"/>
                <w:sz w:val="16"/>
                <w:szCs w:val="16"/>
                <w:color w:val="auto"/>
                <w:vertAlign w:val="superscript"/>
              </w:rPr>
              <w:t>(1)</w:t>
            </w: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w:t>
            </w:r>
          </w:p>
        </w:tc>
      </w:tr>
      <w:tr>
        <w:trPr>
          <w:trHeight w:val="194"/>
        </w:trPr>
        <w:tc>
          <w:tcPr>
            <w:tcW w:w="4440" w:type="dxa"/>
            <w:vAlign w:val="bottom"/>
          </w:tcPr>
          <w:p>
            <w:pPr>
              <w:ind w:left="160"/>
              <w:spacing w:after="0"/>
              <w:rPr>
                <w:sz w:val="20"/>
                <w:szCs w:val="20"/>
                <w:color w:val="auto"/>
              </w:rPr>
            </w:pPr>
            <w:r>
              <w:rPr>
                <w:rFonts w:ascii="Arial" w:cs="Arial" w:eastAsia="Arial" w:hAnsi="Arial"/>
                <w:sz w:val="13"/>
                <w:szCs w:val="13"/>
                <w:color w:val="auto"/>
              </w:rPr>
              <w:t>Research and development</w:t>
            </w:r>
            <w:r>
              <w:rPr>
                <w:rFonts w:ascii="Arial" w:cs="Arial" w:eastAsia="Arial" w:hAnsi="Arial"/>
                <w:sz w:val="16"/>
                <w:szCs w:val="16"/>
                <w:color w:val="auto"/>
                <w:vertAlign w:val="superscript"/>
              </w:rPr>
              <w:t>(1)</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44.4</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26.3</w:t>
            </w:r>
          </w:p>
        </w:tc>
      </w:tr>
      <w:tr>
        <w:trPr>
          <w:trHeight w:val="194"/>
        </w:trPr>
        <w:tc>
          <w:tcPr>
            <w:tcW w:w="44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General and administrative</w:t>
            </w:r>
            <w:r>
              <w:rPr>
                <w:rFonts w:ascii="Arial" w:cs="Arial" w:eastAsia="Arial" w:hAnsi="Arial"/>
                <w:sz w:val="16"/>
                <w:szCs w:val="16"/>
                <w:color w:val="auto"/>
                <w:vertAlign w:val="superscript"/>
              </w:rPr>
              <w:t>(1)</w:t>
            </w: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r>
      <w:tr>
        <w:trPr>
          <w:trHeight w:val="174"/>
        </w:trPr>
        <w:tc>
          <w:tcPr>
            <w:tcW w:w="4440" w:type="dxa"/>
            <w:vAlign w:val="bottom"/>
          </w:tcPr>
          <w:p>
            <w:pPr>
              <w:ind w:left="160"/>
              <w:spacing w:after="0"/>
              <w:rPr>
                <w:sz w:val="20"/>
                <w:szCs w:val="20"/>
                <w:color w:val="auto"/>
              </w:rPr>
            </w:pPr>
            <w:r>
              <w:rPr>
                <w:rFonts w:ascii="Arial" w:cs="Arial" w:eastAsia="Arial" w:hAnsi="Arial"/>
                <w:sz w:val="13"/>
                <w:szCs w:val="13"/>
                <w:color w:val="auto"/>
              </w:rPr>
              <w:t>Amortization of other acquired intangibles</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9.6</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9.3</w:t>
            </w:r>
          </w:p>
        </w:tc>
      </w:tr>
      <w:tr>
        <w:trPr>
          <w:trHeight w:val="20"/>
        </w:trPr>
        <w:tc>
          <w:tcPr>
            <w:tcW w:w="4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4"/>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Restructuring and transaction related expenses</w:t>
            </w:r>
          </w:p>
        </w:tc>
        <w:tc>
          <w:tcPr>
            <w:tcW w:w="4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w:t>
            </w:r>
          </w:p>
        </w:tc>
      </w:tr>
      <w:tr>
        <w:trPr>
          <w:trHeight w:val="163"/>
        </w:trPr>
        <w:tc>
          <w:tcPr>
            <w:tcW w:w="4440" w:type="dxa"/>
            <w:vAlign w:val="bottom"/>
          </w:tcPr>
          <w:p>
            <w:pPr>
              <w:ind w:left="340"/>
              <w:spacing w:after="0"/>
              <w:rPr>
                <w:sz w:val="20"/>
                <w:szCs w:val="20"/>
                <w:color w:val="auto"/>
              </w:rPr>
            </w:pPr>
            <w:r>
              <w:rPr>
                <w:rFonts w:ascii="Arial" w:cs="Arial" w:eastAsia="Arial" w:hAnsi="Arial"/>
                <w:sz w:val="13"/>
                <w:szCs w:val="13"/>
                <w:color w:val="auto"/>
              </w:rPr>
              <w:t>Total operating expenses</w:t>
            </w:r>
          </w:p>
        </w:tc>
        <w:tc>
          <w:tcPr>
            <w:tcW w:w="4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102.8</w:t>
            </w:r>
          </w:p>
        </w:tc>
        <w:tc>
          <w:tcPr>
            <w:tcW w:w="1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108.3</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200.0</w:t>
            </w:r>
          </w:p>
        </w:tc>
        <w:tc>
          <w:tcPr>
            <w:tcW w:w="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169.8</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4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40.9</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68.9</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w:t>
            </w:r>
          </w:p>
        </w:tc>
      </w:tr>
      <w:tr>
        <w:trPr>
          <w:trHeight w:val="174"/>
        </w:trPr>
        <w:tc>
          <w:tcPr>
            <w:tcW w:w="4440" w:type="dxa"/>
            <w:vAlign w:val="bottom"/>
          </w:tcPr>
          <w:p>
            <w:pPr>
              <w:ind w:left="160"/>
              <w:spacing w:after="0"/>
              <w:rPr>
                <w:sz w:val="20"/>
                <w:szCs w:val="20"/>
                <w:color w:val="auto"/>
              </w:rPr>
            </w:pPr>
            <w:r>
              <w:rPr>
                <w:rFonts w:ascii="Arial" w:cs="Arial" w:eastAsia="Arial" w:hAnsi="Arial"/>
                <w:sz w:val="13"/>
                <w:szCs w:val="13"/>
                <w:color w:val="auto"/>
              </w:rPr>
              <w:t>Interest expense, net</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16.6</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49.6</w:t>
            </w:r>
          </w:p>
        </w:tc>
      </w:tr>
      <w:tr>
        <w:trPr>
          <w:trHeight w:val="20"/>
        </w:trPr>
        <w:tc>
          <w:tcPr>
            <w:tcW w:w="4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4"/>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Loss on debt extinguishment</w:t>
            </w:r>
          </w:p>
        </w:tc>
        <w:tc>
          <w:tcPr>
            <w:tcW w:w="4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w:t>
            </w:r>
          </w:p>
        </w:tc>
      </w:tr>
      <w:tr>
        <w:trPr>
          <w:trHeight w:val="174"/>
        </w:trPr>
        <w:tc>
          <w:tcPr>
            <w:tcW w:w="4440" w:type="dxa"/>
            <w:vAlign w:val="bottom"/>
          </w:tcPr>
          <w:p>
            <w:pPr>
              <w:ind w:left="160"/>
              <w:spacing w:after="0"/>
              <w:rPr>
                <w:sz w:val="20"/>
                <w:szCs w:val="20"/>
                <w:color w:val="auto"/>
              </w:rPr>
            </w:pPr>
            <w:r>
              <w:rPr>
                <w:rFonts w:ascii="Arial" w:cs="Arial" w:eastAsia="Arial" w:hAnsi="Arial"/>
                <w:sz w:val="13"/>
                <w:szCs w:val="13"/>
                <w:color w:val="auto"/>
              </w:rPr>
              <w:t>Other (income) expense, net</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4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(69.1)</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(75.4)</w:t>
            </w:r>
          </w:p>
        </w:tc>
      </w:tr>
      <w:tr>
        <w:trPr>
          <w:trHeight w:val="174"/>
        </w:trPr>
        <w:tc>
          <w:tcPr>
            <w:tcW w:w="444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55.9</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4"/>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b w:val="1"/>
                <w:bCs w:val="1"/>
                <w:color w:val="auto"/>
              </w:rPr>
              <w:t>Net income (loss)</w:t>
            </w:r>
          </w:p>
        </w:tc>
        <w:tc>
          <w:tcPr>
            <w:tcW w:w="4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(77.9)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(83.8)</w:t>
            </w:r>
          </w:p>
        </w:tc>
      </w:tr>
      <w:tr>
        <w:trPr>
          <w:trHeight w:val="146"/>
        </w:trPr>
        <w:tc>
          <w:tcPr>
            <w:tcW w:w="4440" w:type="dxa"/>
            <w:vAlign w:val="bottom"/>
          </w:tcPr>
          <w:p>
            <w:pPr>
              <w:ind w:left="20"/>
              <w:spacing w:after="0" w:line="146" w:lineRule="exact"/>
              <w:rPr>
                <w:sz w:val="20"/>
                <w:szCs w:val="20"/>
                <w:color w:val="auto"/>
              </w:rPr>
            </w:pPr>
            <w:r>
              <w:rPr>
                <w:rFonts w:ascii="Arial" w:cs="Arial" w:eastAsia="Arial" w:hAnsi="Arial"/>
                <w:sz w:val="13"/>
                <w:szCs w:val="13"/>
                <w:color w:val="auto"/>
                <w:w w:val="93"/>
              </w:rPr>
              <w:t>Less: Net income (loss) attributable to ZoomInfo OpCo prior to the Reorganization</w:t>
            </w:r>
          </w:p>
        </w:tc>
        <w:tc>
          <w:tcPr>
            <w:tcW w:w="4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r>
      <w:tr>
        <w:trPr>
          <w:trHeight w:val="163"/>
        </w:trPr>
        <w:tc>
          <w:tcPr>
            <w:tcW w:w="4440" w:type="dxa"/>
            <w:vAlign w:val="bottom"/>
          </w:tcPr>
          <w:p>
            <w:pPr>
              <w:ind w:left="20"/>
              <w:spacing w:after="0"/>
              <w:rPr>
                <w:sz w:val="20"/>
                <w:szCs w:val="20"/>
                <w:color w:val="auto"/>
              </w:rPr>
            </w:pPr>
            <w:r>
              <w:rPr>
                <w:rFonts w:ascii="Arial" w:cs="Arial" w:eastAsia="Arial" w:hAnsi="Arial"/>
                <w:sz w:val="13"/>
                <w:szCs w:val="13"/>
                <w:color w:val="auto"/>
              </w:rPr>
              <w:t>Transactions</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20"/>
        </w:trPr>
        <w:tc>
          <w:tcPr>
            <w:tcW w:w="4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Less: Net income (loss) attributable to noncontrolling interests</w:t>
            </w:r>
          </w:p>
        </w:tc>
        <w:tc>
          <w:tcPr>
            <w:tcW w:w="4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(44.3)</w:t>
            </w:r>
          </w:p>
        </w:tc>
      </w:tr>
      <w:tr>
        <w:trPr>
          <w:trHeight w:val="202"/>
        </w:trPr>
        <w:tc>
          <w:tcPr>
            <w:tcW w:w="4440" w:type="dxa"/>
            <w:vAlign w:val="bottom"/>
            <w:tcBorders>
              <w:bottom w:val="single" w:sz="8" w:color="CCEEFF"/>
            </w:tcBorders>
          </w:tcPr>
          <w:p>
            <w:pPr>
              <w:ind w:left="160"/>
              <w:spacing w:after="0"/>
              <w:rPr>
                <w:sz w:val="20"/>
                <w:szCs w:val="20"/>
                <w:color w:val="auto"/>
              </w:rPr>
            </w:pPr>
            <w:r>
              <w:rPr>
                <w:rFonts w:ascii="Arial" w:cs="Arial" w:eastAsia="Arial" w:hAnsi="Arial"/>
                <w:sz w:val="13"/>
                <w:szCs w:val="13"/>
                <w:b w:val="1"/>
                <w:bCs w:val="1"/>
                <w:color w:val="auto"/>
              </w:rPr>
              <w:t>Net income (loss) attributable to ZoomInfo Technologies Inc.</w:t>
            </w:r>
          </w:p>
        </w:tc>
        <w:tc>
          <w:tcPr>
            <w:tcW w:w="44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10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(34.4)</w:t>
            </w:r>
          </w:p>
        </w:tc>
        <w:tc>
          <w:tcPr>
            <w:tcW w:w="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w:t>
            </w:r>
          </w:p>
        </w:tc>
        <w:tc>
          <w:tcPr>
            <w:tcW w:w="8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(34.4)</w:t>
            </w:r>
          </w:p>
        </w:tc>
      </w:tr>
      <w:tr>
        <w:trPr>
          <w:trHeight w:val="174"/>
        </w:trPr>
        <w:tc>
          <w:tcPr>
            <w:tcW w:w="4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4"/>
        </w:trPr>
        <w:tc>
          <w:tcPr>
            <w:tcW w:w="4440" w:type="dxa"/>
            <w:vAlign w:val="bottom"/>
          </w:tcPr>
          <w:p>
            <w:pPr>
              <w:ind w:left="20"/>
              <w:spacing w:after="0"/>
              <w:rPr>
                <w:sz w:val="20"/>
                <w:szCs w:val="20"/>
                <w:color w:val="auto"/>
              </w:rPr>
            </w:pPr>
            <w:r>
              <w:rPr>
                <w:rFonts w:ascii="Arial" w:cs="Arial" w:eastAsia="Arial" w:hAnsi="Arial"/>
                <w:sz w:val="13"/>
                <w:szCs w:val="13"/>
                <w:color w:val="auto"/>
              </w:rPr>
              <w:t>Net income (loss) per share of Class A and Class C common stock:</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4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Basic</w:t>
            </w:r>
          </w:p>
        </w:tc>
        <w:tc>
          <w:tcPr>
            <w:tcW w:w="820" w:type="dxa"/>
            <w:vAlign w:val="bottom"/>
            <w:tcBorders>
              <w:bottom w:val="single" w:sz="8" w:color="CCEEFF"/>
            </w:tcBorders>
            <w:gridSpan w:val="2"/>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0.05</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495"/>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(0.30)</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0.07</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(0.30)</w:t>
            </w:r>
          </w:p>
        </w:tc>
      </w:tr>
      <w:tr>
        <w:trPr>
          <w:trHeight w:val="174"/>
        </w:trPr>
        <w:tc>
          <w:tcPr>
            <w:tcW w:w="4440" w:type="dxa"/>
            <w:vAlign w:val="bottom"/>
          </w:tcPr>
          <w:p>
            <w:pPr>
              <w:ind w:left="180"/>
              <w:spacing w:after="0"/>
              <w:rPr>
                <w:sz w:val="20"/>
                <w:szCs w:val="20"/>
                <w:color w:val="auto"/>
              </w:rPr>
            </w:pPr>
            <w:r>
              <w:rPr>
                <w:rFonts w:ascii="Arial" w:cs="Arial" w:eastAsia="Arial" w:hAnsi="Arial"/>
                <w:sz w:val="13"/>
                <w:szCs w:val="13"/>
                <w:color w:val="auto"/>
              </w:rPr>
              <w:t>Diluted</w:t>
            </w:r>
          </w:p>
        </w:tc>
        <w:tc>
          <w:tcPr>
            <w:tcW w:w="820" w:type="dxa"/>
            <w:vAlign w:val="bottom"/>
            <w:gridSpan w:val="2"/>
          </w:tcPr>
          <w:p>
            <w:pPr>
              <w:jc w:val="right"/>
              <w:ind w:right="235"/>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0.05</w:t>
            </w:r>
          </w:p>
        </w:tc>
        <w:tc>
          <w:tcPr>
            <w:tcW w:w="100" w:type="dxa"/>
            <w:vAlign w:val="bottom"/>
          </w:tcPr>
          <w:p>
            <w:pPr>
              <w:spacing w:after="0"/>
              <w:rPr>
                <w:sz w:val="15"/>
                <w:szCs w:val="15"/>
                <w:color w:val="auto"/>
              </w:rPr>
            </w:pPr>
          </w:p>
        </w:tc>
        <w:tc>
          <w:tcPr>
            <w:tcW w:w="640" w:type="dxa"/>
            <w:vAlign w:val="bottom"/>
          </w:tcPr>
          <w:p>
            <w:pPr>
              <w:jc w:val="right"/>
              <w:ind w:right="495"/>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(0.30)</w:t>
            </w:r>
          </w:p>
        </w:tc>
        <w:tc>
          <w:tcPr>
            <w:tcW w:w="80" w:type="dxa"/>
            <w:vAlign w:val="bottom"/>
          </w:tcPr>
          <w:p>
            <w:pPr>
              <w:spacing w:after="0"/>
              <w:rPr>
                <w:sz w:val="15"/>
                <w:szCs w:val="15"/>
                <w:color w:val="auto"/>
              </w:rPr>
            </w:pPr>
          </w:p>
        </w:tc>
        <w:tc>
          <w:tcPr>
            <w:tcW w:w="380" w:type="dxa"/>
            <w:vAlign w:val="bottom"/>
          </w:tcPr>
          <w:p>
            <w:pPr>
              <w:jc w:val="right"/>
              <w:ind w:right="23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0.07</w:t>
            </w:r>
          </w:p>
        </w:tc>
        <w:tc>
          <w:tcPr>
            <w:tcW w:w="80" w:type="dxa"/>
            <w:vAlign w:val="bottom"/>
          </w:tcPr>
          <w:p>
            <w:pPr>
              <w:spacing w:after="0"/>
              <w:rPr>
                <w:sz w:val="15"/>
                <w:szCs w:val="15"/>
                <w:color w:val="auto"/>
              </w:rPr>
            </w:pPr>
          </w:p>
        </w:tc>
        <w:tc>
          <w:tcPr>
            <w:tcW w:w="620" w:type="dxa"/>
            <w:vAlign w:val="bottom"/>
          </w:tcPr>
          <w:p>
            <w:pPr>
              <w:jc w:val="right"/>
              <w:ind w:right="475"/>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(0.30)</w:t>
            </w:r>
          </w:p>
        </w:tc>
      </w:tr>
      <w:tr>
        <w:trPr>
          <w:trHeight w:val="242"/>
        </w:trPr>
        <w:tc>
          <w:tcPr>
            <w:tcW w:w="4440" w:type="dxa"/>
            <w:vAlign w:val="bottom"/>
          </w:tcPr>
          <w:p>
            <w:pPr>
              <w:spacing w:after="0"/>
              <w:rPr>
                <w:sz w:val="20"/>
                <w:szCs w:val="20"/>
                <w:color w:val="auto"/>
              </w:rPr>
            </w:pPr>
            <w:r>
              <w:rPr>
                <w:rFonts w:ascii="Arial" w:cs="Arial" w:eastAsia="Arial" w:hAnsi="Arial"/>
                <w:sz w:val="13"/>
                <w:szCs w:val="13"/>
                <w:color w:val="auto"/>
              </w:rPr>
              <w:t>________________</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04" w:lineRule="exact"/>
        <w:rPr>
          <w:sz w:val="20"/>
          <w:szCs w:val="20"/>
          <w:color w:val="auto"/>
        </w:rPr>
      </w:pPr>
    </w:p>
    <w:p>
      <w:pPr>
        <w:ind w:left="222" w:hanging="222"/>
        <w:spacing w:after="0"/>
        <w:tabs>
          <w:tab w:leader="none" w:pos="222" w:val="left"/>
        </w:tabs>
        <w:numPr>
          <w:ilvl w:val="0"/>
          <w:numId w:val="8"/>
        </w:numPr>
        <w:rPr>
          <w:rFonts w:ascii="Arial" w:cs="Arial" w:eastAsia="Arial" w:hAnsi="Arial"/>
          <w:sz w:val="10"/>
          <w:szCs w:val="10"/>
          <w:color w:val="auto"/>
        </w:rPr>
      </w:pPr>
      <w:r>
        <w:rPr>
          <w:rFonts w:ascii="Arial" w:cs="Arial" w:eastAsia="Arial" w:hAnsi="Arial"/>
          <w:sz w:val="10"/>
          <w:szCs w:val="10"/>
          <w:color w:val="auto"/>
        </w:rPr>
        <w:t>Amounts include equity-based compensation expense, as follows:</w:t>
      </w:r>
    </w:p>
    <w:p>
      <w:pPr>
        <w:spacing w:after="0" w:line="94" w:lineRule="exact"/>
        <w:rPr>
          <w:sz w:val="20"/>
          <w:szCs w:val="20"/>
          <w:color w:val="auto"/>
        </w:rPr>
      </w:pPr>
    </w:p>
    <w:tbl>
      <w:tblPr>
        <w:tblLayout w:type="fixed"/>
        <w:tblInd w:w="242" w:type="dxa"/>
        <w:tblCellMar>
          <w:top w:w="0" w:type="dxa"/>
          <w:left w:w="0" w:type="dxa"/>
          <w:bottom w:w="0" w:type="dxa"/>
          <w:right w:w="0" w:type="dxa"/>
        </w:tblCellMar>
      </w:tblPr>
      <w:tr>
        <w:trPr>
          <w:trHeight w:val="143"/>
        </w:trPr>
        <w:tc>
          <w:tcPr>
            <w:tcW w:w="3300" w:type="dxa"/>
            <w:vAlign w:val="bottom"/>
          </w:tcPr>
          <w:p>
            <w:pPr>
              <w:spacing w:after="0"/>
              <w:rPr>
                <w:sz w:val="12"/>
                <w:szCs w:val="12"/>
                <w:color w:val="auto"/>
              </w:rPr>
            </w:pPr>
          </w:p>
        </w:tc>
        <w:tc>
          <w:tcPr>
            <w:tcW w:w="25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0"/>
                <w:szCs w:val="10"/>
                <w:b w:val="1"/>
                <w:bCs w:val="1"/>
                <w:color w:val="auto"/>
              </w:rPr>
              <w:t>Three Months Ended June 30,</w:t>
            </w: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2"/>
              </w:rPr>
              <w:t>Six Months Ended June 30,</w:t>
            </w:r>
          </w:p>
        </w:tc>
        <w:tc>
          <w:tcPr>
            <w:tcW w:w="840" w:type="dxa"/>
            <w:vAlign w:val="bottom"/>
            <w:tcBorders>
              <w:bottom w:val="single" w:sz="8" w:color="auto"/>
            </w:tcBorders>
          </w:tcPr>
          <w:p>
            <w:pPr>
              <w:spacing w:after="0"/>
              <w:rPr>
                <w:sz w:val="12"/>
                <w:szCs w:val="12"/>
                <w:color w:val="auto"/>
              </w:rPr>
            </w:pPr>
          </w:p>
        </w:tc>
      </w:tr>
      <w:tr>
        <w:trPr>
          <w:trHeight w:val="145"/>
        </w:trPr>
        <w:tc>
          <w:tcPr>
            <w:tcW w:w="33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2020</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48"/>
              <w:spacing w:after="0"/>
              <w:rPr>
                <w:sz w:val="20"/>
                <w:szCs w:val="20"/>
                <w:color w:val="auto"/>
              </w:rPr>
            </w:pPr>
            <w:r>
              <w:rPr>
                <w:rFonts w:ascii="Arial" w:cs="Arial" w:eastAsia="Arial" w:hAnsi="Arial"/>
                <w:sz w:val="10"/>
                <w:szCs w:val="10"/>
                <w:b w:val="1"/>
                <w:bCs w:val="1"/>
                <w:color w:val="auto"/>
                <w:w w:val="98"/>
              </w:rPr>
              <w:t>2020</w:t>
            </w:r>
          </w:p>
        </w:tc>
      </w:tr>
      <w:tr>
        <w:trPr>
          <w:trHeight w:val="154"/>
        </w:trPr>
        <w:tc>
          <w:tcPr>
            <w:tcW w:w="3300" w:type="dxa"/>
            <w:vAlign w:val="bottom"/>
            <w:shd w:val="clear" w:color="auto" w:fill="CCEEFF"/>
          </w:tcPr>
          <w:p>
            <w:pPr>
              <w:spacing w:after="0"/>
              <w:rPr>
                <w:sz w:val="20"/>
                <w:szCs w:val="20"/>
                <w:color w:val="auto"/>
              </w:rPr>
            </w:pPr>
            <w:r>
              <w:rPr>
                <w:rFonts w:ascii="Arial" w:cs="Arial" w:eastAsia="Arial" w:hAnsi="Arial"/>
                <w:sz w:val="10"/>
                <w:szCs w:val="10"/>
                <w:color w:val="auto"/>
              </w:rPr>
              <w:t>Cost of service</w:t>
            </w:r>
          </w:p>
        </w:tc>
        <w:tc>
          <w:tcPr>
            <w:tcW w:w="1000" w:type="dxa"/>
            <w:vAlign w:val="bottom"/>
            <w:shd w:val="clear" w:color="auto" w:fill="CCEEFF"/>
          </w:tcPr>
          <w:p>
            <w:pPr>
              <w:jc w:val="right"/>
              <w:ind w:right="868"/>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3.2</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88"/>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15.3</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28"/>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6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w:t>
            </w:r>
          </w:p>
        </w:tc>
      </w:tr>
      <w:tr>
        <w:trPr>
          <w:trHeight w:val="146"/>
        </w:trPr>
        <w:tc>
          <w:tcPr>
            <w:tcW w:w="3300" w:type="dxa"/>
            <w:vAlign w:val="bottom"/>
          </w:tcPr>
          <w:p>
            <w:pPr>
              <w:spacing w:after="0"/>
              <w:rPr>
                <w:sz w:val="20"/>
                <w:szCs w:val="20"/>
                <w:color w:val="auto"/>
              </w:rPr>
            </w:pPr>
            <w:r>
              <w:rPr>
                <w:rFonts w:ascii="Arial" w:cs="Arial" w:eastAsia="Arial" w:hAnsi="Arial"/>
                <w:sz w:val="10"/>
                <w:szCs w:val="10"/>
                <w:color w:val="auto"/>
              </w:rPr>
              <w:t>Sales and marketing</w:t>
            </w:r>
          </w:p>
        </w:tc>
        <w:tc>
          <w:tcPr>
            <w:tcW w:w="1000" w:type="dxa"/>
            <w:vAlign w:val="bottom"/>
          </w:tcPr>
          <w:p>
            <w:pPr>
              <w:spacing w:after="0"/>
              <w:rPr>
                <w:sz w:val="12"/>
                <w:szCs w:val="12"/>
                <w:color w:val="auto"/>
              </w:rPr>
            </w:pPr>
          </w:p>
        </w:tc>
        <w:tc>
          <w:tcPr>
            <w:tcW w:w="420" w:type="dxa"/>
            <w:vAlign w:val="bottom"/>
          </w:tcPr>
          <w:p>
            <w:pPr>
              <w:jc w:val="right"/>
              <w:ind w:right="8"/>
              <w:spacing w:after="0"/>
              <w:rPr>
                <w:sz w:val="20"/>
                <w:szCs w:val="20"/>
                <w:color w:val="auto"/>
              </w:rPr>
            </w:pPr>
            <w:r>
              <w:rPr>
                <w:rFonts w:ascii="Arial" w:cs="Arial" w:eastAsia="Arial" w:hAnsi="Arial"/>
                <w:sz w:val="10"/>
                <w:szCs w:val="10"/>
                <w:color w:val="auto"/>
              </w:rPr>
              <w:t>7.2</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jc w:val="right"/>
              <w:ind w:right="8"/>
              <w:spacing w:after="0"/>
              <w:rPr>
                <w:sz w:val="20"/>
                <w:szCs w:val="20"/>
                <w:color w:val="auto"/>
              </w:rPr>
            </w:pPr>
            <w:r>
              <w:rPr>
                <w:rFonts w:ascii="Arial" w:cs="Arial" w:eastAsia="Arial" w:hAnsi="Arial"/>
                <w:sz w:val="10"/>
                <w:szCs w:val="10"/>
                <w:color w:val="auto"/>
              </w:rPr>
              <w:t>32.0</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15.6</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38.4</w:t>
            </w:r>
          </w:p>
        </w:tc>
      </w:tr>
      <w:tr>
        <w:trPr>
          <w:trHeight w:val="164"/>
        </w:trPr>
        <w:tc>
          <w:tcPr>
            <w:tcW w:w="3300" w:type="dxa"/>
            <w:vAlign w:val="bottom"/>
            <w:shd w:val="clear" w:color="auto" w:fill="CCEEFF"/>
          </w:tcPr>
          <w:p>
            <w:pPr>
              <w:spacing w:after="0"/>
              <w:rPr>
                <w:sz w:val="20"/>
                <w:szCs w:val="20"/>
                <w:color w:val="auto"/>
              </w:rPr>
            </w:pPr>
            <w:r>
              <w:rPr>
                <w:rFonts w:ascii="Arial" w:cs="Arial" w:eastAsia="Arial" w:hAnsi="Arial"/>
                <w:sz w:val="10"/>
                <w:szCs w:val="10"/>
                <w:color w:val="auto"/>
              </w:rPr>
              <w:t>Research and development</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3.2</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8.5</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w:t>
            </w:r>
          </w:p>
        </w:tc>
      </w:tr>
      <w:tr>
        <w:trPr>
          <w:trHeight w:val="146"/>
        </w:trPr>
        <w:tc>
          <w:tcPr>
            <w:tcW w:w="33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General and administrative</w:t>
            </w: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3.5</w:t>
            </w:r>
          </w:p>
        </w:tc>
        <w:tc>
          <w:tcPr>
            <w:tcW w:w="1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8.7</w:t>
            </w: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10.3</w:t>
            </w:r>
          </w:p>
        </w:tc>
      </w:tr>
      <w:tr>
        <w:trPr>
          <w:trHeight w:val="173"/>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Total equity-based compensation expense</w:t>
            </w:r>
          </w:p>
        </w:tc>
        <w:tc>
          <w:tcPr>
            <w:tcW w:w="100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17.1</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64.5</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35.2</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75.8</w:t>
            </w: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119380</wp:posOffset>
            </wp:positionV>
            <wp:extent cx="719645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2"/>
          </w:cols>
          <w:pgMar w:left="298" w:top="125" w:right="299" w:bottom="1440" w:gutter="0" w:footer="0" w:header="0"/>
        </w:sectPr>
      </w:pPr>
    </w:p>
    <w:bookmarkStart w:id="9" w:name="page10"/>
    <w:bookmarkEnd w:id="9"/>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680"/>
        <w:spacing w:after="0"/>
        <w:rPr>
          <w:sz w:val="20"/>
          <w:szCs w:val="20"/>
          <w:color w:val="auto"/>
        </w:rPr>
      </w:pPr>
      <w:r>
        <w:rPr>
          <w:rFonts w:ascii="Arial" w:cs="Arial" w:eastAsia="Arial" w:hAnsi="Arial"/>
          <w:sz w:val="13"/>
          <w:szCs w:val="13"/>
          <w:b w:val="1"/>
          <w:bCs w:val="1"/>
          <w:color w:val="auto"/>
        </w:rPr>
        <w:t>ZoomInfo Technologies Inc.</w:t>
      </w:r>
    </w:p>
    <w:p>
      <w:pPr>
        <w:spacing w:after="0" w:line="35" w:lineRule="exact"/>
        <w:rPr>
          <w:sz w:val="20"/>
          <w:szCs w:val="20"/>
          <w:color w:val="auto"/>
        </w:rPr>
      </w:pPr>
    </w:p>
    <w:p>
      <w:pPr>
        <w:jc w:val="center"/>
        <w:ind w:left="680"/>
        <w:spacing w:after="0"/>
        <w:rPr>
          <w:sz w:val="20"/>
          <w:szCs w:val="20"/>
          <w:color w:val="auto"/>
        </w:rPr>
      </w:pPr>
      <w:r>
        <w:rPr>
          <w:rFonts w:ascii="Arial" w:cs="Arial" w:eastAsia="Arial" w:hAnsi="Arial"/>
          <w:sz w:val="13"/>
          <w:szCs w:val="13"/>
          <w:b w:val="1"/>
          <w:bCs w:val="1"/>
          <w:color w:val="auto"/>
        </w:rPr>
        <w:t>Consolidated Statements of Comprehensive Income (Loss)</w:t>
      </w:r>
    </w:p>
    <w:p>
      <w:pPr>
        <w:spacing w:after="0" w:line="25" w:lineRule="exact"/>
        <w:rPr>
          <w:sz w:val="20"/>
          <w:szCs w:val="20"/>
          <w:color w:val="auto"/>
        </w:rPr>
      </w:pPr>
    </w:p>
    <w:p>
      <w:pPr>
        <w:ind w:left="5480"/>
        <w:spacing w:after="0"/>
        <w:rPr>
          <w:sz w:val="20"/>
          <w:szCs w:val="20"/>
          <w:color w:val="auto"/>
        </w:rPr>
      </w:pPr>
      <w:r>
        <w:rPr>
          <w:rFonts w:ascii="Arial" w:cs="Arial" w:eastAsia="Arial" w:hAnsi="Arial"/>
          <w:sz w:val="10"/>
          <w:szCs w:val="10"/>
          <w:b w:val="1"/>
          <w:bCs w:val="1"/>
          <w:i w:val="1"/>
          <w:iCs w:val="1"/>
          <w:color w:val="auto"/>
        </w:rPr>
        <w:t>(in millions; unaudited)</w:t>
      </w:r>
    </w:p>
    <w:p>
      <w:pPr>
        <w:spacing w:after="0" w:line="104" w:lineRule="exact"/>
        <w:rPr>
          <w:sz w:val="20"/>
          <w:szCs w:val="20"/>
          <w:color w:val="auto"/>
        </w:rPr>
      </w:pPr>
    </w:p>
    <w:tbl>
      <w:tblPr>
        <w:tblLayout w:type="fixed"/>
        <w:tblInd w:w="240" w:type="dxa"/>
        <w:tblCellMar>
          <w:top w:w="0" w:type="dxa"/>
          <w:left w:w="0" w:type="dxa"/>
          <w:bottom w:w="0" w:type="dxa"/>
          <w:right w:w="0" w:type="dxa"/>
        </w:tblCellMar>
      </w:tblPr>
      <w:tr>
        <w:trPr>
          <w:trHeight w:val="143"/>
        </w:trPr>
        <w:tc>
          <w:tcPr>
            <w:tcW w:w="5420" w:type="dxa"/>
            <w:vAlign w:val="bottom"/>
          </w:tcPr>
          <w:p>
            <w:pPr>
              <w:spacing w:after="0"/>
              <w:rPr>
                <w:sz w:val="12"/>
                <w:szCs w:val="12"/>
                <w:color w:val="auto"/>
              </w:rPr>
            </w:pPr>
          </w:p>
        </w:tc>
        <w:tc>
          <w:tcPr>
            <w:tcW w:w="25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0"/>
                <w:szCs w:val="10"/>
                <w:b w:val="1"/>
                <w:bCs w:val="1"/>
                <w:color w:val="auto"/>
              </w:rPr>
              <w:t>Three Months Ended June 30,</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540" w:type="dxa"/>
            <w:vAlign w:val="bottom"/>
            <w:tcBorders>
              <w:bottom w:val="single" w:sz="8" w:color="auto"/>
            </w:tcBorders>
          </w:tcPr>
          <w:p>
            <w:pPr>
              <w:spacing w:after="0"/>
              <w:rPr>
                <w:sz w:val="12"/>
                <w:szCs w:val="12"/>
                <w:color w:val="auto"/>
              </w:rPr>
            </w:pPr>
          </w:p>
        </w:tc>
      </w:tr>
      <w:tr>
        <w:trPr>
          <w:trHeight w:val="145"/>
        </w:trPr>
        <w:tc>
          <w:tcPr>
            <w:tcW w:w="5420" w:type="dxa"/>
            <w:vAlign w:val="bottom"/>
          </w:tcPr>
          <w:p>
            <w:pPr>
              <w:spacing w:after="0"/>
              <w:rPr>
                <w:sz w:val="12"/>
                <w:szCs w:val="12"/>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2021</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0"/>
                <w:szCs w:val="10"/>
                <w:b w:val="1"/>
                <w:bCs w:val="1"/>
                <w:color w:val="auto"/>
              </w:rPr>
              <w:t>2020</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7"/>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57"/>
              <w:spacing w:after="0"/>
              <w:rPr>
                <w:sz w:val="20"/>
                <w:szCs w:val="20"/>
                <w:color w:val="auto"/>
              </w:rPr>
            </w:pPr>
            <w:r>
              <w:rPr>
                <w:rFonts w:ascii="Arial" w:cs="Arial" w:eastAsia="Arial" w:hAnsi="Arial"/>
                <w:sz w:val="10"/>
                <w:szCs w:val="10"/>
                <w:b w:val="1"/>
                <w:bCs w:val="1"/>
                <w:color w:val="auto"/>
                <w:w w:val="89"/>
              </w:rPr>
              <w:t>2020</w:t>
            </w:r>
          </w:p>
        </w:tc>
      </w:tr>
      <w:tr>
        <w:trPr>
          <w:trHeight w:val="67"/>
        </w:trPr>
        <w:tc>
          <w:tcPr>
            <w:tcW w:w="5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174"/>
        </w:trPr>
        <w:tc>
          <w:tcPr>
            <w:tcW w:w="54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Net income (loss)</w:t>
            </w:r>
          </w:p>
        </w:tc>
        <w:tc>
          <w:tcPr>
            <w:tcW w:w="102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2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(77.9)</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w:t>
            </w:r>
          </w:p>
        </w:tc>
      </w:tr>
      <w:tr>
        <w:trPr>
          <w:trHeight w:val="174"/>
        </w:trPr>
        <w:tc>
          <w:tcPr>
            <w:tcW w:w="5420" w:type="dxa"/>
            <w:vAlign w:val="bottom"/>
          </w:tcPr>
          <w:p>
            <w:pPr>
              <w:ind w:left="240"/>
              <w:spacing w:after="0"/>
              <w:rPr>
                <w:sz w:val="20"/>
                <w:szCs w:val="20"/>
                <w:color w:val="auto"/>
              </w:rPr>
            </w:pPr>
            <w:r>
              <w:rPr>
                <w:rFonts w:ascii="Arial" w:cs="Arial" w:eastAsia="Arial" w:hAnsi="Arial"/>
                <w:sz w:val="13"/>
                <w:szCs w:val="13"/>
                <w:b w:val="1"/>
                <w:bCs w:val="1"/>
                <w:color w:val="auto"/>
              </w:rPr>
              <w:t>Other comprehensive income (loss), net of tax</w:t>
            </w: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0"/>
        </w:trPr>
        <w:tc>
          <w:tcPr>
            <w:tcW w:w="5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4"/>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Unrealized gain (loss) on cash flow hedges</w:t>
            </w:r>
          </w:p>
        </w:tc>
        <w:tc>
          <w:tcPr>
            <w:tcW w:w="10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74"/>
        </w:trPr>
        <w:tc>
          <w:tcPr>
            <w:tcW w:w="5420" w:type="dxa"/>
            <w:vAlign w:val="bottom"/>
          </w:tcPr>
          <w:p>
            <w:pPr>
              <w:ind w:left="380"/>
              <w:spacing w:after="0"/>
              <w:rPr>
                <w:sz w:val="20"/>
                <w:szCs w:val="20"/>
                <w:color w:val="auto"/>
              </w:rPr>
            </w:pPr>
            <w:r>
              <w:rPr>
                <w:rFonts w:ascii="Arial" w:cs="Arial" w:eastAsia="Arial" w:hAnsi="Arial"/>
                <w:sz w:val="13"/>
                <w:szCs w:val="13"/>
                <w:color w:val="auto"/>
              </w:rPr>
              <w:t>Realized loss (gain) on settlement of cash flow hedges</w:t>
            </w:r>
          </w:p>
        </w:tc>
        <w:tc>
          <w:tcPr>
            <w:tcW w:w="10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0"/>
        </w:trPr>
        <w:tc>
          <w:tcPr>
            <w:tcW w:w="5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4"/>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Amortization of deferred losses related to the dedesignated Interest Rate Swap</w:t>
            </w:r>
          </w:p>
        </w:tc>
        <w:tc>
          <w:tcPr>
            <w:tcW w:w="10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3"/>
        </w:trPr>
        <w:tc>
          <w:tcPr>
            <w:tcW w:w="5420" w:type="dxa"/>
            <w:vAlign w:val="bottom"/>
          </w:tcPr>
          <w:p>
            <w:pPr>
              <w:ind w:left="540"/>
              <w:spacing w:after="0"/>
              <w:rPr>
                <w:sz w:val="20"/>
                <w:szCs w:val="20"/>
                <w:color w:val="auto"/>
              </w:rPr>
            </w:pPr>
            <w:r>
              <w:rPr>
                <w:rFonts w:ascii="Arial" w:cs="Arial" w:eastAsia="Arial" w:hAnsi="Arial"/>
                <w:sz w:val="13"/>
                <w:szCs w:val="13"/>
                <w:color w:val="auto"/>
              </w:rPr>
              <w:t>Other comprehensive income (loss) before tax</w:t>
            </w:r>
          </w:p>
        </w:tc>
        <w:tc>
          <w:tcPr>
            <w:tcW w:w="10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4"/>
        </w:trPr>
        <w:tc>
          <w:tcPr>
            <w:tcW w:w="54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3"/>
                <w:szCs w:val="13"/>
                <w:color w:val="auto"/>
              </w:rPr>
              <w:t>Tax effect</w:t>
            </w:r>
          </w:p>
        </w:tc>
        <w:tc>
          <w:tcPr>
            <w:tcW w:w="10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63"/>
        </w:trPr>
        <w:tc>
          <w:tcPr>
            <w:tcW w:w="5420" w:type="dxa"/>
            <w:vAlign w:val="bottom"/>
          </w:tcPr>
          <w:p>
            <w:pPr>
              <w:ind w:left="540"/>
              <w:spacing w:after="0"/>
              <w:rPr>
                <w:sz w:val="20"/>
                <w:szCs w:val="20"/>
                <w:color w:val="auto"/>
              </w:rPr>
            </w:pPr>
            <w:r>
              <w:rPr>
                <w:rFonts w:ascii="Arial" w:cs="Arial" w:eastAsia="Arial" w:hAnsi="Arial"/>
                <w:sz w:val="13"/>
                <w:szCs w:val="13"/>
                <w:color w:val="auto"/>
              </w:rPr>
              <w:t>Other comprehensive income (loss), net of tax</w:t>
            </w:r>
          </w:p>
        </w:tc>
        <w:tc>
          <w:tcPr>
            <w:tcW w:w="10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8.9</w:t>
            </w: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64"/>
        </w:trPr>
        <w:tc>
          <w:tcPr>
            <w:tcW w:w="54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Comprehensive income (loss)</w:t>
            </w:r>
          </w:p>
        </w:tc>
        <w:tc>
          <w:tcPr>
            <w:tcW w:w="10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(75.5)</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w:t>
            </w:r>
          </w:p>
        </w:tc>
      </w:tr>
      <w:tr>
        <w:trPr>
          <w:trHeight w:val="166"/>
        </w:trPr>
        <w:tc>
          <w:tcPr>
            <w:tcW w:w="5420" w:type="dxa"/>
            <w:vAlign w:val="bottom"/>
          </w:tcPr>
          <w:p>
            <w:pPr>
              <w:ind w:left="400"/>
              <w:spacing w:after="0"/>
              <w:rPr>
                <w:sz w:val="20"/>
                <w:szCs w:val="20"/>
                <w:color w:val="auto"/>
              </w:rPr>
            </w:pPr>
            <w:r>
              <w:rPr>
                <w:rFonts w:ascii="Arial" w:cs="Arial" w:eastAsia="Arial" w:hAnsi="Arial"/>
                <w:sz w:val="13"/>
                <w:szCs w:val="13"/>
                <w:color w:val="auto"/>
                <w:w w:val="98"/>
              </w:rPr>
              <w:t>Less: Comprehensive income attributable to ZoomInfo OpCo prior to the Reorganization</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3"/>
        </w:trPr>
        <w:tc>
          <w:tcPr>
            <w:tcW w:w="5420" w:type="dxa"/>
            <w:vAlign w:val="bottom"/>
          </w:tcPr>
          <w:p>
            <w:pPr>
              <w:ind w:left="160"/>
              <w:spacing w:after="0"/>
              <w:rPr>
                <w:sz w:val="20"/>
                <w:szCs w:val="20"/>
                <w:color w:val="auto"/>
              </w:rPr>
            </w:pPr>
            <w:r>
              <w:rPr>
                <w:rFonts w:ascii="Arial" w:cs="Arial" w:eastAsia="Arial" w:hAnsi="Arial"/>
                <w:sz w:val="13"/>
                <w:szCs w:val="13"/>
                <w:color w:val="auto"/>
              </w:rPr>
              <w:t>Transactions</w:t>
            </w:r>
          </w:p>
        </w:tc>
        <w:tc>
          <w:tcPr>
            <w:tcW w:w="102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20"/>
        </w:trPr>
        <w:tc>
          <w:tcPr>
            <w:tcW w:w="5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4"/>
        </w:trPr>
        <w:tc>
          <w:tcPr>
            <w:tcW w:w="54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Less: Comprehensive income (loss) attributable to noncontrolling interests</w:t>
            </w:r>
          </w:p>
        </w:tc>
        <w:tc>
          <w:tcPr>
            <w:tcW w:w="10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83"/>
        </w:trPr>
        <w:tc>
          <w:tcPr>
            <w:tcW w:w="5420" w:type="dxa"/>
            <w:vAlign w:val="bottom"/>
          </w:tcPr>
          <w:p>
            <w:pPr>
              <w:ind w:left="240"/>
              <w:spacing w:after="0"/>
              <w:rPr>
                <w:sz w:val="20"/>
                <w:szCs w:val="20"/>
                <w:color w:val="auto"/>
              </w:rPr>
            </w:pPr>
            <w:r>
              <w:rPr>
                <w:rFonts w:ascii="Arial" w:cs="Arial" w:eastAsia="Arial" w:hAnsi="Arial"/>
                <w:sz w:val="13"/>
                <w:szCs w:val="13"/>
                <w:b w:val="1"/>
                <w:bCs w:val="1"/>
                <w:color w:val="auto"/>
              </w:rPr>
              <w:t>Comprehensive income (loss) attributable to ZoomInfo Technologies Inc.</w:t>
            </w:r>
          </w:p>
        </w:tc>
        <w:tc>
          <w:tcPr>
            <w:tcW w:w="102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3"/>
                <w:szCs w:val="13"/>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(33.3)</w:t>
            </w:r>
          </w:p>
        </w:tc>
        <w:tc>
          <w:tcPr>
            <w:tcW w:w="8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16.0</w:t>
            </w:r>
          </w:p>
        </w:tc>
        <w:tc>
          <w:tcPr>
            <w:tcW w:w="8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w:t>
            </w:r>
          </w:p>
        </w:tc>
      </w:tr>
      <w:tr>
        <w:trPr>
          <w:trHeight w:val="20"/>
        </w:trPr>
        <w:tc>
          <w:tcPr>
            <w:tcW w:w="5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10" w:name="page11"/>
    <w:bookmarkEnd w:id="10"/>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90"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ZoomInfo Technologies Inc.</w:t>
      </w:r>
    </w:p>
    <w:p>
      <w:pPr>
        <w:spacing w:after="0" w:line="18"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auto"/>
        </w:rPr>
        <w:t>Consolidated Statements of Changes in Equity (Deficit)</w:t>
      </w:r>
    </w:p>
    <w:p>
      <w:pPr>
        <w:spacing w:after="0" w:line="6"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i w:val="1"/>
          <w:iCs w:val="1"/>
          <w:color w:val="auto"/>
        </w:rPr>
        <w:t>(in millions, except share data; unaudited)</w:t>
      </w:r>
    </w:p>
    <w:p>
      <w:pPr>
        <w:spacing w:after="0" w:line="67" w:lineRule="exact"/>
        <w:rPr>
          <w:sz w:val="20"/>
          <w:szCs w:val="20"/>
          <w:color w:val="auto"/>
        </w:rPr>
      </w:pPr>
    </w:p>
    <w:tbl>
      <w:tblPr>
        <w:tblLayout w:type="fixed"/>
        <w:tblInd w:w="240" w:type="dxa"/>
        <w:tblCellMar>
          <w:top w:w="0" w:type="dxa"/>
          <w:left w:w="0" w:type="dxa"/>
          <w:bottom w:w="0" w:type="dxa"/>
          <w:right w:w="0" w:type="dxa"/>
        </w:tblCellMar>
      </w:tblPr>
      <w:tr>
        <w:trPr>
          <w:trHeight w:val="142"/>
        </w:trPr>
        <w:tc>
          <w:tcPr>
            <w:tcW w:w="12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9"/>
          </w:tcPr>
          <w:p>
            <w:pPr>
              <w:ind w:left="200"/>
              <w:spacing w:after="0"/>
              <w:rPr>
                <w:sz w:val="20"/>
                <w:szCs w:val="20"/>
                <w:color w:val="auto"/>
              </w:rPr>
            </w:pPr>
            <w:r>
              <w:rPr>
                <w:rFonts w:ascii="Arial" w:cs="Arial" w:eastAsia="Arial" w:hAnsi="Arial"/>
                <w:sz w:val="10"/>
                <w:szCs w:val="10"/>
                <w:b w:val="1"/>
                <w:bCs w:val="1"/>
                <w:color w:val="auto"/>
                <w:w w:val="95"/>
              </w:rPr>
              <w:t>ZoomInfo Technologies Inc. Stockholders' Equity</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860" w:type="dxa"/>
            <w:vAlign w:val="bottom"/>
            <w:gridSpan w:val="2"/>
          </w:tcPr>
          <w:p>
            <w:pPr>
              <w:ind w:left="340"/>
              <w:spacing w:after="0"/>
              <w:rPr>
                <w:sz w:val="20"/>
                <w:szCs w:val="20"/>
                <w:color w:val="auto"/>
              </w:rPr>
            </w:pPr>
            <w:r>
              <w:rPr>
                <w:rFonts w:ascii="Arial" w:cs="Arial" w:eastAsia="Arial" w:hAnsi="Arial"/>
                <w:sz w:val="10"/>
                <w:szCs w:val="10"/>
                <w:b w:val="1"/>
                <w:bCs w:val="1"/>
                <w:color w:val="auto"/>
              </w:rPr>
              <w:t>Class A</w:t>
            </w:r>
          </w:p>
        </w:tc>
        <w:tc>
          <w:tcPr>
            <w:tcW w:w="860" w:type="dxa"/>
            <w:vAlign w:val="bottom"/>
            <w:gridSpan w:val="2"/>
          </w:tcPr>
          <w:p>
            <w:pPr>
              <w:ind w:left="360"/>
              <w:spacing w:after="0"/>
              <w:rPr>
                <w:sz w:val="20"/>
                <w:szCs w:val="20"/>
                <w:color w:val="auto"/>
              </w:rPr>
            </w:pPr>
            <w:r>
              <w:rPr>
                <w:rFonts w:ascii="Arial" w:cs="Arial" w:eastAsia="Arial" w:hAnsi="Arial"/>
                <w:sz w:val="10"/>
                <w:szCs w:val="10"/>
                <w:b w:val="1"/>
                <w:bCs w:val="1"/>
                <w:color w:val="auto"/>
              </w:rPr>
              <w:t>Class B</w:t>
            </w:r>
          </w:p>
        </w:tc>
        <w:tc>
          <w:tcPr>
            <w:tcW w:w="860" w:type="dxa"/>
            <w:vAlign w:val="bottom"/>
            <w:tcBorders>
              <w:right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Class C</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10"/>
                <w:szCs w:val="10"/>
                <w:b w:val="1"/>
                <w:bCs w:val="1"/>
                <w:color w:val="auto"/>
              </w:rPr>
              <w:t>Class A</w:t>
            </w:r>
          </w:p>
        </w:tc>
        <w:tc>
          <w:tcPr>
            <w:tcW w:w="320" w:type="dxa"/>
            <w:vAlign w:val="bottom"/>
          </w:tcPr>
          <w:p>
            <w:pPr>
              <w:spacing w:after="0"/>
              <w:rPr>
                <w:sz w:val="10"/>
                <w:szCs w:val="10"/>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Class B</w:t>
            </w:r>
          </w:p>
        </w:tc>
        <w:tc>
          <w:tcPr>
            <w:tcW w:w="300" w:type="dxa"/>
            <w:vAlign w:val="bottom"/>
          </w:tcPr>
          <w:p>
            <w:pPr>
              <w:spacing w:after="0"/>
              <w:rPr>
                <w:sz w:val="10"/>
                <w:szCs w:val="10"/>
                <w:color w:val="auto"/>
              </w:rPr>
            </w:pPr>
          </w:p>
        </w:tc>
        <w:tc>
          <w:tcPr>
            <w:tcW w:w="520" w:type="dxa"/>
            <w:vAlign w:val="bottom"/>
            <w:gridSpan w:val="2"/>
          </w:tcPr>
          <w:p>
            <w:pPr>
              <w:ind w:left="20"/>
              <w:spacing w:after="0"/>
              <w:rPr>
                <w:sz w:val="20"/>
                <w:szCs w:val="20"/>
                <w:color w:val="auto"/>
              </w:rPr>
            </w:pPr>
            <w:r>
              <w:rPr>
                <w:rFonts w:ascii="Arial" w:cs="Arial" w:eastAsia="Arial" w:hAnsi="Arial"/>
                <w:sz w:val="10"/>
                <w:szCs w:val="10"/>
                <w:b w:val="1"/>
                <w:bCs w:val="1"/>
                <w:color w:val="auto"/>
              </w:rPr>
              <w:t>Class C</w:t>
            </w:r>
          </w:p>
        </w:tc>
        <w:tc>
          <w:tcPr>
            <w:tcW w:w="30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0"/>
                <w:szCs w:val="10"/>
                <w:b w:val="1"/>
                <w:bCs w:val="1"/>
                <w:color w:val="auto"/>
              </w:rPr>
              <w:t>Additional</w:t>
            </w:r>
          </w:p>
        </w:tc>
        <w:tc>
          <w:tcPr>
            <w:tcW w:w="300" w:type="dxa"/>
            <w:vAlign w:val="bottom"/>
          </w:tcPr>
          <w:p>
            <w:pPr>
              <w:spacing w:after="0"/>
              <w:rPr>
                <w:sz w:val="10"/>
                <w:szCs w:val="10"/>
                <w:color w:val="auto"/>
              </w:rPr>
            </w:pPr>
          </w:p>
        </w:tc>
        <w:tc>
          <w:tcPr>
            <w:tcW w:w="560" w:type="dxa"/>
            <w:vAlign w:val="bottom"/>
            <w:gridSpan w:val="2"/>
          </w:tcPr>
          <w:p>
            <w:pPr>
              <w:ind w:left="20"/>
              <w:spacing w:after="0"/>
              <w:rPr>
                <w:sz w:val="20"/>
                <w:szCs w:val="20"/>
                <w:color w:val="auto"/>
              </w:rPr>
            </w:pPr>
            <w:r>
              <w:rPr>
                <w:rFonts w:ascii="Arial" w:cs="Arial" w:eastAsia="Arial" w:hAnsi="Arial"/>
                <w:sz w:val="10"/>
                <w:szCs w:val="10"/>
                <w:b w:val="1"/>
                <w:bCs w:val="1"/>
                <w:color w:val="auto"/>
              </w:rPr>
              <w:t>Retained</w:t>
            </w: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0"/>
                <w:szCs w:val="10"/>
                <w:b w:val="1"/>
                <w:bCs w:val="1"/>
                <w:color w:val="auto"/>
              </w:rPr>
              <w:t>Noncontrolling</w:t>
            </w: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60" w:type="dxa"/>
            <w:vAlign w:val="bottom"/>
          </w:tcPr>
          <w:p>
            <w:pPr>
              <w:spacing w:after="0"/>
              <w:rPr>
                <w:sz w:val="12"/>
                <w:szCs w:val="12"/>
                <w:color w:val="auto"/>
              </w:rPr>
            </w:pPr>
          </w:p>
        </w:tc>
        <w:tc>
          <w:tcPr>
            <w:tcW w:w="860" w:type="dxa"/>
            <w:vAlign w:val="bottom"/>
            <w:gridSpan w:val="2"/>
          </w:tcPr>
          <w:p>
            <w:pPr>
              <w:ind w:left="240"/>
              <w:spacing w:after="0"/>
              <w:rPr>
                <w:sz w:val="20"/>
                <w:szCs w:val="20"/>
                <w:color w:val="auto"/>
              </w:rPr>
            </w:pPr>
            <w:r>
              <w:rPr>
                <w:rFonts w:ascii="Arial" w:cs="Arial" w:eastAsia="Arial" w:hAnsi="Arial"/>
                <w:sz w:val="10"/>
                <w:szCs w:val="10"/>
                <w:b w:val="1"/>
                <w:bCs w:val="1"/>
                <w:color w:val="auto"/>
              </w:rPr>
              <w:t>Shares</w:t>
            </w:r>
          </w:p>
        </w:tc>
        <w:tc>
          <w:tcPr>
            <w:tcW w:w="860" w:type="dxa"/>
            <w:vAlign w:val="bottom"/>
            <w:gridSpan w:val="2"/>
          </w:tcPr>
          <w:p>
            <w:pPr>
              <w:ind w:left="260"/>
              <w:spacing w:after="0"/>
              <w:rPr>
                <w:sz w:val="20"/>
                <w:szCs w:val="20"/>
                <w:color w:val="auto"/>
              </w:rPr>
            </w:pPr>
            <w:r>
              <w:rPr>
                <w:rFonts w:ascii="Arial" w:cs="Arial" w:eastAsia="Arial" w:hAnsi="Arial"/>
                <w:sz w:val="10"/>
                <w:szCs w:val="10"/>
                <w:b w:val="1"/>
                <w:bCs w:val="1"/>
                <w:color w:val="auto"/>
              </w:rPr>
              <w:t>Shares</w:t>
            </w:r>
          </w:p>
        </w:tc>
        <w:tc>
          <w:tcPr>
            <w:tcW w:w="860" w:type="dxa"/>
            <w:vAlign w:val="bottom"/>
            <w:tcBorders>
              <w:right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820" w:type="dxa"/>
            <w:vAlign w:val="bottom"/>
            <w:gridSpan w:val="3"/>
          </w:tcPr>
          <w:p>
            <w:pPr>
              <w:ind w:left="200"/>
              <w:spacing w:after="0"/>
              <w:rPr>
                <w:sz w:val="20"/>
                <w:szCs w:val="20"/>
                <w:color w:val="auto"/>
              </w:rPr>
            </w:pPr>
            <w:r>
              <w:rPr>
                <w:rFonts w:ascii="Arial" w:cs="Arial" w:eastAsia="Arial" w:hAnsi="Arial"/>
                <w:sz w:val="10"/>
                <w:szCs w:val="10"/>
                <w:b w:val="1"/>
                <w:bCs w:val="1"/>
                <w:color w:val="auto"/>
              </w:rPr>
              <w:t>Amount</w:t>
            </w:r>
          </w:p>
        </w:tc>
        <w:tc>
          <w:tcPr>
            <w:tcW w:w="820" w:type="dxa"/>
            <w:vAlign w:val="bottom"/>
            <w:gridSpan w:val="3"/>
          </w:tcPr>
          <w:p>
            <w:pPr>
              <w:ind w:left="200"/>
              <w:spacing w:after="0"/>
              <w:rPr>
                <w:sz w:val="20"/>
                <w:szCs w:val="20"/>
                <w:color w:val="auto"/>
              </w:rPr>
            </w:pPr>
            <w:r>
              <w:rPr>
                <w:rFonts w:ascii="Arial" w:cs="Arial" w:eastAsia="Arial" w:hAnsi="Arial"/>
                <w:sz w:val="10"/>
                <w:szCs w:val="10"/>
                <w:b w:val="1"/>
                <w:bCs w:val="1"/>
                <w:color w:val="auto"/>
              </w:rPr>
              <w:t>Amount</w:t>
            </w:r>
          </w:p>
        </w:tc>
        <w:tc>
          <w:tcPr>
            <w:tcW w:w="820" w:type="dxa"/>
            <w:vAlign w:val="bottom"/>
            <w:gridSpan w:val="3"/>
          </w:tcPr>
          <w:p>
            <w:pPr>
              <w:ind w:left="200"/>
              <w:spacing w:after="0"/>
              <w:rPr>
                <w:sz w:val="20"/>
                <w:szCs w:val="20"/>
                <w:color w:val="auto"/>
              </w:rPr>
            </w:pPr>
            <w:r>
              <w:rPr>
                <w:rFonts w:ascii="Arial" w:cs="Arial" w:eastAsia="Arial" w:hAnsi="Arial"/>
                <w:sz w:val="10"/>
                <w:szCs w:val="10"/>
                <w:b w:val="1"/>
                <w:bCs w:val="1"/>
                <w:color w:val="auto"/>
              </w:rPr>
              <w:t>Amount</w:t>
            </w:r>
          </w:p>
        </w:tc>
        <w:tc>
          <w:tcPr>
            <w:tcW w:w="900" w:type="dxa"/>
            <w:vAlign w:val="bottom"/>
            <w:gridSpan w:val="3"/>
          </w:tcPr>
          <w:p>
            <w:pPr>
              <w:ind w:left="100"/>
              <w:spacing w:after="0"/>
              <w:rPr>
                <w:sz w:val="20"/>
                <w:szCs w:val="20"/>
                <w:color w:val="auto"/>
              </w:rPr>
            </w:pPr>
            <w:r>
              <w:rPr>
                <w:rFonts w:ascii="Arial" w:cs="Arial" w:eastAsia="Arial" w:hAnsi="Arial"/>
                <w:sz w:val="10"/>
                <w:szCs w:val="10"/>
                <w:b w:val="1"/>
                <w:bCs w:val="1"/>
                <w:color w:val="auto"/>
              </w:rPr>
              <w:t>paid-in capital</w:t>
            </w:r>
          </w:p>
        </w:tc>
        <w:tc>
          <w:tcPr>
            <w:tcW w:w="860" w:type="dxa"/>
            <w:vAlign w:val="bottom"/>
            <w:gridSpan w:val="3"/>
          </w:tcPr>
          <w:p>
            <w:pPr>
              <w:ind w:left="200"/>
              <w:spacing w:after="0"/>
              <w:rPr>
                <w:sz w:val="20"/>
                <w:szCs w:val="20"/>
                <w:color w:val="auto"/>
              </w:rPr>
            </w:pPr>
            <w:r>
              <w:rPr>
                <w:rFonts w:ascii="Arial" w:cs="Arial" w:eastAsia="Arial" w:hAnsi="Arial"/>
                <w:sz w:val="10"/>
                <w:szCs w:val="10"/>
                <w:b w:val="1"/>
                <w:bCs w:val="1"/>
                <w:color w:val="auto"/>
              </w:rPr>
              <w:t>Earnings</w:t>
            </w:r>
          </w:p>
        </w:tc>
        <w:tc>
          <w:tcPr>
            <w:tcW w:w="340" w:type="dxa"/>
            <w:vAlign w:val="bottom"/>
          </w:tcPr>
          <w:p>
            <w:pPr>
              <w:spacing w:after="0"/>
              <w:rPr>
                <w:sz w:val="12"/>
                <w:szCs w:val="12"/>
                <w:color w:val="auto"/>
              </w:rPr>
            </w:pPr>
          </w:p>
        </w:tc>
        <w:tc>
          <w:tcPr>
            <w:tcW w:w="500" w:type="dxa"/>
            <w:vAlign w:val="bottom"/>
            <w:gridSpan w:val="2"/>
          </w:tcPr>
          <w:p>
            <w:pPr>
              <w:ind w:left="40"/>
              <w:spacing w:after="0"/>
              <w:rPr>
                <w:sz w:val="20"/>
                <w:szCs w:val="20"/>
                <w:color w:val="auto"/>
              </w:rPr>
            </w:pPr>
            <w:r>
              <w:rPr>
                <w:rFonts w:ascii="Arial" w:cs="Arial" w:eastAsia="Arial" w:hAnsi="Arial"/>
                <w:sz w:val="10"/>
                <w:szCs w:val="10"/>
                <w:b w:val="1"/>
                <w:bCs w:val="1"/>
                <w:color w:val="auto"/>
              </w:rPr>
              <w:t>AOCI</w:t>
            </w:r>
          </w:p>
        </w:tc>
        <w:tc>
          <w:tcPr>
            <w:tcW w:w="3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0"/>
                <w:szCs w:val="10"/>
                <w:b w:val="1"/>
                <w:bCs w:val="1"/>
                <w:color w:val="auto"/>
              </w:rPr>
              <w:t>interests</w:t>
            </w:r>
          </w:p>
        </w:tc>
        <w:tc>
          <w:tcPr>
            <w:tcW w:w="840" w:type="dxa"/>
            <w:vAlign w:val="bottom"/>
            <w:gridSpan w:val="2"/>
          </w:tcPr>
          <w:p>
            <w:pPr>
              <w:ind w:left="260"/>
              <w:spacing w:after="0"/>
              <w:rPr>
                <w:sz w:val="20"/>
                <w:szCs w:val="20"/>
                <w:color w:val="auto"/>
              </w:rPr>
            </w:pPr>
            <w:r>
              <w:rPr>
                <w:rFonts w:ascii="Arial" w:cs="Arial" w:eastAsia="Arial" w:hAnsi="Arial"/>
                <w:sz w:val="10"/>
                <w:szCs w:val="10"/>
                <w:b w:val="1"/>
                <w:bCs w:val="1"/>
                <w:color w:val="auto"/>
                <w:w w:val="97"/>
              </w:rPr>
              <w:t>Total Equity</w:t>
            </w:r>
          </w:p>
        </w:tc>
        <w:tc>
          <w:tcPr>
            <w:tcW w:w="0" w:type="dxa"/>
            <w:vAlign w:val="bottom"/>
          </w:tcPr>
          <w:p>
            <w:pPr>
              <w:spacing w:after="0"/>
              <w:rPr>
                <w:sz w:val="1"/>
                <w:szCs w:val="1"/>
                <w:color w:val="auto"/>
              </w:rPr>
            </w:pPr>
          </w:p>
        </w:tc>
      </w:tr>
      <w:tr>
        <w:trPr>
          <w:trHeight w:val="112"/>
        </w:trPr>
        <w:tc>
          <w:tcPr>
            <w:tcW w:w="1260" w:type="dxa"/>
            <w:vAlign w:val="bottom"/>
            <w:tcBorders>
              <w:top w:val="single" w:sz="8" w:color="CCEEFF"/>
            </w:tcBorders>
            <w:shd w:val="clear" w:color="auto" w:fill="CCEEFF"/>
          </w:tcPr>
          <w:p>
            <w:pPr>
              <w:ind w:left="240"/>
              <w:spacing w:after="0" w:line="112" w:lineRule="exact"/>
              <w:rPr>
                <w:sz w:val="20"/>
                <w:szCs w:val="20"/>
                <w:color w:val="auto"/>
              </w:rPr>
            </w:pPr>
            <w:r>
              <w:rPr>
                <w:rFonts w:ascii="Arial" w:cs="Arial" w:eastAsia="Arial" w:hAnsi="Arial"/>
                <w:sz w:val="10"/>
                <w:szCs w:val="10"/>
                <w:color w:val="auto"/>
                <w:w w:val="95"/>
              </w:rPr>
              <w:t>Balance, December 31,</w:t>
            </w:r>
          </w:p>
        </w:tc>
        <w:tc>
          <w:tcPr>
            <w:tcW w:w="8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spacing w:after="0"/>
              <w:rPr>
                <w:sz w:val="20"/>
                <w:szCs w:val="20"/>
                <w:color w:val="auto"/>
              </w:rPr>
            </w:pPr>
            <w:r>
              <w:rPr>
                <w:rFonts w:ascii="Arial" w:cs="Arial" w:eastAsia="Arial" w:hAnsi="Arial"/>
                <w:sz w:val="10"/>
                <w:szCs w:val="10"/>
                <w:color w:val="auto"/>
              </w:rPr>
              <w:t>2020</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87,697,381</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216,652,704</w:t>
            </w:r>
          </w:p>
        </w:tc>
        <w:tc>
          <w:tcPr>
            <w:tcW w:w="60" w:type="dxa"/>
            <w:vAlign w:val="bottom"/>
            <w:shd w:val="clear" w:color="auto" w:fill="CCEEFF"/>
          </w:tcPr>
          <w:p>
            <w:pPr>
              <w:spacing w:after="0"/>
              <w:rPr>
                <w:sz w:val="12"/>
                <w:szCs w:val="12"/>
                <w:color w:val="auto"/>
              </w:rPr>
            </w:pPr>
          </w:p>
        </w:tc>
        <w:tc>
          <w:tcPr>
            <w:tcW w:w="86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rPr>
              <w:t>86,123,230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0.9</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0.9</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505.2</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436.8</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939.6</w:t>
            </w:r>
          </w:p>
        </w:tc>
        <w:tc>
          <w:tcPr>
            <w:tcW w:w="0" w:type="dxa"/>
            <w:vAlign w:val="bottom"/>
          </w:tcPr>
          <w:p>
            <w:pPr>
              <w:spacing w:after="0"/>
              <w:rPr>
                <w:sz w:val="1"/>
                <w:szCs w:val="1"/>
                <w:color w:val="auto"/>
              </w:rPr>
            </w:pPr>
          </w:p>
        </w:tc>
      </w:tr>
      <w:tr>
        <w:trPr>
          <w:trHeight w:val="123"/>
        </w:trPr>
        <w:tc>
          <w:tcPr>
            <w:tcW w:w="1260" w:type="dxa"/>
            <w:vAlign w:val="bottom"/>
          </w:tcPr>
          <w:p>
            <w:pPr>
              <w:ind w:left="240"/>
              <w:spacing w:after="0"/>
              <w:rPr>
                <w:sz w:val="20"/>
                <w:szCs w:val="20"/>
                <w:color w:val="auto"/>
              </w:rPr>
            </w:pPr>
            <w:r>
              <w:rPr>
                <w:rFonts w:ascii="Arial" w:cs="Arial" w:eastAsia="Arial" w:hAnsi="Arial"/>
                <w:sz w:val="10"/>
                <w:szCs w:val="10"/>
                <w:color w:val="auto"/>
              </w:rPr>
              <w:t>Effect of LLC Unit</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20"/>
                <w:szCs w:val="20"/>
                <w:color w:val="auto"/>
              </w:rPr>
            </w:pPr>
            <w:r>
              <w:rPr>
                <w:rFonts w:ascii="Arial" w:cs="Arial" w:eastAsia="Arial" w:hAnsi="Arial"/>
                <w:sz w:val="10"/>
                <w:szCs w:val="10"/>
                <w:color w:val="auto"/>
              </w:rPr>
              <w:t>Exchanges</w:t>
            </w:r>
          </w:p>
        </w:tc>
        <w:tc>
          <w:tcPr>
            <w:tcW w:w="800" w:type="dxa"/>
            <w:vAlign w:val="bottom"/>
          </w:tcPr>
          <w:p>
            <w:pPr>
              <w:jc w:val="right"/>
              <w:ind w:right="8"/>
              <w:spacing w:after="0"/>
              <w:rPr>
                <w:sz w:val="20"/>
                <w:szCs w:val="20"/>
                <w:color w:val="auto"/>
              </w:rPr>
            </w:pPr>
            <w:r>
              <w:rPr>
                <w:rFonts w:ascii="Arial" w:cs="Arial" w:eastAsia="Arial" w:hAnsi="Arial"/>
                <w:sz w:val="10"/>
                <w:szCs w:val="10"/>
                <w:color w:val="auto"/>
              </w:rPr>
              <w:t>14,500,582</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(9,776,683)</w:t>
            </w:r>
          </w:p>
        </w:tc>
        <w:tc>
          <w:tcPr>
            <w:tcW w:w="60" w:type="dxa"/>
            <w:vAlign w:val="bottom"/>
          </w:tcPr>
          <w:p>
            <w:pPr>
              <w:spacing w:after="0"/>
              <w:rPr>
                <w:sz w:val="12"/>
                <w:szCs w:val="12"/>
                <w:color w:val="auto"/>
              </w:rPr>
            </w:pPr>
          </w:p>
        </w:tc>
        <w:tc>
          <w:tcPr>
            <w:tcW w:w="860" w:type="dxa"/>
            <w:vAlign w:val="bottom"/>
            <w:tcBorders>
              <w:right w:val="single" w:sz="8" w:color="auto"/>
            </w:tcBorders>
          </w:tcPr>
          <w:p>
            <w:pPr>
              <w:jc w:val="right"/>
              <w:ind w:right="68"/>
              <w:spacing w:after="0"/>
              <w:rPr>
                <w:sz w:val="20"/>
                <w:szCs w:val="20"/>
                <w:color w:val="auto"/>
              </w:rPr>
            </w:pPr>
            <w:r>
              <w:rPr>
                <w:rFonts w:ascii="Arial" w:cs="Arial" w:eastAsia="Arial" w:hAnsi="Arial"/>
                <w:sz w:val="10"/>
                <w:szCs w:val="10"/>
                <w:color w:val="auto"/>
              </w:rPr>
              <w:t>(3,869,894)</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0.1</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(0.1)</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(0.1)</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37.2</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(20.1)</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jc w:val="right"/>
              <w:ind w:right="8"/>
              <w:spacing w:after="0"/>
              <w:rPr>
                <w:sz w:val="20"/>
                <w:szCs w:val="20"/>
                <w:color w:val="auto"/>
              </w:rPr>
            </w:pPr>
            <w:r>
              <w:rPr>
                <w:rFonts w:ascii="Arial" w:cs="Arial" w:eastAsia="Arial" w:hAnsi="Arial"/>
                <w:sz w:val="10"/>
                <w:szCs w:val="10"/>
                <w:color w:val="auto"/>
              </w:rPr>
              <w:t>17.0</w:t>
            </w:r>
          </w:p>
        </w:tc>
        <w:tc>
          <w:tcPr>
            <w:tcW w:w="0" w:type="dxa"/>
            <w:vAlign w:val="bottom"/>
          </w:tcPr>
          <w:p>
            <w:pPr>
              <w:spacing w:after="0"/>
              <w:rPr>
                <w:sz w:val="1"/>
                <w:szCs w:val="1"/>
                <w:color w:val="auto"/>
              </w:rPr>
            </w:pPr>
          </w:p>
        </w:tc>
      </w:tr>
      <w:tr>
        <w:trPr>
          <w:trHeight w:val="132"/>
        </w:trPr>
        <w:tc>
          <w:tcPr>
            <w:tcW w:w="1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Issuance of Class A</w:t>
            </w: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60" w:type="dxa"/>
            <w:vAlign w:val="bottom"/>
            <w:shd w:val="clear" w:color="auto" w:fill="CCEEFF"/>
          </w:tcPr>
          <w:p>
            <w:pPr>
              <w:spacing w:after="0"/>
              <w:rPr>
                <w:sz w:val="20"/>
                <w:szCs w:val="20"/>
                <w:color w:val="auto"/>
              </w:rPr>
            </w:pPr>
            <w:r>
              <w:rPr>
                <w:rFonts w:ascii="Arial" w:cs="Arial" w:eastAsia="Arial" w:hAnsi="Arial"/>
                <w:sz w:val="10"/>
                <w:szCs w:val="10"/>
                <w:color w:val="auto"/>
              </w:rPr>
              <w:t>common stock upon vesting</w:t>
            </w: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spacing w:after="0"/>
              <w:rPr>
                <w:sz w:val="20"/>
                <w:szCs w:val="20"/>
                <w:color w:val="auto"/>
              </w:rPr>
            </w:pPr>
            <w:r>
              <w:rPr>
                <w:rFonts w:ascii="Arial" w:cs="Arial" w:eastAsia="Arial" w:hAnsi="Arial"/>
                <w:sz w:val="10"/>
                <w:szCs w:val="10"/>
                <w:color w:val="auto"/>
              </w:rPr>
              <w:t>of RSUs</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20,439</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tcBorders>
              <w:right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3"/>
        </w:trPr>
        <w:tc>
          <w:tcPr>
            <w:tcW w:w="1260" w:type="dxa"/>
            <w:vAlign w:val="bottom"/>
          </w:tcPr>
          <w:p>
            <w:pPr>
              <w:ind w:left="240"/>
              <w:spacing w:after="0"/>
              <w:rPr>
                <w:sz w:val="20"/>
                <w:szCs w:val="20"/>
                <w:color w:val="auto"/>
              </w:rPr>
            </w:pPr>
            <w:r>
              <w:rPr>
                <w:rFonts w:ascii="Arial" w:cs="Arial" w:eastAsia="Arial" w:hAnsi="Arial"/>
                <w:sz w:val="10"/>
                <w:szCs w:val="10"/>
                <w:color w:val="auto"/>
                <w:w w:val="95"/>
              </w:rPr>
              <w:t>Shares withheld related</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260" w:type="dxa"/>
            <w:vAlign w:val="bottom"/>
          </w:tcPr>
          <w:p>
            <w:pPr>
              <w:spacing w:after="0"/>
              <w:rPr>
                <w:sz w:val="20"/>
                <w:szCs w:val="20"/>
                <w:color w:val="auto"/>
              </w:rPr>
            </w:pPr>
            <w:r>
              <w:rPr>
                <w:rFonts w:ascii="Arial" w:cs="Arial" w:eastAsia="Arial" w:hAnsi="Arial"/>
                <w:sz w:val="10"/>
                <w:szCs w:val="10"/>
                <w:color w:val="auto"/>
              </w:rPr>
              <w:t>to net share settlement and</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20"/>
                <w:szCs w:val="20"/>
                <w:color w:val="auto"/>
              </w:rPr>
            </w:pPr>
            <w:r>
              <w:rPr>
                <w:rFonts w:ascii="Arial" w:cs="Arial" w:eastAsia="Arial" w:hAnsi="Arial"/>
                <w:sz w:val="10"/>
                <w:szCs w:val="10"/>
                <w:color w:val="auto"/>
              </w:rPr>
              <w:t>other</w:t>
            </w:r>
          </w:p>
        </w:tc>
        <w:tc>
          <w:tcPr>
            <w:tcW w:w="800" w:type="dxa"/>
            <w:vAlign w:val="bottom"/>
          </w:tcPr>
          <w:p>
            <w:pPr>
              <w:jc w:val="right"/>
              <w:spacing w:after="0"/>
              <w:rPr>
                <w:sz w:val="20"/>
                <w:szCs w:val="20"/>
                <w:color w:val="auto"/>
              </w:rPr>
            </w:pPr>
            <w:r>
              <w:rPr>
                <w:rFonts w:ascii="Arial" w:cs="Arial" w:eastAsia="Arial" w:hAnsi="Arial"/>
                <w:sz w:val="10"/>
                <w:szCs w:val="10"/>
                <w:color w:val="auto"/>
              </w:rPr>
              <w:t>(30,936)</w:t>
            </w:r>
          </w:p>
        </w:tc>
        <w:tc>
          <w:tcPr>
            <w:tcW w:w="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tcBorders>
              <w:right w:val="single" w:sz="8" w:color="auto"/>
            </w:tcBorders>
          </w:tcPr>
          <w:p>
            <w:pPr>
              <w:jc w:val="right"/>
              <w:ind w:right="10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(1.6)</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32"/>
        </w:trPr>
        <w:tc>
          <w:tcPr>
            <w:tcW w:w="1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Exercise of stock</w:t>
            </w: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spacing w:after="0"/>
              <w:rPr>
                <w:sz w:val="20"/>
                <w:szCs w:val="20"/>
                <w:color w:val="auto"/>
              </w:rPr>
            </w:pPr>
            <w:r>
              <w:rPr>
                <w:rFonts w:ascii="Arial" w:cs="Arial" w:eastAsia="Arial" w:hAnsi="Arial"/>
                <w:sz w:val="10"/>
                <w:szCs w:val="10"/>
                <w:color w:val="auto"/>
              </w:rPr>
              <w:t>options</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24,758</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tcBorders>
              <w:right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0.5</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0.5</w:t>
            </w:r>
          </w:p>
        </w:tc>
        <w:tc>
          <w:tcPr>
            <w:tcW w:w="0" w:type="dxa"/>
            <w:vAlign w:val="bottom"/>
          </w:tcPr>
          <w:p>
            <w:pPr>
              <w:spacing w:after="0"/>
              <w:rPr>
                <w:sz w:val="1"/>
                <w:szCs w:val="1"/>
                <w:color w:val="auto"/>
              </w:rPr>
            </w:pPr>
          </w:p>
        </w:tc>
      </w:tr>
      <w:tr>
        <w:trPr>
          <w:trHeight w:val="123"/>
        </w:trPr>
        <w:tc>
          <w:tcPr>
            <w:tcW w:w="1260" w:type="dxa"/>
            <w:vAlign w:val="bottom"/>
          </w:tcPr>
          <w:p>
            <w:pPr>
              <w:ind w:left="240"/>
              <w:spacing w:after="0"/>
              <w:rPr>
                <w:sz w:val="20"/>
                <w:szCs w:val="20"/>
                <w:color w:val="auto"/>
              </w:rPr>
            </w:pPr>
            <w:r>
              <w:rPr>
                <w:rFonts w:ascii="Arial" w:cs="Arial" w:eastAsia="Arial" w:hAnsi="Arial"/>
                <w:sz w:val="10"/>
                <w:szCs w:val="10"/>
                <w:color w:val="auto"/>
              </w:rPr>
              <w:t>Forfeitures /</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20"/>
                <w:szCs w:val="20"/>
                <w:color w:val="auto"/>
              </w:rPr>
            </w:pPr>
            <w:r>
              <w:rPr>
                <w:rFonts w:ascii="Arial" w:cs="Arial" w:eastAsia="Arial" w:hAnsi="Arial"/>
                <w:sz w:val="10"/>
                <w:szCs w:val="10"/>
                <w:color w:val="auto"/>
              </w:rPr>
              <w:t>cancellations</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(7,852)</w:t>
            </w:r>
          </w:p>
        </w:tc>
        <w:tc>
          <w:tcPr>
            <w:tcW w:w="60" w:type="dxa"/>
            <w:vAlign w:val="bottom"/>
          </w:tcPr>
          <w:p>
            <w:pPr>
              <w:spacing w:after="0"/>
              <w:rPr>
                <w:sz w:val="12"/>
                <w:szCs w:val="12"/>
                <w:color w:val="auto"/>
              </w:rPr>
            </w:pPr>
          </w:p>
        </w:tc>
        <w:tc>
          <w:tcPr>
            <w:tcW w:w="860" w:type="dxa"/>
            <w:vAlign w:val="bottom"/>
            <w:tcBorders>
              <w:right w:val="single" w:sz="8" w:color="auto"/>
            </w:tcBorders>
          </w:tcPr>
          <w:p>
            <w:pPr>
              <w:jc w:val="right"/>
              <w:ind w:right="10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4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4"/>
        </w:trPr>
        <w:tc>
          <w:tcPr>
            <w:tcW w:w="1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Net income (loss)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tcBorders>
              <w:right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(37.1)</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(33.9)</w:t>
            </w:r>
          </w:p>
        </w:tc>
        <w:tc>
          <w:tcPr>
            <w:tcW w:w="0" w:type="dxa"/>
            <w:vAlign w:val="bottom"/>
          </w:tcPr>
          <w:p>
            <w:pPr>
              <w:spacing w:after="0"/>
              <w:rPr>
                <w:sz w:val="1"/>
                <w:szCs w:val="1"/>
                <w:color w:val="auto"/>
              </w:rPr>
            </w:pPr>
          </w:p>
        </w:tc>
      </w:tr>
      <w:tr>
        <w:trPr>
          <w:trHeight w:val="123"/>
        </w:trPr>
        <w:tc>
          <w:tcPr>
            <w:tcW w:w="1260" w:type="dxa"/>
            <w:vAlign w:val="bottom"/>
          </w:tcPr>
          <w:p>
            <w:pPr>
              <w:ind w:left="240"/>
              <w:spacing w:after="0"/>
              <w:rPr>
                <w:sz w:val="20"/>
                <w:szCs w:val="20"/>
                <w:color w:val="auto"/>
              </w:rPr>
            </w:pPr>
            <w:r>
              <w:rPr>
                <w:rFonts w:ascii="Arial" w:cs="Arial" w:eastAsia="Arial" w:hAnsi="Arial"/>
                <w:sz w:val="10"/>
                <w:szCs w:val="10"/>
                <w:color w:val="auto"/>
              </w:rPr>
              <w:t>Other comprehensive</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20"/>
                <w:szCs w:val="20"/>
                <w:color w:val="auto"/>
              </w:rPr>
            </w:pPr>
            <w:r>
              <w:rPr>
                <w:rFonts w:ascii="Arial" w:cs="Arial" w:eastAsia="Arial" w:hAnsi="Arial"/>
                <w:sz w:val="10"/>
                <w:szCs w:val="10"/>
                <w:color w:val="auto"/>
              </w:rPr>
              <w:t>income</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tcBorders>
              <w:right w:val="single" w:sz="8" w:color="auto"/>
            </w:tcBorders>
          </w:tcPr>
          <w:p>
            <w:pPr>
              <w:jc w:val="right"/>
              <w:ind w:right="10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4.0</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Arial" w:cs="Arial" w:eastAsia="Arial" w:hAnsi="Arial"/>
                <w:sz w:val="10"/>
                <w:szCs w:val="10"/>
                <w:color w:val="auto"/>
              </w:rPr>
              <w:t>6.2</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jc w:val="right"/>
              <w:ind w:right="8"/>
              <w:spacing w:after="0"/>
              <w:rPr>
                <w:sz w:val="20"/>
                <w:szCs w:val="20"/>
                <w:color w:val="auto"/>
              </w:rPr>
            </w:pPr>
            <w:r>
              <w:rPr>
                <w:rFonts w:ascii="Arial" w:cs="Arial" w:eastAsia="Arial" w:hAnsi="Arial"/>
                <w:sz w:val="10"/>
                <w:szCs w:val="10"/>
                <w:color w:val="auto"/>
              </w:rPr>
              <w:t>10.2</w:t>
            </w:r>
          </w:p>
        </w:tc>
        <w:tc>
          <w:tcPr>
            <w:tcW w:w="0" w:type="dxa"/>
            <w:vAlign w:val="bottom"/>
          </w:tcPr>
          <w:p>
            <w:pPr>
              <w:spacing w:after="0"/>
              <w:rPr>
                <w:sz w:val="1"/>
                <w:szCs w:val="1"/>
                <w:color w:val="auto"/>
              </w:rPr>
            </w:pPr>
          </w:p>
        </w:tc>
      </w:tr>
      <w:tr>
        <w:trPr>
          <w:trHeight w:val="132"/>
        </w:trPr>
        <w:tc>
          <w:tcPr>
            <w:tcW w:w="1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Paid and accrued tax</w:t>
            </w: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spacing w:after="0"/>
              <w:rPr>
                <w:sz w:val="20"/>
                <w:szCs w:val="20"/>
                <w:color w:val="auto"/>
              </w:rPr>
            </w:pPr>
            <w:r>
              <w:rPr>
                <w:rFonts w:ascii="Arial" w:cs="Arial" w:eastAsia="Arial" w:hAnsi="Arial"/>
                <w:sz w:val="10"/>
                <w:szCs w:val="10"/>
                <w:color w:val="auto"/>
              </w:rPr>
              <w:t>distributions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tcBorders>
              <w:right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w:t>
            </w:r>
          </w:p>
        </w:tc>
        <w:tc>
          <w:tcPr>
            <w:tcW w:w="0" w:type="dxa"/>
            <w:vAlign w:val="bottom"/>
          </w:tcPr>
          <w:p>
            <w:pPr>
              <w:spacing w:after="0"/>
              <w:rPr>
                <w:sz w:val="1"/>
                <w:szCs w:val="1"/>
                <w:color w:val="auto"/>
              </w:rPr>
            </w:pPr>
          </w:p>
        </w:tc>
      </w:tr>
      <w:tr>
        <w:trPr>
          <w:trHeight w:val="123"/>
        </w:trPr>
        <w:tc>
          <w:tcPr>
            <w:tcW w:w="1260" w:type="dxa"/>
            <w:vAlign w:val="bottom"/>
          </w:tcPr>
          <w:p>
            <w:pPr>
              <w:ind w:left="240"/>
              <w:spacing w:after="0"/>
              <w:rPr>
                <w:sz w:val="20"/>
                <w:szCs w:val="20"/>
                <w:color w:val="auto"/>
              </w:rPr>
            </w:pPr>
            <w:r>
              <w:rPr>
                <w:rFonts w:ascii="Arial" w:cs="Arial" w:eastAsia="Arial" w:hAnsi="Arial"/>
                <w:sz w:val="10"/>
                <w:szCs w:val="10"/>
                <w:color w:val="auto"/>
              </w:rPr>
              <w:t>Equity-based</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20"/>
                <w:szCs w:val="20"/>
                <w:color w:val="auto"/>
              </w:rPr>
            </w:pPr>
            <w:r>
              <w:rPr>
                <w:rFonts w:ascii="Arial" w:cs="Arial" w:eastAsia="Arial" w:hAnsi="Arial"/>
                <w:sz w:val="10"/>
                <w:szCs w:val="10"/>
                <w:color w:val="auto"/>
              </w:rPr>
              <w:t>compensation</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tcBorders>
              <w:right w:val="single" w:sz="8" w:color="auto"/>
            </w:tcBorders>
          </w:tcPr>
          <w:p>
            <w:pPr>
              <w:jc w:val="right"/>
              <w:ind w:right="10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8.3</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Arial" w:cs="Arial" w:eastAsia="Arial" w:hAnsi="Arial"/>
                <w:sz w:val="10"/>
                <w:szCs w:val="10"/>
                <w:color w:val="auto"/>
              </w:rPr>
              <w:t>9.8</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jc w:val="right"/>
              <w:ind w:right="8"/>
              <w:spacing w:after="0"/>
              <w:rPr>
                <w:sz w:val="20"/>
                <w:szCs w:val="20"/>
                <w:color w:val="auto"/>
              </w:rPr>
            </w:pPr>
            <w:r>
              <w:rPr>
                <w:rFonts w:ascii="Arial" w:cs="Arial" w:eastAsia="Arial" w:hAnsi="Arial"/>
                <w:sz w:val="10"/>
                <w:szCs w:val="10"/>
                <w:color w:val="auto"/>
              </w:rPr>
              <w:t>18.1</w:t>
            </w:r>
          </w:p>
        </w:tc>
        <w:tc>
          <w:tcPr>
            <w:tcW w:w="0" w:type="dxa"/>
            <w:vAlign w:val="bottom"/>
          </w:tcPr>
          <w:p>
            <w:pPr>
              <w:spacing w:after="0"/>
              <w:rPr>
                <w:sz w:val="1"/>
                <w:szCs w:val="1"/>
                <w:color w:val="auto"/>
              </w:rPr>
            </w:pPr>
          </w:p>
        </w:tc>
      </w:tr>
      <w:tr>
        <w:trPr>
          <w:trHeight w:val="108"/>
        </w:trPr>
        <w:tc>
          <w:tcPr>
            <w:tcW w:w="1260" w:type="dxa"/>
            <w:vAlign w:val="bottom"/>
            <w:tcBorders>
              <w:top w:val="single" w:sz="8" w:color="CCEEFF"/>
            </w:tcBorders>
            <w:shd w:val="clear" w:color="auto" w:fill="CCEEFF"/>
          </w:tcPr>
          <w:p>
            <w:pPr>
              <w:ind w:left="240"/>
              <w:spacing w:after="0" w:line="108" w:lineRule="exact"/>
              <w:rPr>
                <w:sz w:val="20"/>
                <w:szCs w:val="20"/>
                <w:color w:val="auto"/>
              </w:rPr>
            </w:pPr>
            <w:r>
              <w:rPr>
                <w:rFonts w:ascii="Arial" w:cs="Arial" w:eastAsia="Arial" w:hAnsi="Arial"/>
                <w:sz w:val="10"/>
                <w:szCs w:val="10"/>
                <w:b w:val="1"/>
                <w:bCs w:val="1"/>
                <w:color w:val="auto"/>
              </w:rPr>
              <w:t>Balance at March 31,</w:t>
            </w:r>
          </w:p>
        </w:tc>
        <w:tc>
          <w:tcPr>
            <w:tcW w:w="8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2021</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102,212,224</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206,868,169</w:t>
            </w:r>
          </w:p>
        </w:tc>
        <w:tc>
          <w:tcPr>
            <w:tcW w:w="6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rPr>
              <w:t>82,253,336</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0.8</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549.6</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(0.8)</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392.6</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946.9</w:t>
            </w:r>
          </w:p>
        </w:tc>
        <w:tc>
          <w:tcPr>
            <w:tcW w:w="0" w:type="dxa"/>
            <w:vAlign w:val="bottom"/>
          </w:tcPr>
          <w:p>
            <w:pPr>
              <w:spacing w:after="0"/>
              <w:rPr>
                <w:sz w:val="1"/>
                <w:szCs w:val="1"/>
                <w:color w:val="auto"/>
              </w:rPr>
            </w:pPr>
          </w:p>
        </w:tc>
      </w:tr>
      <w:tr>
        <w:trPr>
          <w:trHeight w:val="123"/>
        </w:trPr>
        <w:tc>
          <w:tcPr>
            <w:tcW w:w="1260" w:type="dxa"/>
            <w:vAlign w:val="bottom"/>
          </w:tcPr>
          <w:p>
            <w:pPr>
              <w:ind w:left="240"/>
              <w:spacing w:after="0"/>
              <w:rPr>
                <w:sz w:val="20"/>
                <w:szCs w:val="20"/>
                <w:color w:val="auto"/>
              </w:rPr>
            </w:pPr>
            <w:r>
              <w:rPr>
                <w:rFonts w:ascii="Arial" w:cs="Arial" w:eastAsia="Arial" w:hAnsi="Arial"/>
                <w:sz w:val="10"/>
                <w:szCs w:val="10"/>
                <w:color w:val="auto"/>
              </w:rPr>
              <w:t>Effect of LLC Unit</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20"/>
                <w:szCs w:val="20"/>
                <w:color w:val="auto"/>
              </w:rPr>
            </w:pPr>
            <w:r>
              <w:rPr>
                <w:rFonts w:ascii="Arial" w:cs="Arial" w:eastAsia="Arial" w:hAnsi="Arial"/>
                <w:sz w:val="10"/>
                <w:szCs w:val="10"/>
                <w:color w:val="auto"/>
              </w:rPr>
              <w:t>Exchanges</w:t>
            </w:r>
          </w:p>
        </w:tc>
        <w:tc>
          <w:tcPr>
            <w:tcW w:w="800" w:type="dxa"/>
            <w:vAlign w:val="bottom"/>
          </w:tcPr>
          <w:p>
            <w:pPr>
              <w:jc w:val="right"/>
              <w:ind w:right="8"/>
              <w:spacing w:after="0"/>
              <w:rPr>
                <w:sz w:val="20"/>
                <w:szCs w:val="20"/>
                <w:color w:val="auto"/>
              </w:rPr>
            </w:pPr>
            <w:r>
              <w:rPr>
                <w:rFonts w:ascii="Arial" w:cs="Arial" w:eastAsia="Arial" w:hAnsi="Arial"/>
                <w:sz w:val="10"/>
                <w:szCs w:val="10"/>
                <w:color w:val="auto"/>
              </w:rPr>
              <w:t>19,514,930</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(15,259,859)</w:t>
            </w:r>
          </w:p>
        </w:tc>
        <w:tc>
          <w:tcPr>
            <w:tcW w:w="60" w:type="dxa"/>
            <w:vAlign w:val="bottom"/>
          </w:tcPr>
          <w:p>
            <w:pPr>
              <w:spacing w:after="0"/>
              <w:rPr>
                <w:sz w:val="12"/>
                <w:szCs w:val="12"/>
                <w:color w:val="auto"/>
              </w:rPr>
            </w:pPr>
          </w:p>
        </w:tc>
        <w:tc>
          <w:tcPr>
            <w:tcW w:w="860" w:type="dxa"/>
            <w:vAlign w:val="bottom"/>
            <w:tcBorders>
              <w:right w:val="single" w:sz="8" w:color="auto"/>
            </w:tcBorders>
          </w:tcPr>
          <w:p>
            <w:pPr>
              <w:jc w:val="right"/>
              <w:ind w:right="68"/>
              <w:spacing w:after="0"/>
              <w:rPr>
                <w:sz w:val="20"/>
                <w:szCs w:val="20"/>
                <w:color w:val="auto"/>
              </w:rPr>
            </w:pPr>
            <w:r>
              <w:rPr>
                <w:rFonts w:ascii="Arial" w:cs="Arial" w:eastAsia="Arial" w:hAnsi="Arial"/>
                <w:sz w:val="10"/>
                <w:szCs w:val="10"/>
                <w:color w:val="auto"/>
              </w:rPr>
              <w:t>(4,040,025)</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0.2</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(0.2)</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45.1</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0.1</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(31.1)</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jc w:val="right"/>
              <w:ind w:right="8"/>
              <w:spacing w:after="0"/>
              <w:rPr>
                <w:sz w:val="20"/>
                <w:szCs w:val="20"/>
                <w:color w:val="auto"/>
              </w:rPr>
            </w:pPr>
            <w:r>
              <w:rPr>
                <w:rFonts w:ascii="Arial" w:cs="Arial" w:eastAsia="Arial" w:hAnsi="Arial"/>
                <w:sz w:val="10"/>
                <w:szCs w:val="10"/>
                <w:color w:val="auto"/>
              </w:rPr>
              <w:t>14.1</w:t>
            </w:r>
          </w:p>
        </w:tc>
        <w:tc>
          <w:tcPr>
            <w:tcW w:w="0" w:type="dxa"/>
            <w:vAlign w:val="bottom"/>
          </w:tcPr>
          <w:p>
            <w:pPr>
              <w:spacing w:after="0"/>
              <w:rPr>
                <w:sz w:val="1"/>
                <w:szCs w:val="1"/>
                <w:color w:val="auto"/>
              </w:rPr>
            </w:pPr>
          </w:p>
        </w:tc>
      </w:tr>
      <w:tr>
        <w:trPr>
          <w:trHeight w:val="132"/>
        </w:trPr>
        <w:tc>
          <w:tcPr>
            <w:tcW w:w="1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Issuance of Class A</w:t>
            </w: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60" w:type="dxa"/>
            <w:vAlign w:val="bottom"/>
            <w:shd w:val="clear" w:color="auto" w:fill="CCEEFF"/>
          </w:tcPr>
          <w:p>
            <w:pPr>
              <w:spacing w:after="0"/>
              <w:rPr>
                <w:sz w:val="20"/>
                <w:szCs w:val="20"/>
                <w:color w:val="auto"/>
              </w:rPr>
            </w:pPr>
            <w:r>
              <w:rPr>
                <w:rFonts w:ascii="Arial" w:cs="Arial" w:eastAsia="Arial" w:hAnsi="Arial"/>
                <w:sz w:val="10"/>
                <w:szCs w:val="10"/>
                <w:color w:val="auto"/>
              </w:rPr>
              <w:t>common stock upon vesting</w:t>
            </w: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spacing w:after="0"/>
              <w:rPr>
                <w:sz w:val="20"/>
                <w:szCs w:val="20"/>
                <w:color w:val="auto"/>
              </w:rPr>
            </w:pPr>
            <w:r>
              <w:rPr>
                <w:rFonts w:ascii="Arial" w:cs="Arial" w:eastAsia="Arial" w:hAnsi="Arial"/>
                <w:sz w:val="10"/>
                <w:szCs w:val="10"/>
                <w:color w:val="auto"/>
              </w:rPr>
              <w:t>of RSUs</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123,729</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tcBorders>
              <w:right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3"/>
        </w:trPr>
        <w:tc>
          <w:tcPr>
            <w:tcW w:w="1260" w:type="dxa"/>
            <w:vAlign w:val="bottom"/>
          </w:tcPr>
          <w:p>
            <w:pPr>
              <w:ind w:left="240"/>
              <w:spacing w:after="0"/>
              <w:rPr>
                <w:sz w:val="20"/>
                <w:szCs w:val="20"/>
                <w:color w:val="auto"/>
              </w:rPr>
            </w:pPr>
            <w:r>
              <w:rPr>
                <w:rFonts w:ascii="Arial" w:cs="Arial" w:eastAsia="Arial" w:hAnsi="Arial"/>
                <w:sz w:val="10"/>
                <w:szCs w:val="10"/>
                <w:color w:val="auto"/>
                <w:w w:val="95"/>
              </w:rPr>
              <w:t>Shares withheld related</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260" w:type="dxa"/>
            <w:vAlign w:val="bottom"/>
          </w:tcPr>
          <w:p>
            <w:pPr>
              <w:spacing w:after="0"/>
              <w:rPr>
                <w:sz w:val="20"/>
                <w:szCs w:val="20"/>
                <w:color w:val="auto"/>
              </w:rPr>
            </w:pPr>
            <w:r>
              <w:rPr>
                <w:rFonts w:ascii="Arial" w:cs="Arial" w:eastAsia="Arial" w:hAnsi="Arial"/>
                <w:sz w:val="10"/>
                <w:szCs w:val="10"/>
                <w:color w:val="auto"/>
              </w:rPr>
              <w:t>to net share settlement and</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20"/>
                <w:szCs w:val="20"/>
                <w:color w:val="auto"/>
              </w:rPr>
            </w:pPr>
            <w:r>
              <w:rPr>
                <w:rFonts w:ascii="Arial" w:cs="Arial" w:eastAsia="Arial" w:hAnsi="Arial"/>
                <w:sz w:val="10"/>
                <w:szCs w:val="10"/>
                <w:color w:val="auto"/>
              </w:rPr>
              <w:t>other</w:t>
            </w:r>
          </w:p>
        </w:tc>
        <w:tc>
          <w:tcPr>
            <w:tcW w:w="800" w:type="dxa"/>
            <w:vAlign w:val="bottom"/>
          </w:tcPr>
          <w:p>
            <w:pPr>
              <w:jc w:val="right"/>
              <w:spacing w:after="0"/>
              <w:rPr>
                <w:sz w:val="20"/>
                <w:szCs w:val="20"/>
                <w:color w:val="auto"/>
              </w:rPr>
            </w:pPr>
            <w:r>
              <w:rPr>
                <w:rFonts w:ascii="Arial" w:cs="Arial" w:eastAsia="Arial" w:hAnsi="Arial"/>
                <w:sz w:val="10"/>
                <w:szCs w:val="10"/>
                <w:color w:val="auto"/>
              </w:rPr>
              <w:t>(14,333)</w:t>
            </w:r>
          </w:p>
        </w:tc>
        <w:tc>
          <w:tcPr>
            <w:tcW w:w="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tcBorders>
              <w:right w:val="single" w:sz="8" w:color="auto"/>
            </w:tcBorders>
          </w:tcPr>
          <w:p>
            <w:pPr>
              <w:jc w:val="right"/>
              <w:ind w:right="10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(0.6)</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(0.6)</w:t>
            </w:r>
          </w:p>
        </w:tc>
        <w:tc>
          <w:tcPr>
            <w:tcW w:w="0" w:type="dxa"/>
            <w:vAlign w:val="bottom"/>
          </w:tcPr>
          <w:p>
            <w:pPr>
              <w:spacing w:after="0"/>
              <w:rPr>
                <w:sz w:val="1"/>
                <w:szCs w:val="1"/>
                <w:color w:val="auto"/>
              </w:rPr>
            </w:pPr>
          </w:p>
        </w:tc>
      </w:tr>
      <w:tr>
        <w:trPr>
          <w:trHeight w:val="132"/>
        </w:trPr>
        <w:tc>
          <w:tcPr>
            <w:tcW w:w="1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Exercise of stock</w:t>
            </w: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spacing w:after="0"/>
              <w:rPr>
                <w:sz w:val="20"/>
                <w:szCs w:val="20"/>
                <w:color w:val="auto"/>
              </w:rPr>
            </w:pPr>
            <w:r>
              <w:rPr>
                <w:rFonts w:ascii="Arial" w:cs="Arial" w:eastAsia="Arial" w:hAnsi="Arial"/>
                <w:sz w:val="10"/>
                <w:szCs w:val="10"/>
                <w:color w:val="auto"/>
              </w:rPr>
              <w:t>options</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11,056</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tcBorders>
              <w:right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0.2</w:t>
            </w:r>
          </w:p>
        </w:tc>
        <w:tc>
          <w:tcPr>
            <w:tcW w:w="0" w:type="dxa"/>
            <w:vAlign w:val="bottom"/>
          </w:tcPr>
          <w:p>
            <w:pPr>
              <w:spacing w:after="0"/>
              <w:rPr>
                <w:sz w:val="1"/>
                <w:szCs w:val="1"/>
                <w:color w:val="auto"/>
              </w:rPr>
            </w:pPr>
          </w:p>
        </w:tc>
      </w:tr>
      <w:tr>
        <w:trPr>
          <w:trHeight w:val="123"/>
        </w:trPr>
        <w:tc>
          <w:tcPr>
            <w:tcW w:w="1260" w:type="dxa"/>
            <w:vAlign w:val="bottom"/>
          </w:tcPr>
          <w:p>
            <w:pPr>
              <w:ind w:left="240"/>
              <w:spacing w:after="0"/>
              <w:rPr>
                <w:sz w:val="20"/>
                <w:szCs w:val="20"/>
                <w:color w:val="auto"/>
              </w:rPr>
            </w:pPr>
            <w:r>
              <w:rPr>
                <w:rFonts w:ascii="Arial" w:cs="Arial" w:eastAsia="Arial" w:hAnsi="Arial"/>
                <w:sz w:val="10"/>
                <w:szCs w:val="10"/>
                <w:color w:val="auto"/>
              </w:rPr>
              <w:t>Forfeitures /</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20"/>
                <w:szCs w:val="20"/>
                <w:color w:val="auto"/>
              </w:rPr>
            </w:pPr>
            <w:r>
              <w:rPr>
                <w:rFonts w:ascii="Arial" w:cs="Arial" w:eastAsia="Arial" w:hAnsi="Arial"/>
                <w:sz w:val="10"/>
                <w:szCs w:val="10"/>
                <w:color w:val="auto"/>
              </w:rPr>
              <w:t>cancellations</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(32,424)</w:t>
            </w:r>
          </w:p>
        </w:tc>
        <w:tc>
          <w:tcPr>
            <w:tcW w:w="60" w:type="dxa"/>
            <w:vAlign w:val="bottom"/>
          </w:tcPr>
          <w:p>
            <w:pPr>
              <w:spacing w:after="0"/>
              <w:rPr>
                <w:sz w:val="12"/>
                <w:szCs w:val="12"/>
                <w:color w:val="auto"/>
              </w:rPr>
            </w:pPr>
          </w:p>
        </w:tc>
        <w:tc>
          <w:tcPr>
            <w:tcW w:w="860" w:type="dxa"/>
            <w:vAlign w:val="bottom"/>
            <w:tcBorders>
              <w:right w:val="single" w:sz="8" w:color="auto"/>
            </w:tcBorders>
          </w:tcPr>
          <w:p>
            <w:pPr>
              <w:jc w:val="right"/>
              <w:ind w:right="10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42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4"/>
        </w:trPr>
        <w:tc>
          <w:tcPr>
            <w:tcW w:w="1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Net income (loss)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tcBorders>
              <w:right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15.2</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24.5</w:t>
            </w:r>
          </w:p>
        </w:tc>
        <w:tc>
          <w:tcPr>
            <w:tcW w:w="0" w:type="dxa"/>
            <w:vAlign w:val="bottom"/>
          </w:tcPr>
          <w:p>
            <w:pPr>
              <w:spacing w:after="0"/>
              <w:rPr>
                <w:sz w:val="1"/>
                <w:szCs w:val="1"/>
                <w:color w:val="auto"/>
              </w:rPr>
            </w:pPr>
          </w:p>
        </w:tc>
      </w:tr>
      <w:tr>
        <w:trPr>
          <w:trHeight w:val="123"/>
        </w:trPr>
        <w:tc>
          <w:tcPr>
            <w:tcW w:w="1260" w:type="dxa"/>
            <w:vAlign w:val="bottom"/>
          </w:tcPr>
          <w:p>
            <w:pPr>
              <w:ind w:left="240"/>
              <w:spacing w:after="0"/>
              <w:rPr>
                <w:sz w:val="20"/>
                <w:szCs w:val="20"/>
                <w:color w:val="auto"/>
              </w:rPr>
            </w:pPr>
            <w:r>
              <w:rPr>
                <w:rFonts w:ascii="Arial" w:cs="Arial" w:eastAsia="Arial" w:hAnsi="Arial"/>
                <w:sz w:val="10"/>
                <w:szCs w:val="10"/>
                <w:color w:val="auto"/>
              </w:rPr>
              <w:t>Other comprehensive</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20"/>
                <w:szCs w:val="20"/>
                <w:color w:val="auto"/>
              </w:rPr>
            </w:pPr>
            <w:r>
              <w:rPr>
                <w:rFonts w:ascii="Arial" w:cs="Arial" w:eastAsia="Arial" w:hAnsi="Arial"/>
                <w:sz w:val="10"/>
                <w:szCs w:val="10"/>
                <w:color w:val="auto"/>
              </w:rPr>
              <w:t>income</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tcBorders>
              <w:right w:val="single" w:sz="8" w:color="auto"/>
            </w:tcBorders>
          </w:tcPr>
          <w:p>
            <w:pPr>
              <w:jc w:val="right"/>
              <w:ind w:right="10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(0.5)</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(0.8)</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32"/>
        </w:trPr>
        <w:tc>
          <w:tcPr>
            <w:tcW w:w="1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Paid and accrued tax</w:t>
            </w: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spacing w:after="0"/>
              <w:rPr>
                <w:sz w:val="20"/>
                <w:szCs w:val="20"/>
                <w:color w:val="auto"/>
              </w:rPr>
            </w:pPr>
            <w:r>
              <w:rPr>
                <w:rFonts w:ascii="Arial" w:cs="Arial" w:eastAsia="Arial" w:hAnsi="Arial"/>
                <w:sz w:val="10"/>
                <w:szCs w:val="10"/>
                <w:color w:val="auto"/>
              </w:rPr>
              <w:t>distributions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tcBorders>
              <w:right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w:t>
            </w:r>
          </w:p>
        </w:tc>
        <w:tc>
          <w:tcPr>
            <w:tcW w:w="0" w:type="dxa"/>
            <w:vAlign w:val="bottom"/>
          </w:tcPr>
          <w:p>
            <w:pPr>
              <w:spacing w:after="0"/>
              <w:rPr>
                <w:sz w:val="1"/>
                <w:szCs w:val="1"/>
                <w:color w:val="auto"/>
              </w:rPr>
            </w:pPr>
          </w:p>
        </w:tc>
      </w:tr>
      <w:tr>
        <w:trPr>
          <w:trHeight w:val="123"/>
        </w:trPr>
        <w:tc>
          <w:tcPr>
            <w:tcW w:w="1260" w:type="dxa"/>
            <w:vAlign w:val="bottom"/>
          </w:tcPr>
          <w:p>
            <w:pPr>
              <w:ind w:left="240"/>
              <w:spacing w:after="0"/>
              <w:rPr>
                <w:sz w:val="20"/>
                <w:szCs w:val="20"/>
                <w:color w:val="auto"/>
              </w:rPr>
            </w:pPr>
            <w:r>
              <w:rPr>
                <w:rFonts w:ascii="Arial" w:cs="Arial" w:eastAsia="Arial" w:hAnsi="Arial"/>
                <w:sz w:val="10"/>
                <w:szCs w:val="10"/>
                <w:color w:val="auto"/>
              </w:rPr>
              <w:t>Equity-based</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2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compensation</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12"/>
                <w:szCs w:val="12"/>
                <w:color w:val="auto"/>
              </w:rPr>
            </w:pPr>
          </w:p>
        </w:tc>
        <w:tc>
          <w:tcPr>
            <w:tcW w:w="8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8.4</w:t>
            </w: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8.7</w:t>
            </w:r>
          </w:p>
        </w:tc>
        <w:tc>
          <w:tcPr>
            <w:tcW w:w="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rPr>
              <w:t>17.1</w:t>
            </w:r>
          </w:p>
        </w:tc>
        <w:tc>
          <w:tcPr>
            <w:tcW w:w="0" w:type="dxa"/>
            <w:vAlign w:val="bottom"/>
          </w:tcPr>
          <w:p>
            <w:pPr>
              <w:spacing w:after="0"/>
              <w:rPr>
                <w:sz w:val="1"/>
                <w:szCs w:val="1"/>
                <w:color w:val="auto"/>
              </w:rPr>
            </w:pPr>
          </w:p>
        </w:tc>
      </w:tr>
      <w:tr>
        <w:trPr>
          <w:trHeight w:val="108"/>
        </w:trPr>
        <w:tc>
          <w:tcPr>
            <w:tcW w:w="126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b w:val="1"/>
                <w:bCs w:val="1"/>
                <w:color w:val="auto"/>
              </w:rPr>
              <w:t>Balance at June 30,</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121,847,606</w:t>
            </w:r>
          </w:p>
        </w:tc>
        <w:tc>
          <w:tcPr>
            <w:tcW w:w="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191,575,886</w:t>
            </w:r>
          </w:p>
        </w:tc>
        <w:tc>
          <w:tcPr>
            <w:tcW w:w="60" w:type="dxa"/>
            <w:vAlign w:val="bottom"/>
            <w:shd w:val="clear" w:color="auto" w:fill="CCEEFF"/>
          </w:tcPr>
          <w:p>
            <w:pPr>
              <w:spacing w:after="0"/>
              <w:rPr>
                <w:sz w:val="9"/>
                <w:szCs w:val="9"/>
                <w:color w:val="auto"/>
              </w:rPr>
            </w:pPr>
          </w:p>
        </w:tc>
        <w:tc>
          <w:tcPr>
            <w:tcW w:w="86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0"/>
                <w:szCs w:val="10"/>
                <w:color w:val="auto"/>
              </w:rPr>
              <w:t>78,213,311</w:t>
            </w:r>
          </w:p>
        </w:tc>
        <w:tc>
          <w:tcPr>
            <w:tcW w:w="60" w:type="dxa"/>
            <w:vAlign w:val="bottom"/>
            <w:vMerge w:val="restart"/>
            <w:shd w:val="clear" w:color="auto" w:fill="CCEEFF"/>
          </w:tcPr>
          <w:p>
            <w:pPr>
              <w:spacing w:after="0"/>
              <w:rPr>
                <w:sz w:val="9"/>
                <w:szCs w:val="9"/>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6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6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0.8</w:t>
            </w:r>
          </w:p>
        </w:tc>
        <w:tc>
          <w:tcPr>
            <w:tcW w:w="6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602.7</w:t>
            </w:r>
          </w:p>
        </w:tc>
        <w:tc>
          <w:tcPr>
            <w:tcW w:w="6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8.5</w:t>
            </w:r>
          </w:p>
        </w:tc>
        <w:tc>
          <w:tcPr>
            <w:tcW w:w="6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6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375.4</w:t>
            </w:r>
          </w:p>
        </w:tc>
        <w:tc>
          <w:tcPr>
            <w:tcW w:w="6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2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991.7</w:t>
            </w:r>
          </w:p>
        </w:tc>
        <w:tc>
          <w:tcPr>
            <w:tcW w:w="0" w:type="dxa"/>
            <w:vAlign w:val="bottom"/>
          </w:tcPr>
          <w:p>
            <w:pPr>
              <w:spacing w:after="0"/>
              <w:rPr>
                <w:sz w:val="1"/>
                <w:szCs w:val="1"/>
                <w:color w:val="auto"/>
              </w:rPr>
            </w:pPr>
          </w:p>
        </w:tc>
      </w:tr>
      <w:tr>
        <w:trPr>
          <w:trHeight w:val="152"/>
        </w:trPr>
        <w:tc>
          <w:tcPr>
            <w:tcW w:w="1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2021</w:t>
            </w: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vMerge w:val="continue"/>
            <w:shd w:val="clear" w:color="auto" w:fill="CCEEFF"/>
          </w:tcPr>
          <w:p>
            <w:pPr>
              <w:spacing w:after="0"/>
              <w:rPr>
                <w:sz w:val="13"/>
                <w:szCs w:val="13"/>
                <w:color w:val="auto"/>
              </w:rPr>
            </w:pPr>
          </w:p>
        </w:tc>
        <w:tc>
          <w:tcPr>
            <w:tcW w:w="32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vMerge w:val="continue"/>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200"/>
          </w:cols>
          <w:pgMar w:left="300" w:top="126" w:right="399" w:bottom="1440" w:gutter="0" w:footer="0" w:header="0"/>
        </w:sectPr>
      </w:pPr>
    </w:p>
    <w:bookmarkStart w:id="11" w:name="page12"/>
    <w:bookmarkEnd w:id="11"/>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90" w:lineRule="exact"/>
        <w:rPr>
          <w:sz w:val="20"/>
          <w:szCs w:val="20"/>
          <w:color w:val="auto"/>
        </w:rPr>
      </w:pPr>
    </w:p>
    <w:p>
      <w:pPr>
        <w:jc w:val="center"/>
        <w:ind w:left="540"/>
        <w:spacing w:after="0"/>
        <w:rPr>
          <w:sz w:val="20"/>
          <w:szCs w:val="20"/>
          <w:color w:val="auto"/>
        </w:rPr>
      </w:pPr>
      <w:r>
        <w:rPr>
          <w:rFonts w:ascii="Arial" w:cs="Arial" w:eastAsia="Arial" w:hAnsi="Arial"/>
          <w:sz w:val="13"/>
          <w:szCs w:val="13"/>
          <w:b w:val="1"/>
          <w:bCs w:val="1"/>
          <w:color w:val="auto"/>
        </w:rPr>
        <w:t>ZoomInfo Technologies Inc.</w:t>
      </w:r>
    </w:p>
    <w:p>
      <w:pPr>
        <w:spacing w:after="0" w:line="18" w:lineRule="exact"/>
        <w:rPr>
          <w:sz w:val="20"/>
          <w:szCs w:val="20"/>
          <w:color w:val="auto"/>
        </w:rPr>
      </w:pPr>
    </w:p>
    <w:p>
      <w:pPr>
        <w:jc w:val="center"/>
        <w:ind w:left="540"/>
        <w:spacing w:after="0"/>
        <w:rPr>
          <w:sz w:val="20"/>
          <w:szCs w:val="20"/>
          <w:color w:val="auto"/>
        </w:rPr>
      </w:pPr>
      <w:r>
        <w:rPr>
          <w:rFonts w:ascii="Arial" w:cs="Arial" w:eastAsia="Arial" w:hAnsi="Arial"/>
          <w:sz w:val="13"/>
          <w:szCs w:val="13"/>
          <w:b w:val="1"/>
          <w:bCs w:val="1"/>
          <w:color w:val="auto"/>
        </w:rPr>
        <w:t>Consolidated Statements of Changes in Equity (Deficit)</w:t>
      </w:r>
    </w:p>
    <w:p>
      <w:pPr>
        <w:spacing w:after="0" w:line="6" w:lineRule="exact"/>
        <w:rPr>
          <w:sz w:val="20"/>
          <w:szCs w:val="20"/>
          <w:color w:val="auto"/>
        </w:rPr>
      </w:pPr>
    </w:p>
    <w:p>
      <w:pPr>
        <w:jc w:val="center"/>
        <w:ind w:left="540"/>
        <w:spacing w:after="0"/>
        <w:rPr>
          <w:sz w:val="20"/>
          <w:szCs w:val="20"/>
          <w:color w:val="auto"/>
        </w:rPr>
      </w:pPr>
      <w:r>
        <w:rPr>
          <w:rFonts w:ascii="Arial" w:cs="Arial" w:eastAsia="Arial" w:hAnsi="Arial"/>
          <w:sz w:val="13"/>
          <w:szCs w:val="13"/>
          <w:b w:val="1"/>
          <w:bCs w:val="1"/>
          <w:i w:val="1"/>
          <w:iCs w:val="1"/>
          <w:color w:val="auto"/>
        </w:rPr>
        <w:t>(in millions, except share data; unaudited) (continued)</w:t>
      </w:r>
    </w:p>
    <w:p>
      <w:pPr>
        <w:spacing w:after="0" w:line="71" w:lineRule="exact"/>
        <w:rPr>
          <w:sz w:val="20"/>
          <w:szCs w:val="20"/>
          <w:color w:val="auto"/>
        </w:rPr>
      </w:pPr>
    </w:p>
    <w:tbl>
      <w:tblPr>
        <w:tblLayout w:type="fixed"/>
        <w:tblInd w:w="240" w:type="dxa"/>
        <w:tblCellMar>
          <w:top w:w="0" w:type="dxa"/>
          <w:left w:w="0" w:type="dxa"/>
          <w:bottom w:w="0" w:type="dxa"/>
          <w:right w:w="0" w:type="dxa"/>
        </w:tblCellMar>
      </w:tblPr>
      <w:tr>
        <w:trPr>
          <w:trHeight w:val="107"/>
        </w:trPr>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jc w:val="right"/>
              <w:ind w:right="189"/>
              <w:spacing w:after="0"/>
              <w:rPr>
                <w:sz w:val="20"/>
                <w:szCs w:val="20"/>
                <w:color w:val="auto"/>
              </w:rPr>
            </w:pPr>
            <w:r>
              <w:rPr>
                <w:rFonts w:ascii="Arial" w:cs="Arial" w:eastAsia="Arial" w:hAnsi="Arial"/>
                <w:sz w:val="9"/>
                <w:szCs w:val="9"/>
                <w:b w:val="1"/>
                <w:bCs w:val="1"/>
                <w:color w:val="auto"/>
              </w:rPr>
              <w:t>ZoomInfo</w:t>
            </w: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20" w:type="dxa"/>
            <w:vAlign w:val="bottom"/>
          </w:tcPr>
          <w:p>
            <w:pPr>
              <w:spacing w:after="0"/>
              <w:rPr>
                <w:sz w:val="9"/>
                <w:szCs w:val="9"/>
                <w:color w:val="auto"/>
              </w:rPr>
            </w:pPr>
          </w:p>
        </w:tc>
        <w:tc>
          <w:tcPr>
            <w:tcW w:w="980" w:type="dxa"/>
            <w:vAlign w:val="bottom"/>
            <w:gridSpan w:val="2"/>
          </w:tcPr>
          <w:p>
            <w:pPr>
              <w:jc w:val="center"/>
              <w:ind w:right="69"/>
              <w:spacing w:after="0"/>
              <w:rPr>
                <w:sz w:val="20"/>
                <w:szCs w:val="20"/>
                <w:color w:val="auto"/>
              </w:rPr>
            </w:pPr>
            <w:r>
              <w:rPr>
                <w:rFonts w:ascii="Arial" w:cs="Arial" w:eastAsia="Arial" w:hAnsi="Arial"/>
                <w:sz w:val="9"/>
                <w:szCs w:val="9"/>
                <w:b w:val="1"/>
                <w:bCs w:val="1"/>
                <w:color w:val="auto"/>
                <w:w w:val="96"/>
              </w:rPr>
              <w:t>Holdings LLC (Prior</w:t>
            </w: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20" w:type="dxa"/>
            <w:vAlign w:val="bottom"/>
          </w:tcPr>
          <w:p>
            <w:pPr>
              <w:spacing w:after="0"/>
              <w:rPr>
                <w:sz w:val="9"/>
                <w:szCs w:val="9"/>
                <w:color w:val="auto"/>
              </w:rPr>
            </w:pPr>
          </w:p>
        </w:tc>
        <w:tc>
          <w:tcPr>
            <w:tcW w:w="980" w:type="dxa"/>
            <w:vAlign w:val="bottom"/>
            <w:gridSpan w:val="2"/>
          </w:tcPr>
          <w:p>
            <w:pPr>
              <w:jc w:val="center"/>
              <w:ind w:right="69"/>
              <w:spacing w:after="0"/>
              <w:rPr>
                <w:sz w:val="20"/>
                <w:szCs w:val="20"/>
                <w:color w:val="auto"/>
              </w:rPr>
            </w:pPr>
            <w:r>
              <w:rPr>
                <w:rFonts w:ascii="Arial" w:cs="Arial" w:eastAsia="Arial" w:hAnsi="Arial"/>
                <w:sz w:val="9"/>
                <w:szCs w:val="9"/>
                <w:b w:val="1"/>
                <w:bCs w:val="1"/>
                <w:color w:val="auto"/>
                <w:w w:val="92"/>
              </w:rPr>
              <w:t>to Reorganization</w:t>
            </w: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2360" w:type="dxa"/>
            <w:vAlign w:val="bottom"/>
            <w:gridSpan w:val="10"/>
            <w:vMerge w:val="restart"/>
          </w:tcPr>
          <w:p>
            <w:pPr>
              <w:ind w:left="160"/>
              <w:spacing w:after="0"/>
              <w:rPr>
                <w:sz w:val="20"/>
                <w:szCs w:val="20"/>
                <w:color w:val="auto"/>
              </w:rPr>
            </w:pPr>
            <w:r>
              <w:rPr>
                <w:rFonts w:ascii="Arial" w:cs="Arial" w:eastAsia="Arial" w:hAnsi="Arial"/>
                <w:sz w:val="10"/>
                <w:szCs w:val="10"/>
                <w:b w:val="1"/>
                <w:bCs w:val="1"/>
                <w:color w:val="auto"/>
                <w:w w:val="92"/>
              </w:rPr>
              <w:t>ZoomInfo Technologies Inc. Stockholders' Equity</w:t>
            </w: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980" w:type="dxa"/>
            <w:vAlign w:val="bottom"/>
            <w:tcBorders>
              <w:bottom w:val="single" w:sz="8" w:color="auto"/>
            </w:tcBorders>
            <w:gridSpan w:val="2"/>
          </w:tcPr>
          <w:p>
            <w:pPr>
              <w:jc w:val="center"/>
              <w:ind w:right="69"/>
              <w:spacing w:after="0"/>
              <w:rPr>
                <w:sz w:val="20"/>
                <w:szCs w:val="20"/>
                <w:color w:val="auto"/>
              </w:rPr>
            </w:pPr>
            <w:r>
              <w:rPr>
                <w:rFonts w:ascii="Arial" w:cs="Arial" w:eastAsia="Arial" w:hAnsi="Arial"/>
                <w:sz w:val="9"/>
                <w:szCs w:val="9"/>
                <w:b w:val="1"/>
                <w:bCs w:val="1"/>
                <w:color w:val="auto"/>
                <w:w w:val="91"/>
              </w:rPr>
              <w:t>Transactions)</w:t>
            </w:r>
          </w:p>
        </w:tc>
        <w:tc>
          <w:tcPr>
            <w:tcW w:w="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gridSpan w:val="10"/>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right w:val="single" w:sz="8" w:color="auto"/>
            </w:tcBorders>
          </w:tcPr>
          <w:p>
            <w:pPr>
              <w:jc w:val="right"/>
              <w:ind w:right="169"/>
              <w:spacing w:after="0"/>
              <w:rPr>
                <w:sz w:val="20"/>
                <w:szCs w:val="20"/>
                <w:color w:val="auto"/>
              </w:rPr>
            </w:pPr>
            <w:r>
              <w:rPr>
                <w:rFonts w:ascii="Arial" w:cs="Arial" w:eastAsia="Arial" w:hAnsi="Arial"/>
                <w:sz w:val="10"/>
                <w:szCs w:val="10"/>
                <w:b w:val="1"/>
                <w:bCs w:val="1"/>
                <w:color w:val="auto"/>
                <w:w w:val="94"/>
              </w:rPr>
              <w:t>Members'</w:t>
            </w:r>
          </w:p>
        </w:tc>
        <w:tc>
          <w:tcPr>
            <w:tcW w:w="60" w:type="dxa"/>
            <w:vAlign w:val="bottom"/>
          </w:tcPr>
          <w:p>
            <w:pPr>
              <w:spacing w:after="0"/>
              <w:rPr>
                <w:sz w:val="10"/>
                <w:szCs w:val="10"/>
                <w:color w:val="auto"/>
              </w:rPr>
            </w:pPr>
          </w:p>
        </w:tc>
        <w:tc>
          <w:tcPr>
            <w:tcW w:w="780" w:type="dxa"/>
            <w:vAlign w:val="bottom"/>
            <w:gridSpan w:val="2"/>
          </w:tcPr>
          <w:p>
            <w:pPr>
              <w:ind w:left="300"/>
              <w:spacing w:after="0"/>
              <w:rPr>
                <w:sz w:val="20"/>
                <w:szCs w:val="20"/>
                <w:color w:val="auto"/>
              </w:rPr>
            </w:pPr>
            <w:r>
              <w:rPr>
                <w:rFonts w:ascii="Arial" w:cs="Arial" w:eastAsia="Arial" w:hAnsi="Arial"/>
                <w:sz w:val="10"/>
                <w:szCs w:val="10"/>
                <w:b w:val="1"/>
                <w:bCs w:val="1"/>
                <w:color w:val="auto"/>
              </w:rPr>
              <w:t>Class A</w:t>
            </w:r>
          </w:p>
        </w:tc>
        <w:tc>
          <w:tcPr>
            <w:tcW w:w="840" w:type="dxa"/>
            <w:vAlign w:val="bottom"/>
            <w:gridSpan w:val="2"/>
          </w:tcPr>
          <w:p>
            <w:pPr>
              <w:ind w:left="340"/>
              <w:spacing w:after="0"/>
              <w:rPr>
                <w:sz w:val="20"/>
                <w:szCs w:val="20"/>
                <w:color w:val="auto"/>
              </w:rPr>
            </w:pPr>
            <w:r>
              <w:rPr>
                <w:rFonts w:ascii="Arial" w:cs="Arial" w:eastAsia="Arial" w:hAnsi="Arial"/>
                <w:sz w:val="10"/>
                <w:szCs w:val="10"/>
                <w:b w:val="1"/>
                <w:bCs w:val="1"/>
                <w:color w:val="auto"/>
              </w:rPr>
              <w:t>Class B</w:t>
            </w:r>
          </w:p>
        </w:tc>
        <w:tc>
          <w:tcPr>
            <w:tcW w:w="840" w:type="dxa"/>
            <w:vAlign w:val="bottom"/>
            <w:tcBorders>
              <w:right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Class C</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gridSpan w:val="2"/>
          </w:tcPr>
          <w:p>
            <w:pPr>
              <w:spacing w:after="0"/>
              <w:rPr>
                <w:sz w:val="20"/>
                <w:szCs w:val="20"/>
                <w:color w:val="auto"/>
              </w:rPr>
            </w:pPr>
            <w:r>
              <w:rPr>
                <w:rFonts w:ascii="Arial" w:cs="Arial" w:eastAsia="Arial" w:hAnsi="Arial"/>
                <w:sz w:val="10"/>
                <w:szCs w:val="10"/>
                <w:b w:val="1"/>
                <w:bCs w:val="1"/>
                <w:color w:val="auto"/>
              </w:rPr>
              <w:t>Class A</w:t>
            </w:r>
          </w:p>
        </w:tc>
        <w:tc>
          <w:tcPr>
            <w:tcW w:w="300" w:type="dxa"/>
            <w:vAlign w:val="bottom"/>
          </w:tcPr>
          <w:p>
            <w:pPr>
              <w:spacing w:after="0"/>
              <w:rPr>
                <w:sz w:val="10"/>
                <w:szCs w:val="10"/>
                <w:color w:val="auto"/>
              </w:rPr>
            </w:pPr>
          </w:p>
        </w:tc>
        <w:tc>
          <w:tcPr>
            <w:tcW w:w="460" w:type="dxa"/>
            <w:vAlign w:val="bottom"/>
            <w:gridSpan w:val="2"/>
          </w:tcPr>
          <w:p>
            <w:pPr>
              <w:spacing w:after="0"/>
              <w:rPr>
                <w:sz w:val="20"/>
                <w:szCs w:val="20"/>
                <w:color w:val="auto"/>
              </w:rPr>
            </w:pPr>
            <w:r>
              <w:rPr>
                <w:rFonts w:ascii="Arial" w:cs="Arial" w:eastAsia="Arial" w:hAnsi="Arial"/>
                <w:sz w:val="10"/>
                <w:szCs w:val="10"/>
                <w:b w:val="1"/>
                <w:bCs w:val="1"/>
                <w:color w:val="auto"/>
              </w:rPr>
              <w:t>Class B</w:t>
            </w:r>
          </w:p>
        </w:tc>
        <w:tc>
          <w:tcPr>
            <w:tcW w:w="300" w:type="dxa"/>
            <w:vAlign w:val="bottom"/>
          </w:tcPr>
          <w:p>
            <w:pPr>
              <w:spacing w:after="0"/>
              <w:rPr>
                <w:sz w:val="10"/>
                <w:szCs w:val="10"/>
                <w:color w:val="auto"/>
              </w:rPr>
            </w:pPr>
          </w:p>
        </w:tc>
        <w:tc>
          <w:tcPr>
            <w:tcW w:w="540" w:type="dxa"/>
            <w:vAlign w:val="bottom"/>
            <w:gridSpan w:val="3"/>
          </w:tcPr>
          <w:p>
            <w:pPr>
              <w:spacing w:after="0"/>
              <w:rPr>
                <w:sz w:val="20"/>
                <w:szCs w:val="20"/>
                <w:color w:val="auto"/>
              </w:rPr>
            </w:pPr>
            <w:r>
              <w:rPr>
                <w:rFonts w:ascii="Arial" w:cs="Arial" w:eastAsia="Arial" w:hAnsi="Arial"/>
                <w:sz w:val="10"/>
                <w:szCs w:val="10"/>
                <w:b w:val="1"/>
                <w:bCs w:val="1"/>
                <w:color w:val="auto"/>
              </w:rPr>
              <w:t>Class C</w:t>
            </w:r>
          </w:p>
        </w:tc>
        <w:tc>
          <w:tcPr>
            <w:tcW w:w="800" w:type="dxa"/>
            <w:vAlign w:val="bottom"/>
            <w:gridSpan w:val="3"/>
          </w:tcPr>
          <w:p>
            <w:pPr>
              <w:ind w:left="220"/>
              <w:spacing w:after="0"/>
              <w:rPr>
                <w:sz w:val="20"/>
                <w:szCs w:val="20"/>
                <w:color w:val="auto"/>
              </w:rPr>
            </w:pPr>
            <w:r>
              <w:rPr>
                <w:rFonts w:ascii="Arial" w:cs="Arial" w:eastAsia="Arial" w:hAnsi="Arial"/>
                <w:sz w:val="10"/>
                <w:szCs w:val="10"/>
                <w:b w:val="1"/>
                <w:bCs w:val="1"/>
                <w:color w:val="auto"/>
              </w:rPr>
              <w:t>Additional</w:t>
            </w:r>
          </w:p>
        </w:tc>
        <w:tc>
          <w:tcPr>
            <w:tcW w:w="320" w:type="dxa"/>
            <w:vAlign w:val="bottom"/>
          </w:tcPr>
          <w:p>
            <w:pPr>
              <w:spacing w:after="0"/>
              <w:rPr>
                <w:sz w:val="10"/>
                <w:szCs w:val="10"/>
                <w:color w:val="auto"/>
              </w:rPr>
            </w:pPr>
          </w:p>
        </w:tc>
        <w:tc>
          <w:tcPr>
            <w:tcW w:w="540" w:type="dxa"/>
            <w:vAlign w:val="bottom"/>
            <w:gridSpan w:val="2"/>
          </w:tcPr>
          <w:p>
            <w:pPr>
              <w:spacing w:after="0"/>
              <w:rPr>
                <w:sz w:val="20"/>
                <w:szCs w:val="20"/>
                <w:color w:val="auto"/>
              </w:rPr>
            </w:pPr>
            <w:r>
              <w:rPr>
                <w:rFonts w:ascii="Arial" w:cs="Arial" w:eastAsia="Arial" w:hAnsi="Arial"/>
                <w:sz w:val="10"/>
                <w:szCs w:val="10"/>
                <w:b w:val="1"/>
                <w:bCs w:val="1"/>
                <w:color w:val="auto"/>
              </w:rPr>
              <w:t>Retained</w:t>
            </w: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Noncontrolling</w:t>
            </w: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2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69"/>
              <w:spacing w:after="0"/>
              <w:rPr>
                <w:sz w:val="20"/>
                <w:szCs w:val="20"/>
                <w:color w:val="auto"/>
              </w:rPr>
            </w:pPr>
            <w:r>
              <w:rPr>
                <w:rFonts w:ascii="Arial" w:cs="Arial" w:eastAsia="Arial" w:hAnsi="Arial"/>
                <w:sz w:val="10"/>
                <w:szCs w:val="10"/>
                <w:b w:val="1"/>
                <w:bCs w:val="1"/>
                <w:color w:val="auto"/>
                <w:w w:val="98"/>
              </w:rPr>
              <w:t>Deficit</w:t>
            </w:r>
          </w:p>
        </w:tc>
        <w:tc>
          <w:tcPr>
            <w:tcW w:w="60" w:type="dxa"/>
            <w:vAlign w:val="bottom"/>
          </w:tcPr>
          <w:p>
            <w:pPr>
              <w:spacing w:after="0"/>
              <w:rPr>
                <w:sz w:val="12"/>
                <w:szCs w:val="12"/>
                <w:color w:val="auto"/>
              </w:rPr>
            </w:pPr>
          </w:p>
        </w:tc>
        <w:tc>
          <w:tcPr>
            <w:tcW w:w="78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840" w:type="dxa"/>
            <w:vAlign w:val="bottom"/>
            <w:gridSpan w:val="2"/>
          </w:tcPr>
          <w:p>
            <w:pPr>
              <w:ind w:left="240"/>
              <w:spacing w:after="0"/>
              <w:rPr>
                <w:sz w:val="20"/>
                <w:szCs w:val="20"/>
                <w:color w:val="auto"/>
              </w:rPr>
            </w:pPr>
            <w:r>
              <w:rPr>
                <w:rFonts w:ascii="Arial" w:cs="Arial" w:eastAsia="Arial" w:hAnsi="Arial"/>
                <w:sz w:val="10"/>
                <w:szCs w:val="10"/>
                <w:b w:val="1"/>
                <w:bCs w:val="1"/>
                <w:color w:val="auto"/>
              </w:rPr>
              <w:t>Shares</w:t>
            </w:r>
          </w:p>
        </w:tc>
        <w:tc>
          <w:tcPr>
            <w:tcW w:w="840" w:type="dxa"/>
            <w:vAlign w:val="bottom"/>
            <w:tcBorders>
              <w:right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760" w:type="dxa"/>
            <w:vAlign w:val="bottom"/>
            <w:gridSpan w:val="3"/>
          </w:tcPr>
          <w:p>
            <w:pPr>
              <w:ind w:left="160"/>
              <w:spacing w:after="0"/>
              <w:rPr>
                <w:sz w:val="20"/>
                <w:szCs w:val="20"/>
                <w:color w:val="auto"/>
              </w:rPr>
            </w:pPr>
            <w:r>
              <w:rPr>
                <w:rFonts w:ascii="Arial" w:cs="Arial" w:eastAsia="Arial" w:hAnsi="Arial"/>
                <w:sz w:val="10"/>
                <w:szCs w:val="10"/>
                <w:b w:val="1"/>
                <w:bCs w:val="1"/>
                <w:color w:val="auto"/>
              </w:rPr>
              <w:t>Amount</w:t>
            </w:r>
          </w:p>
        </w:tc>
        <w:tc>
          <w:tcPr>
            <w:tcW w:w="760" w:type="dxa"/>
            <w:vAlign w:val="bottom"/>
            <w:gridSpan w:val="3"/>
          </w:tcPr>
          <w:p>
            <w:pPr>
              <w:ind w:left="180"/>
              <w:spacing w:after="0"/>
              <w:rPr>
                <w:sz w:val="20"/>
                <w:szCs w:val="20"/>
                <w:color w:val="auto"/>
              </w:rPr>
            </w:pPr>
            <w:r>
              <w:rPr>
                <w:rFonts w:ascii="Arial" w:cs="Arial" w:eastAsia="Arial" w:hAnsi="Arial"/>
                <w:sz w:val="10"/>
                <w:szCs w:val="10"/>
                <w:b w:val="1"/>
                <w:bCs w:val="1"/>
                <w:color w:val="auto"/>
              </w:rPr>
              <w:t>Amount</w:t>
            </w:r>
          </w:p>
        </w:tc>
        <w:tc>
          <w:tcPr>
            <w:tcW w:w="840" w:type="dxa"/>
            <w:vAlign w:val="bottom"/>
            <w:gridSpan w:val="4"/>
          </w:tcPr>
          <w:p>
            <w:pPr>
              <w:ind w:left="180"/>
              <w:spacing w:after="0"/>
              <w:rPr>
                <w:sz w:val="20"/>
                <w:szCs w:val="20"/>
                <w:color w:val="auto"/>
              </w:rPr>
            </w:pPr>
            <w:r>
              <w:rPr>
                <w:rFonts w:ascii="Arial" w:cs="Arial" w:eastAsia="Arial" w:hAnsi="Arial"/>
                <w:sz w:val="10"/>
                <w:szCs w:val="10"/>
                <w:b w:val="1"/>
                <w:bCs w:val="1"/>
                <w:color w:val="auto"/>
              </w:rPr>
              <w:t>Amount</w:t>
            </w:r>
          </w:p>
        </w:tc>
        <w:tc>
          <w:tcPr>
            <w:tcW w:w="800" w:type="dxa"/>
            <w:vAlign w:val="bottom"/>
            <w:gridSpan w:val="3"/>
          </w:tcPr>
          <w:p>
            <w:pPr>
              <w:ind w:left="20"/>
              <w:spacing w:after="0"/>
              <w:rPr>
                <w:sz w:val="20"/>
                <w:szCs w:val="20"/>
                <w:color w:val="auto"/>
              </w:rPr>
            </w:pPr>
            <w:r>
              <w:rPr>
                <w:rFonts w:ascii="Arial" w:cs="Arial" w:eastAsia="Arial" w:hAnsi="Arial"/>
                <w:sz w:val="10"/>
                <w:szCs w:val="10"/>
                <w:b w:val="1"/>
                <w:bCs w:val="1"/>
                <w:color w:val="auto"/>
              </w:rPr>
              <w:t>paid-in capital</w:t>
            </w:r>
          </w:p>
        </w:tc>
        <w:tc>
          <w:tcPr>
            <w:tcW w:w="860" w:type="dxa"/>
            <w:vAlign w:val="bottom"/>
            <w:gridSpan w:val="3"/>
          </w:tcPr>
          <w:p>
            <w:pPr>
              <w:ind w:left="200"/>
              <w:spacing w:after="0"/>
              <w:rPr>
                <w:sz w:val="20"/>
                <w:szCs w:val="20"/>
                <w:color w:val="auto"/>
              </w:rPr>
            </w:pPr>
            <w:r>
              <w:rPr>
                <w:rFonts w:ascii="Arial" w:cs="Arial" w:eastAsia="Arial" w:hAnsi="Arial"/>
                <w:sz w:val="10"/>
                <w:szCs w:val="10"/>
                <w:b w:val="1"/>
                <w:bCs w:val="1"/>
                <w:color w:val="auto"/>
              </w:rPr>
              <w:t>Earnings</w:t>
            </w:r>
          </w:p>
        </w:tc>
        <w:tc>
          <w:tcPr>
            <w:tcW w:w="340" w:type="dxa"/>
            <w:vAlign w:val="bottom"/>
          </w:tcPr>
          <w:p>
            <w:pPr>
              <w:spacing w:after="0"/>
              <w:rPr>
                <w:sz w:val="12"/>
                <w:szCs w:val="12"/>
                <w:color w:val="auto"/>
              </w:rPr>
            </w:pPr>
          </w:p>
        </w:tc>
        <w:tc>
          <w:tcPr>
            <w:tcW w:w="480" w:type="dxa"/>
            <w:vAlign w:val="bottom"/>
            <w:gridSpan w:val="2"/>
          </w:tcPr>
          <w:p>
            <w:pPr>
              <w:ind w:left="20"/>
              <w:spacing w:after="0"/>
              <w:rPr>
                <w:sz w:val="20"/>
                <w:szCs w:val="20"/>
                <w:color w:val="auto"/>
              </w:rPr>
            </w:pPr>
            <w:r>
              <w:rPr>
                <w:rFonts w:ascii="Arial" w:cs="Arial" w:eastAsia="Arial" w:hAnsi="Arial"/>
                <w:sz w:val="10"/>
                <w:szCs w:val="10"/>
                <w:b w:val="1"/>
                <w:bCs w:val="1"/>
                <w:color w:val="auto"/>
              </w:rPr>
              <w:t>AOCI</w:t>
            </w:r>
          </w:p>
        </w:tc>
        <w:tc>
          <w:tcPr>
            <w:tcW w:w="3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0"/>
                <w:szCs w:val="10"/>
                <w:b w:val="1"/>
                <w:bCs w:val="1"/>
                <w:color w:val="auto"/>
              </w:rPr>
              <w:t>interests</w:t>
            </w:r>
          </w:p>
        </w:tc>
        <w:tc>
          <w:tcPr>
            <w:tcW w:w="860" w:type="dxa"/>
            <w:vAlign w:val="bottom"/>
            <w:gridSpan w:val="2"/>
          </w:tcPr>
          <w:p>
            <w:pPr>
              <w:jc w:val="right"/>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rPr>
                <w:sz w:val="1"/>
                <w:szCs w:val="1"/>
                <w:color w:val="auto"/>
              </w:rPr>
            </w:pPr>
          </w:p>
        </w:tc>
      </w:tr>
      <w:tr>
        <w:trPr>
          <w:trHeight w:val="112"/>
        </w:trPr>
        <w:tc>
          <w:tcPr>
            <w:tcW w:w="720" w:type="dxa"/>
            <w:vAlign w:val="bottom"/>
            <w:tcBorders>
              <w:top w:val="single" w:sz="8" w:color="CCEEFF"/>
            </w:tcBorders>
            <w:shd w:val="clear" w:color="auto" w:fill="CCEEFF"/>
          </w:tcPr>
          <w:p>
            <w:pPr>
              <w:ind w:left="240"/>
              <w:spacing w:after="0" w:line="112" w:lineRule="exact"/>
              <w:rPr>
                <w:sz w:val="20"/>
                <w:szCs w:val="20"/>
                <w:color w:val="auto"/>
              </w:rPr>
            </w:pPr>
            <w:r>
              <w:rPr>
                <w:rFonts w:ascii="Arial" w:cs="Arial" w:eastAsia="Arial" w:hAnsi="Arial"/>
                <w:sz w:val="10"/>
                <w:szCs w:val="10"/>
                <w:color w:val="auto"/>
              </w:rPr>
              <w:t>Balance,</w:t>
            </w:r>
          </w:p>
        </w:tc>
        <w:tc>
          <w:tcPr>
            <w:tcW w:w="3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December 31,</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2019</w:t>
            </w: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right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rPr>
              <w:t>(207.8)</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(213.8)</w:t>
            </w:r>
          </w:p>
        </w:tc>
        <w:tc>
          <w:tcPr>
            <w:tcW w:w="0" w:type="dxa"/>
            <w:vAlign w:val="bottom"/>
          </w:tcPr>
          <w:p>
            <w:pPr>
              <w:spacing w:after="0"/>
              <w:rPr>
                <w:sz w:val="1"/>
                <w:szCs w:val="1"/>
                <w:color w:val="auto"/>
              </w:rPr>
            </w:pPr>
          </w:p>
        </w:tc>
      </w:tr>
      <w:tr>
        <w:trPr>
          <w:trHeight w:val="123"/>
        </w:trPr>
        <w:tc>
          <w:tcPr>
            <w:tcW w:w="720" w:type="dxa"/>
            <w:vAlign w:val="bottom"/>
          </w:tcPr>
          <w:p>
            <w:pPr>
              <w:ind w:left="240"/>
              <w:spacing w:after="0"/>
              <w:rPr>
                <w:sz w:val="20"/>
                <w:szCs w:val="20"/>
                <w:color w:val="auto"/>
              </w:rPr>
            </w:pPr>
            <w:r>
              <w:rPr>
                <w:rFonts w:ascii="Arial" w:cs="Arial" w:eastAsia="Arial" w:hAnsi="Arial"/>
                <w:sz w:val="10"/>
                <w:szCs w:val="10"/>
                <w:color w:val="auto"/>
              </w:rPr>
              <w:t>Net</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20"/>
                <w:szCs w:val="20"/>
                <w:color w:val="auto"/>
              </w:rPr>
            </w:pPr>
            <w:r>
              <w:rPr>
                <w:rFonts w:ascii="Arial" w:cs="Arial" w:eastAsia="Arial" w:hAnsi="Arial"/>
                <w:sz w:val="10"/>
                <w:szCs w:val="10"/>
                <w:color w:val="auto"/>
              </w:rPr>
              <w:t>income (loss)</w:t>
            </w:r>
          </w:p>
        </w:tc>
        <w:tc>
          <w:tcPr>
            <w:tcW w:w="300" w:type="dxa"/>
            <w:vAlign w:val="bottom"/>
          </w:tcPr>
          <w:p>
            <w:pPr>
              <w:spacing w:after="0"/>
              <w:rPr>
                <w:sz w:val="12"/>
                <w:szCs w:val="12"/>
                <w:color w:val="auto"/>
              </w:rPr>
            </w:pPr>
          </w:p>
        </w:tc>
        <w:tc>
          <w:tcPr>
            <w:tcW w:w="680" w:type="dxa"/>
            <w:vAlign w:val="bottom"/>
            <w:tcBorders>
              <w:right w:val="single" w:sz="8" w:color="auto"/>
            </w:tcBorders>
          </w:tcPr>
          <w:p>
            <w:pPr>
              <w:jc w:val="right"/>
              <w:ind w:right="89"/>
              <w:spacing w:after="0"/>
              <w:rPr>
                <w:sz w:val="20"/>
                <w:szCs w:val="20"/>
                <w:color w:val="auto"/>
              </w:rPr>
            </w:pPr>
            <w:r>
              <w:rPr>
                <w:rFonts w:ascii="Arial" w:cs="Arial" w:eastAsia="Arial" w:hAnsi="Arial"/>
                <w:sz w:val="10"/>
                <w:szCs w:val="10"/>
                <w:color w:val="auto"/>
              </w:rPr>
              <w:t>(5.9)</w:t>
            </w:r>
          </w:p>
        </w:tc>
        <w:tc>
          <w:tcPr>
            <w:tcW w:w="6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tcBorders>
              <w:right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(5.9)</w:t>
            </w:r>
          </w:p>
        </w:tc>
        <w:tc>
          <w:tcPr>
            <w:tcW w:w="0" w:type="dxa"/>
            <w:vAlign w:val="bottom"/>
          </w:tcPr>
          <w:p>
            <w:pPr>
              <w:spacing w:after="0"/>
              <w:rPr>
                <w:sz w:val="1"/>
                <w:szCs w:val="1"/>
                <w:color w:val="auto"/>
              </w:rPr>
            </w:pPr>
          </w:p>
        </w:tc>
      </w:tr>
      <w:tr>
        <w:trPr>
          <w:trHeight w:val="132"/>
        </w:trPr>
        <w:tc>
          <w:tcPr>
            <w:tcW w:w="7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Member</w:t>
            </w:r>
          </w:p>
        </w:tc>
        <w:tc>
          <w:tcPr>
            <w:tcW w:w="30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distributions</w:t>
            </w:r>
          </w:p>
        </w:tc>
        <w:tc>
          <w:tcPr>
            <w:tcW w:w="30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rPr>
              <w:t>(5.0)</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0" w:type="dxa"/>
            <w:vAlign w:val="bottom"/>
          </w:tcPr>
          <w:p>
            <w:pPr>
              <w:spacing w:after="0"/>
              <w:rPr>
                <w:sz w:val="1"/>
                <w:szCs w:val="1"/>
                <w:color w:val="auto"/>
              </w:rPr>
            </w:pPr>
          </w:p>
        </w:tc>
      </w:tr>
      <w:tr>
        <w:trPr>
          <w:trHeight w:val="123"/>
        </w:trPr>
        <w:tc>
          <w:tcPr>
            <w:tcW w:w="720" w:type="dxa"/>
            <w:vAlign w:val="bottom"/>
          </w:tcPr>
          <w:p>
            <w:pPr>
              <w:ind w:left="240"/>
              <w:spacing w:after="0"/>
              <w:rPr>
                <w:sz w:val="20"/>
                <w:szCs w:val="20"/>
                <w:color w:val="auto"/>
              </w:rPr>
            </w:pPr>
            <w:r>
              <w:rPr>
                <w:rFonts w:ascii="Arial" w:cs="Arial" w:eastAsia="Arial" w:hAnsi="Arial"/>
                <w:sz w:val="10"/>
                <w:szCs w:val="10"/>
                <w:color w:val="auto"/>
              </w:rPr>
              <w:t>Other</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comprehensive</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20"/>
                <w:szCs w:val="20"/>
                <w:color w:val="auto"/>
              </w:rPr>
            </w:pPr>
            <w:r>
              <w:rPr>
                <w:rFonts w:ascii="Arial" w:cs="Arial" w:eastAsia="Arial" w:hAnsi="Arial"/>
                <w:sz w:val="10"/>
                <w:szCs w:val="10"/>
                <w:color w:val="auto"/>
              </w:rPr>
              <w:t>income</w:t>
            </w:r>
          </w:p>
        </w:tc>
        <w:tc>
          <w:tcPr>
            <w:tcW w:w="300" w:type="dxa"/>
            <w:vAlign w:val="bottom"/>
          </w:tcPr>
          <w:p>
            <w:pPr>
              <w:spacing w:after="0"/>
              <w:rPr>
                <w:sz w:val="12"/>
                <w:szCs w:val="12"/>
                <w:color w:val="auto"/>
              </w:rPr>
            </w:pPr>
          </w:p>
        </w:tc>
        <w:tc>
          <w:tcPr>
            <w:tcW w:w="680" w:type="dxa"/>
            <w:vAlign w:val="bottom"/>
            <w:tcBorders>
              <w:right w:val="single" w:sz="8" w:color="auto"/>
            </w:tcBorders>
          </w:tcPr>
          <w:p>
            <w:pPr>
              <w:jc w:val="right"/>
              <w:ind w:right="89"/>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tcBorders>
              <w:right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(6.7)</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(6.7)</w:t>
            </w:r>
          </w:p>
        </w:tc>
        <w:tc>
          <w:tcPr>
            <w:tcW w:w="0" w:type="dxa"/>
            <w:vAlign w:val="bottom"/>
          </w:tcPr>
          <w:p>
            <w:pPr>
              <w:spacing w:after="0"/>
              <w:rPr>
                <w:sz w:val="1"/>
                <w:szCs w:val="1"/>
                <w:color w:val="auto"/>
              </w:rPr>
            </w:pPr>
          </w:p>
        </w:tc>
      </w:tr>
      <w:tr>
        <w:trPr>
          <w:trHeight w:val="132"/>
        </w:trPr>
        <w:tc>
          <w:tcPr>
            <w:tcW w:w="7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Equity-</w:t>
            </w:r>
          </w:p>
        </w:tc>
        <w:tc>
          <w:tcPr>
            <w:tcW w:w="30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based</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compensation</w:t>
            </w:r>
          </w:p>
        </w:tc>
        <w:tc>
          <w:tcPr>
            <w:tcW w:w="30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rPr>
              <w:t>11.3</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w:t>
            </w:r>
          </w:p>
        </w:tc>
        <w:tc>
          <w:tcPr>
            <w:tcW w:w="0" w:type="dxa"/>
            <w:vAlign w:val="bottom"/>
          </w:tcPr>
          <w:p>
            <w:pPr>
              <w:spacing w:after="0"/>
              <w:rPr>
                <w:sz w:val="1"/>
                <w:szCs w:val="1"/>
                <w:color w:val="auto"/>
              </w:rPr>
            </w:pPr>
          </w:p>
        </w:tc>
      </w:tr>
      <w:tr>
        <w:trPr>
          <w:trHeight w:val="99"/>
        </w:trPr>
        <w:tc>
          <w:tcPr>
            <w:tcW w:w="720" w:type="dxa"/>
            <w:vAlign w:val="bottom"/>
          </w:tcPr>
          <w:p>
            <w:pPr>
              <w:ind w:left="240"/>
              <w:spacing w:after="0" w:line="99" w:lineRule="exact"/>
              <w:rPr>
                <w:sz w:val="20"/>
                <w:szCs w:val="20"/>
                <w:color w:val="auto"/>
              </w:rPr>
            </w:pPr>
            <w:r>
              <w:rPr>
                <w:rFonts w:ascii="Arial" w:cs="Arial" w:eastAsia="Arial" w:hAnsi="Arial"/>
                <w:sz w:val="10"/>
                <w:szCs w:val="10"/>
                <w:b w:val="1"/>
                <w:bCs w:val="1"/>
                <w:color w:val="auto"/>
                <w:w w:val="91"/>
              </w:rPr>
              <w:t>Balance at</w:t>
            </w:r>
          </w:p>
        </w:tc>
        <w:tc>
          <w:tcPr>
            <w:tcW w:w="300" w:type="dxa"/>
            <w:vAlign w:val="bottom"/>
            <w:tcBorders>
              <w:top w:val="single" w:sz="8" w:color="auto"/>
            </w:tcBorders>
          </w:tcPr>
          <w:p>
            <w:pPr>
              <w:spacing w:after="0"/>
              <w:rPr>
                <w:sz w:val="8"/>
                <w:szCs w:val="8"/>
                <w:color w:val="auto"/>
              </w:rPr>
            </w:pPr>
          </w:p>
        </w:tc>
        <w:tc>
          <w:tcPr>
            <w:tcW w:w="680" w:type="dxa"/>
            <w:vAlign w:val="bottom"/>
            <w:tcBorders>
              <w:top w:val="single" w:sz="8" w:color="auto"/>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Borders>
              <w:top w:val="single" w:sz="8" w:color="auto"/>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720" w:type="dxa"/>
            <w:vAlign w:val="bottom"/>
          </w:tcPr>
          <w:p>
            <w:pPr>
              <w:spacing w:after="0"/>
              <w:rPr>
                <w:sz w:val="20"/>
                <w:szCs w:val="20"/>
                <w:color w:val="auto"/>
              </w:rPr>
            </w:pPr>
            <w:r>
              <w:rPr>
                <w:rFonts w:ascii="Arial" w:cs="Arial" w:eastAsia="Arial" w:hAnsi="Arial"/>
                <w:sz w:val="10"/>
                <w:szCs w:val="10"/>
                <w:b w:val="1"/>
                <w:bCs w:val="1"/>
                <w:color w:val="auto"/>
                <w:w w:val="98"/>
              </w:rPr>
              <w:t>March 31, 2020</w:t>
            </w:r>
          </w:p>
        </w:tc>
        <w:tc>
          <w:tcPr>
            <w:tcW w:w="300" w:type="dxa"/>
            <w:vAlign w:val="bottom"/>
          </w:tcPr>
          <w:p>
            <w:pPr>
              <w:spacing w:after="0"/>
              <w:rPr>
                <w:sz w:val="12"/>
                <w:szCs w:val="12"/>
                <w:color w:val="auto"/>
              </w:rPr>
            </w:pPr>
          </w:p>
        </w:tc>
        <w:tc>
          <w:tcPr>
            <w:tcW w:w="680" w:type="dxa"/>
            <w:vAlign w:val="bottom"/>
            <w:tcBorders>
              <w:right w:val="single" w:sz="8" w:color="auto"/>
            </w:tcBorders>
          </w:tcPr>
          <w:p>
            <w:pPr>
              <w:jc w:val="right"/>
              <w:ind w:right="89"/>
              <w:spacing w:after="0"/>
              <w:rPr>
                <w:sz w:val="20"/>
                <w:szCs w:val="20"/>
                <w:color w:val="auto"/>
              </w:rPr>
            </w:pPr>
            <w:r>
              <w:rPr>
                <w:rFonts w:ascii="Arial" w:cs="Arial" w:eastAsia="Arial" w:hAnsi="Arial"/>
                <w:sz w:val="10"/>
                <w:szCs w:val="10"/>
                <w:color w:val="auto"/>
              </w:rPr>
              <w:t>(207.4)</w:t>
            </w:r>
          </w:p>
        </w:tc>
        <w:tc>
          <w:tcPr>
            <w:tcW w:w="6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tcBorders>
              <w:right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(12.7)</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(220.1)</w:t>
            </w:r>
          </w:p>
        </w:tc>
        <w:tc>
          <w:tcPr>
            <w:tcW w:w="0" w:type="dxa"/>
            <w:vAlign w:val="bottom"/>
          </w:tcPr>
          <w:p>
            <w:pPr>
              <w:spacing w:after="0"/>
              <w:rPr>
                <w:sz w:val="1"/>
                <w:szCs w:val="1"/>
                <w:color w:val="auto"/>
              </w:rPr>
            </w:pPr>
          </w:p>
        </w:tc>
      </w:tr>
      <w:tr>
        <w:trPr>
          <w:trHeight w:val="132"/>
        </w:trPr>
        <w:tc>
          <w:tcPr>
            <w:tcW w:w="7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Net</w:t>
            </w:r>
          </w:p>
        </w:tc>
        <w:tc>
          <w:tcPr>
            <w:tcW w:w="30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income (loss)</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prior to</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Reorganization</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Transactions</w:t>
            </w:r>
          </w:p>
        </w:tc>
        <w:tc>
          <w:tcPr>
            <w:tcW w:w="30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rPr>
              <w:t>0.8</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0.8</w:t>
            </w:r>
          </w:p>
        </w:tc>
        <w:tc>
          <w:tcPr>
            <w:tcW w:w="0" w:type="dxa"/>
            <w:vAlign w:val="bottom"/>
          </w:tcPr>
          <w:p>
            <w:pPr>
              <w:spacing w:after="0"/>
              <w:rPr>
                <w:sz w:val="1"/>
                <w:szCs w:val="1"/>
                <w:color w:val="auto"/>
              </w:rPr>
            </w:pPr>
          </w:p>
        </w:tc>
      </w:tr>
      <w:tr>
        <w:trPr>
          <w:trHeight w:val="123"/>
        </w:trPr>
        <w:tc>
          <w:tcPr>
            <w:tcW w:w="720" w:type="dxa"/>
            <w:vAlign w:val="bottom"/>
          </w:tcPr>
          <w:p>
            <w:pPr>
              <w:ind w:left="240"/>
              <w:spacing w:after="0"/>
              <w:rPr>
                <w:sz w:val="20"/>
                <w:szCs w:val="20"/>
                <w:color w:val="auto"/>
              </w:rPr>
            </w:pPr>
            <w:r>
              <w:rPr>
                <w:rFonts w:ascii="Arial" w:cs="Arial" w:eastAsia="Arial" w:hAnsi="Arial"/>
                <w:sz w:val="10"/>
                <w:szCs w:val="10"/>
                <w:color w:val="auto"/>
              </w:rPr>
              <w:t>Other</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comprehensive</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loss prior to</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Reorganization</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w w:val="91"/>
              </w:rPr>
              <w:t>Transactions and</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20"/>
                <w:szCs w:val="20"/>
                <w:color w:val="auto"/>
              </w:rPr>
            </w:pPr>
            <w:r>
              <w:rPr>
                <w:rFonts w:ascii="Arial" w:cs="Arial" w:eastAsia="Arial" w:hAnsi="Arial"/>
                <w:sz w:val="10"/>
                <w:szCs w:val="10"/>
                <w:color w:val="auto"/>
              </w:rPr>
              <w:t>IPO</w:t>
            </w:r>
          </w:p>
        </w:tc>
        <w:tc>
          <w:tcPr>
            <w:tcW w:w="300" w:type="dxa"/>
            <w:vAlign w:val="bottom"/>
          </w:tcPr>
          <w:p>
            <w:pPr>
              <w:spacing w:after="0"/>
              <w:rPr>
                <w:sz w:val="12"/>
                <w:szCs w:val="12"/>
                <w:color w:val="auto"/>
              </w:rPr>
            </w:pPr>
          </w:p>
        </w:tc>
        <w:tc>
          <w:tcPr>
            <w:tcW w:w="680" w:type="dxa"/>
            <w:vAlign w:val="bottom"/>
            <w:tcBorders>
              <w:right w:val="single" w:sz="8" w:color="auto"/>
            </w:tcBorders>
          </w:tcPr>
          <w:p>
            <w:pPr>
              <w:jc w:val="right"/>
              <w:ind w:right="89"/>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tcBorders>
              <w:right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(1.0)</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32"/>
        </w:trPr>
        <w:tc>
          <w:tcPr>
            <w:tcW w:w="7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Member</w:t>
            </w:r>
          </w:p>
        </w:tc>
        <w:tc>
          <w:tcPr>
            <w:tcW w:w="30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distributions</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prior to</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Reorganization</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Transactions</w:t>
            </w:r>
          </w:p>
        </w:tc>
        <w:tc>
          <w:tcPr>
            <w:tcW w:w="30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rPr>
              <w:t>(1.8)</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123"/>
        </w:trPr>
        <w:tc>
          <w:tcPr>
            <w:tcW w:w="720" w:type="dxa"/>
            <w:vAlign w:val="bottom"/>
          </w:tcPr>
          <w:p>
            <w:pPr>
              <w:ind w:left="240"/>
              <w:spacing w:after="0"/>
              <w:rPr>
                <w:sz w:val="20"/>
                <w:szCs w:val="20"/>
                <w:color w:val="auto"/>
              </w:rPr>
            </w:pPr>
            <w:r>
              <w:rPr>
                <w:rFonts w:ascii="Arial" w:cs="Arial" w:eastAsia="Arial" w:hAnsi="Arial"/>
                <w:sz w:val="10"/>
                <w:szCs w:val="10"/>
                <w:color w:val="auto"/>
              </w:rPr>
              <w:t>Equity-</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based</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compensation</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prior to</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Reorganization</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20"/>
                <w:szCs w:val="20"/>
                <w:color w:val="auto"/>
              </w:rPr>
            </w:pPr>
            <w:r>
              <w:rPr>
                <w:rFonts w:ascii="Arial" w:cs="Arial" w:eastAsia="Arial" w:hAnsi="Arial"/>
                <w:sz w:val="10"/>
                <w:szCs w:val="10"/>
                <w:color w:val="auto"/>
              </w:rPr>
              <w:t>Transactions</w:t>
            </w:r>
          </w:p>
        </w:tc>
        <w:tc>
          <w:tcPr>
            <w:tcW w:w="300" w:type="dxa"/>
            <w:vAlign w:val="bottom"/>
          </w:tcPr>
          <w:p>
            <w:pPr>
              <w:spacing w:after="0"/>
              <w:rPr>
                <w:sz w:val="12"/>
                <w:szCs w:val="12"/>
                <w:color w:val="auto"/>
              </w:rPr>
            </w:pPr>
          </w:p>
        </w:tc>
        <w:tc>
          <w:tcPr>
            <w:tcW w:w="680" w:type="dxa"/>
            <w:vAlign w:val="bottom"/>
            <w:tcBorders>
              <w:right w:val="single" w:sz="8" w:color="auto"/>
            </w:tcBorders>
          </w:tcPr>
          <w:p>
            <w:pPr>
              <w:jc w:val="right"/>
              <w:ind w:right="89"/>
              <w:spacing w:after="0"/>
              <w:rPr>
                <w:sz w:val="20"/>
                <w:szCs w:val="20"/>
                <w:color w:val="auto"/>
              </w:rPr>
            </w:pPr>
            <w:r>
              <w:rPr>
                <w:rFonts w:ascii="Arial" w:cs="Arial" w:eastAsia="Arial" w:hAnsi="Arial"/>
                <w:sz w:val="10"/>
                <w:szCs w:val="10"/>
                <w:color w:val="auto"/>
              </w:rPr>
              <w:t>4.5</w:t>
            </w:r>
          </w:p>
        </w:tc>
        <w:tc>
          <w:tcPr>
            <w:tcW w:w="6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tcBorders>
              <w:right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4.5</w:t>
            </w:r>
          </w:p>
        </w:tc>
        <w:tc>
          <w:tcPr>
            <w:tcW w:w="0" w:type="dxa"/>
            <w:vAlign w:val="bottom"/>
          </w:tcPr>
          <w:p>
            <w:pPr>
              <w:spacing w:after="0"/>
              <w:rPr>
                <w:sz w:val="1"/>
                <w:szCs w:val="1"/>
                <w:color w:val="auto"/>
              </w:rPr>
            </w:pPr>
          </w:p>
        </w:tc>
      </w:tr>
      <w:tr>
        <w:trPr>
          <w:trHeight w:val="132"/>
        </w:trPr>
        <w:tc>
          <w:tcPr>
            <w:tcW w:w="720" w:type="dxa"/>
            <w:vAlign w:val="bottom"/>
            <w:shd w:val="clear" w:color="auto" w:fill="CCEEFF"/>
          </w:tcPr>
          <w:p>
            <w:pPr>
              <w:ind w:left="240"/>
              <w:spacing w:after="0"/>
              <w:rPr>
                <w:sz w:val="20"/>
                <w:szCs w:val="20"/>
                <w:color w:val="auto"/>
              </w:rPr>
            </w:pPr>
            <w:r>
              <w:rPr>
                <w:rFonts w:ascii="Arial" w:cs="Arial" w:eastAsia="Arial" w:hAnsi="Arial"/>
                <w:sz w:val="10"/>
                <w:szCs w:val="10"/>
                <w:b w:val="1"/>
                <w:bCs w:val="1"/>
                <w:i w:val="1"/>
                <w:iCs w:val="1"/>
                <w:color w:val="auto"/>
                <w:w w:val="91"/>
              </w:rPr>
              <w:t>Impacts of</w:t>
            </w:r>
          </w:p>
        </w:tc>
        <w:tc>
          <w:tcPr>
            <w:tcW w:w="30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b w:val="1"/>
                <w:bCs w:val="1"/>
                <w:i w:val="1"/>
                <w:iCs w:val="1"/>
                <w:color w:val="auto"/>
                <w:w w:val="96"/>
              </w:rPr>
              <w:t>Reorganization</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b w:val="1"/>
                <w:bCs w:val="1"/>
                <w:i w:val="1"/>
                <w:iCs w:val="1"/>
                <w:color w:val="auto"/>
              </w:rPr>
              <w:t>Transactions</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20"/>
                <w:szCs w:val="20"/>
                <w:color w:val="auto"/>
              </w:rPr>
            </w:pPr>
            <w:r>
              <w:rPr>
                <w:rFonts w:ascii="Arial" w:cs="Arial" w:eastAsia="Arial" w:hAnsi="Arial"/>
                <w:sz w:val="10"/>
                <w:szCs w:val="10"/>
                <w:b w:val="1"/>
                <w:bCs w:val="1"/>
                <w:i w:val="1"/>
                <w:iCs w:val="1"/>
                <w:color w:val="auto"/>
              </w:rPr>
              <w:t>and IPO</w:t>
            </w:r>
          </w:p>
        </w:tc>
        <w:tc>
          <w:tcPr>
            <w:tcW w:w="30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720" w:type="dxa"/>
            <w:vAlign w:val="bottom"/>
          </w:tcPr>
          <w:p>
            <w:pPr>
              <w:ind w:left="240"/>
              <w:spacing w:after="0"/>
              <w:rPr>
                <w:sz w:val="20"/>
                <w:szCs w:val="20"/>
                <w:color w:val="auto"/>
              </w:rPr>
            </w:pPr>
            <w:r>
              <w:rPr>
                <w:rFonts w:ascii="Arial" w:cs="Arial" w:eastAsia="Arial" w:hAnsi="Arial"/>
                <w:sz w:val="10"/>
                <w:szCs w:val="10"/>
                <w:color w:val="auto"/>
              </w:rPr>
              <w:t>Initial</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effect of the</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Reorganization</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w w:val="91"/>
              </w:rPr>
              <w:t>Transactions and</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IPO on</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noncontrolling</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20"/>
                <w:szCs w:val="20"/>
                <w:color w:val="auto"/>
              </w:rPr>
            </w:pPr>
            <w:r>
              <w:rPr>
                <w:rFonts w:ascii="Arial" w:cs="Arial" w:eastAsia="Arial" w:hAnsi="Arial"/>
                <w:sz w:val="10"/>
                <w:szCs w:val="10"/>
                <w:color w:val="auto"/>
              </w:rPr>
              <w:t>interests</w:t>
            </w:r>
          </w:p>
        </w:tc>
        <w:tc>
          <w:tcPr>
            <w:tcW w:w="300" w:type="dxa"/>
            <w:vAlign w:val="bottom"/>
          </w:tcPr>
          <w:p>
            <w:pPr>
              <w:spacing w:after="0"/>
              <w:rPr>
                <w:sz w:val="12"/>
                <w:szCs w:val="12"/>
                <w:color w:val="auto"/>
              </w:rPr>
            </w:pPr>
          </w:p>
        </w:tc>
        <w:tc>
          <w:tcPr>
            <w:tcW w:w="680" w:type="dxa"/>
            <w:vAlign w:val="bottom"/>
            <w:tcBorders>
              <w:right w:val="single" w:sz="8" w:color="auto"/>
            </w:tcBorders>
          </w:tcPr>
          <w:p>
            <w:pPr>
              <w:jc w:val="right"/>
              <w:ind w:right="89"/>
              <w:spacing w:after="0"/>
              <w:rPr>
                <w:sz w:val="20"/>
                <w:szCs w:val="20"/>
                <w:color w:val="auto"/>
              </w:rPr>
            </w:pPr>
            <w:r>
              <w:rPr>
                <w:rFonts w:ascii="Arial" w:cs="Arial" w:eastAsia="Arial" w:hAnsi="Arial"/>
                <w:sz w:val="10"/>
                <w:szCs w:val="10"/>
                <w:color w:val="auto"/>
              </w:rPr>
              <w:t>203.9</w:t>
            </w:r>
          </w:p>
        </w:tc>
        <w:tc>
          <w:tcPr>
            <w:tcW w:w="6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242,414,027</w:t>
            </w:r>
          </w:p>
        </w:tc>
        <w:tc>
          <w:tcPr>
            <w:tcW w:w="60" w:type="dxa"/>
            <w:vAlign w:val="bottom"/>
          </w:tcPr>
          <w:p>
            <w:pPr>
              <w:spacing w:after="0"/>
              <w:rPr>
                <w:sz w:val="12"/>
                <w:szCs w:val="12"/>
                <w:color w:val="auto"/>
              </w:rPr>
            </w:pPr>
          </w:p>
        </w:tc>
        <w:tc>
          <w:tcPr>
            <w:tcW w:w="840" w:type="dxa"/>
            <w:vAlign w:val="bottom"/>
            <w:tcBorders>
              <w:right w:val="single" w:sz="8" w:color="auto"/>
            </w:tcBorders>
          </w:tcPr>
          <w:p>
            <w:pPr>
              <w:jc w:val="right"/>
              <w:ind w:right="88"/>
              <w:spacing w:after="0"/>
              <w:rPr>
                <w:sz w:val="20"/>
                <w:szCs w:val="20"/>
                <w:color w:val="auto"/>
              </w:rPr>
            </w:pPr>
            <w:r>
              <w:rPr>
                <w:rFonts w:ascii="Arial" w:cs="Arial" w:eastAsia="Arial" w:hAnsi="Arial"/>
                <w:sz w:val="10"/>
                <w:szCs w:val="10"/>
                <w:color w:val="auto"/>
              </w:rPr>
              <w:t>98,381,656</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2.4</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(628.1)</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8.4</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412.4</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720" w:type="dxa"/>
            <w:vAlign w:val="bottom"/>
            <w:shd w:val="clear" w:color="auto" w:fill="CCEEFF"/>
          </w:tcPr>
          <w:p>
            <w:pPr>
              <w:ind w:left="240"/>
              <w:spacing w:after="0"/>
              <w:rPr>
                <w:sz w:val="20"/>
                <w:szCs w:val="20"/>
                <w:color w:val="auto"/>
              </w:rPr>
            </w:pPr>
            <w:r>
              <w:rPr>
                <w:rFonts w:ascii="Arial" w:cs="Arial" w:eastAsia="Arial" w:hAnsi="Arial"/>
                <w:sz w:val="10"/>
                <w:szCs w:val="10"/>
                <w:color w:val="auto"/>
                <w:w w:val="89"/>
              </w:rPr>
              <w:t>Issuance of</w:t>
            </w:r>
          </w:p>
        </w:tc>
        <w:tc>
          <w:tcPr>
            <w:tcW w:w="30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Class A</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common stock</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in IPO, net of</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costs</w:t>
            </w:r>
          </w:p>
        </w:tc>
        <w:tc>
          <w:tcPr>
            <w:tcW w:w="30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48,528,783</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0.5</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1,016.1</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1,016.6</w:t>
            </w:r>
          </w:p>
        </w:tc>
        <w:tc>
          <w:tcPr>
            <w:tcW w:w="0" w:type="dxa"/>
            <w:vAlign w:val="bottom"/>
          </w:tcPr>
          <w:p>
            <w:pPr>
              <w:spacing w:after="0"/>
              <w:rPr>
                <w:sz w:val="1"/>
                <w:szCs w:val="1"/>
                <w:color w:val="auto"/>
              </w:rPr>
            </w:pPr>
          </w:p>
        </w:tc>
      </w:tr>
      <w:tr>
        <w:trPr>
          <w:trHeight w:val="123"/>
        </w:trPr>
        <w:tc>
          <w:tcPr>
            <w:tcW w:w="720" w:type="dxa"/>
            <w:vAlign w:val="bottom"/>
          </w:tcPr>
          <w:p>
            <w:pPr>
              <w:ind w:left="240"/>
              <w:spacing w:after="0"/>
              <w:rPr>
                <w:sz w:val="20"/>
                <w:szCs w:val="20"/>
                <w:color w:val="auto"/>
              </w:rPr>
            </w:pPr>
            <w:r>
              <w:rPr>
                <w:rFonts w:ascii="Arial" w:cs="Arial" w:eastAsia="Arial" w:hAnsi="Arial"/>
                <w:sz w:val="10"/>
                <w:szCs w:val="10"/>
                <w:color w:val="auto"/>
                <w:w w:val="97"/>
              </w:rPr>
              <w:t>Purchases</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of ZoomInfo</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OpCo units in</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connection with</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20"/>
                <w:szCs w:val="20"/>
                <w:color w:val="auto"/>
              </w:rPr>
            </w:pPr>
            <w:r>
              <w:rPr>
                <w:rFonts w:ascii="Arial" w:cs="Arial" w:eastAsia="Arial" w:hAnsi="Arial"/>
                <w:sz w:val="10"/>
                <w:szCs w:val="10"/>
                <w:color w:val="auto"/>
              </w:rPr>
              <w:t>IPO</w:t>
            </w:r>
          </w:p>
        </w:tc>
        <w:tc>
          <w:tcPr>
            <w:tcW w:w="300" w:type="dxa"/>
            <w:vAlign w:val="bottom"/>
          </w:tcPr>
          <w:p>
            <w:pPr>
              <w:spacing w:after="0"/>
              <w:rPr>
                <w:sz w:val="12"/>
                <w:szCs w:val="12"/>
                <w:color w:val="auto"/>
              </w:rPr>
            </w:pPr>
          </w:p>
        </w:tc>
        <w:tc>
          <w:tcPr>
            <w:tcW w:w="680" w:type="dxa"/>
            <w:vAlign w:val="bottom"/>
            <w:tcBorders>
              <w:right w:val="single" w:sz="8" w:color="auto"/>
            </w:tcBorders>
          </w:tcPr>
          <w:p>
            <w:pPr>
              <w:jc w:val="right"/>
              <w:ind w:right="89"/>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spacing w:after="0"/>
              <w:rPr>
                <w:sz w:val="20"/>
                <w:szCs w:val="20"/>
                <w:color w:val="auto"/>
              </w:rPr>
            </w:pPr>
            <w:r>
              <w:rPr>
                <w:rFonts w:ascii="Arial" w:cs="Arial" w:eastAsia="Arial" w:hAnsi="Arial"/>
                <w:sz w:val="10"/>
                <w:szCs w:val="10"/>
                <w:color w:val="auto"/>
              </w:rPr>
              <w:t>2,370,948</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(2,370,948)</w:t>
            </w:r>
          </w:p>
        </w:tc>
        <w:tc>
          <w:tcPr>
            <w:tcW w:w="60" w:type="dxa"/>
            <w:vAlign w:val="bottom"/>
          </w:tcPr>
          <w:p>
            <w:pPr>
              <w:spacing w:after="0"/>
              <w:rPr>
                <w:sz w:val="12"/>
                <w:szCs w:val="12"/>
                <w:color w:val="auto"/>
              </w:rPr>
            </w:pPr>
          </w:p>
        </w:tc>
        <w:tc>
          <w:tcPr>
            <w:tcW w:w="840" w:type="dxa"/>
            <w:vAlign w:val="bottom"/>
            <w:tcBorders>
              <w:right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(47.2)</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(47.2)</w:t>
            </w:r>
          </w:p>
        </w:tc>
        <w:tc>
          <w:tcPr>
            <w:tcW w:w="0" w:type="dxa"/>
            <w:vAlign w:val="bottom"/>
          </w:tcPr>
          <w:p>
            <w:pPr>
              <w:spacing w:after="0"/>
              <w:rPr>
                <w:sz w:val="1"/>
                <w:szCs w:val="1"/>
                <w:color w:val="auto"/>
              </w:rPr>
            </w:pPr>
          </w:p>
        </w:tc>
      </w:tr>
      <w:tr>
        <w:trPr>
          <w:trHeight w:val="132"/>
        </w:trPr>
        <w:tc>
          <w:tcPr>
            <w:tcW w:w="720" w:type="dxa"/>
            <w:vAlign w:val="bottom"/>
            <w:shd w:val="clear" w:color="auto" w:fill="CCEEFF"/>
          </w:tcPr>
          <w:p>
            <w:pPr>
              <w:ind w:left="240"/>
              <w:spacing w:after="0"/>
              <w:rPr>
                <w:sz w:val="20"/>
                <w:szCs w:val="20"/>
                <w:color w:val="auto"/>
              </w:rPr>
            </w:pPr>
            <w:r>
              <w:rPr>
                <w:rFonts w:ascii="Arial" w:cs="Arial" w:eastAsia="Arial" w:hAnsi="Arial"/>
                <w:sz w:val="10"/>
                <w:szCs w:val="10"/>
                <w:color w:val="auto"/>
                <w:w w:val="97"/>
              </w:rPr>
              <w:t>Purchases</w:t>
            </w:r>
          </w:p>
        </w:tc>
        <w:tc>
          <w:tcPr>
            <w:tcW w:w="30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w w:val="99"/>
              </w:rPr>
              <w:t>of Class C units</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in connection</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with IPO</w:t>
            </w:r>
          </w:p>
        </w:tc>
        <w:tc>
          <w:tcPr>
            <w:tcW w:w="30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275,269</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rPr>
              <w:t>(275,269)</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w:t>
            </w:r>
          </w:p>
        </w:tc>
        <w:tc>
          <w:tcPr>
            <w:tcW w:w="0" w:type="dxa"/>
            <w:vAlign w:val="bottom"/>
          </w:tcPr>
          <w:p>
            <w:pPr>
              <w:spacing w:after="0"/>
              <w:rPr>
                <w:sz w:val="1"/>
                <w:szCs w:val="1"/>
                <w:color w:val="auto"/>
              </w:rPr>
            </w:pPr>
          </w:p>
        </w:tc>
      </w:tr>
      <w:tr>
        <w:trPr>
          <w:trHeight w:val="123"/>
        </w:trPr>
        <w:tc>
          <w:tcPr>
            <w:tcW w:w="720" w:type="dxa"/>
            <w:vAlign w:val="bottom"/>
          </w:tcPr>
          <w:p>
            <w:pPr>
              <w:ind w:left="240"/>
              <w:spacing w:after="0"/>
              <w:rPr>
                <w:sz w:val="20"/>
                <w:szCs w:val="20"/>
                <w:color w:val="auto"/>
              </w:rPr>
            </w:pPr>
            <w:r>
              <w:rPr>
                <w:rFonts w:ascii="Arial" w:cs="Arial" w:eastAsia="Arial" w:hAnsi="Arial"/>
                <w:sz w:val="10"/>
                <w:szCs w:val="10"/>
                <w:color w:val="auto"/>
              </w:rPr>
              <w:t>Opco</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w w:val="93"/>
              </w:rPr>
              <w:t>Units exchanged</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into Class A</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20"/>
                <w:szCs w:val="20"/>
                <w:color w:val="auto"/>
              </w:rPr>
            </w:pPr>
            <w:r>
              <w:rPr>
                <w:rFonts w:ascii="Arial" w:cs="Arial" w:eastAsia="Arial" w:hAnsi="Arial"/>
                <w:sz w:val="10"/>
                <w:szCs w:val="10"/>
                <w:color w:val="auto"/>
              </w:rPr>
              <w:t>shares</w:t>
            </w:r>
          </w:p>
        </w:tc>
        <w:tc>
          <w:tcPr>
            <w:tcW w:w="300" w:type="dxa"/>
            <w:vAlign w:val="bottom"/>
          </w:tcPr>
          <w:p>
            <w:pPr>
              <w:spacing w:after="0"/>
              <w:rPr>
                <w:sz w:val="12"/>
                <w:szCs w:val="12"/>
                <w:color w:val="auto"/>
              </w:rPr>
            </w:pPr>
          </w:p>
        </w:tc>
        <w:tc>
          <w:tcPr>
            <w:tcW w:w="680" w:type="dxa"/>
            <w:vAlign w:val="bottom"/>
            <w:tcBorders>
              <w:right w:val="single" w:sz="8" w:color="auto"/>
            </w:tcBorders>
          </w:tcPr>
          <w:p>
            <w:pPr>
              <w:jc w:val="right"/>
              <w:ind w:right="89"/>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spacing w:after="0"/>
              <w:rPr>
                <w:sz w:val="20"/>
                <w:szCs w:val="20"/>
                <w:color w:val="auto"/>
              </w:rPr>
            </w:pPr>
            <w:r>
              <w:rPr>
                <w:rFonts w:ascii="Arial" w:cs="Arial" w:eastAsia="Arial" w:hAnsi="Arial"/>
                <w:sz w:val="10"/>
                <w:szCs w:val="10"/>
                <w:color w:val="auto"/>
              </w:rPr>
              <w:t>878,984</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(878,984)</w:t>
            </w:r>
          </w:p>
        </w:tc>
        <w:tc>
          <w:tcPr>
            <w:tcW w:w="60" w:type="dxa"/>
            <w:vAlign w:val="bottom"/>
          </w:tcPr>
          <w:p>
            <w:pPr>
              <w:spacing w:after="0"/>
              <w:rPr>
                <w:sz w:val="12"/>
                <w:szCs w:val="12"/>
                <w:color w:val="auto"/>
              </w:rPr>
            </w:pPr>
          </w:p>
        </w:tc>
        <w:tc>
          <w:tcPr>
            <w:tcW w:w="840" w:type="dxa"/>
            <w:vAlign w:val="bottom"/>
            <w:tcBorders>
              <w:right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720" w:type="dxa"/>
            <w:vAlign w:val="bottom"/>
            <w:shd w:val="clear" w:color="auto" w:fill="CCEEFF"/>
          </w:tcPr>
          <w:p>
            <w:pPr>
              <w:ind w:left="240"/>
              <w:spacing w:after="0"/>
              <w:rPr>
                <w:sz w:val="20"/>
                <w:szCs w:val="20"/>
                <w:color w:val="auto"/>
              </w:rPr>
            </w:pPr>
            <w:r>
              <w:rPr>
                <w:rFonts w:ascii="Arial" w:cs="Arial" w:eastAsia="Arial" w:hAnsi="Arial"/>
                <w:sz w:val="10"/>
                <w:szCs w:val="10"/>
                <w:color w:val="auto"/>
                <w:w w:val="96"/>
              </w:rPr>
              <w:t>Forfeitures</w:t>
            </w:r>
          </w:p>
        </w:tc>
        <w:tc>
          <w:tcPr>
            <w:tcW w:w="30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 cancellations</w:t>
            </w:r>
          </w:p>
        </w:tc>
        <w:tc>
          <w:tcPr>
            <w:tcW w:w="30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(59,693)</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(10,882)</w:t>
            </w:r>
          </w:p>
        </w:tc>
        <w:tc>
          <w:tcPr>
            <w:tcW w:w="60" w:type="dxa"/>
            <w:vAlign w:val="bottom"/>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3"/>
        </w:trPr>
        <w:tc>
          <w:tcPr>
            <w:tcW w:w="720" w:type="dxa"/>
            <w:vAlign w:val="bottom"/>
          </w:tcPr>
          <w:p>
            <w:pPr>
              <w:ind w:left="240"/>
              <w:spacing w:after="0"/>
              <w:rPr>
                <w:sz w:val="20"/>
                <w:szCs w:val="20"/>
                <w:color w:val="auto"/>
              </w:rPr>
            </w:pPr>
            <w:r>
              <w:rPr>
                <w:rFonts w:ascii="Arial" w:cs="Arial" w:eastAsia="Arial" w:hAnsi="Arial"/>
                <w:sz w:val="10"/>
                <w:szCs w:val="10"/>
                <w:color w:val="auto"/>
              </w:rPr>
              <w:t>Series A</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Preferred Unit</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redemption</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20"/>
                <w:szCs w:val="20"/>
                <w:color w:val="auto"/>
              </w:rPr>
            </w:pPr>
            <w:r>
              <w:rPr>
                <w:rFonts w:ascii="Arial" w:cs="Arial" w:eastAsia="Arial" w:hAnsi="Arial"/>
                <w:sz w:val="10"/>
                <w:szCs w:val="10"/>
                <w:color w:val="auto"/>
              </w:rPr>
              <w:t>accretion</w:t>
            </w:r>
          </w:p>
        </w:tc>
        <w:tc>
          <w:tcPr>
            <w:tcW w:w="300" w:type="dxa"/>
            <w:vAlign w:val="bottom"/>
          </w:tcPr>
          <w:p>
            <w:pPr>
              <w:spacing w:after="0"/>
              <w:rPr>
                <w:sz w:val="12"/>
                <w:szCs w:val="12"/>
                <w:color w:val="auto"/>
              </w:rPr>
            </w:pPr>
          </w:p>
        </w:tc>
        <w:tc>
          <w:tcPr>
            <w:tcW w:w="680" w:type="dxa"/>
            <w:vAlign w:val="bottom"/>
            <w:tcBorders>
              <w:right w:val="single" w:sz="8" w:color="auto"/>
            </w:tcBorders>
          </w:tcPr>
          <w:p>
            <w:pPr>
              <w:jc w:val="right"/>
              <w:ind w:right="89"/>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tcBorders>
              <w:right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(74.0)</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(74.0)</w:t>
            </w:r>
          </w:p>
        </w:tc>
        <w:tc>
          <w:tcPr>
            <w:tcW w:w="0" w:type="dxa"/>
            <w:vAlign w:val="bottom"/>
          </w:tcPr>
          <w:p>
            <w:pPr>
              <w:spacing w:after="0"/>
              <w:rPr>
                <w:sz w:val="1"/>
                <w:szCs w:val="1"/>
                <w:color w:val="auto"/>
              </w:rPr>
            </w:pPr>
          </w:p>
        </w:tc>
      </w:tr>
      <w:tr>
        <w:trPr>
          <w:trHeight w:val="132"/>
        </w:trPr>
        <w:tc>
          <w:tcPr>
            <w:tcW w:w="720" w:type="dxa"/>
            <w:vAlign w:val="bottom"/>
            <w:shd w:val="clear" w:color="auto" w:fill="CCEEFF"/>
          </w:tcPr>
          <w:p>
            <w:pPr>
              <w:ind w:left="240"/>
              <w:spacing w:after="0"/>
              <w:rPr>
                <w:sz w:val="20"/>
                <w:szCs w:val="20"/>
                <w:color w:val="auto"/>
              </w:rPr>
            </w:pPr>
            <w:r>
              <w:rPr>
                <w:rFonts w:ascii="Arial" w:cs="Arial" w:eastAsia="Arial" w:hAnsi="Arial"/>
                <w:sz w:val="10"/>
                <w:szCs w:val="10"/>
                <w:color w:val="auto"/>
                <w:w w:val="93"/>
              </w:rPr>
              <w:t>Increase in</w:t>
            </w:r>
          </w:p>
        </w:tc>
        <w:tc>
          <w:tcPr>
            <w:tcW w:w="30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deferred tax</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w w:val="97"/>
              </w:rPr>
              <w:t>asset from step-</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up in tax basis</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under TRA</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related to unit</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720" w:type="dxa"/>
            <w:vAlign w:val="bottom"/>
            <w:shd w:val="clear" w:color="auto" w:fill="CCEEFF"/>
          </w:tcPr>
          <w:p>
            <w:pPr>
              <w:spacing w:after="0" w:line="112" w:lineRule="exact"/>
              <w:rPr>
                <w:sz w:val="20"/>
                <w:szCs w:val="20"/>
                <w:color w:val="auto"/>
              </w:rPr>
            </w:pPr>
            <w:r>
              <w:rPr>
                <w:rFonts w:ascii="Arial" w:cs="Arial" w:eastAsia="Arial" w:hAnsi="Arial"/>
                <w:sz w:val="10"/>
                <w:szCs w:val="10"/>
                <w:color w:val="auto"/>
              </w:rPr>
              <w:t>exchanges (as</w:t>
            </w:r>
          </w:p>
        </w:tc>
        <w:tc>
          <w:tcPr>
            <w:tcW w:w="300" w:type="dxa"/>
            <w:vAlign w:val="bottom"/>
            <w:shd w:val="clear" w:color="auto" w:fill="CCEEFF"/>
          </w:tcPr>
          <w:p>
            <w:pPr>
              <w:spacing w:after="0"/>
              <w:rPr>
                <w:sz w:val="9"/>
                <w:szCs w:val="9"/>
                <w:color w:val="auto"/>
              </w:rPr>
            </w:pPr>
          </w:p>
        </w:tc>
        <w:tc>
          <w:tcPr>
            <w:tcW w:w="68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revised)</w:t>
            </w:r>
            <w:r>
              <w:rPr>
                <w:rFonts w:ascii="Arial" w:cs="Arial" w:eastAsia="Arial" w:hAnsi="Arial"/>
                <w:sz w:val="13"/>
                <w:szCs w:val="13"/>
                <w:color w:val="auto"/>
                <w:vertAlign w:val="superscript"/>
              </w:rPr>
              <w:t>(1)</w:t>
            </w:r>
          </w:p>
        </w:tc>
        <w:tc>
          <w:tcPr>
            <w:tcW w:w="300" w:type="dxa"/>
            <w:vAlign w:val="bottom"/>
            <w:shd w:val="clear" w:color="auto" w:fill="CCEEFF"/>
          </w:tcPr>
          <w:p>
            <w:pPr>
              <w:spacing w:after="0"/>
              <w:rPr>
                <w:sz w:val="13"/>
                <w:szCs w:val="13"/>
                <w:color w:val="auto"/>
              </w:rPr>
            </w:pPr>
          </w:p>
        </w:tc>
        <w:tc>
          <w:tcPr>
            <w:tcW w:w="680" w:type="dxa"/>
            <w:vAlign w:val="bottom"/>
            <w:tcBorders>
              <w:right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107.2</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42.9</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151.5</w:t>
            </w:r>
          </w:p>
        </w:tc>
        <w:tc>
          <w:tcPr>
            <w:tcW w:w="0" w:type="dxa"/>
            <w:vAlign w:val="bottom"/>
          </w:tcPr>
          <w:p>
            <w:pPr>
              <w:spacing w:after="0"/>
              <w:rPr>
                <w:sz w:val="1"/>
                <w:szCs w:val="1"/>
                <w:color w:val="auto"/>
              </w:rPr>
            </w:pPr>
          </w:p>
        </w:tc>
      </w:tr>
      <w:tr>
        <w:trPr>
          <w:trHeight w:val="123"/>
        </w:trPr>
        <w:tc>
          <w:tcPr>
            <w:tcW w:w="720" w:type="dxa"/>
            <w:vAlign w:val="bottom"/>
          </w:tcPr>
          <w:p>
            <w:pPr>
              <w:ind w:left="240"/>
              <w:spacing w:after="0"/>
              <w:rPr>
                <w:sz w:val="20"/>
                <w:szCs w:val="20"/>
                <w:color w:val="auto"/>
              </w:rPr>
            </w:pPr>
            <w:r>
              <w:rPr>
                <w:rFonts w:ascii="Arial" w:cs="Arial" w:eastAsia="Arial" w:hAnsi="Arial"/>
                <w:sz w:val="10"/>
                <w:szCs w:val="10"/>
                <w:color w:val="auto"/>
              </w:rPr>
              <w:t>Net</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income</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subsequent to</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Reorganization</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20"/>
                <w:szCs w:val="20"/>
                <w:color w:val="auto"/>
              </w:rPr>
            </w:pPr>
            <w:r>
              <w:rPr>
                <w:rFonts w:ascii="Arial" w:cs="Arial" w:eastAsia="Arial" w:hAnsi="Arial"/>
                <w:sz w:val="10"/>
                <w:szCs w:val="10"/>
                <w:color w:val="auto"/>
              </w:rPr>
              <w:t>Transactions</w:t>
            </w:r>
          </w:p>
        </w:tc>
        <w:tc>
          <w:tcPr>
            <w:tcW w:w="300" w:type="dxa"/>
            <w:vAlign w:val="bottom"/>
          </w:tcPr>
          <w:p>
            <w:pPr>
              <w:spacing w:after="0"/>
              <w:rPr>
                <w:sz w:val="12"/>
                <w:szCs w:val="12"/>
                <w:color w:val="auto"/>
              </w:rPr>
            </w:pPr>
          </w:p>
        </w:tc>
        <w:tc>
          <w:tcPr>
            <w:tcW w:w="680" w:type="dxa"/>
            <w:vAlign w:val="bottom"/>
            <w:tcBorders>
              <w:right w:val="single" w:sz="8" w:color="auto"/>
            </w:tcBorders>
          </w:tcPr>
          <w:p>
            <w:pPr>
              <w:jc w:val="right"/>
              <w:ind w:right="89"/>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tcBorders>
              <w:right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(34.4)</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(44.3)</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(78.7)</w:t>
            </w:r>
          </w:p>
        </w:tc>
        <w:tc>
          <w:tcPr>
            <w:tcW w:w="0" w:type="dxa"/>
            <w:vAlign w:val="bottom"/>
          </w:tcPr>
          <w:p>
            <w:pPr>
              <w:spacing w:after="0"/>
              <w:rPr>
                <w:sz w:val="1"/>
                <w:szCs w:val="1"/>
                <w:color w:val="auto"/>
              </w:rPr>
            </w:pPr>
          </w:p>
        </w:tc>
      </w:tr>
      <w:tr>
        <w:trPr>
          <w:trHeight w:val="132"/>
        </w:trPr>
        <w:tc>
          <w:tcPr>
            <w:tcW w:w="7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Other</w:t>
            </w:r>
          </w:p>
        </w:tc>
        <w:tc>
          <w:tcPr>
            <w:tcW w:w="30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comprehensive</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w w:val="96"/>
              </w:rPr>
              <w:t>loss subsequent</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to</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Reorganization</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w w:val="91"/>
              </w:rPr>
              <w:t>Transactions and</w:t>
            </w:r>
          </w:p>
        </w:tc>
        <w:tc>
          <w:tcPr>
            <w:tcW w:w="30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20"/>
                <w:szCs w:val="20"/>
                <w:color w:val="auto"/>
              </w:rPr>
            </w:pPr>
            <w:r>
              <w:rPr>
                <w:rFonts w:ascii="Arial" w:cs="Arial" w:eastAsia="Arial" w:hAnsi="Arial"/>
                <w:sz w:val="10"/>
                <w:szCs w:val="10"/>
                <w:color w:val="auto"/>
              </w:rPr>
              <w:t>IPO</w:t>
            </w:r>
          </w:p>
        </w:tc>
        <w:tc>
          <w:tcPr>
            <w:tcW w:w="30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w:t>
            </w:r>
          </w:p>
        </w:tc>
        <w:tc>
          <w:tcPr>
            <w:tcW w:w="0" w:type="dxa"/>
            <w:vAlign w:val="bottom"/>
          </w:tcPr>
          <w:p>
            <w:pPr>
              <w:spacing w:after="0"/>
              <w:rPr>
                <w:sz w:val="1"/>
                <w:szCs w:val="1"/>
                <w:color w:val="auto"/>
              </w:rPr>
            </w:pPr>
          </w:p>
        </w:tc>
      </w:tr>
      <w:tr>
        <w:trPr>
          <w:trHeight w:val="123"/>
        </w:trPr>
        <w:tc>
          <w:tcPr>
            <w:tcW w:w="720" w:type="dxa"/>
            <w:vAlign w:val="bottom"/>
          </w:tcPr>
          <w:p>
            <w:pPr>
              <w:ind w:left="240"/>
              <w:spacing w:after="0"/>
              <w:rPr>
                <w:sz w:val="20"/>
                <w:szCs w:val="20"/>
                <w:color w:val="auto"/>
              </w:rPr>
            </w:pPr>
            <w:r>
              <w:rPr>
                <w:rFonts w:ascii="Arial" w:cs="Arial" w:eastAsia="Arial" w:hAnsi="Arial"/>
                <w:sz w:val="10"/>
                <w:szCs w:val="10"/>
                <w:color w:val="auto"/>
              </w:rPr>
              <w:t>Equity-</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based</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compensation</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subsequent to</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20"/>
                <w:szCs w:val="20"/>
                <w:color w:val="auto"/>
              </w:rPr>
            </w:pPr>
            <w:r>
              <w:rPr>
                <w:rFonts w:ascii="Arial" w:cs="Arial" w:eastAsia="Arial" w:hAnsi="Arial"/>
                <w:sz w:val="10"/>
                <w:szCs w:val="10"/>
                <w:color w:val="auto"/>
              </w:rPr>
              <w:t>Reorganization</w:t>
            </w:r>
          </w:p>
        </w:tc>
        <w:tc>
          <w:tcPr>
            <w:tcW w:w="3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20"/>
                <w:szCs w:val="20"/>
                <w:color w:val="auto"/>
              </w:rPr>
            </w:pPr>
            <w:r>
              <w:rPr>
                <w:rFonts w:ascii="Arial" w:cs="Arial" w:eastAsia="Arial" w:hAnsi="Arial"/>
                <w:sz w:val="10"/>
                <w:szCs w:val="10"/>
                <w:color w:val="auto"/>
              </w:rPr>
              <w:t>Transactions</w:t>
            </w:r>
          </w:p>
        </w:tc>
        <w:tc>
          <w:tcPr>
            <w:tcW w:w="300" w:type="dxa"/>
            <w:vAlign w:val="bottom"/>
          </w:tcPr>
          <w:p>
            <w:pPr>
              <w:spacing w:after="0"/>
              <w:rPr>
                <w:sz w:val="12"/>
                <w:szCs w:val="12"/>
                <w:color w:val="auto"/>
              </w:rPr>
            </w:pPr>
          </w:p>
        </w:tc>
        <w:tc>
          <w:tcPr>
            <w:tcW w:w="680" w:type="dxa"/>
            <w:vAlign w:val="bottom"/>
            <w:tcBorders>
              <w:right w:val="single" w:sz="8" w:color="auto"/>
            </w:tcBorders>
          </w:tcPr>
          <w:p>
            <w:pPr>
              <w:jc w:val="right"/>
              <w:ind w:right="89"/>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40" w:type="dxa"/>
            <w:vAlign w:val="bottom"/>
            <w:tcBorders>
              <w:right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23.1</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36.9</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60.0</w:t>
            </w:r>
          </w:p>
        </w:tc>
        <w:tc>
          <w:tcPr>
            <w:tcW w:w="0" w:type="dxa"/>
            <w:vAlign w:val="bottom"/>
          </w:tcPr>
          <w:p>
            <w:pPr>
              <w:spacing w:after="0"/>
              <w:rPr>
                <w:sz w:val="1"/>
                <w:szCs w:val="1"/>
                <w:color w:val="auto"/>
              </w:rPr>
            </w:pPr>
          </w:p>
        </w:tc>
      </w:tr>
      <w:tr>
        <w:trPr>
          <w:trHeight w:val="108"/>
        </w:trPr>
        <w:tc>
          <w:tcPr>
            <w:tcW w:w="720" w:type="dxa"/>
            <w:vAlign w:val="bottom"/>
            <w:tcBorders>
              <w:top w:val="single" w:sz="8" w:color="CCEEFF"/>
            </w:tcBorders>
            <w:shd w:val="clear" w:color="auto" w:fill="CCEEFF"/>
          </w:tcPr>
          <w:p>
            <w:pPr>
              <w:ind w:left="240"/>
              <w:spacing w:after="0" w:line="108" w:lineRule="exact"/>
              <w:rPr>
                <w:sz w:val="20"/>
                <w:szCs w:val="20"/>
                <w:color w:val="auto"/>
              </w:rPr>
            </w:pPr>
            <w:r>
              <w:rPr>
                <w:rFonts w:ascii="Arial" w:cs="Arial" w:eastAsia="Arial" w:hAnsi="Arial"/>
                <w:sz w:val="10"/>
                <w:szCs w:val="10"/>
                <w:b w:val="1"/>
                <w:bCs w:val="1"/>
                <w:color w:val="auto"/>
                <w:w w:val="91"/>
              </w:rPr>
              <w:t>Balance at</w:t>
            </w:r>
          </w:p>
        </w:tc>
        <w:tc>
          <w:tcPr>
            <w:tcW w:w="3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7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June 30, 2020</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right w:val="single" w:sz="8" w:color="auto"/>
            </w:tcBorders>
            <w:vMerge w:val="restart"/>
            <w:shd w:val="clear" w:color="auto" w:fill="CCEEFF"/>
          </w:tcPr>
          <w:p>
            <w:pPr>
              <w:jc w:val="right"/>
              <w:ind w:right="109"/>
              <w:spacing w:after="0"/>
              <w:rPr>
                <w:sz w:val="20"/>
                <w:szCs w:val="20"/>
                <w:color w:val="auto"/>
              </w:rPr>
            </w:pPr>
            <w:r>
              <w:rPr>
                <w:rFonts w:ascii="Arial" w:cs="Arial" w:eastAsia="Arial" w:hAnsi="Arial"/>
                <w:sz w:val="10"/>
                <w:szCs w:val="10"/>
                <w:color w:val="auto"/>
              </w:rPr>
              <w:t>—</w:t>
            </w:r>
          </w:p>
        </w:tc>
        <w:tc>
          <w:tcPr>
            <w:tcW w:w="60" w:type="dxa"/>
            <w:vAlign w:val="bottom"/>
            <w:vMerge w:val="restart"/>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51,994,291</w:t>
            </w: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239,153,213</w:t>
            </w: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0"/>
                <w:szCs w:val="10"/>
                <w:color w:val="auto"/>
              </w:rPr>
              <w:t>98,106,387</w:t>
            </w:r>
          </w:p>
        </w:tc>
        <w:tc>
          <w:tcPr>
            <w:tcW w:w="60" w:type="dxa"/>
            <w:vAlign w:val="bottom"/>
            <w:vMerge w:val="restart"/>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0.5</w:t>
            </w:r>
          </w:p>
        </w:tc>
        <w:tc>
          <w:tcPr>
            <w:tcW w:w="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2.4</w:t>
            </w:r>
          </w:p>
        </w:tc>
        <w:tc>
          <w:tcPr>
            <w:tcW w:w="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2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1.0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48"/>
              <w:spacing w:after="0"/>
              <w:rPr>
                <w:sz w:val="20"/>
                <w:szCs w:val="20"/>
                <w:color w:val="auto"/>
              </w:rPr>
            </w:pPr>
            <w:r>
              <w:rPr>
                <w:rFonts w:ascii="Arial" w:cs="Arial" w:eastAsia="Arial" w:hAnsi="Arial"/>
                <w:sz w:val="10"/>
                <w:szCs w:val="10"/>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391.6</w:t>
            </w:r>
          </w:p>
        </w:tc>
        <w:tc>
          <w:tcPr>
            <w:tcW w:w="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(34.4)</w:t>
            </w:r>
          </w:p>
        </w:tc>
        <w:tc>
          <w:tcPr>
            <w:tcW w:w="6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450.2</w:t>
            </w:r>
          </w:p>
        </w:tc>
        <w:tc>
          <w:tcPr>
            <w:tcW w:w="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808.5</w:t>
            </w:r>
          </w:p>
        </w:tc>
        <w:tc>
          <w:tcPr>
            <w:tcW w:w="0" w:type="dxa"/>
            <w:vAlign w:val="bottom"/>
          </w:tcPr>
          <w:p>
            <w:pPr>
              <w:spacing w:after="0"/>
              <w:rPr>
                <w:sz w:val="1"/>
                <w:szCs w:val="1"/>
                <w:color w:val="auto"/>
              </w:rPr>
            </w:pPr>
          </w:p>
        </w:tc>
      </w:tr>
      <w:tr>
        <w:trPr>
          <w:trHeight w:val="152"/>
        </w:trPr>
        <w:tc>
          <w:tcPr>
            <w:tcW w:w="72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0"/>
                <w:szCs w:val="10"/>
                <w:b w:val="1"/>
                <w:bCs w:val="1"/>
                <w:color w:val="auto"/>
              </w:rPr>
              <w:t>(as revised)</w:t>
            </w:r>
            <w:r>
              <w:rPr>
                <w:rFonts w:ascii="Arial" w:cs="Arial" w:eastAsia="Arial" w:hAnsi="Arial"/>
                <w:sz w:val="13"/>
                <w:szCs w:val="13"/>
                <w:b w:val="1"/>
                <w:bCs w:val="1"/>
                <w:color w:val="auto"/>
                <w:vertAlign w:val="superscript"/>
              </w:rPr>
              <w:t>(1)</w:t>
            </w: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68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vMerge w:val="continue"/>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vMerge w:val="continue"/>
            <w:shd w:val="clear" w:color="auto" w:fill="CCEEFF"/>
          </w:tcPr>
          <w:p>
            <w:pPr>
              <w:spacing w:after="0"/>
              <w:rPr>
                <w:sz w:val="13"/>
                <w:szCs w:val="13"/>
                <w:color w:val="auto"/>
              </w:rPr>
            </w:pP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vMerge w:val="continue"/>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vMerge w:val="continue"/>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vMerge w:val="continue"/>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sectPr>
          <w:pgSz w:w="11900" w:h="16838" w:orient="portrait"/>
          <w:cols w:equalWidth="0" w:num="1">
            <w:col w:w="11360"/>
          </w:cols>
          <w:pgMar w:left="300" w:top="126" w:right="239" w:bottom="1440" w:gutter="0" w:footer="0" w:header="0"/>
        </w:sectPr>
      </w:pPr>
    </w:p>
    <w:p>
      <w:pPr>
        <w:jc w:val="center"/>
        <w:ind w:right="60"/>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141605</wp:posOffset>
            </wp:positionV>
            <wp:extent cx="719645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6" w:right="239" w:bottom="1440" w:gutter="0" w:footer="0" w:header="0"/>
          <w:type w:val="continuous"/>
        </w:sectPr>
      </w:pPr>
    </w:p>
    <w:bookmarkStart w:id="12" w:name="page13"/>
    <w:bookmarkEnd w:id="1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line="118" w:lineRule="exact"/>
        <w:rPr>
          <w:sz w:val="20"/>
          <w:szCs w:val="20"/>
          <w:color w:val="auto"/>
        </w:rPr>
      </w:pPr>
    </w:p>
    <w:p>
      <w:pPr>
        <w:jc w:val="both"/>
        <w:ind w:firstLine="230"/>
        <w:spacing w:after="0" w:line="290" w:lineRule="auto"/>
        <w:tabs>
          <w:tab w:leader="none" w:pos="460" w:val="left"/>
        </w:tabs>
        <w:numPr>
          <w:ilvl w:val="0"/>
          <w:numId w:val="9"/>
        </w:numPr>
        <w:rPr>
          <w:rFonts w:ascii="Arial" w:cs="Arial" w:eastAsia="Arial" w:hAnsi="Arial"/>
          <w:sz w:val="9"/>
          <w:szCs w:val="9"/>
          <w:color w:val="auto"/>
        </w:rPr>
      </w:pPr>
      <w:r>
        <w:rPr>
          <w:rFonts w:ascii="Arial" w:cs="Arial" w:eastAsia="Arial" w:hAnsi="Arial"/>
          <w:sz w:val="9"/>
          <w:szCs w:val="9"/>
          <w:color w:val="auto"/>
        </w:rPr>
        <w:t xml:space="preserve">In connection with the preparation of its financial statements, the Company determined that the Condensed Consolidated Balance Sheet as of June 30, 2020 and the Consolidated Statement of Changes in Equity for the six months ended June 30, 2020 contained an immaterial error related to the calculation of the tax receivable agreement liability and deferred tax assets and liabilities. While the impact of the error was not material to the previously issued financial statements taken as a whole, the Company has revised the Consolidated Statement of Changes in Equity for the six months ended June 30, 2020 in the accompanying financial statements to correct the error. The impacts of the error correction to the previously issued Condensed Consolidated Balance Sheet as of June 30, 2020 are as follows: a decrease to </w:t>
      </w:r>
      <w:r>
        <w:rPr>
          <w:rFonts w:ascii="Arial" w:cs="Arial" w:eastAsia="Arial" w:hAnsi="Arial"/>
          <w:sz w:val="9"/>
          <w:szCs w:val="9"/>
          <w:i w:val="1"/>
          <w:iCs w:val="1"/>
          <w:color w:val="auto"/>
        </w:rPr>
        <w:t>Deferred tax assets</w:t>
      </w:r>
      <w:r>
        <w:rPr>
          <w:rFonts w:ascii="Arial" w:cs="Arial" w:eastAsia="Arial" w:hAnsi="Arial"/>
          <w:sz w:val="9"/>
          <w:szCs w:val="9"/>
          <w:color w:val="auto"/>
        </w:rPr>
        <w:t xml:space="preserve"> of $0.2 million; a decrease to </w:t>
      </w:r>
      <w:r>
        <w:rPr>
          <w:rFonts w:ascii="Arial" w:cs="Arial" w:eastAsia="Arial" w:hAnsi="Arial"/>
          <w:sz w:val="9"/>
          <w:szCs w:val="9"/>
          <w:i w:val="1"/>
          <w:iCs w:val="1"/>
          <w:color w:val="auto"/>
        </w:rPr>
        <w:t>Tax receivable agreements liability, net of current portion</w:t>
      </w:r>
      <w:r>
        <w:rPr>
          <w:rFonts w:ascii="Arial" w:cs="Arial" w:eastAsia="Arial" w:hAnsi="Arial"/>
          <w:sz w:val="9"/>
          <w:szCs w:val="9"/>
          <w:color w:val="auto"/>
        </w:rPr>
        <w:t xml:space="preserve"> of $21.2 million; a decrease to </w:t>
      </w:r>
      <w:r>
        <w:rPr>
          <w:rFonts w:ascii="Arial" w:cs="Arial" w:eastAsia="Arial" w:hAnsi="Arial"/>
          <w:sz w:val="9"/>
          <w:szCs w:val="9"/>
          <w:i w:val="1"/>
          <w:iCs w:val="1"/>
          <w:color w:val="auto"/>
        </w:rPr>
        <w:t>Deferred tax liabilities</w:t>
      </w:r>
      <w:r>
        <w:rPr>
          <w:rFonts w:ascii="Arial" w:cs="Arial" w:eastAsia="Arial" w:hAnsi="Arial"/>
          <w:sz w:val="9"/>
          <w:szCs w:val="9"/>
          <w:color w:val="auto"/>
        </w:rPr>
        <w:t xml:space="preserve"> of $4.2 million; and an increase to </w:t>
      </w:r>
      <w:r>
        <w:rPr>
          <w:rFonts w:ascii="Arial" w:cs="Arial" w:eastAsia="Arial" w:hAnsi="Arial"/>
          <w:sz w:val="9"/>
          <w:szCs w:val="9"/>
          <w:i w:val="1"/>
          <w:iCs w:val="1"/>
          <w:color w:val="auto"/>
        </w:rPr>
        <w:t>Additional paid-in capital</w:t>
      </w:r>
      <w:r>
        <w:rPr>
          <w:rFonts w:ascii="Arial" w:cs="Arial" w:eastAsia="Arial" w:hAnsi="Arial"/>
          <w:sz w:val="9"/>
          <w:szCs w:val="9"/>
          <w:color w:val="auto"/>
        </w:rPr>
        <w:t xml:space="preserve"> of $25.2 million.</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3" w:name="page14"/>
    <w:bookmarkEnd w:id="1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680"/>
        <w:spacing w:after="0"/>
        <w:rPr>
          <w:sz w:val="20"/>
          <w:szCs w:val="20"/>
          <w:color w:val="auto"/>
        </w:rPr>
      </w:pPr>
      <w:r>
        <w:rPr>
          <w:rFonts w:ascii="Arial" w:cs="Arial" w:eastAsia="Arial" w:hAnsi="Arial"/>
          <w:sz w:val="13"/>
          <w:szCs w:val="13"/>
          <w:b w:val="1"/>
          <w:bCs w:val="1"/>
          <w:color w:val="auto"/>
        </w:rPr>
        <w:t>ZoomInfo Technologies Inc.</w:t>
      </w:r>
    </w:p>
    <w:p>
      <w:pPr>
        <w:spacing w:after="0" w:line="35" w:lineRule="exact"/>
        <w:rPr>
          <w:sz w:val="20"/>
          <w:szCs w:val="20"/>
          <w:color w:val="auto"/>
        </w:rPr>
      </w:pPr>
    </w:p>
    <w:p>
      <w:pPr>
        <w:jc w:val="center"/>
        <w:ind w:left="68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45" w:lineRule="exact"/>
        <w:rPr>
          <w:sz w:val="20"/>
          <w:szCs w:val="20"/>
          <w:color w:val="auto"/>
        </w:rPr>
      </w:pPr>
    </w:p>
    <w:p>
      <w:pPr>
        <w:ind w:left="5360"/>
        <w:spacing w:after="0"/>
        <w:rPr>
          <w:sz w:val="20"/>
          <w:szCs w:val="20"/>
          <w:color w:val="auto"/>
        </w:rPr>
      </w:pPr>
      <w:r>
        <w:rPr>
          <w:rFonts w:ascii="Arial" w:cs="Arial" w:eastAsia="Arial" w:hAnsi="Arial"/>
          <w:sz w:val="13"/>
          <w:szCs w:val="13"/>
          <w:b w:val="1"/>
          <w:bCs w:val="1"/>
          <w:i w:val="1"/>
          <w:iCs w:val="1"/>
          <w:color w:val="auto"/>
        </w:rPr>
        <w:t>(in millions; unaudited)</w:t>
      </w:r>
    </w:p>
    <w:p>
      <w:pPr>
        <w:spacing w:after="0" w:line="36" w:lineRule="exact"/>
        <w:rPr>
          <w:sz w:val="20"/>
          <w:szCs w:val="20"/>
          <w:color w:val="auto"/>
        </w:rPr>
      </w:pPr>
    </w:p>
    <w:tbl>
      <w:tblPr>
        <w:tblLayout w:type="fixed"/>
        <w:tblInd w:w="240" w:type="dxa"/>
        <w:tblCellMar>
          <w:top w:w="0" w:type="dxa"/>
          <w:left w:w="0" w:type="dxa"/>
          <w:bottom w:w="0" w:type="dxa"/>
          <w:right w:w="0" w:type="dxa"/>
        </w:tblCellMar>
      </w:tblPr>
      <w:tr>
        <w:trPr>
          <w:trHeight w:val="143"/>
        </w:trPr>
        <w:tc>
          <w:tcPr>
            <w:tcW w:w="778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0"/>
                <w:szCs w:val="10"/>
                <w:b w:val="1"/>
                <w:bCs w:val="1"/>
                <w:color w:val="auto"/>
              </w:rPr>
              <w:t>Six Months Ended June 30,</w:t>
            </w:r>
          </w:p>
        </w:tc>
        <w:tc>
          <w:tcPr>
            <w:tcW w:w="760" w:type="dxa"/>
            <w:vAlign w:val="bottom"/>
            <w:tcBorders>
              <w:bottom w:val="single" w:sz="8" w:color="auto"/>
            </w:tcBorders>
          </w:tcPr>
          <w:p>
            <w:pPr>
              <w:spacing w:after="0"/>
              <w:rPr>
                <w:sz w:val="12"/>
                <w:szCs w:val="12"/>
                <w:color w:val="auto"/>
              </w:rPr>
            </w:pPr>
          </w:p>
        </w:tc>
      </w:tr>
      <w:tr>
        <w:trPr>
          <w:trHeight w:val="145"/>
        </w:trPr>
        <w:tc>
          <w:tcPr>
            <w:tcW w:w="77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2020</w:t>
            </w:r>
          </w:p>
        </w:tc>
      </w:tr>
      <w:tr>
        <w:trPr>
          <w:trHeight w:val="164"/>
        </w:trPr>
        <w:tc>
          <w:tcPr>
            <w:tcW w:w="7780" w:type="dxa"/>
            <w:vAlign w:val="bottom"/>
            <w:shd w:val="clear" w:color="auto" w:fill="CCEEFF"/>
          </w:tcPr>
          <w:p>
            <w:pPr>
              <w:ind w:left="240"/>
              <w:spacing w:after="0"/>
              <w:rPr>
                <w:sz w:val="20"/>
                <w:szCs w:val="20"/>
                <w:color w:val="auto"/>
              </w:rPr>
            </w:pPr>
            <w:r>
              <w:rPr>
                <w:rFonts w:ascii="Arial" w:cs="Arial" w:eastAsia="Arial" w:hAnsi="Arial"/>
                <w:sz w:val="12"/>
                <w:szCs w:val="12"/>
                <w:b w:val="1"/>
                <w:bCs w:val="1"/>
                <w:color w:val="auto"/>
              </w:rPr>
              <w:t>Cash flows from operating activities:</w:t>
            </w:r>
          </w:p>
        </w:tc>
        <w:tc>
          <w:tcPr>
            <w:tcW w:w="1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7"/>
        </w:trPr>
        <w:tc>
          <w:tcPr>
            <w:tcW w:w="7780" w:type="dxa"/>
            <w:vAlign w:val="bottom"/>
          </w:tcPr>
          <w:p>
            <w:pPr>
              <w:ind w:left="380"/>
              <w:spacing w:after="0"/>
              <w:rPr>
                <w:sz w:val="20"/>
                <w:szCs w:val="20"/>
                <w:color w:val="auto"/>
              </w:rPr>
            </w:pPr>
            <w:r>
              <w:rPr>
                <w:rFonts w:ascii="Arial" w:cs="Arial" w:eastAsia="Arial" w:hAnsi="Arial"/>
                <w:sz w:val="12"/>
                <w:szCs w:val="12"/>
                <w:color w:val="auto"/>
              </w:rPr>
              <w:t>Net income (loss)</w:t>
            </w:r>
          </w:p>
        </w:tc>
        <w:tc>
          <w:tcPr>
            <w:tcW w:w="1160" w:type="dxa"/>
            <w:vAlign w:val="bottom"/>
          </w:tcPr>
          <w:p>
            <w:pPr>
              <w:jc w:val="right"/>
              <w:ind w:right="803"/>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(9.4)</w:t>
            </w:r>
          </w:p>
        </w:tc>
        <w:tc>
          <w:tcPr>
            <w:tcW w:w="100" w:type="dxa"/>
            <w:vAlign w:val="bottom"/>
          </w:tcPr>
          <w:p>
            <w:pPr>
              <w:spacing w:after="0"/>
              <w:rPr>
                <w:sz w:val="14"/>
                <w:szCs w:val="14"/>
                <w:color w:val="auto"/>
              </w:rPr>
            </w:pPr>
          </w:p>
        </w:tc>
        <w:tc>
          <w:tcPr>
            <w:tcW w:w="780" w:type="dxa"/>
            <w:vAlign w:val="bottom"/>
          </w:tcPr>
          <w:p>
            <w:pPr>
              <w:jc w:val="right"/>
              <w:ind w:right="402"/>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(83</w:t>
            </w:r>
          </w:p>
        </w:tc>
      </w:tr>
      <w:tr>
        <w:trPr>
          <w:trHeight w:val="182"/>
        </w:trPr>
        <w:tc>
          <w:tcPr>
            <w:tcW w:w="77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Adjustments to reconcile net income (loss) to net cash provided by (used in) operating activities: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67"/>
        </w:trPr>
        <w:tc>
          <w:tcPr>
            <w:tcW w:w="7780" w:type="dxa"/>
            <w:vAlign w:val="bottom"/>
          </w:tcPr>
          <w:p>
            <w:pPr>
              <w:ind w:left="560"/>
              <w:spacing w:after="0"/>
              <w:rPr>
                <w:sz w:val="20"/>
                <w:szCs w:val="20"/>
                <w:color w:val="auto"/>
              </w:rPr>
            </w:pPr>
            <w:r>
              <w:rPr>
                <w:rFonts w:ascii="Arial" w:cs="Arial" w:eastAsia="Arial" w:hAnsi="Arial"/>
                <w:sz w:val="12"/>
                <w:szCs w:val="12"/>
                <w:color w:val="auto"/>
              </w:rPr>
              <w:t>Depreciation and amortization</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30.6</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82"/>
        </w:trPr>
        <w:tc>
          <w:tcPr>
            <w:tcW w:w="77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Amortization of debt discounts and issuance costs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67"/>
        </w:trPr>
        <w:tc>
          <w:tcPr>
            <w:tcW w:w="7780" w:type="dxa"/>
            <w:vAlign w:val="bottom"/>
          </w:tcPr>
          <w:p>
            <w:pPr>
              <w:ind w:left="560"/>
              <w:spacing w:after="0"/>
              <w:rPr>
                <w:sz w:val="20"/>
                <w:szCs w:val="20"/>
                <w:color w:val="auto"/>
              </w:rPr>
            </w:pPr>
            <w:r>
              <w:rPr>
                <w:rFonts w:ascii="Arial" w:cs="Arial" w:eastAsia="Arial" w:hAnsi="Arial"/>
                <w:sz w:val="12"/>
                <w:szCs w:val="12"/>
                <w:color w:val="auto"/>
              </w:rPr>
              <w:t>Amortization of deferred commissions costs</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18.5</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82"/>
        </w:trPr>
        <w:tc>
          <w:tcPr>
            <w:tcW w:w="77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Asset impairments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67"/>
        </w:trPr>
        <w:tc>
          <w:tcPr>
            <w:tcW w:w="7780" w:type="dxa"/>
            <w:vAlign w:val="bottom"/>
          </w:tcPr>
          <w:p>
            <w:pPr>
              <w:ind w:left="560"/>
              <w:spacing w:after="0"/>
              <w:rPr>
                <w:sz w:val="20"/>
                <w:szCs w:val="20"/>
                <w:color w:val="auto"/>
              </w:rPr>
            </w:pPr>
            <w:r>
              <w:rPr>
                <w:rFonts w:ascii="Arial" w:cs="Arial" w:eastAsia="Arial" w:hAnsi="Arial"/>
                <w:sz w:val="12"/>
                <w:szCs w:val="12"/>
                <w:color w:val="auto"/>
              </w:rPr>
              <w:t>Loss on early extinguishment of debt</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82"/>
        </w:trPr>
        <w:tc>
          <w:tcPr>
            <w:tcW w:w="77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Deferred consideration valuation adjustments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67"/>
        </w:trPr>
        <w:tc>
          <w:tcPr>
            <w:tcW w:w="7780" w:type="dxa"/>
            <w:vAlign w:val="bottom"/>
          </w:tcPr>
          <w:p>
            <w:pPr>
              <w:ind w:left="560"/>
              <w:spacing w:after="0"/>
              <w:rPr>
                <w:sz w:val="20"/>
                <w:szCs w:val="20"/>
                <w:color w:val="auto"/>
              </w:rPr>
            </w:pPr>
            <w:r>
              <w:rPr>
                <w:rFonts w:ascii="Arial" w:cs="Arial" w:eastAsia="Arial" w:hAnsi="Arial"/>
                <w:sz w:val="12"/>
                <w:szCs w:val="12"/>
                <w:color w:val="auto"/>
              </w:rPr>
              <w:t>Equity-based compensation expense</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35.2</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182"/>
        </w:trPr>
        <w:tc>
          <w:tcPr>
            <w:tcW w:w="77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Deferred income taxes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67"/>
        </w:trPr>
        <w:tc>
          <w:tcPr>
            <w:tcW w:w="7780" w:type="dxa"/>
            <w:vAlign w:val="bottom"/>
          </w:tcPr>
          <w:p>
            <w:pPr>
              <w:ind w:left="560"/>
              <w:spacing w:after="0"/>
              <w:rPr>
                <w:sz w:val="20"/>
                <w:szCs w:val="20"/>
                <w:color w:val="auto"/>
              </w:rPr>
            </w:pPr>
            <w:r>
              <w:rPr>
                <w:rFonts w:ascii="Arial" w:cs="Arial" w:eastAsia="Arial" w:hAnsi="Arial"/>
                <w:sz w:val="12"/>
                <w:szCs w:val="12"/>
                <w:color w:val="auto"/>
              </w:rPr>
              <w:t>Provision for bad debt expense</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182"/>
        </w:trPr>
        <w:tc>
          <w:tcPr>
            <w:tcW w:w="7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Changes in operating assets and liabilities, net of acquisitions: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67"/>
        </w:trPr>
        <w:tc>
          <w:tcPr>
            <w:tcW w:w="7780" w:type="dxa"/>
            <w:vAlign w:val="bottom"/>
          </w:tcPr>
          <w:p>
            <w:pPr>
              <w:ind w:left="560"/>
              <w:spacing w:after="0"/>
              <w:rPr>
                <w:sz w:val="20"/>
                <w:szCs w:val="20"/>
                <w:color w:val="auto"/>
              </w:rPr>
            </w:pPr>
            <w:r>
              <w:rPr>
                <w:rFonts w:ascii="Arial" w:cs="Arial" w:eastAsia="Arial" w:hAnsi="Arial"/>
                <w:sz w:val="12"/>
                <w:szCs w:val="12"/>
                <w:color w:val="auto"/>
              </w:rPr>
              <w:t>Accounts receivable</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182"/>
        </w:trPr>
        <w:tc>
          <w:tcPr>
            <w:tcW w:w="77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Prepaid expenses and other current assets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67"/>
        </w:trPr>
        <w:tc>
          <w:tcPr>
            <w:tcW w:w="7780" w:type="dxa"/>
            <w:vAlign w:val="bottom"/>
          </w:tcPr>
          <w:p>
            <w:pPr>
              <w:ind w:left="560"/>
              <w:spacing w:after="0"/>
              <w:rPr>
                <w:sz w:val="20"/>
                <w:szCs w:val="20"/>
                <w:color w:val="auto"/>
              </w:rPr>
            </w:pPr>
            <w:r>
              <w:rPr>
                <w:rFonts w:ascii="Arial" w:cs="Arial" w:eastAsia="Arial" w:hAnsi="Arial"/>
                <w:sz w:val="12"/>
                <w:szCs w:val="12"/>
                <w:color w:val="auto"/>
              </w:rPr>
              <w:t>Deferred costs and other assets, net of current portion</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(22.1)</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82"/>
        </w:trPr>
        <w:tc>
          <w:tcPr>
            <w:tcW w:w="77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Income tax receivable</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w:t>
            </w:r>
          </w:p>
        </w:tc>
      </w:tr>
      <w:tr>
        <w:trPr>
          <w:trHeight w:val="167"/>
        </w:trPr>
        <w:tc>
          <w:tcPr>
            <w:tcW w:w="7780" w:type="dxa"/>
            <w:vAlign w:val="bottom"/>
          </w:tcPr>
          <w:p>
            <w:pPr>
              <w:ind w:left="560"/>
              <w:spacing w:after="0"/>
              <w:rPr>
                <w:sz w:val="20"/>
                <w:szCs w:val="20"/>
                <w:color w:val="auto"/>
              </w:rPr>
            </w:pPr>
            <w:r>
              <w:rPr>
                <w:rFonts w:ascii="Arial" w:cs="Arial" w:eastAsia="Arial" w:hAnsi="Arial"/>
                <w:sz w:val="12"/>
                <w:szCs w:val="12"/>
                <w:color w:val="auto"/>
              </w:rPr>
              <w:t>Accounts payable</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12.1</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82"/>
        </w:trPr>
        <w:tc>
          <w:tcPr>
            <w:tcW w:w="77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Accrued expenses and other liabilities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67"/>
        </w:trPr>
        <w:tc>
          <w:tcPr>
            <w:tcW w:w="7780" w:type="dxa"/>
            <w:vAlign w:val="bottom"/>
            <w:tcBorders>
              <w:bottom w:val="single" w:sz="8" w:color="CCEEFF"/>
            </w:tcBorders>
          </w:tcPr>
          <w:p>
            <w:pPr>
              <w:ind w:left="560"/>
              <w:spacing w:after="0"/>
              <w:rPr>
                <w:sz w:val="20"/>
                <w:szCs w:val="20"/>
                <w:color w:val="auto"/>
              </w:rPr>
            </w:pPr>
            <w:r>
              <w:rPr>
                <w:rFonts w:ascii="Arial" w:cs="Arial" w:eastAsia="Arial" w:hAnsi="Arial"/>
                <w:sz w:val="12"/>
                <w:szCs w:val="12"/>
                <w:color w:val="auto"/>
              </w:rPr>
              <w:t>Unearned revenue</w:t>
            </w:r>
          </w:p>
        </w:tc>
        <w:tc>
          <w:tcPr>
            <w:tcW w:w="1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53.3</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r>
      <w:tr>
        <w:trPr>
          <w:trHeight w:val="164"/>
        </w:trPr>
        <w:tc>
          <w:tcPr>
            <w:tcW w:w="7780" w:type="dxa"/>
            <w:vAlign w:val="bottom"/>
            <w:shd w:val="clear" w:color="auto" w:fill="CCEEFF"/>
          </w:tcPr>
          <w:p>
            <w:pPr>
              <w:ind w:left="700"/>
              <w:spacing w:after="0"/>
              <w:rPr>
                <w:sz w:val="20"/>
                <w:szCs w:val="20"/>
                <w:color w:val="auto"/>
              </w:rPr>
            </w:pPr>
            <w:r>
              <w:rPr>
                <w:rFonts w:ascii="Arial" w:cs="Arial" w:eastAsia="Arial" w:hAnsi="Arial"/>
                <w:sz w:val="12"/>
                <w:szCs w:val="12"/>
                <w:color w:val="auto"/>
              </w:rPr>
              <w:t>Net cash provided by (used in) operating activities</w:t>
            </w:r>
          </w:p>
        </w:tc>
        <w:tc>
          <w:tcPr>
            <w:tcW w:w="11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181.6</w:t>
            </w:r>
          </w:p>
        </w:tc>
        <w:tc>
          <w:tcPr>
            <w:tcW w:w="10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w:t>
            </w:r>
          </w:p>
        </w:tc>
      </w:tr>
      <w:tr>
        <w:trPr>
          <w:trHeight w:val="133"/>
        </w:trPr>
        <w:tc>
          <w:tcPr>
            <w:tcW w:w="7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74"/>
        </w:trPr>
        <w:tc>
          <w:tcPr>
            <w:tcW w:w="7780" w:type="dxa"/>
            <w:vAlign w:val="bottom"/>
            <w:shd w:val="clear" w:color="auto" w:fill="CCEEFF"/>
          </w:tcPr>
          <w:p>
            <w:pPr>
              <w:ind w:left="240"/>
              <w:spacing w:after="0"/>
              <w:rPr>
                <w:sz w:val="20"/>
                <w:szCs w:val="20"/>
                <w:color w:val="auto"/>
              </w:rPr>
            </w:pPr>
            <w:r>
              <w:rPr>
                <w:rFonts w:ascii="Arial" w:cs="Arial" w:eastAsia="Arial" w:hAnsi="Arial"/>
                <w:sz w:val="12"/>
                <w:szCs w:val="12"/>
                <w:b w:val="1"/>
                <w:bCs w:val="1"/>
                <w:color w:val="auto"/>
              </w:rPr>
              <w:t>Cash flows from investing activities: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67"/>
        </w:trPr>
        <w:tc>
          <w:tcPr>
            <w:tcW w:w="7780" w:type="dxa"/>
            <w:vAlign w:val="bottom"/>
          </w:tcPr>
          <w:p>
            <w:pPr>
              <w:ind w:left="380"/>
              <w:spacing w:after="0"/>
              <w:rPr>
                <w:sz w:val="20"/>
                <w:szCs w:val="20"/>
                <w:color w:val="auto"/>
              </w:rPr>
            </w:pPr>
            <w:r>
              <w:rPr>
                <w:rFonts w:ascii="Arial" w:cs="Arial" w:eastAsia="Arial" w:hAnsi="Arial"/>
                <w:sz w:val="12"/>
                <w:szCs w:val="12"/>
                <w:color w:val="auto"/>
              </w:rPr>
              <w:t>Purchases of short-term investments</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(119.8)</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2"/>
        </w:trPr>
        <w:tc>
          <w:tcPr>
            <w:tcW w:w="7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Maturities of short-term investments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67"/>
        </w:trPr>
        <w:tc>
          <w:tcPr>
            <w:tcW w:w="7780" w:type="dxa"/>
            <w:vAlign w:val="bottom"/>
          </w:tcPr>
          <w:p>
            <w:pPr>
              <w:ind w:left="380"/>
              <w:spacing w:after="0"/>
              <w:rPr>
                <w:sz w:val="20"/>
                <w:szCs w:val="20"/>
                <w:color w:val="auto"/>
              </w:rPr>
            </w:pPr>
            <w:r>
              <w:rPr>
                <w:rFonts w:ascii="Arial" w:cs="Arial" w:eastAsia="Arial" w:hAnsi="Arial"/>
                <w:sz w:val="12"/>
                <w:szCs w:val="12"/>
                <w:color w:val="auto"/>
              </w:rPr>
              <w:t>Proceeds from sales of short-term investments</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42.1</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2"/>
        </w:trPr>
        <w:tc>
          <w:tcPr>
            <w:tcW w:w="7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Purchases of property and equipment and other assets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r>
      <w:tr>
        <w:trPr>
          <w:trHeight w:val="167"/>
        </w:trPr>
        <w:tc>
          <w:tcPr>
            <w:tcW w:w="778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Cash paid for acquisitions, net of cash acquired</w:t>
            </w:r>
          </w:p>
        </w:tc>
        <w:tc>
          <w:tcPr>
            <w:tcW w:w="1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(31.8)</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64"/>
        </w:trPr>
        <w:tc>
          <w:tcPr>
            <w:tcW w:w="7780" w:type="dxa"/>
            <w:vAlign w:val="bottom"/>
            <w:shd w:val="clear" w:color="auto" w:fill="CCEEFF"/>
          </w:tcPr>
          <w:p>
            <w:pPr>
              <w:ind w:left="700"/>
              <w:spacing w:after="0"/>
              <w:rPr>
                <w:sz w:val="20"/>
                <w:szCs w:val="20"/>
                <w:color w:val="auto"/>
              </w:rPr>
            </w:pPr>
            <w:r>
              <w:rPr>
                <w:rFonts w:ascii="Arial" w:cs="Arial" w:eastAsia="Arial" w:hAnsi="Arial"/>
                <w:sz w:val="12"/>
                <w:szCs w:val="12"/>
                <w:color w:val="auto"/>
              </w:rPr>
              <w:t>Net cash provided by (used in) investing activities</w:t>
            </w:r>
          </w:p>
        </w:tc>
        <w:tc>
          <w:tcPr>
            <w:tcW w:w="11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(79.0)</w:t>
            </w:r>
          </w:p>
        </w:tc>
        <w:tc>
          <w:tcPr>
            <w:tcW w:w="10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w:t>
            </w:r>
          </w:p>
        </w:tc>
      </w:tr>
      <w:tr>
        <w:trPr>
          <w:trHeight w:val="133"/>
        </w:trPr>
        <w:tc>
          <w:tcPr>
            <w:tcW w:w="7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74"/>
        </w:trPr>
        <w:tc>
          <w:tcPr>
            <w:tcW w:w="7780" w:type="dxa"/>
            <w:vAlign w:val="bottom"/>
            <w:shd w:val="clear" w:color="auto" w:fill="CCEEFF"/>
          </w:tcPr>
          <w:p>
            <w:pPr>
              <w:ind w:left="240"/>
              <w:spacing w:after="0"/>
              <w:rPr>
                <w:sz w:val="20"/>
                <w:szCs w:val="20"/>
                <w:color w:val="auto"/>
              </w:rPr>
            </w:pPr>
            <w:r>
              <w:rPr>
                <w:rFonts w:ascii="Arial" w:cs="Arial" w:eastAsia="Arial" w:hAnsi="Arial"/>
                <w:sz w:val="12"/>
                <w:szCs w:val="12"/>
                <w:b w:val="1"/>
                <w:bCs w:val="1"/>
                <w:color w:val="auto"/>
              </w:rPr>
              <w:t>Cash flows from financing activities: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67"/>
        </w:trPr>
        <w:tc>
          <w:tcPr>
            <w:tcW w:w="7780" w:type="dxa"/>
            <w:vAlign w:val="bottom"/>
          </w:tcPr>
          <w:p>
            <w:pPr>
              <w:ind w:left="380"/>
              <w:spacing w:after="0"/>
              <w:rPr>
                <w:sz w:val="20"/>
                <w:szCs w:val="20"/>
                <w:color w:val="auto"/>
              </w:rPr>
            </w:pPr>
            <w:r>
              <w:rPr>
                <w:rFonts w:ascii="Arial" w:cs="Arial" w:eastAsia="Arial" w:hAnsi="Arial"/>
                <w:sz w:val="12"/>
                <w:szCs w:val="12"/>
                <w:color w:val="auto"/>
              </w:rPr>
              <w:t>Payments of deferred consideration</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(9.4)</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82"/>
        </w:trPr>
        <w:tc>
          <w:tcPr>
            <w:tcW w:w="7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Proceeds from debt</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r>
      <w:tr>
        <w:trPr>
          <w:trHeight w:val="167"/>
        </w:trPr>
        <w:tc>
          <w:tcPr>
            <w:tcW w:w="7780" w:type="dxa"/>
            <w:vAlign w:val="bottom"/>
          </w:tcPr>
          <w:p>
            <w:pPr>
              <w:ind w:left="380"/>
              <w:spacing w:after="0"/>
              <w:rPr>
                <w:sz w:val="20"/>
                <w:szCs w:val="20"/>
                <w:color w:val="auto"/>
              </w:rPr>
            </w:pPr>
            <w:r>
              <w:rPr>
                <w:rFonts w:ascii="Arial" w:cs="Arial" w:eastAsia="Arial" w:hAnsi="Arial"/>
                <w:sz w:val="12"/>
                <w:szCs w:val="12"/>
                <w:color w:val="auto"/>
              </w:rPr>
              <w:t>Repayment of debt</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(356.4)</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(510</w:t>
            </w:r>
          </w:p>
        </w:tc>
      </w:tr>
      <w:tr>
        <w:trPr>
          <w:trHeight w:val="182"/>
        </w:trPr>
        <w:tc>
          <w:tcPr>
            <w:tcW w:w="7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Payments of debt issuance and modification costs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67"/>
        </w:trPr>
        <w:tc>
          <w:tcPr>
            <w:tcW w:w="7780" w:type="dxa"/>
            <w:vAlign w:val="bottom"/>
          </w:tcPr>
          <w:p>
            <w:pPr>
              <w:ind w:left="380"/>
              <w:spacing w:after="0"/>
              <w:rPr>
                <w:sz w:val="20"/>
                <w:szCs w:val="20"/>
                <w:color w:val="auto"/>
              </w:rPr>
            </w:pPr>
            <w:r>
              <w:rPr>
                <w:rFonts w:ascii="Arial" w:cs="Arial" w:eastAsia="Arial" w:hAnsi="Arial"/>
                <w:sz w:val="12"/>
                <w:szCs w:val="12"/>
                <w:color w:val="auto"/>
              </w:rPr>
              <w:t>Proceeds from exercise of stock options</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2"/>
        </w:trPr>
        <w:tc>
          <w:tcPr>
            <w:tcW w:w="7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Taxes paid related to net share settlement of equity awards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67"/>
        </w:trPr>
        <w:tc>
          <w:tcPr>
            <w:tcW w:w="7780" w:type="dxa"/>
            <w:vAlign w:val="bottom"/>
          </w:tcPr>
          <w:p>
            <w:pPr>
              <w:ind w:left="380"/>
              <w:spacing w:after="0"/>
              <w:rPr>
                <w:sz w:val="20"/>
                <w:szCs w:val="20"/>
                <w:color w:val="auto"/>
              </w:rPr>
            </w:pPr>
            <w:r>
              <w:rPr>
                <w:rFonts w:ascii="Arial" w:cs="Arial" w:eastAsia="Arial" w:hAnsi="Arial"/>
                <w:sz w:val="12"/>
                <w:szCs w:val="12"/>
                <w:color w:val="auto"/>
              </w:rPr>
              <w:t>Repurchase outstanding equity / member units</w:t>
            </w:r>
          </w:p>
        </w:tc>
        <w:tc>
          <w:tcPr>
            <w:tcW w:w="11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(332</w:t>
            </w:r>
          </w:p>
        </w:tc>
      </w:tr>
      <w:tr>
        <w:trPr>
          <w:trHeight w:val="182"/>
        </w:trPr>
        <w:tc>
          <w:tcPr>
            <w:tcW w:w="7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Proceeds from equity offering, net of underwriting discounts</w:t>
            </w:r>
          </w:p>
        </w:tc>
        <w:tc>
          <w:tcPr>
            <w:tcW w:w="1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1,019</w:t>
            </w:r>
          </w:p>
        </w:tc>
      </w:tr>
      <w:tr>
        <w:trPr>
          <w:trHeight w:val="167"/>
        </w:trPr>
        <w:tc>
          <w:tcPr>
            <w:tcW w:w="7780" w:type="dxa"/>
            <w:vAlign w:val="bottom"/>
          </w:tcPr>
          <w:p>
            <w:pPr>
              <w:ind w:left="380"/>
              <w:spacing w:after="0"/>
              <w:rPr>
                <w:sz w:val="20"/>
                <w:szCs w:val="20"/>
                <w:color w:val="auto"/>
              </w:rPr>
            </w:pPr>
            <w:r>
              <w:rPr>
                <w:rFonts w:ascii="Arial" w:cs="Arial" w:eastAsia="Arial" w:hAnsi="Arial"/>
                <w:sz w:val="12"/>
                <w:szCs w:val="12"/>
                <w:color w:val="auto"/>
              </w:rPr>
              <w:t>Payments of IPO issuance costs</w:t>
            </w:r>
          </w:p>
        </w:tc>
        <w:tc>
          <w:tcPr>
            <w:tcW w:w="11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82"/>
        </w:trPr>
        <w:tc>
          <w:tcPr>
            <w:tcW w:w="7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Tax distributions</w:t>
            </w:r>
          </w:p>
        </w:tc>
        <w:tc>
          <w:tcPr>
            <w:tcW w:w="1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(15.3)</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r>
      <w:tr>
        <w:trPr>
          <w:trHeight w:val="157"/>
        </w:trPr>
        <w:tc>
          <w:tcPr>
            <w:tcW w:w="7780" w:type="dxa"/>
            <w:vAlign w:val="bottom"/>
            <w:tcBorders>
              <w:bottom w:val="single" w:sz="8" w:color="CCEEFF"/>
            </w:tcBorders>
          </w:tcPr>
          <w:p>
            <w:pPr>
              <w:ind w:left="700"/>
              <w:spacing w:after="0"/>
              <w:rPr>
                <w:sz w:val="20"/>
                <w:szCs w:val="20"/>
                <w:color w:val="auto"/>
              </w:rPr>
            </w:pPr>
            <w:r>
              <w:rPr>
                <w:rFonts w:ascii="Arial" w:cs="Arial" w:eastAsia="Arial" w:hAnsi="Arial"/>
                <w:sz w:val="12"/>
                <w:szCs w:val="12"/>
                <w:color w:val="auto"/>
              </w:rPr>
              <w:t>Net cash provided by (used in) financing activities</w:t>
            </w:r>
          </w:p>
        </w:tc>
        <w:tc>
          <w:tcPr>
            <w:tcW w:w="1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(39.0)</w:t>
            </w: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w:t>
            </w:r>
          </w:p>
        </w:tc>
      </w:tr>
      <w:tr>
        <w:trPr>
          <w:trHeight w:val="133"/>
        </w:trPr>
        <w:tc>
          <w:tcPr>
            <w:tcW w:w="77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7780" w:type="dxa"/>
            <w:vAlign w:val="bottom"/>
          </w:tcPr>
          <w:p>
            <w:pPr>
              <w:ind w:left="240"/>
              <w:spacing w:after="0"/>
              <w:rPr>
                <w:sz w:val="20"/>
                <w:szCs w:val="20"/>
                <w:color w:val="auto"/>
              </w:rPr>
            </w:pPr>
            <w:r>
              <w:rPr>
                <w:rFonts w:ascii="Arial" w:cs="Arial" w:eastAsia="Arial" w:hAnsi="Arial"/>
                <w:sz w:val="12"/>
                <w:szCs w:val="12"/>
                <w:color w:val="auto"/>
              </w:rPr>
              <w:t>Net increase (decrease) in cash, cash equivalents, and restricted cash</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63.6</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217</w:t>
            </w:r>
          </w:p>
        </w:tc>
      </w:tr>
      <w:tr>
        <w:trPr>
          <w:trHeight w:val="174"/>
        </w:trPr>
        <w:tc>
          <w:tcPr>
            <w:tcW w:w="7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cash equivalents, and restricted cash at beginning of period</w:t>
            </w:r>
          </w:p>
        </w:tc>
        <w:tc>
          <w:tcPr>
            <w:tcW w:w="1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271.0</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w:t>
            </w:r>
          </w:p>
        </w:tc>
      </w:tr>
      <w:tr>
        <w:trPr>
          <w:trHeight w:val="191"/>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Cash, cash equivalents, and restricted cash at end of period</w:t>
            </w:r>
          </w:p>
        </w:tc>
        <w:tc>
          <w:tcPr>
            <w:tcW w:w="1160" w:type="dxa"/>
            <w:vAlign w:val="bottom"/>
            <w:tcBorders>
              <w:bottom w:val="single" w:sz="8" w:color="auto"/>
            </w:tcBorders>
          </w:tcPr>
          <w:p>
            <w:pPr>
              <w:jc w:val="right"/>
              <w:ind w:right="803"/>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334.6</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402"/>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260</w:t>
            </w:r>
          </w:p>
        </w:tc>
      </w:tr>
      <w:tr>
        <w:trPr>
          <w:trHeight w:val="125"/>
        </w:trPr>
        <w:tc>
          <w:tcPr>
            <w:tcW w:w="77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67"/>
        </w:trPr>
        <w:tc>
          <w:tcPr>
            <w:tcW w:w="7780" w:type="dxa"/>
            <w:vAlign w:val="bottom"/>
          </w:tcPr>
          <w:p>
            <w:pPr>
              <w:ind w:left="240"/>
              <w:spacing w:after="0"/>
              <w:rPr>
                <w:sz w:val="20"/>
                <w:szCs w:val="20"/>
                <w:color w:val="auto"/>
              </w:rPr>
            </w:pPr>
            <w:r>
              <w:rPr>
                <w:rFonts w:ascii="Arial" w:cs="Arial" w:eastAsia="Arial" w:hAnsi="Arial"/>
                <w:sz w:val="12"/>
                <w:szCs w:val="12"/>
                <w:color w:val="auto"/>
              </w:rPr>
              <w:t>Cash, cash equivalents, and restricted cash at end of period:</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2"/>
        </w:trPr>
        <w:tc>
          <w:tcPr>
            <w:tcW w:w="77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Cash and cash equivalents</w:t>
            </w: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332.9</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w:t>
            </w:r>
          </w:p>
        </w:tc>
      </w:tr>
      <w:tr>
        <w:trPr>
          <w:trHeight w:val="167"/>
        </w:trPr>
        <w:tc>
          <w:tcPr>
            <w:tcW w:w="7780" w:type="dxa"/>
            <w:vAlign w:val="bottom"/>
          </w:tcPr>
          <w:p>
            <w:pPr>
              <w:ind w:left="460"/>
              <w:spacing w:after="0"/>
              <w:rPr>
                <w:sz w:val="20"/>
                <w:szCs w:val="20"/>
                <w:color w:val="auto"/>
              </w:rPr>
            </w:pPr>
            <w:r>
              <w:rPr>
                <w:rFonts w:ascii="Arial" w:cs="Arial" w:eastAsia="Arial" w:hAnsi="Arial"/>
                <w:sz w:val="12"/>
                <w:szCs w:val="12"/>
                <w:color w:val="auto"/>
              </w:rPr>
              <w:t>Restricted cash, current</w:t>
            </w:r>
          </w:p>
        </w:tc>
        <w:tc>
          <w:tcPr>
            <w:tcW w:w="11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74"/>
        </w:trPr>
        <w:tc>
          <w:tcPr>
            <w:tcW w:w="77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Restricted cash, non-current</w:t>
            </w:r>
          </w:p>
        </w:tc>
        <w:tc>
          <w:tcPr>
            <w:tcW w:w="1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r>
      <w:tr>
        <w:trPr>
          <w:trHeight w:val="191"/>
        </w:trPr>
        <w:tc>
          <w:tcPr>
            <w:tcW w:w="7780" w:type="dxa"/>
            <w:vAlign w:val="bottom"/>
            <w:tcBorders>
              <w:bottom w:val="single" w:sz="8" w:color="CCEEFF"/>
            </w:tcBorders>
          </w:tcPr>
          <w:p>
            <w:pPr>
              <w:ind w:left="620"/>
              <w:spacing w:after="0"/>
              <w:rPr>
                <w:sz w:val="20"/>
                <w:szCs w:val="20"/>
                <w:color w:val="auto"/>
              </w:rPr>
            </w:pPr>
            <w:r>
              <w:rPr>
                <w:rFonts w:ascii="Arial" w:cs="Arial" w:eastAsia="Arial" w:hAnsi="Arial"/>
                <w:sz w:val="12"/>
                <w:szCs w:val="12"/>
                <w:color w:val="auto"/>
              </w:rPr>
              <w:t>Total cash, cash equivalents, and restricted cash</w:t>
            </w:r>
          </w:p>
        </w:tc>
        <w:tc>
          <w:tcPr>
            <w:tcW w:w="1160" w:type="dxa"/>
            <w:vAlign w:val="bottom"/>
            <w:tcBorders>
              <w:bottom w:val="single" w:sz="8" w:color="auto"/>
            </w:tcBorders>
          </w:tcPr>
          <w:p>
            <w:pPr>
              <w:jc w:val="right"/>
              <w:ind w:right="803"/>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334.6</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402"/>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260</w:t>
            </w:r>
          </w:p>
        </w:tc>
      </w:tr>
      <w:tr>
        <w:trPr>
          <w:trHeight w:val="125"/>
        </w:trPr>
        <w:tc>
          <w:tcPr>
            <w:tcW w:w="77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14" w:name="page15"/>
    <w:bookmarkEnd w:id="1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680"/>
        <w:spacing w:after="0"/>
        <w:rPr>
          <w:sz w:val="20"/>
          <w:szCs w:val="20"/>
          <w:color w:val="auto"/>
        </w:rPr>
      </w:pPr>
      <w:r>
        <w:rPr>
          <w:rFonts w:ascii="Arial" w:cs="Arial" w:eastAsia="Arial" w:hAnsi="Arial"/>
          <w:sz w:val="13"/>
          <w:szCs w:val="13"/>
          <w:b w:val="1"/>
          <w:bCs w:val="1"/>
          <w:color w:val="auto"/>
        </w:rPr>
        <w:t>ZoomInfo Technologies Inc.</w:t>
      </w:r>
    </w:p>
    <w:p>
      <w:pPr>
        <w:spacing w:after="0" w:line="35" w:lineRule="exact"/>
        <w:rPr>
          <w:sz w:val="20"/>
          <w:szCs w:val="20"/>
          <w:color w:val="auto"/>
        </w:rPr>
      </w:pPr>
    </w:p>
    <w:p>
      <w:pPr>
        <w:jc w:val="center"/>
        <w:ind w:left="68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45" w:lineRule="exact"/>
        <w:rPr>
          <w:sz w:val="20"/>
          <w:szCs w:val="20"/>
          <w:color w:val="auto"/>
        </w:rPr>
      </w:pPr>
    </w:p>
    <w:p>
      <w:pPr>
        <w:ind w:left="5360"/>
        <w:spacing w:after="0"/>
        <w:rPr>
          <w:sz w:val="20"/>
          <w:szCs w:val="20"/>
          <w:color w:val="auto"/>
        </w:rPr>
      </w:pPr>
      <w:r>
        <w:rPr>
          <w:rFonts w:ascii="Arial" w:cs="Arial" w:eastAsia="Arial" w:hAnsi="Arial"/>
          <w:sz w:val="13"/>
          <w:szCs w:val="13"/>
          <w:b w:val="1"/>
          <w:bCs w:val="1"/>
          <w:i w:val="1"/>
          <w:iCs w:val="1"/>
          <w:color w:val="auto"/>
        </w:rPr>
        <w:t>(in millions; unaudited)</w:t>
      </w:r>
    </w:p>
    <w:p>
      <w:pPr>
        <w:spacing w:after="0" w:line="36" w:lineRule="exact"/>
        <w:rPr>
          <w:sz w:val="20"/>
          <w:szCs w:val="20"/>
          <w:color w:val="auto"/>
        </w:rPr>
      </w:pPr>
    </w:p>
    <w:tbl>
      <w:tblPr>
        <w:tblLayout w:type="fixed"/>
        <w:tblInd w:w="240" w:type="dxa"/>
        <w:tblCellMar>
          <w:top w:w="0" w:type="dxa"/>
          <w:left w:w="0" w:type="dxa"/>
          <w:bottom w:w="0" w:type="dxa"/>
          <w:right w:w="0" w:type="dxa"/>
        </w:tblCellMar>
      </w:tblPr>
      <w:tr>
        <w:trPr>
          <w:trHeight w:val="143"/>
        </w:trPr>
        <w:tc>
          <w:tcPr>
            <w:tcW w:w="778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0"/>
                <w:szCs w:val="10"/>
                <w:b w:val="1"/>
                <w:bCs w:val="1"/>
                <w:color w:val="auto"/>
              </w:rPr>
              <w:t>Six Months Ended June 30,</w:t>
            </w:r>
          </w:p>
        </w:tc>
        <w:tc>
          <w:tcPr>
            <w:tcW w:w="760" w:type="dxa"/>
            <w:vAlign w:val="bottom"/>
            <w:tcBorders>
              <w:bottom w:val="single" w:sz="8" w:color="auto"/>
            </w:tcBorders>
          </w:tcPr>
          <w:p>
            <w:pPr>
              <w:spacing w:after="0"/>
              <w:rPr>
                <w:sz w:val="12"/>
                <w:szCs w:val="12"/>
                <w:color w:val="auto"/>
              </w:rPr>
            </w:pPr>
          </w:p>
        </w:tc>
      </w:tr>
      <w:tr>
        <w:trPr>
          <w:trHeight w:val="144"/>
        </w:trPr>
        <w:tc>
          <w:tcPr>
            <w:tcW w:w="7780" w:type="dxa"/>
            <w:vAlign w:val="bottom"/>
          </w:tcPr>
          <w:p>
            <w:pPr>
              <w:spacing w:after="0"/>
              <w:rPr>
                <w:sz w:val="12"/>
                <w:szCs w:val="12"/>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2020</w:t>
            </w:r>
          </w:p>
        </w:tc>
      </w:tr>
      <w:tr>
        <w:trPr>
          <w:trHeight w:val="158"/>
        </w:trPr>
        <w:tc>
          <w:tcPr>
            <w:tcW w:w="7780" w:type="dxa"/>
            <w:vAlign w:val="bottom"/>
          </w:tcPr>
          <w:p>
            <w:pPr>
              <w:ind w:left="240"/>
              <w:spacing w:after="0"/>
              <w:rPr>
                <w:sz w:val="20"/>
                <w:szCs w:val="20"/>
                <w:color w:val="auto"/>
              </w:rPr>
            </w:pPr>
            <w:r>
              <w:rPr>
                <w:rFonts w:ascii="Arial" w:cs="Arial" w:eastAsia="Arial" w:hAnsi="Arial"/>
                <w:sz w:val="12"/>
                <w:szCs w:val="12"/>
                <w:color w:val="auto"/>
              </w:rPr>
              <w:t>Supplemental disclosures of cash flow information</w:t>
            </w: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2"/>
        </w:trPr>
        <w:tc>
          <w:tcPr>
            <w:tcW w:w="77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Interest paid in cash</w:t>
            </w:r>
          </w:p>
        </w:tc>
        <w:tc>
          <w:tcPr>
            <w:tcW w:w="1160" w:type="dxa"/>
            <w:vAlign w:val="bottom"/>
            <w:shd w:val="clear" w:color="auto" w:fill="CCEEFF"/>
          </w:tcPr>
          <w:p>
            <w:pPr>
              <w:jc w:val="right"/>
              <w:ind w:right="803"/>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r>
      <w:tr>
        <w:trPr>
          <w:trHeight w:val="167"/>
        </w:trPr>
        <w:tc>
          <w:tcPr>
            <w:tcW w:w="7780" w:type="dxa"/>
            <w:vAlign w:val="bottom"/>
          </w:tcPr>
          <w:p>
            <w:pPr>
              <w:ind w:left="460"/>
              <w:spacing w:after="0"/>
              <w:rPr>
                <w:sz w:val="20"/>
                <w:szCs w:val="20"/>
                <w:color w:val="auto"/>
              </w:rPr>
            </w:pPr>
            <w:r>
              <w:rPr>
                <w:rFonts w:ascii="Arial" w:cs="Arial" w:eastAsia="Arial" w:hAnsi="Arial"/>
                <w:sz w:val="12"/>
                <w:szCs w:val="12"/>
                <w:color w:val="auto"/>
              </w:rPr>
              <w:t>Cash paid for taxes</w:t>
            </w:r>
          </w:p>
        </w:tc>
        <w:tc>
          <w:tcPr>
            <w:tcW w:w="1160" w:type="dxa"/>
            <w:vAlign w:val="bottom"/>
          </w:tcPr>
          <w:p>
            <w:pPr>
              <w:jc w:val="right"/>
              <w:ind w:right="803"/>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4"/>
                <w:szCs w:val="14"/>
                <w:color w:val="auto"/>
              </w:rPr>
            </w:pPr>
          </w:p>
        </w:tc>
        <w:tc>
          <w:tcPr>
            <w:tcW w:w="780" w:type="dxa"/>
            <w:vAlign w:val="bottom"/>
          </w:tcPr>
          <w:p>
            <w:pPr>
              <w:jc w:val="right"/>
              <w:ind w:right="402"/>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4"/>
                <w:szCs w:val="14"/>
                <w:color w:val="auto"/>
              </w:rPr>
            </w:pPr>
          </w:p>
        </w:tc>
      </w:tr>
      <w:tr>
        <w:trPr>
          <w:trHeight w:val="153"/>
        </w:trPr>
        <w:tc>
          <w:tcPr>
            <w:tcW w:w="77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67"/>
        </w:trPr>
        <w:tc>
          <w:tcPr>
            <w:tcW w:w="7780" w:type="dxa"/>
            <w:vAlign w:val="bottom"/>
          </w:tcPr>
          <w:p>
            <w:pPr>
              <w:ind w:left="240"/>
              <w:spacing w:after="0"/>
              <w:rPr>
                <w:sz w:val="20"/>
                <w:szCs w:val="20"/>
                <w:color w:val="auto"/>
              </w:rPr>
            </w:pPr>
            <w:r>
              <w:rPr>
                <w:rFonts w:ascii="Arial" w:cs="Arial" w:eastAsia="Arial" w:hAnsi="Arial"/>
                <w:sz w:val="12"/>
                <w:szCs w:val="12"/>
                <w:color w:val="auto"/>
              </w:rPr>
              <w:t>Supplemental disclosures of non-cash investing and financing activities:</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2"/>
        </w:trPr>
        <w:tc>
          <w:tcPr>
            <w:tcW w:w="77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Issuance cost reimbursements included in accounts receivable</w:t>
            </w:r>
          </w:p>
        </w:tc>
        <w:tc>
          <w:tcPr>
            <w:tcW w:w="1160" w:type="dxa"/>
            <w:vAlign w:val="bottom"/>
            <w:shd w:val="clear" w:color="auto" w:fill="CCEEFF"/>
          </w:tcPr>
          <w:p>
            <w:pPr>
              <w:jc w:val="right"/>
              <w:ind w:right="803"/>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r>
      <w:tr>
        <w:trPr>
          <w:trHeight w:val="160"/>
        </w:trPr>
        <w:tc>
          <w:tcPr>
            <w:tcW w:w="7780" w:type="dxa"/>
            <w:vAlign w:val="bottom"/>
          </w:tcPr>
          <w:p>
            <w:pPr>
              <w:ind w:left="460"/>
              <w:spacing w:after="0"/>
              <w:rPr>
                <w:sz w:val="20"/>
                <w:szCs w:val="20"/>
                <w:color w:val="auto"/>
              </w:rPr>
            </w:pPr>
            <w:r>
              <w:rPr>
                <w:rFonts w:ascii="Arial" w:cs="Arial" w:eastAsia="Arial" w:hAnsi="Arial"/>
                <w:sz w:val="12"/>
                <w:szCs w:val="12"/>
                <w:color w:val="auto"/>
              </w:rPr>
              <w:t>Property and equipment included in accounts payable and accrued expenses and other current liabilities</w:t>
            </w:r>
          </w:p>
        </w:tc>
        <w:tc>
          <w:tcPr>
            <w:tcW w:w="1160" w:type="dxa"/>
            <w:vAlign w:val="bottom"/>
          </w:tcPr>
          <w:p>
            <w:pPr>
              <w:jc w:val="right"/>
              <w:ind w:right="803"/>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780" w:type="dxa"/>
            <w:vAlign w:val="bottom"/>
          </w:tcPr>
          <w:p>
            <w:pPr>
              <w:jc w:val="right"/>
              <w:ind w:right="402"/>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6" w:right="239" w:bottom="1440" w:gutter="0" w:footer="0" w:header="0"/>
        </w:sectPr>
      </w:pPr>
    </w:p>
    <w:bookmarkStart w:id="15" w:name="page16"/>
    <w:bookmarkEnd w:id="1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ZoomInfo Technologies Inc.</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3"/>
          <w:szCs w:val="13"/>
          <w:b w:val="1"/>
          <w:bCs w:val="1"/>
          <w:color w:val="auto"/>
        </w:rPr>
        <w:t>Notes to Unaudited Consolidated Financial Statements (Unaudited)</w:t>
      </w:r>
    </w:p>
    <w:p>
      <w:pPr>
        <w:spacing w:after="0" w:line="4" w:lineRule="exact"/>
        <w:rPr>
          <w:sz w:val="20"/>
          <w:szCs w:val="20"/>
          <w:color w:val="auto"/>
        </w:rPr>
      </w:pPr>
    </w:p>
    <w:p>
      <w:pPr>
        <w:jc w:val="center"/>
        <w:ind w:right="-179"/>
        <w:spacing w:after="0"/>
        <w:rPr>
          <w:sz w:val="20"/>
          <w:szCs w:val="20"/>
          <w:color w:val="auto"/>
        </w:rPr>
      </w:pPr>
      <w:r>
        <w:rPr>
          <w:rFonts w:ascii="Arial" w:cs="Arial" w:eastAsia="Arial" w:hAnsi="Arial"/>
          <w:sz w:val="13"/>
          <w:szCs w:val="13"/>
          <w:b w:val="1"/>
          <w:bCs w:val="1"/>
          <w:color w:val="auto"/>
        </w:rPr>
        <w:t>(In millions, except share/unit data and per share/unit amounts, unless otherwise noted)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spacing w:after="0"/>
              <w:rPr>
                <w:sz w:val="13"/>
                <w:szCs w:val="13"/>
                <w:color w:val="auto"/>
              </w:rPr>
            </w:pPr>
          </w:p>
        </w:tc>
        <w:tc>
          <w:tcPr>
            <w:tcW w:w="1200" w:type="dxa"/>
            <w:vAlign w:val="bottom"/>
            <w:gridSpan w:val="2"/>
          </w:tcPr>
          <w:p>
            <w:pPr>
              <w:spacing w:after="0"/>
              <w:rPr>
                <w:rFonts w:ascii="Arial" w:cs="Arial" w:eastAsia="Arial" w:hAnsi="Arial"/>
                <w:sz w:val="13"/>
                <w:szCs w:val="13"/>
                <w:color w:val="0000FF"/>
              </w:rPr>
            </w:pPr>
            <w:hyperlink w:anchor="page16">
              <w:r>
                <w:rPr>
                  <w:rFonts w:ascii="Arial" w:cs="Arial" w:eastAsia="Arial" w:hAnsi="Arial"/>
                  <w:sz w:val="13"/>
                  <w:szCs w:val="13"/>
                  <w:color w:val="0000FF"/>
                </w:rPr>
                <w:t>Note 1</w:t>
              </w:r>
            </w:hyperlink>
          </w:p>
        </w:tc>
        <w:tc>
          <w:tcPr>
            <w:tcW w:w="3780" w:type="dxa"/>
            <w:vAlign w:val="bottom"/>
            <w:gridSpan w:val="13"/>
          </w:tcPr>
          <w:p>
            <w:pPr>
              <w:spacing w:after="0"/>
              <w:rPr>
                <w:rFonts w:ascii="Arial" w:cs="Arial" w:eastAsia="Arial" w:hAnsi="Arial"/>
                <w:sz w:val="13"/>
                <w:szCs w:val="13"/>
                <w:color w:val="0000FF"/>
              </w:rPr>
            </w:pPr>
            <w:hyperlink w:anchor="page16">
              <w:r>
                <w:rPr>
                  <w:rFonts w:ascii="Arial" w:cs="Arial" w:eastAsia="Arial" w:hAnsi="Arial"/>
                  <w:sz w:val="13"/>
                  <w:szCs w:val="13"/>
                  <w:color w:val="0000FF"/>
                </w:rPr>
                <w:t>Organization and Background</w:t>
              </w:r>
            </w:hyperlink>
          </w:p>
        </w:tc>
        <w:tc>
          <w:tcPr>
            <w:tcW w:w="5880" w:type="dxa"/>
            <w:vAlign w:val="bottom"/>
            <w:gridSpan w:val="2"/>
          </w:tcPr>
          <w:p>
            <w:pPr>
              <w:jc w:val="right"/>
              <w:spacing w:after="0"/>
              <w:rPr>
                <w:rFonts w:ascii="Arial" w:cs="Arial" w:eastAsia="Arial" w:hAnsi="Arial"/>
                <w:sz w:val="13"/>
                <w:szCs w:val="13"/>
                <w:color w:val="0000FF"/>
              </w:rPr>
            </w:pPr>
            <w:hyperlink w:anchor="page16">
              <w:r>
                <w:rPr>
                  <w:rFonts w:ascii="Arial" w:cs="Arial" w:eastAsia="Arial" w:hAnsi="Arial"/>
                  <w:sz w:val="13"/>
                  <w:szCs w:val="13"/>
                  <w:color w:val="0000FF"/>
                </w:rPr>
                <w:t>11</w:t>
              </w:r>
            </w:hyperlink>
          </w:p>
        </w:tc>
      </w:tr>
      <w:tr>
        <w:trPr>
          <w:trHeight w:val="20"/>
        </w:trPr>
        <w:tc>
          <w:tcPr>
            <w:tcW w:w="4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4"/>
        </w:trPr>
        <w:tc>
          <w:tcPr>
            <w:tcW w:w="480" w:type="dxa"/>
            <w:vAlign w:val="bottom"/>
          </w:tcPr>
          <w:p>
            <w:pPr>
              <w:spacing w:after="0"/>
              <w:rPr>
                <w:sz w:val="15"/>
                <w:szCs w:val="15"/>
                <w:color w:val="auto"/>
              </w:rPr>
            </w:pPr>
          </w:p>
        </w:tc>
        <w:tc>
          <w:tcPr>
            <w:tcW w:w="1200" w:type="dxa"/>
            <w:vAlign w:val="bottom"/>
            <w:gridSpan w:val="2"/>
          </w:tcPr>
          <w:p>
            <w:pPr>
              <w:spacing w:after="0"/>
              <w:rPr>
                <w:rFonts w:ascii="Arial" w:cs="Arial" w:eastAsia="Arial" w:hAnsi="Arial"/>
                <w:sz w:val="13"/>
                <w:szCs w:val="13"/>
                <w:color w:val="0000FF"/>
              </w:rPr>
            </w:pPr>
            <w:hyperlink w:anchor="page18">
              <w:r>
                <w:rPr>
                  <w:rFonts w:ascii="Arial" w:cs="Arial" w:eastAsia="Arial" w:hAnsi="Arial"/>
                  <w:sz w:val="13"/>
                  <w:szCs w:val="13"/>
                  <w:color w:val="0000FF"/>
                </w:rPr>
                <w:t>Note 2</w:t>
              </w:r>
            </w:hyperlink>
          </w:p>
        </w:tc>
        <w:tc>
          <w:tcPr>
            <w:tcW w:w="3780" w:type="dxa"/>
            <w:vAlign w:val="bottom"/>
            <w:gridSpan w:val="13"/>
          </w:tcPr>
          <w:p>
            <w:pPr>
              <w:spacing w:after="0"/>
              <w:rPr>
                <w:rFonts w:ascii="Arial" w:cs="Arial" w:eastAsia="Arial" w:hAnsi="Arial"/>
                <w:sz w:val="13"/>
                <w:szCs w:val="13"/>
                <w:color w:val="0000FF"/>
                <w:w w:val="93"/>
              </w:rPr>
            </w:pPr>
            <w:hyperlink w:anchor="page18">
              <w:r>
                <w:rPr>
                  <w:rFonts w:ascii="Arial" w:cs="Arial" w:eastAsia="Arial" w:hAnsi="Arial"/>
                  <w:sz w:val="13"/>
                  <w:szCs w:val="13"/>
                  <w:color w:val="0000FF"/>
                  <w:w w:val="93"/>
                </w:rPr>
                <w:t>Basis of Presentation and Summary of Significant Accounting Policies</w:t>
              </w:r>
            </w:hyperlink>
          </w:p>
        </w:tc>
        <w:tc>
          <w:tcPr>
            <w:tcW w:w="5880" w:type="dxa"/>
            <w:vAlign w:val="bottom"/>
            <w:gridSpan w:val="2"/>
          </w:tcPr>
          <w:p>
            <w:pPr>
              <w:jc w:val="right"/>
              <w:spacing w:after="0"/>
              <w:rPr>
                <w:rFonts w:ascii="Arial" w:cs="Arial" w:eastAsia="Arial" w:hAnsi="Arial"/>
                <w:sz w:val="13"/>
                <w:szCs w:val="13"/>
                <w:color w:val="0000FF"/>
              </w:rPr>
            </w:pPr>
            <w:hyperlink w:anchor="page18">
              <w:r>
                <w:rPr>
                  <w:rFonts w:ascii="Arial" w:cs="Arial" w:eastAsia="Arial" w:hAnsi="Arial"/>
                  <w:sz w:val="13"/>
                  <w:szCs w:val="13"/>
                  <w:color w:val="0000FF"/>
                </w:rPr>
                <w:t>12</w:t>
              </w:r>
            </w:hyperlink>
          </w:p>
        </w:tc>
      </w:tr>
      <w:tr>
        <w:trPr>
          <w:trHeight w:val="20"/>
        </w:trPr>
        <w:tc>
          <w:tcPr>
            <w:tcW w:w="4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4"/>
        </w:trPr>
        <w:tc>
          <w:tcPr>
            <w:tcW w:w="480" w:type="dxa"/>
            <w:vAlign w:val="bottom"/>
          </w:tcPr>
          <w:p>
            <w:pPr>
              <w:spacing w:after="0"/>
              <w:rPr>
                <w:sz w:val="15"/>
                <w:szCs w:val="15"/>
                <w:color w:val="auto"/>
              </w:rPr>
            </w:pPr>
          </w:p>
        </w:tc>
        <w:tc>
          <w:tcPr>
            <w:tcW w:w="1200" w:type="dxa"/>
            <w:vAlign w:val="bottom"/>
            <w:gridSpan w:val="2"/>
          </w:tcPr>
          <w:p>
            <w:pPr>
              <w:spacing w:after="0"/>
              <w:rPr>
                <w:rFonts w:ascii="Arial" w:cs="Arial" w:eastAsia="Arial" w:hAnsi="Arial"/>
                <w:sz w:val="13"/>
                <w:szCs w:val="13"/>
                <w:color w:val="0000FF"/>
              </w:rPr>
            </w:pPr>
            <w:hyperlink w:anchor="page26">
              <w:r>
                <w:rPr>
                  <w:rFonts w:ascii="Arial" w:cs="Arial" w:eastAsia="Arial" w:hAnsi="Arial"/>
                  <w:sz w:val="13"/>
                  <w:szCs w:val="13"/>
                  <w:color w:val="0000FF"/>
                </w:rPr>
                <w:t>Note 3</w:t>
              </w:r>
            </w:hyperlink>
          </w:p>
        </w:tc>
        <w:tc>
          <w:tcPr>
            <w:tcW w:w="3780" w:type="dxa"/>
            <w:vAlign w:val="bottom"/>
            <w:gridSpan w:val="13"/>
          </w:tcPr>
          <w:p>
            <w:pPr>
              <w:spacing w:after="0"/>
              <w:rPr>
                <w:rFonts w:ascii="Arial" w:cs="Arial" w:eastAsia="Arial" w:hAnsi="Arial"/>
                <w:sz w:val="13"/>
                <w:szCs w:val="13"/>
                <w:color w:val="0000FF"/>
              </w:rPr>
            </w:pPr>
            <w:hyperlink w:anchor="page26">
              <w:r>
                <w:rPr>
                  <w:rFonts w:ascii="Arial" w:cs="Arial" w:eastAsia="Arial" w:hAnsi="Arial"/>
                  <w:sz w:val="13"/>
                  <w:szCs w:val="13"/>
                  <w:color w:val="0000FF"/>
                </w:rPr>
                <w:t>Revenue from Contracts with Customers</w:t>
              </w:r>
            </w:hyperlink>
          </w:p>
        </w:tc>
        <w:tc>
          <w:tcPr>
            <w:tcW w:w="5880" w:type="dxa"/>
            <w:vAlign w:val="bottom"/>
            <w:gridSpan w:val="2"/>
          </w:tcPr>
          <w:p>
            <w:pPr>
              <w:jc w:val="right"/>
              <w:spacing w:after="0"/>
              <w:rPr>
                <w:rFonts w:ascii="Arial" w:cs="Arial" w:eastAsia="Arial" w:hAnsi="Arial"/>
                <w:sz w:val="13"/>
                <w:szCs w:val="13"/>
                <w:color w:val="0000FF"/>
              </w:rPr>
            </w:pPr>
            <w:hyperlink w:anchor="page26">
              <w:r>
                <w:rPr>
                  <w:rFonts w:ascii="Arial" w:cs="Arial" w:eastAsia="Arial" w:hAnsi="Arial"/>
                  <w:sz w:val="13"/>
                  <w:szCs w:val="13"/>
                  <w:color w:val="0000FF"/>
                </w:rPr>
                <w:t>21</w:t>
              </w:r>
            </w:hyperlink>
          </w:p>
        </w:tc>
      </w:tr>
      <w:tr>
        <w:trPr>
          <w:trHeight w:val="20"/>
        </w:trPr>
        <w:tc>
          <w:tcPr>
            <w:tcW w:w="4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r>
      <w:tr>
        <w:trPr>
          <w:trHeight w:val="174"/>
        </w:trPr>
        <w:tc>
          <w:tcPr>
            <w:tcW w:w="480" w:type="dxa"/>
            <w:vAlign w:val="bottom"/>
          </w:tcPr>
          <w:p>
            <w:pPr>
              <w:spacing w:after="0"/>
              <w:rPr>
                <w:sz w:val="15"/>
                <w:szCs w:val="15"/>
                <w:color w:val="auto"/>
              </w:rPr>
            </w:pPr>
          </w:p>
        </w:tc>
        <w:tc>
          <w:tcPr>
            <w:tcW w:w="1200" w:type="dxa"/>
            <w:vAlign w:val="bottom"/>
            <w:gridSpan w:val="2"/>
          </w:tcPr>
          <w:p>
            <w:pPr>
              <w:spacing w:after="0"/>
              <w:rPr>
                <w:rFonts w:ascii="Arial" w:cs="Arial" w:eastAsia="Arial" w:hAnsi="Arial"/>
                <w:sz w:val="13"/>
                <w:szCs w:val="13"/>
                <w:color w:val="0000FF"/>
              </w:rPr>
            </w:pPr>
            <w:hyperlink w:anchor="page28">
              <w:r>
                <w:rPr>
                  <w:rFonts w:ascii="Arial" w:cs="Arial" w:eastAsia="Arial" w:hAnsi="Arial"/>
                  <w:sz w:val="13"/>
                  <w:szCs w:val="13"/>
                  <w:color w:val="0000FF"/>
                </w:rPr>
                <w:t>Note 4</w:t>
              </w:r>
            </w:hyperlink>
          </w:p>
        </w:tc>
        <w:tc>
          <w:tcPr>
            <w:tcW w:w="3780" w:type="dxa"/>
            <w:vAlign w:val="bottom"/>
            <w:gridSpan w:val="13"/>
          </w:tcPr>
          <w:p>
            <w:pPr>
              <w:spacing w:after="0"/>
              <w:rPr>
                <w:rFonts w:ascii="Arial" w:cs="Arial" w:eastAsia="Arial" w:hAnsi="Arial"/>
                <w:sz w:val="13"/>
                <w:szCs w:val="13"/>
                <w:color w:val="0000FF"/>
              </w:rPr>
            </w:pPr>
            <w:hyperlink w:anchor="page28">
              <w:r>
                <w:rPr>
                  <w:rFonts w:ascii="Arial" w:cs="Arial" w:eastAsia="Arial" w:hAnsi="Arial"/>
                  <w:sz w:val="13"/>
                  <w:szCs w:val="13"/>
                  <w:color w:val="0000FF"/>
                </w:rPr>
                <w:t>Business Combinations</w:t>
              </w:r>
            </w:hyperlink>
          </w:p>
        </w:tc>
        <w:tc>
          <w:tcPr>
            <w:tcW w:w="5880" w:type="dxa"/>
            <w:vAlign w:val="bottom"/>
            <w:gridSpan w:val="2"/>
          </w:tcPr>
          <w:p>
            <w:pPr>
              <w:jc w:val="right"/>
              <w:spacing w:after="0"/>
              <w:rPr>
                <w:rFonts w:ascii="Arial" w:cs="Arial" w:eastAsia="Arial" w:hAnsi="Arial"/>
                <w:sz w:val="13"/>
                <w:szCs w:val="13"/>
                <w:color w:val="0000FF"/>
              </w:rPr>
            </w:pPr>
            <w:hyperlink w:anchor="page28">
              <w:r>
                <w:rPr>
                  <w:rFonts w:ascii="Arial" w:cs="Arial" w:eastAsia="Arial" w:hAnsi="Arial"/>
                  <w:sz w:val="13"/>
                  <w:szCs w:val="13"/>
                  <w:color w:val="0000FF"/>
                </w:rPr>
                <w:t>22</w:t>
              </w:r>
            </w:hyperlink>
          </w:p>
        </w:tc>
      </w:tr>
      <w:tr>
        <w:trPr>
          <w:trHeight w:val="20"/>
        </w:trPr>
        <w:tc>
          <w:tcPr>
            <w:tcW w:w="4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r>
      <w:tr>
        <w:trPr>
          <w:trHeight w:val="174"/>
        </w:trPr>
        <w:tc>
          <w:tcPr>
            <w:tcW w:w="480" w:type="dxa"/>
            <w:vAlign w:val="bottom"/>
          </w:tcPr>
          <w:p>
            <w:pPr>
              <w:spacing w:after="0"/>
              <w:rPr>
                <w:sz w:val="15"/>
                <w:szCs w:val="15"/>
                <w:color w:val="auto"/>
              </w:rPr>
            </w:pPr>
          </w:p>
        </w:tc>
        <w:tc>
          <w:tcPr>
            <w:tcW w:w="1200" w:type="dxa"/>
            <w:vAlign w:val="bottom"/>
            <w:gridSpan w:val="2"/>
          </w:tcPr>
          <w:p>
            <w:pPr>
              <w:spacing w:after="0"/>
              <w:rPr>
                <w:rFonts w:ascii="Arial" w:cs="Arial" w:eastAsia="Arial" w:hAnsi="Arial"/>
                <w:sz w:val="13"/>
                <w:szCs w:val="13"/>
                <w:color w:val="0000FF"/>
              </w:rPr>
            </w:pPr>
            <w:hyperlink w:anchor="page29">
              <w:r>
                <w:rPr>
                  <w:rFonts w:ascii="Arial" w:cs="Arial" w:eastAsia="Arial" w:hAnsi="Arial"/>
                  <w:sz w:val="13"/>
                  <w:szCs w:val="13"/>
                  <w:color w:val="0000FF"/>
                </w:rPr>
                <w:t>Note 5</w:t>
              </w:r>
            </w:hyperlink>
          </w:p>
        </w:tc>
        <w:tc>
          <w:tcPr>
            <w:tcW w:w="3780" w:type="dxa"/>
            <w:vAlign w:val="bottom"/>
            <w:gridSpan w:val="13"/>
          </w:tcPr>
          <w:p>
            <w:pPr>
              <w:spacing w:after="0"/>
              <w:rPr>
                <w:rFonts w:ascii="Arial" w:cs="Arial" w:eastAsia="Arial" w:hAnsi="Arial"/>
                <w:sz w:val="13"/>
                <w:szCs w:val="13"/>
                <w:color w:val="0000FF"/>
              </w:rPr>
            </w:pPr>
            <w:hyperlink w:anchor="page29">
              <w:r>
                <w:rPr>
                  <w:rFonts w:ascii="Arial" w:cs="Arial" w:eastAsia="Arial" w:hAnsi="Arial"/>
                  <w:sz w:val="13"/>
                  <w:szCs w:val="13"/>
                  <w:color w:val="0000FF"/>
                </w:rPr>
                <w:t>Cash, Cash Equivalents, and Short-term Investments</w:t>
              </w:r>
            </w:hyperlink>
          </w:p>
        </w:tc>
        <w:tc>
          <w:tcPr>
            <w:tcW w:w="5880" w:type="dxa"/>
            <w:vAlign w:val="bottom"/>
            <w:gridSpan w:val="2"/>
          </w:tcPr>
          <w:p>
            <w:pPr>
              <w:jc w:val="right"/>
              <w:spacing w:after="0"/>
              <w:rPr>
                <w:rFonts w:ascii="Arial" w:cs="Arial" w:eastAsia="Arial" w:hAnsi="Arial"/>
                <w:sz w:val="13"/>
                <w:szCs w:val="13"/>
                <w:color w:val="0000FF"/>
              </w:rPr>
            </w:pPr>
            <w:hyperlink w:anchor="page29">
              <w:r>
                <w:rPr>
                  <w:rFonts w:ascii="Arial" w:cs="Arial" w:eastAsia="Arial" w:hAnsi="Arial"/>
                  <w:sz w:val="13"/>
                  <w:szCs w:val="13"/>
                  <w:color w:val="0000FF"/>
                </w:rPr>
                <w:t>23</w:t>
              </w:r>
            </w:hyperlink>
          </w:p>
        </w:tc>
      </w:tr>
      <w:tr>
        <w:trPr>
          <w:trHeight w:val="20"/>
        </w:trPr>
        <w:tc>
          <w:tcPr>
            <w:tcW w:w="4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r>
      <w:tr>
        <w:trPr>
          <w:trHeight w:val="174"/>
        </w:trPr>
        <w:tc>
          <w:tcPr>
            <w:tcW w:w="480" w:type="dxa"/>
            <w:vAlign w:val="bottom"/>
          </w:tcPr>
          <w:p>
            <w:pPr>
              <w:spacing w:after="0"/>
              <w:rPr>
                <w:sz w:val="15"/>
                <w:szCs w:val="15"/>
                <w:color w:val="auto"/>
              </w:rPr>
            </w:pPr>
          </w:p>
        </w:tc>
        <w:tc>
          <w:tcPr>
            <w:tcW w:w="1200" w:type="dxa"/>
            <w:vAlign w:val="bottom"/>
            <w:gridSpan w:val="2"/>
          </w:tcPr>
          <w:p>
            <w:pPr>
              <w:spacing w:after="0"/>
              <w:rPr>
                <w:rFonts w:ascii="Arial" w:cs="Arial" w:eastAsia="Arial" w:hAnsi="Arial"/>
                <w:sz w:val="13"/>
                <w:szCs w:val="13"/>
                <w:color w:val="0000FF"/>
              </w:rPr>
            </w:pPr>
            <w:hyperlink w:anchor="page31">
              <w:r>
                <w:rPr>
                  <w:rFonts w:ascii="Arial" w:cs="Arial" w:eastAsia="Arial" w:hAnsi="Arial"/>
                  <w:sz w:val="13"/>
                  <w:szCs w:val="13"/>
                  <w:color w:val="0000FF"/>
                </w:rPr>
                <w:t>Note 6</w:t>
              </w:r>
            </w:hyperlink>
          </w:p>
        </w:tc>
        <w:tc>
          <w:tcPr>
            <w:tcW w:w="3780" w:type="dxa"/>
            <w:vAlign w:val="bottom"/>
            <w:gridSpan w:val="13"/>
          </w:tcPr>
          <w:p>
            <w:pPr>
              <w:spacing w:after="0"/>
              <w:rPr>
                <w:rFonts w:ascii="Arial" w:cs="Arial" w:eastAsia="Arial" w:hAnsi="Arial"/>
                <w:sz w:val="13"/>
                <w:szCs w:val="13"/>
                <w:color w:val="0000FF"/>
              </w:rPr>
            </w:pPr>
            <w:hyperlink w:anchor="page31">
              <w:r>
                <w:rPr>
                  <w:rFonts w:ascii="Arial" w:cs="Arial" w:eastAsia="Arial" w:hAnsi="Arial"/>
                  <w:sz w:val="13"/>
                  <w:szCs w:val="13"/>
                  <w:color w:val="0000FF"/>
                </w:rPr>
                <w:t>Property and Equipment</w:t>
              </w:r>
            </w:hyperlink>
          </w:p>
        </w:tc>
        <w:tc>
          <w:tcPr>
            <w:tcW w:w="5880" w:type="dxa"/>
            <w:vAlign w:val="bottom"/>
            <w:gridSpan w:val="2"/>
          </w:tcPr>
          <w:p>
            <w:pPr>
              <w:jc w:val="right"/>
              <w:spacing w:after="0"/>
              <w:rPr>
                <w:rFonts w:ascii="Arial" w:cs="Arial" w:eastAsia="Arial" w:hAnsi="Arial"/>
                <w:sz w:val="13"/>
                <w:szCs w:val="13"/>
                <w:color w:val="0000FF"/>
              </w:rPr>
            </w:pPr>
            <w:hyperlink w:anchor="page31">
              <w:r>
                <w:rPr>
                  <w:rFonts w:ascii="Arial" w:cs="Arial" w:eastAsia="Arial" w:hAnsi="Arial"/>
                  <w:sz w:val="13"/>
                  <w:szCs w:val="13"/>
                  <w:color w:val="0000FF"/>
                </w:rPr>
                <w:t>25</w:t>
              </w:r>
            </w:hyperlink>
          </w:p>
        </w:tc>
      </w:tr>
      <w:tr>
        <w:trPr>
          <w:trHeight w:val="20"/>
        </w:trPr>
        <w:tc>
          <w:tcPr>
            <w:tcW w:w="4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4"/>
        </w:trPr>
        <w:tc>
          <w:tcPr>
            <w:tcW w:w="480" w:type="dxa"/>
            <w:vAlign w:val="bottom"/>
          </w:tcPr>
          <w:p>
            <w:pPr>
              <w:spacing w:after="0"/>
              <w:rPr>
                <w:sz w:val="15"/>
                <w:szCs w:val="15"/>
                <w:color w:val="auto"/>
              </w:rPr>
            </w:pPr>
          </w:p>
        </w:tc>
        <w:tc>
          <w:tcPr>
            <w:tcW w:w="1200" w:type="dxa"/>
            <w:vAlign w:val="bottom"/>
            <w:gridSpan w:val="2"/>
          </w:tcPr>
          <w:p>
            <w:pPr>
              <w:spacing w:after="0"/>
              <w:rPr>
                <w:rFonts w:ascii="Arial" w:cs="Arial" w:eastAsia="Arial" w:hAnsi="Arial"/>
                <w:sz w:val="13"/>
                <w:szCs w:val="13"/>
                <w:color w:val="0000FF"/>
              </w:rPr>
            </w:pPr>
            <w:hyperlink w:anchor="page31">
              <w:r>
                <w:rPr>
                  <w:rFonts w:ascii="Arial" w:cs="Arial" w:eastAsia="Arial" w:hAnsi="Arial"/>
                  <w:sz w:val="13"/>
                  <w:szCs w:val="13"/>
                  <w:color w:val="0000FF"/>
                </w:rPr>
                <w:t>Note 7</w:t>
              </w:r>
            </w:hyperlink>
          </w:p>
        </w:tc>
        <w:tc>
          <w:tcPr>
            <w:tcW w:w="3780" w:type="dxa"/>
            <w:vAlign w:val="bottom"/>
            <w:gridSpan w:val="13"/>
          </w:tcPr>
          <w:p>
            <w:pPr>
              <w:spacing w:after="0"/>
              <w:rPr>
                <w:rFonts w:ascii="Arial" w:cs="Arial" w:eastAsia="Arial" w:hAnsi="Arial"/>
                <w:sz w:val="13"/>
                <w:szCs w:val="13"/>
                <w:color w:val="0000FF"/>
              </w:rPr>
            </w:pPr>
            <w:hyperlink w:anchor="page31">
              <w:r>
                <w:rPr>
                  <w:rFonts w:ascii="Arial" w:cs="Arial" w:eastAsia="Arial" w:hAnsi="Arial"/>
                  <w:sz w:val="13"/>
                  <w:szCs w:val="13"/>
                  <w:color w:val="0000FF"/>
                </w:rPr>
                <w:t>Goodwill and Acquired Intangible Assets</w:t>
              </w:r>
            </w:hyperlink>
          </w:p>
        </w:tc>
        <w:tc>
          <w:tcPr>
            <w:tcW w:w="5880" w:type="dxa"/>
            <w:vAlign w:val="bottom"/>
            <w:gridSpan w:val="2"/>
          </w:tcPr>
          <w:p>
            <w:pPr>
              <w:jc w:val="right"/>
              <w:spacing w:after="0"/>
              <w:rPr>
                <w:rFonts w:ascii="Arial" w:cs="Arial" w:eastAsia="Arial" w:hAnsi="Arial"/>
                <w:sz w:val="13"/>
                <w:szCs w:val="13"/>
                <w:color w:val="0000FF"/>
              </w:rPr>
            </w:pPr>
            <w:hyperlink w:anchor="page31">
              <w:r>
                <w:rPr>
                  <w:rFonts w:ascii="Arial" w:cs="Arial" w:eastAsia="Arial" w:hAnsi="Arial"/>
                  <w:sz w:val="13"/>
                  <w:szCs w:val="13"/>
                  <w:color w:val="0000FF"/>
                </w:rPr>
                <w:t>26</w:t>
              </w:r>
            </w:hyperlink>
          </w:p>
        </w:tc>
      </w:tr>
      <w:tr>
        <w:trPr>
          <w:trHeight w:val="20"/>
        </w:trPr>
        <w:tc>
          <w:tcPr>
            <w:tcW w:w="4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4"/>
        </w:trPr>
        <w:tc>
          <w:tcPr>
            <w:tcW w:w="480" w:type="dxa"/>
            <w:vAlign w:val="bottom"/>
          </w:tcPr>
          <w:p>
            <w:pPr>
              <w:spacing w:after="0"/>
              <w:rPr>
                <w:sz w:val="15"/>
                <w:szCs w:val="15"/>
                <w:color w:val="auto"/>
              </w:rPr>
            </w:pPr>
          </w:p>
        </w:tc>
        <w:tc>
          <w:tcPr>
            <w:tcW w:w="1200" w:type="dxa"/>
            <w:vAlign w:val="bottom"/>
            <w:gridSpan w:val="2"/>
          </w:tcPr>
          <w:p>
            <w:pPr>
              <w:spacing w:after="0"/>
              <w:rPr>
                <w:rFonts w:ascii="Arial" w:cs="Arial" w:eastAsia="Arial" w:hAnsi="Arial"/>
                <w:sz w:val="13"/>
                <w:szCs w:val="13"/>
                <w:color w:val="0000FF"/>
              </w:rPr>
            </w:pPr>
            <w:hyperlink w:anchor="page32">
              <w:r>
                <w:rPr>
                  <w:rFonts w:ascii="Arial" w:cs="Arial" w:eastAsia="Arial" w:hAnsi="Arial"/>
                  <w:sz w:val="13"/>
                  <w:szCs w:val="13"/>
                  <w:color w:val="0000FF"/>
                </w:rPr>
                <w:t>Note 8</w:t>
              </w:r>
            </w:hyperlink>
          </w:p>
        </w:tc>
        <w:tc>
          <w:tcPr>
            <w:tcW w:w="3780" w:type="dxa"/>
            <w:vAlign w:val="bottom"/>
            <w:gridSpan w:val="13"/>
          </w:tcPr>
          <w:p>
            <w:pPr>
              <w:spacing w:after="0"/>
              <w:rPr>
                <w:rFonts w:ascii="Arial" w:cs="Arial" w:eastAsia="Arial" w:hAnsi="Arial"/>
                <w:sz w:val="13"/>
                <w:szCs w:val="13"/>
                <w:color w:val="0000FF"/>
              </w:rPr>
            </w:pPr>
            <w:hyperlink w:anchor="page32">
              <w:r>
                <w:rPr>
                  <w:rFonts w:ascii="Arial" w:cs="Arial" w:eastAsia="Arial" w:hAnsi="Arial"/>
                  <w:sz w:val="13"/>
                  <w:szCs w:val="13"/>
                  <w:color w:val="0000FF"/>
                </w:rPr>
                <w:t>Financing Arrangements</w:t>
              </w:r>
            </w:hyperlink>
          </w:p>
        </w:tc>
        <w:tc>
          <w:tcPr>
            <w:tcW w:w="5880" w:type="dxa"/>
            <w:vAlign w:val="bottom"/>
            <w:gridSpan w:val="2"/>
          </w:tcPr>
          <w:p>
            <w:pPr>
              <w:jc w:val="right"/>
              <w:spacing w:after="0"/>
              <w:rPr>
                <w:rFonts w:ascii="Arial" w:cs="Arial" w:eastAsia="Arial" w:hAnsi="Arial"/>
                <w:sz w:val="13"/>
                <w:szCs w:val="13"/>
                <w:color w:val="0000FF"/>
              </w:rPr>
            </w:pPr>
            <w:hyperlink w:anchor="page32">
              <w:r>
                <w:rPr>
                  <w:rFonts w:ascii="Arial" w:cs="Arial" w:eastAsia="Arial" w:hAnsi="Arial"/>
                  <w:sz w:val="13"/>
                  <w:szCs w:val="13"/>
                  <w:color w:val="0000FF"/>
                </w:rPr>
                <w:t>26</w:t>
              </w:r>
            </w:hyperlink>
          </w:p>
        </w:tc>
      </w:tr>
      <w:tr>
        <w:trPr>
          <w:trHeight w:val="20"/>
        </w:trPr>
        <w:tc>
          <w:tcPr>
            <w:tcW w:w="4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4"/>
        </w:trPr>
        <w:tc>
          <w:tcPr>
            <w:tcW w:w="480" w:type="dxa"/>
            <w:vAlign w:val="bottom"/>
          </w:tcPr>
          <w:p>
            <w:pPr>
              <w:spacing w:after="0"/>
              <w:rPr>
                <w:sz w:val="15"/>
                <w:szCs w:val="15"/>
                <w:color w:val="auto"/>
              </w:rPr>
            </w:pPr>
          </w:p>
        </w:tc>
        <w:tc>
          <w:tcPr>
            <w:tcW w:w="1200" w:type="dxa"/>
            <w:vAlign w:val="bottom"/>
            <w:gridSpan w:val="2"/>
          </w:tcPr>
          <w:p>
            <w:pPr>
              <w:spacing w:after="0"/>
              <w:rPr>
                <w:rFonts w:ascii="Arial" w:cs="Arial" w:eastAsia="Arial" w:hAnsi="Arial"/>
                <w:sz w:val="13"/>
                <w:szCs w:val="13"/>
                <w:color w:val="0000FF"/>
              </w:rPr>
            </w:pPr>
            <w:hyperlink w:anchor="page34">
              <w:r>
                <w:rPr>
                  <w:rFonts w:ascii="Arial" w:cs="Arial" w:eastAsia="Arial" w:hAnsi="Arial"/>
                  <w:sz w:val="13"/>
                  <w:szCs w:val="13"/>
                  <w:color w:val="0000FF"/>
                </w:rPr>
                <w:t>Note 9</w:t>
              </w:r>
            </w:hyperlink>
          </w:p>
        </w:tc>
        <w:tc>
          <w:tcPr>
            <w:tcW w:w="3780" w:type="dxa"/>
            <w:vAlign w:val="bottom"/>
            <w:gridSpan w:val="13"/>
          </w:tcPr>
          <w:p>
            <w:pPr>
              <w:spacing w:after="0"/>
              <w:rPr>
                <w:rFonts w:ascii="Arial" w:cs="Arial" w:eastAsia="Arial" w:hAnsi="Arial"/>
                <w:sz w:val="13"/>
                <w:szCs w:val="13"/>
                <w:color w:val="0000FF"/>
              </w:rPr>
            </w:pPr>
            <w:hyperlink w:anchor="page34">
              <w:r>
                <w:rPr>
                  <w:rFonts w:ascii="Arial" w:cs="Arial" w:eastAsia="Arial" w:hAnsi="Arial"/>
                  <w:sz w:val="13"/>
                  <w:szCs w:val="13"/>
                  <w:color w:val="0000FF"/>
                </w:rPr>
                <w:t>Derivatives and Hedging Activities</w:t>
              </w:r>
            </w:hyperlink>
          </w:p>
        </w:tc>
        <w:tc>
          <w:tcPr>
            <w:tcW w:w="5880" w:type="dxa"/>
            <w:vAlign w:val="bottom"/>
            <w:gridSpan w:val="2"/>
          </w:tcPr>
          <w:p>
            <w:pPr>
              <w:jc w:val="right"/>
              <w:spacing w:after="0"/>
              <w:rPr>
                <w:rFonts w:ascii="Arial" w:cs="Arial" w:eastAsia="Arial" w:hAnsi="Arial"/>
                <w:sz w:val="13"/>
                <w:szCs w:val="13"/>
                <w:color w:val="0000FF"/>
              </w:rPr>
            </w:pPr>
            <w:hyperlink w:anchor="page34">
              <w:r>
                <w:rPr>
                  <w:rFonts w:ascii="Arial" w:cs="Arial" w:eastAsia="Arial" w:hAnsi="Arial"/>
                  <w:sz w:val="13"/>
                  <w:szCs w:val="13"/>
                  <w:color w:val="0000FF"/>
                </w:rPr>
                <w:t>28</w:t>
              </w:r>
            </w:hyperlink>
          </w:p>
        </w:tc>
      </w:tr>
      <w:tr>
        <w:trPr>
          <w:trHeight w:val="20"/>
        </w:trPr>
        <w:tc>
          <w:tcPr>
            <w:tcW w:w="4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4"/>
        </w:trPr>
        <w:tc>
          <w:tcPr>
            <w:tcW w:w="480" w:type="dxa"/>
            <w:vAlign w:val="bottom"/>
          </w:tcPr>
          <w:p>
            <w:pPr>
              <w:spacing w:after="0"/>
              <w:rPr>
                <w:sz w:val="15"/>
                <w:szCs w:val="15"/>
                <w:color w:val="auto"/>
              </w:rPr>
            </w:pPr>
          </w:p>
        </w:tc>
        <w:tc>
          <w:tcPr>
            <w:tcW w:w="1200" w:type="dxa"/>
            <w:vAlign w:val="bottom"/>
            <w:gridSpan w:val="2"/>
          </w:tcPr>
          <w:p>
            <w:pPr>
              <w:spacing w:after="0"/>
              <w:rPr>
                <w:rFonts w:ascii="Arial" w:cs="Arial" w:eastAsia="Arial" w:hAnsi="Arial"/>
                <w:sz w:val="13"/>
                <w:szCs w:val="13"/>
                <w:color w:val="0000FF"/>
              </w:rPr>
            </w:pPr>
            <w:hyperlink w:anchor="page36">
              <w:r>
                <w:rPr>
                  <w:rFonts w:ascii="Arial" w:cs="Arial" w:eastAsia="Arial" w:hAnsi="Arial"/>
                  <w:sz w:val="13"/>
                  <w:szCs w:val="13"/>
                  <w:color w:val="0000FF"/>
                </w:rPr>
                <w:t>Note 10</w:t>
              </w:r>
            </w:hyperlink>
          </w:p>
        </w:tc>
        <w:tc>
          <w:tcPr>
            <w:tcW w:w="3780" w:type="dxa"/>
            <w:vAlign w:val="bottom"/>
            <w:gridSpan w:val="13"/>
          </w:tcPr>
          <w:p>
            <w:pPr>
              <w:spacing w:after="0"/>
              <w:rPr>
                <w:rFonts w:ascii="Arial" w:cs="Arial" w:eastAsia="Arial" w:hAnsi="Arial"/>
                <w:sz w:val="13"/>
                <w:szCs w:val="13"/>
                <w:color w:val="0000FF"/>
              </w:rPr>
            </w:pPr>
            <w:hyperlink w:anchor="page36">
              <w:r>
                <w:rPr>
                  <w:rFonts w:ascii="Arial" w:cs="Arial" w:eastAsia="Arial" w:hAnsi="Arial"/>
                  <w:sz w:val="13"/>
                  <w:szCs w:val="13"/>
                  <w:color w:val="0000FF"/>
                </w:rPr>
                <w:t>Fair Value</w:t>
              </w:r>
            </w:hyperlink>
          </w:p>
        </w:tc>
        <w:tc>
          <w:tcPr>
            <w:tcW w:w="5880" w:type="dxa"/>
            <w:vAlign w:val="bottom"/>
            <w:gridSpan w:val="2"/>
          </w:tcPr>
          <w:p>
            <w:pPr>
              <w:jc w:val="right"/>
              <w:spacing w:after="0"/>
              <w:rPr>
                <w:rFonts w:ascii="Arial" w:cs="Arial" w:eastAsia="Arial" w:hAnsi="Arial"/>
                <w:sz w:val="13"/>
                <w:szCs w:val="13"/>
                <w:color w:val="0000FF"/>
              </w:rPr>
            </w:pPr>
            <w:hyperlink w:anchor="page36">
              <w:r>
                <w:rPr>
                  <w:rFonts w:ascii="Arial" w:cs="Arial" w:eastAsia="Arial" w:hAnsi="Arial"/>
                  <w:sz w:val="13"/>
                  <w:szCs w:val="13"/>
                  <w:color w:val="0000FF"/>
                </w:rPr>
                <w:t>30</w:t>
              </w:r>
            </w:hyperlink>
          </w:p>
        </w:tc>
      </w:tr>
      <w:tr>
        <w:trPr>
          <w:trHeight w:val="20"/>
        </w:trPr>
        <w:tc>
          <w:tcPr>
            <w:tcW w:w="4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r>
      <w:tr>
        <w:trPr>
          <w:trHeight w:val="174"/>
        </w:trPr>
        <w:tc>
          <w:tcPr>
            <w:tcW w:w="480" w:type="dxa"/>
            <w:vAlign w:val="bottom"/>
          </w:tcPr>
          <w:p>
            <w:pPr>
              <w:spacing w:after="0"/>
              <w:rPr>
                <w:sz w:val="15"/>
                <w:szCs w:val="15"/>
                <w:color w:val="auto"/>
              </w:rPr>
            </w:pPr>
          </w:p>
        </w:tc>
        <w:tc>
          <w:tcPr>
            <w:tcW w:w="1200" w:type="dxa"/>
            <w:vAlign w:val="bottom"/>
            <w:gridSpan w:val="2"/>
          </w:tcPr>
          <w:p>
            <w:pPr>
              <w:spacing w:after="0"/>
              <w:rPr>
                <w:rFonts w:ascii="Arial" w:cs="Arial" w:eastAsia="Arial" w:hAnsi="Arial"/>
                <w:sz w:val="13"/>
                <w:szCs w:val="13"/>
                <w:color w:val="0000FF"/>
              </w:rPr>
            </w:pPr>
            <w:hyperlink w:anchor="page38">
              <w:r>
                <w:rPr>
                  <w:rFonts w:ascii="Arial" w:cs="Arial" w:eastAsia="Arial" w:hAnsi="Arial"/>
                  <w:sz w:val="13"/>
                  <w:szCs w:val="13"/>
                  <w:color w:val="0000FF"/>
                </w:rPr>
                <w:t>Note 11</w:t>
              </w:r>
            </w:hyperlink>
          </w:p>
        </w:tc>
        <w:tc>
          <w:tcPr>
            <w:tcW w:w="3780" w:type="dxa"/>
            <w:vAlign w:val="bottom"/>
            <w:gridSpan w:val="13"/>
          </w:tcPr>
          <w:p>
            <w:pPr>
              <w:spacing w:after="0"/>
              <w:rPr>
                <w:rFonts w:ascii="Arial" w:cs="Arial" w:eastAsia="Arial" w:hAnsi="Arial"/>
                <w:sz w:val="13"/>
                <w:szCs w:val="13"/>
                <w:color w:val="0000FF"/>
              </w:rPr>
            </w:pPr>
            <w:hyperlink w:anchor="page38">
              <w:r>
                <w:rPr>
                  <w:rFonts w:ascii="Arial" w:cs="Arial" w:eastAsia="Arial" w:hAnsi="Arial"/>
                  <w:sz w:val="13"/>
                  <w:szCs w:val="13"/>
                  <w:color w:val="0000FF"/>
                </w:rPr>
                <w:t>Commitments and Contingencies</w:t>
              </w:r>
            </w:hyperlink>
          </w:p>
        </w:tc>
        <w:tc>
          <w:tcPr>
            <w:tcW w:w="5880" w:type="dxa"/>
            <w:vAlign w:val="bottom"/>
            <w:gridSpan w:val="2"/>
          </w:tcPr>
          <w:p>
            <w:pPr>
              <w:jc w:val="right"/>
              <w:spacing w:after="0"/>
              <w:rPr>
                <w:rFonts w:ascii="Arial" w:cs="Arial" w:eastAsia="Arial" w:hAnsi="Arial"/>
                <w:sz w:val="13"/>
                <w:szCs w:val="13"/>
                <w:color w:val="0000FF"/>
              </w:rPr>
            </w:pPr>
            <w:hyperlink w:anchor="page38">
              <w:r>
                <w:rPr>
                  <w:rFonts w:ascii="Arial" w:cs="Arial" w:eastAsia="Arial" w:hAnsi="Arial"/>
                  <w:sz w:val="13"/>
                  <w:szCs w:val="13"/>
                  <w:color w:val="0000FF"/>
                </w:rPr>
                <w:t>32</w:t>
              </w:r>
            </w:hyperlink>
          </w:p>
        </w:tc>
      </w:tr>
      <w:tr>
        <w:trPr>
          <w:trHeight w:val="20"/>
        </w:trPr>
        <w:tc>
          <w:tcPr>
            <w:tcW w:w="4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4"/>
        </w:trPr>
        <w:tc>
          <w:tcPr>
            <w:tcW w:w="480" w:type="dxa"/>
            <w:vAlign w:val="bottom"/>
          </w:tcPr>
          <w:p>
            <w:pPr>
              <w:spacing w:after="0"/>
              <w:rPr>
                <w:sz w:val="15"/>
                <w:szCs w:val="15"/>
                <w:color w:val="auto"/>
              </w:rPr>
            </w:pPr>
          </w:p>
        </w:tc>
        <w:tc>
          <w:tcPr>
            <w:tcW w:w="1200" w:type="dxa"/>
            <w:vAlign w:val="bottom"/>
            <w:gridSpan w:val="2"/>
          </w:tcPr>
          <w:p>
            <w:pPr>
              <w:spacing w:after="0"/>
              <w:rPr>
                <w:rFonts w:ascii="Arial" w:cs="Arial" w:eastAsia="Arial" w:hAnsi="Arial"/>
                <w:sz w:val="13"/>
                <w:szCs w:val="13"/>
                <w:color w:val="0000FF"/>
              </w:rPr>
            </w:pPr>
            <w:hyperlink w:anchor="page38">
              <w:r>
                <w:rPr>
                  <w:rFonts w:ascii="Arial" w:cs="Arial" w:eastAsia="Arial" w:hAnsi="Arial"/>
                  <w:sz w:val="13"/>
                  <w:szCs w:val="13"/>
                  <w:color w:val="0000FF"/>
                </w:rPr>
                <w:t>Note 12</w:t>
              </w:r>
            </w:hyperlink>
          </w:p>
        </w:tc>
        <w:tc>
          <w:tcPr>
            <w:tcW w:w="3780" w:type="dxa"/>
            <w:vAlign w:val="bottom"/>
            <w:gridSpan w:val="13"/>
          </w:tcPr>
          <w:p>
            <w:pPr>
              <w:spacing w:after="0"/>
              <w:rPr>
                <w:rFonts w:ascii="Arial" w:cs="Arial" w:eastAsia="Arial" w:hAnsi="Arial"/>
                <w:sz w:val="13"/>
                <w:szCs w:val="13"/>
                <w:color w:val="0000FF"/>
              </w:rPr>
            </w:pPr>
            <w:hyperlink w:anchor="page38">
              <w:r>
                <w:rPr>
                  <w:rFonts w:ascii="Arial" w:cs="Arial" w:eastAsia="Arial" w:hAnsi="Arial"/>
                  <w:sz w:val="13"/>
                  <w:szCs w:val="13"/>
                  <w:color w:val="0000FF"/>
                </w:rPr>
                <w:t>Noncontrolling Interest</w:t>
              </w:r>
            </w:hyperlink>
          </w:p>
        </w:tc>
        <w:tc>
          <w:tcPr>
            <w:tcW w:w="5880" w:type="dxa"/>
            <w:vAlign w:val="bottom"/>
            <w:gridSpan w:val="2"/>
          </w:tcPr>
          <w:p>
            <w:pPr>
              <w:jc w:val="right"/>
              <w:spacing w:after="0"/>
              <w:rPr>
                <w:rFonts w:ascii="Arial" w:cs="Arial" w:eastAsia="Arial" w:hAnsi="Arial"/>
                <w:sz w:val="13"/>
                <w:szCs w:val="13"/>
                <w:color w:val="0000FF"/>
              </w:rPr>
            </w:pPr>
            <w:hyperlink w:anchor="page38">
              <w:r>
                <w:rPr>
                  <w:rFonts w:ascii="Arial" w:cs="Arial" w:eastAsia="Arial" w:hAnsi="Arial"/>
                  <w:sz w:val="13"/>
                  <w:szCs w:val="13"/>
                  <w:color w:val="0000FF"/>
                </w:rPr>
                <w:t>32</w:t>
              </w:r>
            </w:hyperlink>
          </w:p>
        </w:tc>
      </w:tr>
      <w:tr>
        <w:trPr>
          <w:trHeight w:val="20"/>
        </w:trPr>
        <w:tc>
          <w:tcPr>
            <w:tcW w:w="4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4"/>
        </w:trPr>
        <w:tc>
          <w:tcPr>
            <w:tcW w:w="480" w:type="dxa"/>
            <w:vAlign w:val="bottom"/>
          </w:tcPr>
          <w:p>
            <w:pPr>
              <w:spacing w:after="0"/>
              <w:rPr>
                <w:sz w:val="15"/>
                <w:szCs w:val="15"/>
                <w:color w:val="auto"/>
              </w:rPr>
            </w:pPr>
          </w:p>
        </w:tc>
        <w:tc>
          <w:tcPr>
            <w:tcW w:w="1200" w:type="dxa"/>
            <w:vAlign w:val="bottom"/>
            <w:gridSpan w:val="2"/>
          </w:tcPr>
          <w:p>
            <w:pPr>
              <w:spacing w:after="0"/>
              <w:rPr>
                <w:rFonts w:ascii="Arial" w:cs="Arial" w:eastAsia="Arial" w:hAnsi="Arial"/>
                <w:sz w:val="13"/>
                <w:szCs w:val="13"/>
                <w:color w:val="0000FF"/>
              </w:rPr>
            </w:pPr>
            <w:hyperlink w:anchor="page39">
              <w:r>
                <w:rPr>
                  <w:rFonts w:ascii="Arial" w:cs="Arial" w:eastAsia="Arial" w:hAnsi="Arial"/>
                  <w:sz w:val="13"/>
                  <w:szCs w:val="13"/>
                  <w:color w:val="0000FF"/>
                </w:rPr>
                <w:t>Note 13</w:t>
              </w:r>
            </w:hyperlink>
          </w:p>
        </w:tc>
        <w:tc>
          <w:tcPr>
            <w:tcW w:w="3780" w:type="dxa"/>
            <w:vAlign w:val="bottom"/>
            <w:gridSpan w:val="13"/>
          </w:tcPr>
          <w:p>
            <w:pPr>
              <w:spacing w:after="0"/>
              <w:rPr>
                <w:rFonts w:ascii="Arial" w:cs="Arial" w:eastAsia="Arial" w:hAnsi="Arial"/>
                <w:sz w:val="13"/>
                <w:szCs w:val="13"/>
                <w:color w:val="0000FF"/>
              </w:rPr>
            </w:pPr>
            <w:hyperlink w:anchor="page39">
              <w:r>
                <w:rPr>
                  <w:rFonts w:ascii="Arial" w:cs="Arial" w:eastAsia="Arial" w:hAnsi="Arial"/>
                  <w:sz w:val="13"/>
                  <w:szCs w:val="13"/>
                  <w:color w:val="0000FF"/>
                </w:rPr>
                <w:t>Earnings Per Share</w:t>
              </w:r>
            </w:hyperlink>
          </w:p>
        </w:tc>
        <w:tc>
          <w:tcPr>
            <w:tcW w:w="5880" w:type="dxa"/>
            <w:vAlign w:val="bottom"/>
            <w:gridSpan w:val="2"/>
          </w:tcPr>
          <w:p>
            <w:pPr>
              <w:jc w:val="right"/>
              <w:spacing w:after="0"/>
              <w:rPr>
                <w:rFonts w:ascii="Arial" w:cs="Arial" w:eastAsia="Arial" w:hAnsi="Arial"/>
                <w:sz w:val="13"/>
                <w:szCs w:val="13"/>
                <w:color w:val="0000FF"/>
              </w:rPr>
            </w:pPr>
            <w:hyperlink w:anchor="page39">
              <w:r>
                <w:rPr>
                  <w:rFonts w:ascii="Arial" w:cs="Arial" w:eastAsia="Arial" w:hAnsi="Arial"/>
                  <w:sz w:val="13"/>
                  <w:szCs w:val="13"/>
                  <w:color w:val="0000FF"/>
                </w:rPr>
                <w:t>33</w:t>
              </w:r>
            </w:hyperlink>
          </w:p>
        </w:tc>
      </w:tr>
      <w:tr>
        <w:trPr>
          <w:trHeight w:val="20"/>
        </w:trPr>
        <w:tc>
          <w:tcPr>
            <w:tcW w:w="4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4"/>
        </w:trPr>
        <w:tc>
          <w:tcPr>
            <w:tcW w:w="480" w:type="dxa"/>
            <w:vAlign w:val="bottom"/>
          </w:tcPr>
          <w:p>
            <w:pPr>
              <w:spacing w:after="0"/>
              <w:rPr>
                <w:sz w:val="15"/>
                <w:szCs w:val="15"/>
                <w:color w:val="auto"/>
              </w:rPr>
            </w:pPr>
          </w:p>
        </w:tc>
        <w:tc>
          <w:tcPr>
            <w:tcW w:w="1200" w:type="dxa"/>
            <w:vAlign w:val="bottom"/>
            <w:gridSpan w:val="2"/>
          </w:tcPr>
          <w:p>
            <w:pPr>
              <w:spacing w:after="0"/>
              <w:rPr>
                <w:rFonts w:ascii="Arial" w:cs="Arial" w:eastAsia="Arial" w:hAnsi="Arial"/>
                <w:sz w:val="13"/>
                <w:szCs w:val="13"/>
                <w:color w:val="0000FF"/>
              </w:rPr>
            </w:pPr>
            <w:hyperlink w:anchor="page42">
              <w:r>
                <w:rPr>
                  <w:rFonts w:ascii="Arial" w:cs="Arial" w:eastAsia="Arial" w:hAnsi="Arial"/>
                  <w:sz w:val="13"/>
                  <w:szCs w:val="13"/>
                  <w:color w:val="0000FF"/>
                </w:rPr>
                <w:t>Note 14</w:t>
              </w:r>
            </w:hyperlink>
          </w:p>
        </w:tc>
        <w:tc>
          <w:tcPr>
            <w:tcW w:w="3780" w:type="dxa"/>
            <w:vAlign w:val="bottom"/>
            <w:gridSpan w:val="13"/>
          </w:tcPr>
          <w:p>
            <w:pPr>
              <w:spacing w:after="0"/>
              <w:rPr>
                <w:rFonts w:ascii="Arial" w:cs="Arial" w:eastAsia="Arial" w:hAnsi="Arial"/>
                <w:sz w:val="13"/>
                <w:szCs w:val="13"/>
                <w:color w:val="0000FF"/>
              </w:rPr>
            </w:pPr>
            <w:hyperlink w:anchor="page42">
              <w:r>
                <w:rPr>
                  <w:rFonts w:ascii="Arial" w:cs="Arial" w:eastAsia="Arial" w:hAnsi="Arial"/>
                  <w:sz w:val="13"/>
                  <w:szCs w:val="13"/>
                  <w:color w:val="0000FF"/>
                </w:rPr>
                <w:t>Leases</w:t>
              </w:r>
            </w:hyperlink>
          </w:p>
        </w:tc>
        <w:tc>
          <w:tcPr>
            <w:tcW w:w="5880" w:type="dxa"/>
            <w:vAlign w:val="bottom"/>
            <w:gridSpan w:val="2"/>
          </w:tcPr>
          <w:p>
            <w:pPr>
              <w:jc w:val="right"/>
              <w:spacing w:after="0"/>
              <w:rPr>
                <w:rFonts w:ascii="Arial" w:cs="Arial" w:eastAsia="Arial" w:hAnsi="Arial"/>
                <w:sz w:val="13"/>
                <w:szCs w:val="13"/>
                <w:color w:val="0000FF"/>
              </w:rPr>
            </w:pPr>
            <w:hyperlink w:anchor="page42">
              <w:r>
                <w:rPr>
                  <w:rFonts w:ascii="Arial" w:cs="Arial" w:eastAsia="Arial" w:hAnsi="Arial"/>
                  <w:sz w:val="13"/>
                  <w:szCs w:val="13"/>
                  <w:color w:val="0000FF"/>
                </w:rPr>
                <w:t>36</w:t>
              </w:r>
            </w:hyperlink>
          </w:p>
        </w:tc>
      </w:tr>
      <w:tr>
        <w:trPr>
          <w:trHeight w:val="20"/>
        </w:trPr>
        <w:tc>
          <w:tcPr>
            <w:tcW w:w="4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r>
      <w:tr>
        <w:trPr>
          <w:trHeight w:val="174"/>
        </w:trPr>
        <w:tc>
          <w:tcPr>
            <w:tcW w:w="480" w:type="dxa"/>
            <w:vAlign w:val="bottom"/>
          </w:tcPr>
          <w:p>
            <w:pPr>
              <w:spacing w:after="0"/>
              <w:rPr>
                <w:sz w:val="15"/>
                <w:szCs w:val="15"/>
                <w:color w:val="auto"/>
              </w:rPr>
            </w:pPr>
          </w:p>
        </w:tc>
        <w:tc>
          <w:tcPr>
            <w:tcW w:w="1200" w:type="dxa"/>
            <w:vAlign w:val="bottom"/>
            <w:gridSpan w:val="2"/>
          </w:tcPr>
          <w:p>
            <w:pPr>
              <w:spacing w:after="0"/>
              <w:rPr>
                <w:rFonts w:ascii="Arial" w:cs="Arial" w:eastAsia="Arial" w:hAnsi="Arial"/>
                <w:sz w:val="13"/>
                <w:szCs w:val="13"/>
                <w:color w:val="0000FF"/>
              </w:rPr>
            </w:pPr>
            <w:hyperlink w:anchor="page44">
              <w:r>
                <w:rPr>
                  <w:rFonts w:ascii="Arial" w:cs="Arial" w:eastAsia="Arial" w:hAnsi="Arial"/>
                  <w:sz w:val="13"/>
                  <w:szCs w:val="13"/>
                  <w:color w:val="0000FF"/>
                </w:rPr>
                <w:t>Note 15</w:t>
              </w:r>
            </w:hyperlink>
          </w:p>
        </w:tc>
        <w:tc>
          <w:tcPr>
            <w:tcW w:w="3780" w:type="dxa"/>
            <w:vAlign w:val="bottom"/>
            <w:gridSpan w:val="13"/>
          </w:tcPr>
          <w:p>
            <w:pPr>
              <w:spacing w:after="0"/>
              <w:rPr>
                <w:rFonts w:ascii="Arial" w:cs="Arial" w:eastAsia="Arial" w:hAnsi="Arial"/>
                <w:sz w:val="13"/>
                <w:szCs w:val="13"/>
                <w:color w:val="0000FF"/>
              </w:rPr>
            </w:pPr>
            <w:hyperlink w:anchor="page44">
              <w:r>
                <w:rPr>
                  <w:rFonts w:ascii="Arial" w:cs="Arial" w:eastAsia="Arial" w:hAnsi="Arial"/>
                  <w:sz w:val="13"/>
                  <w:szCs w:val="13"/>
                  <w:color w:val="0000FF"/>
                </w:rPr>
                <w:t>Equity-Based Compensation</w:t>
              </w:r>
            </w:hyperlink>
          </w:p>
        </w:tc>
        <w:tc>
          <w:tcPr>
            <w:tcW w:w="5880" w:type="dxa"/>
            <w:vAlign w:val="bottom"/>
            <w:gridSpan w:val="2"/>
          </w:tcPr>
          <w:p>
            <w:pPr>
              <w:jc w:val="right"/>
              <w:spacing w:after="0"/>
              <w:rPr>
                <w:rFonts w:ascii="Arial" w:cs="Arial" w:eastAsia="Arial" w:hAnsi="Arial"/>
                <w:sz w:val="13"/>
                <w:szCs w:val="13"/>
                <w:color w:val="0000FF"/>
              </w:rPr>
            </w:pPr>
            <w:hyperlink w:anchor="page44">
              <w:r>
                <w:rPr>
                  <w:rFonts w:ascii="Arial" w:cs="Arial" w:eastAsia="Arial" w:hAnsi="Arial"/>
                  <w:sz w:val="13"/>
                  <w:szCs w:val="13"/>
                  <w:color w:val="0000FF"/>
                </w:rPr>
                <w:t>38</w:t>
              </w:r>
            </w:hyperlink>
          </w:p>
        </w:tc>
      </w:tr>
      <w:tr>
        <w:trPr>
          <w:trHeight w:val="20"/>
        </w:trPr>
        <w:tc>
          <w:tcPr>
            <w:tcW w:w="4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4"/>
        </w:trPr>
        <w:tc>
          <w:tcPr>
            <w:tcW w:w="480" w:type="dxa"/>
            <w:vAlign w:val="bottom"/>
          </w:tcPr>
          <w:p>
            <w:pPr>
              <w:spacing w:after="0"/>
              <w:rPr>
                <w:sz w:val="15"/>
                <w:szCs w:val="15"/>
                <w:color w:val="auto"/>
              </w:rPr>
            </w:pPr>
          </w:p>
        </w:tc>
        <w:tc>
          <w:tcPr>
            <w:tcW w:w="1200" w:type="dxa"/>
            <w:vAlign w:val="bottom"/>
            <w:gridSpan w:val="2"/>
          </w:tcPr>
          <w:p>
            <w:pPr>
              <w:spacing w:after="0"/>
              <w:rPr>
                <w:rFonts w:ascii="Arial" w:cs="Arial" w:eastAsia="Arial" w:hAnsi="Arial"/>
                <w:sz w:val="13"/>
                <w:szCs w:val="13"/>
                <w:color w:val="0000FF"/>
              </w:rPr>
            </w:pPr>
            <w:hyperlink w:anchor="page49">
              <w:r>
                <w:rPr>
                  <w:rFonts w:ascii="Arial" w:cs="Arial" w:eastAsia="Arial" w:hAnsi="Arial"/>
                  <w:sz w:val="13"/>
                  <w:szCs w:val="13"/>
                  <w:color w:val="0000FF"/>
                </w:rPr>
                <w:t>Note 16</w:t>
              </w:r>
            </w:hyperlink>
          </w:p>
        </w:tc>
        <w:tc>
          <w:tcPr>
            <w:tcW w:w="3780" w:type="dxa"/>
            <w:vAlign w:val="bottom"/>
            <w:gridSpan w:val="13"/>
          </w:tcPr>
          <w:p>
            <w:pPr>
              <w:spacing w:after="0"/>
              <w:rPr>
                <w:rFonts w:ascii="Arial" w:cs="Arial" w:eastAsia="Arial" w:hAnsi="Arial"/>
                <w:sz w:val="13"/>
                <w:szCs w:val="13"/>
                <w:color w:val="0000FF"/>
              </w:rPr>
            </w:pPr>
            <w:hyperlink w:anchor="page49">
              <w:r>
                <w:rPr>
                  <w:rFonts w:ascii="Arial" w:cs="Arial" w:eastAsia="Arial" w:hAnsi="Arial"/>
                  <w:sz w:val="13"/>
                  <w:szCs w:val="13"/>
                  <w:color w:val="0000FF"/>
                </w:rPr>
                <w:t>Tax Receivable Agreements</w:t>
              </w:r>
            </w:hyperlink>
          </w:p>
        </w:tc>
        <w:tc>
          <w:tcPr>
            <w:tcW w:w="5880" w:type="dxa"/>
            <w:vAlign w:val="bottom"/>
            <w:gridSpan w:val="2"/>
          </w:tcPr>
          <w:p>
            <w:pPr>
              <w:jc w:val="right"/>
              <w:spacing w:after="0"/>
              <w:rPr>
                <w:rFonts w:ascii="Arial" w:cs="Arial" w:eastAsia="Arial" w:hAnsi="Arial"/>
                <w:sz w:val="13"/>
                <w:szCs w:val="13"/>
                <w:color w:val="0000FF"/>
              </w:rPr>
            </w:pPr>
            <w:hyperlink w:anchor="page49">
              <w:r>
                <w:rPr>
                  <w:rFonts w:ascii="Arial" w:cs="Arial" w:eastAsia="Arial" w:hAnsi="Arial"/>
                  <w:sz w:val="13"/>
                  <w:szCs w:val="13"/>
                  <w:color w:val="0000FF"/>
                </w:rPr>
                <w:t>44</w:t>
              </w:r>
            </w:hyperlink>
          </w:p>
        </w:tc>
      </w:tr>
      <w:tr>
        <w:trPr>
          <w:trHeight w:val="20"/>
        </w:trPr>
        <w:tc>
          <w:tcPr>
            <w:tcW w:w="4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4"/>
        </w:trPr>
        <w:tc>
          <w:tcPr>
            <w:tcW w:w="480" w:type="dxa"/>
            <w:vAlign w:val="bottom"/>
          </w:tcPr>
          <w:p>
            <w:pPr>
              <w:spacing w:after="0"/>
              <w:rPr>
                <w:sz w:val="15"/>
                <w:szCs w:val="15"/>
                <w:color w:val="auto"/>
              </w:rPr>
            </w:pPr>
          </w:p>
        </w:tc>
        <w:tc>
          <w:tcPr>
            <w:tcW w:w="1200" w:type="dxa"/>
            <w:vAlign w:val="bottom"/>
            <w:gridSpan w:val="2"/>
          </w:tcPr>
          <w:p>
            <w:pPr>
              <w:spacing w:after="0"/>
              <w:rPr>
                <w:rFonts w:ascii="Arial" w:cs="Arial" w:eastAsia="Arial" w:hAnsi="Arial"/>
                <w:sz w:val="13"/>
                <w:szCs w:val="13"/>
                <w:color w:val="0000FF"/>
              </w:rPr>
            </w:pPr>
            <w:hyperlink w:anchor="page50">
              <w:r>
                <w:rPr>
                  <w:rFonts w:ascii="Arial" w:cs="Arial" w:eastAsia="Arial" w:hAnsi="Arial"/>
                  <w:sz w:val="13"/>
                  <w:szCs w:val="13"/>
                  <w:color w:val="0000FF"/>
                </w:rPr>
                <w:t>Note 17</w:t>
              </w:r>
            </w:hyperlink>
          </w:p>
        </w:tc>
        <w:tc>
          <w:tcPr>
            <w:tcW w:w="3780" w:type="dxa"/>
            <w:vAlign w:val="bottom"/>
            <w:gridSpan w:val="13"/>
          </w:tcPr>
          <w:p>
            <w:pPr>
              <w:spacing w:after="0"/>
              <w:rPr>
                <w:rFonts w:ascii="Arial" w:cs="Arial" w:eastAsia="Arial" w:hAnsi="Arial"/>
                <w:sz w:val="13"/>
                <w:szCs w:val="13"/>
                <w:color w:val="0000FF"/>
              </w:rPr>
            </w:pPr>
            <w:hyperlink w:anchor="page50">
              <w:r>
                <w:rPr>
                  <w:rFonts w:ascii="Arial" w:cs="Arial" w:eastAsia="Arial" w:hAnsi="Arial"/>
                  <w:sz w:val="13"/>
                  <w:szCs w:val="13"/>
                  <w:color w:val="0000FF"/>
                </w:rPr>
                <w:t>Income Taxes</w:t>
              </w:r>
            </w:hyperlink>
          </w:p>
        </w:tc>
        <w:tc>
          <w:tcPr>
            <w:tcW w:w="5880" w:type="dxa"/>
            <w:vAlign w:val="bottom"/>
            <w:gridSpan w:val="2"/>
          </w:tcPr>
          <w:p>
            <w:pPr>
              <w:jc w:val="right"/>
              <w:spacing w:after="0"/>
              <w:rPr>
                <w:rFonts w:ascii="Arial" w:cs="Arial" w:eastAsia="Arial" w:hAnsi="Arial"/>
                <w:sz w:val="13"/>
                <w:szCs w:val="13"/>
                <w:color w:val="0000FF"/>
              </w:rPr>
            </w:pPr>
            <w:hyperlink w:anchor="page50">
              <w:r>
                <w:rPr>
                  <w:rFonts w:ascii="Arial" w:cs="Arial" w:eastAsia="Arial" w:hAnsi="Arial"/>
                  <w:sz w:val="13"/>
                  <w:szCs w:val="13"/>
                  <w:color w:val="0000FF"/>
                </w:rPr>
                <w:t>44</w:t>
              </w:r>
            </w:hyperlink>
          </w:p>
        </w:tc>
      </w:tr>
      <w:tr>
        <w:trPr>
          <w:trHeight w:val="20"/>
        </w:trPr>
        <w:tc>
          <w:tcPr>
            <w:tcW w:w="4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r>
      <w:tr>
        <w:trPr>
          <w:trHeight w:val="174"/>
        </w:trPr>
        <w:tc>
          <w:tcPr>
            <w:tcW w:w="480" w:type="dxa"/>
            <w:vAlign w:val="bottom"/>
          </w:tcPr>
          <w:p>
            <w:pPr>
              <w:spacing w:after="0"/>
              <w:rPr>
                <w:sz w:val="15"/>
                <w:szCs w:val="15"/>
                <w:color w:val="auto"/>
              </w:rPr>
            </w:pPr>
          </w:p>
        </w:tc>
        <w:tc>
          <w:tcPr>
            <w:tcW w:w="1200" w:type="dxa"/>
            <w:vAlign w:val="bottom"/>
            <w:gridSpan w:val="2"/>
          </w:tcPr>
          <w:p>
            <w:pPr>
              <w:spacing w:after="0"/>
              <w:rPr>
                <w:rFonts w:ascii="Arial" w:cs="Arial" w:eastAsia="Arial" w:hAnsi="Arial"/>
                <w:sz w:val="13"/>
                <w:szCs w:val="13"/>
                <w:color w:val="0000FF"/>
              </w:rPr>
            </w:pPr>
            <w:hyperlink w:anchor="page50">
              <w:r>
                <w:rPr>
                  <w:rFonts w:ascii="Arial" w:cs="Arial" w:eastAsia="Arial" w:hAnsi="Arial"/>
                  <w:sz w:val="13"/>
                  <w:szCs w:val="13"/>
                  <w:color w:val="0000FF"/>
                </w:rPr>
                <w:t>Note 18</w:t>
              </w:r>
            </w:hyperlink>
          </w:p>
        </w:tc>
        <w:tc>
          <w:tcPr>
            <w:tcW w:w="3780" w:type="dxa"/>
            <w:vAlign w:val="bottom"/>
            <w:gridSpan w:val="13"/>
          </w:tcPr>
          <w:p>
            <w:pPr>
              <w:spacing w:after="0"/>
              <w:rPr>
                <w:rFonts w:ascii="Arial" w:cs="Arial" w:eastAsia="Arial" w:hAnsi="Arial"/>
                <w:sz w:val="13"/>
                <w:szCs w:val="13"/>
                <w:color w:val="0000FF"/>
              </w:rPr>
            </w:pPr>
            <w:hyperlink w:anchor="page50">
              <w:r>
                <w:rPr>
                  <w:rFonts w:ascii="Arial" w:cs="Arial" w:eastAsia="Arial" w:hAnsi="Arial"/>
                  <w:sz w:val="13"/>
                  <w:szCs w:val="13"/>
                  <w:color w:val="0000FF"/>
                </w:rPr>
                <w:t>Subsequent Events</w:t>
              </w:r>
            </w:hyperlink>
          </w:p>
        </w:tc>
        <w:tc>
          <w:tcPr>
            <w:tcW w:w="5880" w:type="dxa"/>
            <w:vAlign w:val="bottom"/>
            <w:gridSpan w:val="2"/>
          </w:tcPr>
          <w:p>
            <w:pPr>
              <w:jc w:val="right"/>
              <w:spacing w:after="0"/>
              <w:rPr>
                <w:rFonts w:ascii="Arial" w:cs="Arial" w:eastAsia="Arial" w:hAnsi="Arial"/>
                <w:sz w:val="13"/>
                <w:szCs w:val="13"/>
                <w:color w:val="0000FF"/>
              </w:rPr>
            </w:pPr>
            <w:hyperlink w:anchor="page50">
              <w:r>
                <w:rPr>
                  <w:rFonts w:ascii="Arial" w:cs="Arial" w:eastAsia="Arial" w:hAnsi="Arial"/>
                  <w:sz w:val="13"/>
                  <w:szCs w:val="13"/>
                  <w:color w:val="0000FF"/>
                </w:rPr>
                <w:t>45</w:t>
              </w:r>
            </w:hyperlink>
          </w:p>
        </w:tc>
      </w:tr>
      <w:tr>
        <w:trPr>
          <w:trHeight w:val="910"/>
        </w:trPr>
        <w:tc>
          <w:tcPr>
            <w:tcW w:w="48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40" w:type="dxa"/>
            <w:vAlign w:val="bottom"/>
          </w:tcPr>
          <w:p>
            <w:pPr>
              <w:jc w:val="right"/>
              <w:ind w:right="5535"/>
              <w:spacing w:after="0"/>
              <w:rPr>
                <w:sz w:val="20"/>
                <w:szCs w:val="20"/>
                <w:color w:val="auto"/>
              </w:rPr>
            </w:pPr>
            <w:r>
              <w:rPr>
                <w:rFonts w:ascii="Arial" w:cs="Arial" w:eastAsia="Arial" w:hAnsi="Arial"/>
                <w:sz w:val="13"/>
                <w:szCs w:val="13"/>
                <w:color w:val="auto"/>
              </w:rPr>
              <w:t>10</w:t>
            </w:r>
          </w:p>
        </w:tc>
        <w:tc>
          <w:tcPr>
            <w:tcW w:w="40" w:type="dxa"/>
            <w:vAlign w:val="bottom"/>
          </w:tcPr>
          <w:p>
            <w:pPr>
              <w:spacing w:after="0"/>
              <w:rPr>
                <w:sz w:val="24"/>
                <w:szCs w:val="24"/>
                <w:color w:val="auto"/>
              </w:rPr>
            </w:pPr>
          </w:p>
        </w:tc>
      </w:tr>
      <w:tr>
        <w:trPr>
          <w:trHeight w:val="195"/>
        </w:trPr>
        <w:tc>
          <w:tcPr>
            <w:tcW w:w="48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40" w:type="dxa"/>
            <w:vAlign w:val="bottom"/>
            <w:tcBorders>
              <w:bottom w:val="single" w:sz="8" w:color="9A9A9A"/>
            </w:tcBorders>
          </w:tcPr>
          <w:p>
            <w:pPr>
              <w:spacing w:after="0"/>
              <w:rPr>
                <w:sz w:val="16"/>
                <w:szCs w:val="16"/>
                <w:color w:val="auto"/>
              </w:rPr>
            </w:pP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7150735</wp:posOffset>
            </wp:positionH>
            <wp:positionV relativeFrom="paragraph">
              <wp:posOffset>-24130</wp:posOffset>
            </wp:positionV>
            <wp:extent cx="3175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-24130</wp:posOffset>
            </wp:positionV>
            <wp:extent cx="3175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340"/>
          </w:cols>
          <w:pgMar w:left="300" w:top="125" w:right="259" w:bottom="1440" w:gutter="0" w:footer="0" w:header="0"/>
        </w:sectPr>
      </w:pPr>
    </w:p>
    <w:bookmarkStart w:id="16" w:name="page17"/>
    <w:bookmarkEnd w:id="1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1 - Organization and Background</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w:t>
      </w:r>
    </w:p>
    <w:p>
      <w:pPr>
        <w:spacing w:after="0" w:line="122" w:lineRule="exact"/>
        <w:rPr>
          <w:sz w:val="20"/>
          <w:szCs w:val="20"/>
          <w:color w:val="auto"/>
        </w:rPr>
      </w:pPr>
    </w:p>
    <w:p>
      <w:pPr>
        <w:jc w:val="both"/>
        <w:ind w:firstLine="233"/>
        <w:spacing w:after="0" w:line="254" w:lineRule="auto"/>
        <w:rPr>
          <w:sz w:val="20"/>
          <w:szCs w:val="20"/>
          <w:color w:val="auto"/>
        </w:rPr>
      </w:pPr>
      <w:r>
        <w:rPr>
          <w:rFonts w:ascii="Arial" w:cs="Arial" w:eastAsia="Arial" w:hAnsi="Arial"/>
          <w:sz w:val="13"/>
          <w:szCs w:val="13"/>
          <w:color w:val="auto"/>
        </w:rPr>
        <w:t>ZoomInfo Technologies Inc., through its operating subsidiaries provides a go-to-market intelligence and engagement platform for sales and marketing teams. The Company’s cloud-based platform provides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and (2) after the consummation of the Reorganization Transactions, to ZoomInfo Technologies Inc. and its consolidated subsidiaries.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Organization</w:t>
      </w:r>
    </w:p>
    <w:p>
      <w:pPr>
        <w:spacing w:after="0" w:line="122" w:lineRule="exact"/>
        <w:rPr>
          <w:sz w:val="20"/>
          <w:szCs w:val="20"/>
          <w:color w:val="auto"/>
        </w:rPr>
      </w:pPr>
    </w:p>
    <w:p>
      <w:pPr>
        <w:jc w:val="both"/>
        <w:ind w:firstLine="233"/>
        <w:spacing w:after="0" w:line="256" w:lineRule="auto"/>
        <w:rPr>
          <w:sz w:val="20"/>
          <w:szCs w:val="20"/>
          <w:color w:val="auto"/>
        </w:rPr>
      </w:pPr>
      <w:r>
        <w:rPr>
          <w:rFonts w:ascii="Arial" w:cs="Arial" w:eastAsia="Arial" w:hAnsi="Arial"/>
          <w:sz w:val="13"/>
          <w:szCs w:val="13"/>
          <w:color w:val="auto"/>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(as described below), ZoomInfo OpCo became a direct subsidiary of ZoomInfo Intermediate Holdings LLC (“ZoomInfo HoldCo”), a Delaware limited liability company and an indirect subsidiary of ZoomInfo Technologies Inc.</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headquarters are located in Vancouver, WA, and we operate in eight offices throughout the U.S. and one office in Israel.</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Initial Public Offering</w:t>
      </w:r>
    </w:p>
    <w:p>
      <w:pPr>
        <w:spacing w:after="0" w:line="122" w:lineRule="exact"/>
        <w:rPr>
          <w:sz w:val="20"/>
          <w:szCs w:val="20"/>
          <w:color w:val="auto"/>
        </w:rPr>
      </w:pPr>
    </w:p>
    <w:p>
      <w:pPr>
        <w:jc w:val="both"/>
        <w:ind w:firstLine="233"/>
        <w:spacing w:after="0" w:line="280" w:lineRule="auto"/>
        <w:rPr>
          <w:sz w:val="20"/>
          <w:szCs w:val="20"/>
          <w:color w:val="auto"/>
        </w:rPr>
      </w:pPr>
      <w:r>
        <w:rPr>
          <w:rFonts w:ascii="Arial" w:cs="Arial" w:eastAsia="Arial" w:hAnsi="Arial"/>
          <w:sz w:val="12"/>
          <w:szCs w:val="12"/>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 (as defined below).</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Reorganization Transactions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 connection with the IPO, the Company completed the following transactions (“Reorganization Transactions”):</w:t>
      </w:r>
    </w:p>
    <w:p>
      <w:pPr>
        <w:spacing w:after="0" w:line="122" w:lineRule="exact"/>
        <w:rPr>
          <w:sz w:val="20"/>
          <w:szCs w:val="20"/>
          <w:color w:val="auto"/>
        </w:rPr>
      </w:pPr>
    </w:p>
    <w:p>
      <w:pPr>
        <w:ind w:left="460" w:hanging="230"/>
        <w:spacing w:after="0"/>
        <w:tabs>
          <w:tab w:leader="none" w:pos="4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ZoomInfo OpCo effected a four—for—one reverse unit split;</w:t>
      </w:r>
    </w:p>
    <w:p>
      <w:pPr>
        <w:spacing w:after="0" w:line="121" w:lineRule="exact"/>
        <w:rPr>
          <w:rFonts w:ascii="Arial" w:cs="Arial" w:eastAsia="Arial" w:hAnsi="Arial"/>
          <w:sz w:val="13"/>
          <w:szCs w:val="13"/>
          <w:color w:val="auto"/>
        </w:rPr>
      </w:pPr>
    </w:p>
    <w:p>
      <w:pPr>
        <w:jc w:val="both"/>
        <w:ind w:left="460" w:hanging="230"/>
        <w:spacing w:after="0" w:line="284" w:lineRule="auto"/>
        <w:tabs>
          <w:tab w:leader="none" w:pos="457" w:val="left"/>
        </w:tabs>
        <w:numPr>
          <w:ilvl w:val="0"/>
          <w:numId w:val="10"/>
        </w:numPr>
        <w:rPr>
          <w:rFonts w:ascii="Arial" w:cs="Arial" w:eastAsia="Arial" w:hAnsi="Arial"/>
          <w:sz w:val="12"/>
          <w:szCs w:val="12"/>
          <w:color w:val="auto"/>
        </w:rPr>
      </w:pPr>
      <w:r>
        <w:rPr>
          <w:rFonts w:ascii="Arial" w:cs="Arial" w:eastAsia="Arial" w:hAnsi="Arial"/>
          <w:sz w:val="12"/>
          <w:szCs w:val="12"/>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offering price of the Class A common stock in the IPO;</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7" w:name="page18"/>
    <w:bookmarkEnd w:id="1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1 - Organization and Background (continued)</w:t>
      </w:r>
    </w:p>
    <w:p>
      <w:pPr>
        <w:spacing w:after="0" w:line="320" w:lineRule="exact"/>
        <w:rPr>
          <w:sz w:val="20"/>
          <w:szCs w:val="20"/>
          <w:color w:val="auto"/>
        </w:rPr>
      </w:pPr>
    </w:p>
    <w:p>
      <w:pPr>
        <w:ind w:left="460" w:hanging="230"/>
        <w:spacing w:after="0" w:line="270" w:lineRule="auto"/>
        <w:tabs>
          <w:tab w:leader="none" w:pos="457" w:val="left"/>
        </w:tabs>
        <w:numPr>
          <w:ilvl w:val="0"/>
          <w:numId w:val="11"/>
        </w:numPr>
        <w:rPr>
          <w:rFonts w:ascii="Arial" w:cs="Arial" w:eastAsia="Arial" w:hAnsi="Arial"/>
          <w:sz w:val="13"/>
          <w:szCs w:val="13"/>
          <w:color w:val="auto"/>
        </w:rPr>
      </w:pPr>
      <w:r>
        <w:rPr>
          <w:rFonts w:ascii="Arial" w:cs="Arial" w:eastAsia="Arial" w:hAnsi="Arial"/>
          <w:sz w:val="13"/>
          <w:szCs w:val="13"/>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90" w:lineRule="exact"/>
        <w:rPr>
          <w:rFonts w:ascii="Arial" w:cs="Arial" w:eastAsia="Arial" w:hAnsi="Arial"/>
          <w:sz w:val="13"/>
          <w:szCs w:val="13"/>
          <w:color w:val="auto"/>
        </w:rPr>
      </w:pPr>
    </w:p>
    <w:p>
      <w:pPr>
        <w:jc w:val="both"/>
        <w:ind w:left="460" w:right="20" w:hanging="230"/>
        <w:spacing w:after="0" w:line="259" w:lineRule="auto"/>
        <w:tabs>
          <w:tab w:leader="none" w:pos="457"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limited liability company agreement of each of ZoomInfo OpCo and ZoomInfo HoldCo was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98" w:lineRule="exact"/>
        <w:rPr>
          <w:sz w:val="20"/>
          <w:szCs w:val="20"/>
          <w:color w:val="auto"/>
        </w:rPr>
      </w:pPr>
    </w:p>
    <w:p>
      <w:pPr>
        <w:jc w:val="both"/>
        <w:ind w:firstLine="233"/>
        <w:spacing w:after="0" w:line="253" w:lineRule="auto"/>
        <w:rPr>
          <w:sz w:val="20"/>
          <w:szCs w:val="20"/>
          <w:color w:val="auto"/>
        </w:rPr>
      </w:pPr>
      <w:r>
        <w:rPr>
          <w:rFonts w:ascii="Arial" w:cs="Arial" w:eastAsia="Arial" w:hAnsi="Arial"/>
          <w:sz w:val="13"/>
          <w:szCs w:val="13"/>
          <w:color w:val="auto"/>
        </w:rPr>
        <w:t>We refer to the Reclassification, together with the Blocker Mergers and the ZoomInfo HoldCo Contributions, as the “Reorganization Transactions.” Following the Reorganization Transactions, ZoomInfo Technologies Inc. became a holding company, with its sole material asset being a controlling equity interest in ZoomInfo HoldCo, which became a holding company with its sole material asset being a controlling equity interest in ZoomInfo OpCo. ZoomInfo Technologies Inc. will operate and control all of the business and affairs, and consolidate the financial results, of ZoomInfo OpCo through ZoomInfo HoldCo and, through ZoomInfo OpCo and its subsidiaries, conduct our business. Accordingly, ZoomInfo Technologies Inc. consolidates the financial results of ZoomInfo HoldCo, and therefore ZoomInfo OpCo, and reports the non-controlling interests of the Pre-IPO HoldCo Units and Pre-IPO OpCo Units on its consolidated financial statements. As of June 30, 2021, ZoomInfo Technologies Inc. owned 98% of the outstanding HoldCo Units, and ZoomInfo HoldCo owned 52% of the outstanding OpCo Units.</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 connection with the Reorganization Transactions and the IPO, ZoomInfo Technologies Inc. entered into two tax receivable agreements. See Note 16.</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 Basis of Presentation and Summary of Significant Accounting Policies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of Presentation</w:t>
      </w:r>
    </w:p>
    <w:p>
      <w:pPr>
        <w:spacing w:after="0" w:line="122" w:lineRule="exact"/>
        <w:rPr>
          <w:sz w:val="20"/>
          <w:szCs w:val="20"/>
          <w:color w:val="auto"/>
        </w:rPr>
      </w:pPr>
    </w:p>
    <w:p>
      <w:pPr>
        <w:jc w:val="both"/>
        <w:ind w:right="20" w:firstLine="233"/>
        <w:spacing w:after="0" w:line="256" w:lineRule="auto"/>
        <w:rPr>
          <w:sz w:val="20"/>
          <w:szCs w:val="20"/>
          <w:color w:val="auto"/>
        </w:rPr>
      </w:pPr>
      <w:r>
        <w:rPr>
          <w:rFonts w:ascii="Arial" w:cs="Arial" w:eastAsia="Arial" w:hAnsi="Arial"/>
          <w:sz w:val="13"/>
          <w:szCs w:val="13"/>
          <w:color w:val="auto"/>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(“U.S. GAAP” or “GAAP”) has been condensed or omitted pursuant to those rules and regulations. The financial statements included in this report should be read in conjunction with the Company’s audited financial statements for the year ended December 31, 2020.</w:t>
      </w:r>
    </w:p>
    <w:p>
      <w:pPr>
        <w:spacing w:after="0" w:line="99" w:lineRule="exact"/>
        <w:rPr>
          <w:sz w:val="20"/>
          <w:szCs w:val="20"/>
          <w:color w:val="auto"/>
        </w:rPr>
      </w:pPr>
    </w:p>
    <w:p>
      <w:pPr>
        <w:jc w:val="both"/>
        <w:ind w:right="20" w:firstLine="233"/>
        <w:spacing w:after="0" w:line="270" w:lineRule="auto"/>
        <w:rPr>
          <w:sz w:val="20"/>
          <w:szCs w:val="20"/>
          <w:color w:val="auto"/>
        </w:rPr>
      </w:pPr>
      <w:r>
        <w:rPr>
          <w:rFonts w:ascii="Arial" w:cs="Arial" w:eastAsia="Arial" w:hAnsi="Arial"/>
          <w:sz w:val="13"/>
          <w:szCs w:val="13"/>
          <w:color w:val="auto"/>
        </w:rPr>
        <w:t>The results of operations for the three and six months ended June 30, 2021 are not necessarily indicative of the operating results that may be expected for the full fiscal year ending December 31, 2021 or any future period.</w:t>
      </w:r>
    </w:p>
    <w:p>
      <w:pPr>
        <w:spacing w:after="0" w:line="90" w:lineRule="exact"/>
        <w:rPr>
          <w:sz w:val="20"/>
          <w:szCs w:val="20"/>
          <w:color w:val="auto"/>
        </w:rPr>
      </w:pPr>
    </w:p>
    <w:p>
      <w:pPr>
        <w:jc w:val="both"/>
        <w:ind w:right="20" w:firstLine="233"/>
        <w:spacing w:after="0" w:line="256" w:lineRule="auto"/>
        <w:rPr>
          <w:sz w:val="20"/>
          <w:szCs w:val="20"/>
          <w:color w:val="auto"/>
        </w:rPr>
      </w:pPr>
      <w:r>
        <w:rPr>
          <w:rFonts w:ascii="Arial" w:cs="Arial" w:eastAsia="Arial" w:hAnsi="Arial"/>
          <w:sz w:val="13"/>
          <w:szCs w:val="13"/>
          <w:color w:val="auto"/>
        </w:rPr>
        <w:t>The accompanying unaudited consolidated financial statements contain all adjustments necessary for a fair statement of financial position as of June 30, 2021, and results of operations for the three and six months ended June 30, 2021 and 2020, and cash flows for the six months ended June 30, 2021 and 2020. The Condensed Consolidated Balance Sheet as of December 31, 2020 was derived from the audited consolidated balance sheets of the Company but does not contain all of the footnote disclosures from those annual financial statements. Accordingly, certain footnote disclosures normally included in annual financial statements prepared in accordance with U.S. GAAP have been condensed or omitted.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8" w:name="page19"/>
    <w:bookmarkEnd w:id="1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 Basis of Presentation and Summary of Significant Accounting Policies (continued)</w:t>
      </w: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22" w:lineRule="exact"/>
        <w:rPr>
          <w:sz w:val="20"/>
          <w:szCs w:val="20"/>
          <w:color w:val="auto"/>
        </w:rPr>
      </w:pPr>
    </w:p>
    <w:p>
      <w:pPr>
        <w:jc w:val="both"/>
        <w:ind w:right="20" w:firstLine="233"/>
        <w:spacing w:after="0" w:line="253" w:lineRule="auto"/>
        <w:rPr>
          <w:sz w:val="20"/>
          <w:szCs w:val="20"/>
          <w:color w:val="auto"/>
        </w:rPr>
      </w:pPr>
      <w:r>
        <w:rPr>
          <w:rFonts w:ascii="Arial" w:cs="Arial" w:eastAsia="Arial" w:hAnsi="Arial"/>
          <w:sz w:val="13"/>
          <w:szCs w:val="13"/>
          <w:color w:val="auto"/>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business combinations, equity-based compensation, and income taxes, among other things.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122" w:lineRule="exact"/>
        <w:rPr>
          <w:sz w:val="20"/>
          <w:szCs w:val="20"/>
          <w:color w:val="auto"/>
        </w:rPr>
      </w:pPr>
    </w:p>
    <w:p>
      <w:pPr>
        <w:jc w:val="both"/>
        <w:ind w:firstLine="233"/>
        <w:spacing w:after="0" w:line="270" w:lineRule="auto"/>
        <w:rPr>
          <w:sz w:val="20"/>
          <w:szCs w:val="20"/>
          <w:color w:val="auto"/>
        </w:rPr>
      </w:pPr>
      <w:r>
        <w:rPr>
          <w:rFonts w:ascii="Arial" w:cs="Arial" w:eastAsia="Arial" w:hAnsi="Arial"/>
          <w:sz w:val="13"/>
          <w:szCs w:val="13"/>
          <w:color w:val="auto"/>
        </w:rPr>
        <w:t>The consolidated financial statements include the accounts of ZoomInfo Technologies Inc. and its subsidiaries that it controls due to ownership of a majority voting interest or pursuant to variable interest entity (“VIE”) accounting guidance. All intercompany transactions and balances have been eliminated in consolidation.</w:t>
      </w:r>
    </w:p>
    <w:p>
      <w:pPr>
        <w:spacing w:after="0" w:line="90" w:lineRule="exact"/>
        <w:rPr>
          <w:sz w:val="20"/>
          <w:szCs w:val="20"/>
          <w:color w:val="auto"/>
        </w:rPr>
      </w:pPr>
    </w:p>
    <w:p>
      <w:pPr>
        <w:jc w:val="both"/>
        <w:ind w:firstLine="233"/>
        <w:spacing w:after="0" w:line="254" w:lineRule="auto"/>
        <w:rPr>
          <w:sz w:val="20"/>
          <w:szCs w:val="20"/>
          <w:color w:val="auto"/>
        </w:rPr>
      </w:pPr>
      <w:r>
        <w:rPr>
          <w:rFonts w:ascii="Arial" w:cs="Arial" w:eastAsia="Arial" w:hAnsi="Arial"/>
          <w:sz w:val="13"/>
          <w:szCs w:val="13"/>
          <w:color w:val="auto"/>
        </w:rPr>
        <w:t>ZoomInfo Technologies Inc., through our intermediate holding company ZoomInfo HoldCo, owns a minority economic interest in, but operates and has the power to control all of the businesses and affairs of, ZoomInfo OpCo. ZoomInfo Technologies Inc. has the obligation to absorb losses of, and receive benefits from, ZoomInfo OpCo, that could be significant. We determined that, as a result of the Reorganization Transactions described above, ZoomInfo OpCo is a VIE. Further, ZoomInfo Technologies Inc. has no contractual requirement to provide financial support to ZoomInfo OpCo and, for the six months ended June 30, 2021, ZoomInfo Technologies Inc. did not provide support to ZoomInfo OpCo. Accordingly, ZoomInfo Technologies Inc. is considered the primary beneficiary and consolidates ZoomInfo OpCo in the Company’s consolidated financial statements.</w:t>
      </w:r>
    </w:p>
    <w:p>
      <w:pPr>
        <w:spacing w:after="0" w:line="101" w:lineRule="exact"/>
        <w:rPr>
          <w:sz w:val="20"/>
          <w:szCs w:val="20"/>
          <w:color w:val="auto"/>
        </w:rPr>
      </w:pPr>
    </w:p>
    <w:p>
      <w:pPr>
        <w:jc w:val="both"/>
        <w:ind w:right="20" w:firstLine="233"/>
        <w:spacing w:after="0" w:line="254" w:lineRule="auto"/>
        <w:rPr>
          <w:sz w:val="20"/>
          <w:szCs w:val="20"/>
          <w:color w:val="auto"/>
        </w:rPr>
      </w:pPr>
      <w:r>
        <w:rPr>
          <w:rFonts w:ascii="Arial" w:cs="Arial" w:eastAsia="Arial" w:hAnsi="Arial"/>
          <w:sz w:val="13"/>
          <w:szCs w:val="13"/>
          <w:color w:val="auto"/>
        </w:rPr>
        <w:t>The Reorganization Transactions were accounted for consistent with a combination of entities under common control. As a result, the financial reports filed with the SEC by the Company subsequent to the Reorganization Transactions are prepared “as if” ZoomInfo OpCo is the accounting predecessor of the Company. The historical operations of ZoomInfo OpCo are deemed to be those of the Company. Thus, the financial statements included in this report reflect (i) the historical operating results of ZoomInfo OpCo prior to the Reorganization Transactions; (ii) the consolidated results of ZoomInfo Technologies Inc. and ZoomInfo OpCo following the Reorganization Transactions; (iii) the assets and liabilities of ZoomInfo OpCo and ZoomInfo Technologies Inc. at their historical cost; and (iv) ZoomInfo Technologies Inc. equity structure for all periods presented. No step-up basis of intangible assets or goodwill was recorded.</w:t>
      </w:r>
    </w:p>
    <w:p>
      <w:pPr>
        <w:spacing w:after="0" w:line="101" w:lineRule="exact"/>
        <w:rPr>
          <w:sz w:val="20"/>
          <w:szCs w:val="20"/>
          <w:color w:val="auto"/>
        </w:rPr>
      </w:pPr>
    </w:p>
    <w:p>
      <w:pPr>
        <w:jc w:val="both"/>
        <w:ind w:right="20" w:firstLine="233"/>
        <w:spacing w:after="0" w:line="363" w:lineRule="auto"/>
        <w:rPr>
          <w:sz w:val="20"/>
          <w:szCs w:val="20"/>
          <w:color w:val="auto"/>
        </w:rPr>
      </w:pPr>
      <w:r>
        <w:rPr>
          <w:rFonts w:ascii="Arial" w:cs="Arial" w:eastAsia="Arial" w:hAnsi="Arial"/>
          <w:sz w:val="11"/>
          <w:szCs w:val="11"/>
          <w:color w:val="auto"/>
        </w:rPr>
        <w:t>ZoomInfo OpCo has been determined to be our predecessor for accounting purposes and, accordingly, the consolidated financial statements for periods prior the Reorganization Transactions have been adjusted to combine the previously separate entities for presentation purposes. The Company’s financial position, performance and cash flows effectively represent those of ZoomInfo OpCo as of and for all periods presented.</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22" w:lineRule="exact"/>
        <w:rPr>
          <w:sz w:val="20"/>
          <w:szCs w:val="20"/>
          <w:color w:val="auto"/>
        </w:rPr>
      </w:pPr>
    </w:p>
    <w:p>
      <w:pPr>
        <w:jc w:val="both"/>
        <w:ind w:right="20" w:firstLine="233"/>
        <w:spacing w:after="0" w:line="259" w:lineRule="auto"/>
        <w:rPr>
          <w:sz w:val="20"/>
          <w:szCs w:val="20"/>
          <w:color w:val="auto"/>
        </w:rPr>
      </w:pPr>
      <w:r>
        <w:rPr>
          <w:rFonts w:ascii="Arial" w:cs="Arial" w:eastAsia="Arial" w:hAnsi="Arial"/>
          <w:sz w:val="13"/>
          <w:szCs w:val="13"/>
          <w:color w:val="auto"/>
        </w:rPr>
        <w:t>The company derives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1 to 3 years and are non-cancelable. We typically bill for services annually, semi-annually, or quarterly in advance of delivery.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9" w:name="page20"/>
    <w:bookmarkEnd w:id="19"/>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 Basis of Presentation and Summary of Significant Accounting Policies (continued)</w:t>
      </w:r>
    </w:p>
    <w:p>
      <w:pPr>
        <w:spacing w:after="0" w:line="32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accounts for revenue contracts with customers through the following steps:</w:t>
      </w:r>
    </w:p>
    <w:p>
      <w:pPr>
        <w:spacing w:after="0" w:line="122" w:lineRule="exact"/>
        <w:rPr>
          <w:sz w:val="20"/>
          <w:szCs w:val="20"/>
          <w:color w:val="auto"/>
        </w:rPr>
      </w:pPr>
    </w:p>
    <w:p>
      <w:pPr>
        <w:ind w:left="460" w:hanging="230"/>
        <w:spacing w:after="0"/>
        <w:tabs>
          <w:tab w:leader="none" w:pos="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identify the contract with a customer;</w:t>
      </w:r>
    </w:p>
    <w:p>
      <w:pPr>
        <w:spacing w:after="0" w:line="121" w:lineRule="exact"/>
        <w:rPr>
          <w:rFonts w:ascii="Arial" w:cs="Arial" w:eastAsia="Arial" w:hAnsi="Arial"/>
          <w:sz w:val="13"/>
          <w:szCs w:val="13"/>
          <w:color w:val="auto"/>
        </w:rPr>
      </w:pPr>
    </w:p>
    <w:p>
      <w:pPr>
        <w:ind w:left="460" w:hanging="230"/>
        <w:spacing w:after="0"/>
        <w:tabs>
          <w:tab w:leader="none" w:pos="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identify the performance obligations in the contract;</w:t>
      </w:r>
    </w:p>
    <w:p>
      <w:pPr>
        <w:spacing w:after="0" w:line="121" w:lineRule="exact"/>
        <w:rPr>
          <w:rFonts w:ascii="Arial" w:cs="Arial" w:eastAsia="Arial" w:hAnsi="Arial"/>
          <w:sz w:val="13"/>
          <w:szCs w:val="13"/>
          <w:color w:val="auto"/>
        </w:rPr>
      </w:pPr>
    </w:p>
    <w:p>
      <w:pPr>
        <w:ind w:left="460" w:hanging="230"/>
        <w:spacing w:after="0"/>
        <w:tabs>
          <w:tab w:leader="none" w:pos="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determine the transaction price;</w:t>
      </w:r>
    </w:p>
    <w:p>
      <w:pPr>
        <w:spacing w:after="0" w:line="121" w:lineRule="exact"/>
        <w:rPr>
          <w:rFonts w:ascii="Arial" w:cs="Arial" w:eastAsia="Arial" w:hAnsi="Arial"/>
          <w:sz w:val="13"/>
          <w:szCs w:val="13"/>
          <w:color w:val="auto"/>
        </w:rPr>
      </w:pPr>
    </w:p>
    <w:p>
      <w:pPr>
        <w:ind w:left="460" w:hanging="230"/>
        <w:spacing w:after="0"/>
        <w:tabs>
          <w:tab w:leader="none" w:pos="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allocate the transaction price; and</w:t>
      </w:r>
    </w:p>
    <w:p>
      <w:pPr>
        <w:spacing w:after="0" w:line="121" w:lineRule="exact"/>
        <w:rPr>
          <w:rFonts w:ascii="Arial" w:cs="Arial" w:eastAsia="Arial" w:hAnsi="Arial"/>
          <w:sz w:val="13"/>
          <w:szCs w:val="13"/>
          <w:color w:val="auto"/>
        </w:rPr>
      </w:pPr>
    </w:p>
    <w:p>
      <w:pPr>
        <w:ind w:left="460" w:hanging="230"/>
        <w:spacing w:after="0"/>
        <w:tabs>
          <w:tab w:leader="none" w:pos="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recognize revenue when or as the Company satisfies a performance obligation.</w:t>
      </w:r>
    </w:p>
    <w:p>
      <w:pPr>
        <w:spacing w:after="0" w:line="122" w:lineRule="exact"/>
        <w:rPr>
          <w:sz w:val="20"/>
          <w:szCs w:val="20"/>
          <w:color w:val="auto"/>
        </w:rPr>
      </w:pPr>
    </w:p>
    <w:p>
      <w:pPr>
        <w:jc w:val="both"/>
        <w:ind w:firstLine="233"/>
        <w:spacing w:after="0" w:line="284" w:lineRule="auto"/>
        <w:rPr>
          <w:sz w:val="20"/>
          <w:szCs w:val="20"/>
          <w:color w:val="auto"/>
        </w:rPr>
      </w:pPr>
      <w:r>
        <w:rPr>
          <w:rFonts w:ascii="Arial" w:cs="Arial" w:eastAsia="Arial" w:hAnsi="Arial"/>
          <w:sz w:val="12"/>
          <w:szCs w:val="12"/>
          <w:color w:val="auto"/>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judgments and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reduces revenue recognized.</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Cash, Cash Equivalents, and Short-term Investments</w:t>
      </w:r>
    </w:p>
    <w:p>
      <w:pPr>
        <w:spacing w:after="0" w:line="122" w:lineRule="exact"/>
        <w:rPr>
          <w:sz w:val="20"/>
          <w:szCs w:val="20"/>
          <w:color w:val="auto"/>
        </w:rPr>
      </w:pPr>
    </w:p>
    <w:p>
      <w:pPr>
        <w:jc w:val="both"/>
        <w:ind w:firstLine="233"/>
        <w:spacing w:after="0" w:line="254" w:lineRule="auto"/>
        <w:rPr>
          <w:sz w:val="20"/>
          <w:szCs w:val="20"/>
          <w:color w:val="auto"/>
        </w:rPr>
      </w:pPr>
      <w:r>
        <w:rPr>
          <w:rFonts w:ascii="Arial" w:cs="Arial" w:eastAsia="Arial" w:hAnsi="Arial"/>
          <w:sz w:val="13"/>
          <w:szCs w:val="13"/>
          <w:color w:val="auto"/>
        </w:rPr>
        <w:t>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Unrealized gains and losses, net of taxes, are included in accumulated other comprehensive income, which is reflected as a separate component of stockholders’ equity in our Condensed Consolidated Balance Sheets. Gains and losses are determined using the specific identification method and recognized when realized in our Consolidated Statements of Operations. If we were to determine that an other-than-temporary decline in fair value has occurred, the amount of the decline related to a credit loss will be recognized in income.</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 Measurements</w:t>
      </w:r>
    </w:p>
    <w:p>
      <w:pPr>
        <w:spacing w:after="0" w:line="122" w:lineRule="exact"/>
        <w:rPr>
          <w:sz w:val="20"/>
          <w:szCs w:val="20"/>
          <w:color w:val="auto"/>
        </w:rPr>
      </w:pPr>
    </w:p>
    <w:p>
      <w:pPr>
        <w:jc w:val="both"/>
        <w:ind w:firstLine="233"/>
        <w:spacing w:after="0" w:line="256" w:lineRule="auto"/>
        <w:rPr>
          <w:sz w:val="20"/>
          <w:szCs w:val="20"/>
          <w:color w:val="auto"/>
        </w:rPr>
      </w:pPr>
      <w:r>
        <w:rPr>
          <w:rFonts w:ascii="Arial" w:cs="Arial" w:eastAsia="Arial" w:hAnsi="Arial"/>
          <w:sz w:val="13"/>
          <w:szCs w:val="13"/>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Level 1 - Observable inputs that reflect unadjusted quoted prices in active markets for identical assets or liabilities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Level 2 - Other inputs that are directly or indirectly observable in the marketplace</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Level 3 - Unobservable inputs that are supported by little or no market activity, including the Company’s own assumptions in determining fair value</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inputs or methodology used for valuing financial assets and liabilities are not necessarily an indication of the risk associated with investing in them.</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 Basis of Presentation and Summary of Significant Accounting Policies (continued)</w:t>
      </w: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Concentrations of Credit Risk and Significant Customers</w:t>
      </w:r>
    </w:p>
    <w:p>
      <w:pPr>
        <w:spacing w:after="0" w:line="122" w:lineRule="exact"/>
        <w:rPr>
          <w:sz w:val="20"/>
          <w:szCs w:val="20"/>
          <w:color w:val="auto"/>
        </w:rPr>
      </w:pPr>
    </w:p>
    <w:p>
      <w:pPr>
        <w:jc w:val="both"/>
        <w:ind w:firstLine="233"/>
        <w:spacing w:after="0" w:line="275" w:lineRule="auto"/>
        <w:rPr>
          <w:sz w:val="20"/>
          <w:szCs w:val="20"/>
          <w:color w:val="auto"/>
        </w:rPr>
      </w:pPr>
      <w:r>
        <w:rPr>
          <w:rFonts w:ascii="Arial" w:cs="Arial" w:eastAsia="Arial" w:hAnsi="Arial"/>
          <w:sz w:val="12"/>
          <w:szCs w:val="12"/>
          <w:color w:val="auto"/>
        </w:rPr>
        <w:t>Financial instruments that potentially subject us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doubtful accounts based upon the expected 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three and six months ended June 30, 2021 and 2020, or accounted for more than 10% of accounts receivable as of June 30, 2021 and December 31, 2020. Net assets located outside of the United States were immaterial as of June 30, 2021 and December 31, 2020.</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Accounts Receivable and Contract Assets</w:t>
      </w:r>
    </w:p>
    <w:p>
      <w:pPr>
        <w:spacing w:after="0" w:line="122" w:lineRule="exact"/>
        <w:rPr>
          <w:sz w:val="20"/>
          <w:szCs w:val="20"/>
          <w:color w:val="auto"/>
        </w:rPr>
      </w:pPr>
    </w:p>
    <w:p>
      <w:pPr>
        <w:jc w:val="both"/>
        <w:ind w:right="20" w:firstLine="233"/>
        <w:spacing w:after="0" w:line="317" w:lineRule="auto"/>
        <w:rPr>
          <w:sz w:val="20"/>
          <w:szCs w:val="20"/>
          <w:color w:val="auto"/>
        </w:rPr>
      </w:pPr>
      <w:r>
        <w:rPr>
          <w:rFonts w:ascii="Arial" w:cs="Arial" w:eastAsia="Arial" w:hAnsi="Arial"/>
          <w:sz w:val="11"/>
          <w:szCs w:val="11"/>
          <w:color w:val="auto"/>
        </w:rPr>
        <w:t>Accounts receivable is comprised of invoices of revenue, net of allowance for doubtful accounts and does not bear interest. We consider receivables past due based on the contractual payment terms.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 as of June 30, 2021 and December 31, 2020.</w:t>
      </w:r>
    </w:p>
    <w:p>
      <w:pPr>
        <w:spacing w:after="0" w:line="68" w:lineRule="exact"/>
        <w:rPr>
          <w:sz w:val="20"/>
          <w:szCs w:val="20"/>
          <w:color w:val="auto"/>
        </w:rPr>
      </w:pPr>
    </w:p>
    <w:p>
      <w:pPr>
        <w:jc w:val="both"/>
        <w:ind w:right="20" w:firstLine="233"/>
        <w:spacing w:after="0" w:line="270" w:lineRule="auto"/>
        <w:rPr>
          <w:sz w:val="20"/>
          <w:szCs w:val="20"/>
          <w:color w:val="auto"/>
        </w:rPr>
      </w:pPr>
      <w:r>
        <w:rPr>
          <w:rFonts w:ascii="Arial" w:cs="Arial" w:eastAsia="Arial" w:hAnsi="Arial"/>
          <w:sz w:val="13"/>
          <w:szCs w:val="13"/>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90" w:lineRule="exact"/>
        <w:rPr>
          <w:sz w:val="20"/>
          <w:szCs w:val="20"/>
          <w:color w:val="auto"/>
        </w:rPr>
      </w:pPr>
    </w:p>
    <w:p>
      <w:pPr>
        <w:ind w:right="1840" w:firstLine="233"/>
        <w:spacing w:after="0" w:line="435" w:lineRule="auto"/>
        <w:rPr>
          <w:sz w:val="20"/>
          <w:szCs w:val="20"/>
          <w:color w:val="auto"/>
        </w:rPr>
      </w:pPr>
      <w:r>
        <w:rPr>
          <w:rFonts w:ascii="Arial" w:cs="Arial" w:eastAsia="Arial" w:hAnsi="Arial"/>
          <w:sz w:val="13"/>
          <w:szCs w:val="13"/>
          <w:color w:val="auto"/>
        </w:rPr>
        <w:t xml:space="preserve">Contract assets represent a contractual right to consideration in the future. Contract assets are generated when contractual billing schedules differ from revenue recognition timing. </w:t>
      </w:r>
      <w:r>
        <w:rPr>
          <w:rFonts w:ascii="Arial" w:cs="Arial" w:eastAsia="Arial" w:hAnsi="Arial"/>
          <w:sz w:val="13"/>
          <w:szCs w:val="13"/>
          <w:b w:val="1"/>
          <w:bCs w:val="1"/>
          <w:i w:val="1"/>
          <w:iCs w:val="1"/>
          <w:color w:val="auto"/>
        </w:rPr>
        <w:t>Property and Equipment, Net</w:t>
      </w:r>
    </w:p>
    <w:p>
      <w:pPr>
        <w:spacing w:after="0" w:line="1" w:lineRule="exact"/>
        <w:rPr>
          <w:sz w:val="20"/>
          <w:szCs w:val="20"/>
          <w:color w:val="auto"/>
        </w:rPr>
      </w:pPr>
    </w:p>
    <w:p>
      <w:pPr>
        <w:jc w:val="both"/>
        <w:ind w:right="20" w:firstLine="233"/>
        <w:spacing w:after="0" w:line="256" w:lineRule="auto"/>
        <w:rPr>
          <w:sz w:val="20"/>
          <w:szCs w:val="20"/>
          <w:color w:val="auto"/>
        </w:rPr>
      </w:pPr>
      <w:r>
        <w:rPr>
          <w:rFonts w:ascii="Arial" w:cs="Arial" w:eastAsia="Arial" w:hAnsi="Arial"/>
          <w:sz w:val="13"/>
          <w:szCs w:val="13"/>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3 years to 10 years.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1" w:name="page22"/>
    <w:bookmarkEnd w:id="21"/>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 Basis of Presentation and Summary of Significant Accounting Policies (continued)</w:t>
      </w: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Deferred Commissions</w:t>
      </w:r>
    </w:p>
    <w:p>
      <w:pPr>
        <w:spacing w:after="0" w:line="122" w:lineRule="exact"/>
        <w:rPr>
          <w:sz w:val="20"/>
          <w:szCs w:val="20"/>
          <w:color w:val="auto"/>
        </w:rPr>
      </w:pPr>
    </w:p>
    <w:p>
      <w:pPr>
        <w:jc w:val="both"/>
        <w:ind w:right="20" w:firstLine="233"/>
        <w:spacing w:after="0" w:line="284" w:lineRule="auto"/>
        <w:rPr>
          <w:sz w:val="20"/>
          <w:szCs w:val="20"/>
          <w:color w:val="auto"/>
        </w:rPr>
      </w:pPr>
      <w:r>
        <w:rPr>
          <w:rFonts w:ascii="Arial" w:cs="Arial" w:eastAsia="Arial" w:hAnsi="Arial"/>
          <w:sz w:val="12"/>
          <w:szCs w:val="12"/>
          <w:color w:val="auto"/>
        </w:rPr>
        <w:t xml:space="preserve">Certain sales commissions earned by our sales force are considered incremental and recoverable costs of obtaining a contract with a customer. These sales commissions for initial contracts are capitalized and included in </w:t>
      </w:r>
      <w:r>
        <w:rPr>
          <w:rFonts w:ascii="Arial" w:cs="Arial" w:eastAsia="Arial" w:hAnsi="Arial"/>
          <w:sz w:val="12"/>
          <w:szCs w:val="12"/>
          <w:i w:val="1"/>
          <w:iCs w:val="1"/>
          <w:color w:val="auto"/>
        </w:rPr>
        <w:t>Deferred costs and other assets, net of current portion</w:t>
      </w:r>
      <w:r>
        <w:rPr>
          <w:rFonts w:ascii="Arial" w:cs="Arial" w:eastAsia="Arial" w:hAnsi="Arial"/>
          <w:sz w:val="12"/>
          <w:szCs w:val="12"/>
          <w:color w:val="auto"/>
        </w:rPr>
        <w:t xml:space="preserve"> in our Condensed Consolidated Balance Sheets. Deferred sales commissions are amortized on a straight-line basis over the estimated period of benefit from the customer relationship which we have determined to be 1 and 3 years for renewals and new clients, respectively. We determined the period of benefit by taking into consideration our customer contracts, our technology, and other factors. Amortization expense is included in </w:t>
      </w:r>
      <w:r>
        <w:rPr>
          <w:rFonts w:ascii="Arial" w:cs="Arial" w:eastAsia="Arial" w:hAnsi="Arial"/>
          <w:sz w:val="12"/>
          <w:szCs w:val="12"/>
          <w:i w:val="1"/>
          <w:iCs w:val="1"/>
          <w:color w:val="auto"/>
        </w:rPr>
        <w:t>Sales and marketing</w:t>
      </w:r>
      <w:r>
        <w:rPr>
          <w:rFonts w:ascii="Arial" w:cs="Arial" w:eastAsia="Arial" w:hAnsi="Arial"/>
          <w:sz w:val="12"/>
          <w:szCs w:val="12"/>
          <w:color w:val="auto"/>
        </w:rPr>
        <w:t xml:space="preserve"> expense on the Consolidated Statements of Operations.</w:t>
      </w:r>
    </w:p>
    <w:p>
      <w:pPr>
        <w:spacing w:after="0" w:line="84" w:lineRule="exact"/>
        <w:rPr>
          <w:sz w:val="20"/>
          <w:szCs w:val="20"/>
          <w:color w:val="auto"/>
        </w:rPr>
      </w:pPr>
    </w:p>
    <w:p>
      <w:pPr>
        <w:jc w:val="both"/>
        <w:ind w:right="20" w:firstLine="233"/>
        <w:spacing w:after="0" w:line="256" w:lineRule="auto"/>
        <w:rPr>
          <w:sz w:val="20"/>
          <w:szCs w:val="20"/>
          <w:color w:val="auto"/>
        </w:rPr>
      </w:pPr>
      <w:r>
        <w:rPr>
          <w:rFonts w:ascii="Arial" w:cs="Arial" w:eastAsia="Arial" w:hAnsi="Arial"/>
          <w:sz w:val="13"/>
          <w:szCs w:val="13"/>
          <w:color w:val="auto"/>
        </w:rPr>
        <w:t xml:space="preserve">Commissions payable at June 30, 2021 were $23.1 million, of which the current portion of $20.8 million was included in </w:t>
      </w:r>
      <w:r>
        <w:rPr>
          <w:rFonts w:ascii="Arial" w:cs="Arial" w:eastAsia="Arial" w:hAnsi="Arial"/>
          <w:sz w:val="13"/>
          <w:szCs w:val="13"/>
          <w:i w:val="1"/>
          <w:iCs w:val="1"/>
          <w:color w:val="auto"/>
        </w:rPr>
        <w:t>Accrued expenses and other current liabilities</w:t>
      </w:r>
      <w:r>
        <w:rPr>
          <w:rFonts w:ascii="Arial" w:cs="Arial" w:eastAsia="Arial" w:hAnsi="Arial"/>
          <w:sz w:val="13"/>
          <w:szCs w:val="13"/>
          <w:color w:val="auto"/>
        </w:rPr>
        <w:t xml:space="preserve"> in our Condensed Consolidated Balance Sheets, and the long-term portion of $2.3 million was included in </w:t>
      </w:r>
      <w:r>
        <w:rPr>
          <w:rFonts w:ascii="Arial" w:cs="Arial" w:eastAsia="Arial" w:hAnsi="Arial"/>
          <w:sz w:val="13"/>
          <w:szCs w:val="13"/>
          <w:i w:val="1"/>
          <w:iCs w:val="1"/>
          <w:color w:val="auto"/>
        </w:rPr>
        <w:t>Other long-term liabilities</w:t>
      </w:r>
      <w:r>
        <w:rPr>
          <w:rFonts w:ascii="Arial" w:cs="Arial" w:eastAsia="Arial" w:hAnsi="Arial"/>
          <w:sz w:val="13"/>
          <w:szCs w:val="13"/>
          <w:color w:val="auto"/>
        </w:rPr>
        <w:t xml:space="preserve"> in our Condensed Consolidated Balance Sheets. Commissions payable at December 31, 2020 were $25.6 million, of which the current portion of $23.3 million was included in </w:t>
      </w:r>
      <w:r>
        <w:rPr>
          <w:rFonts w:ascii="Arial" w:cs="Arial" w:eastAsia="Arial" w:hAnsi="Arial"/>
          <w:sz w:val="13"/>
          <w:szCs w:val="13"/>
          <w:i w:val="1"/>
          <w:iCs w:val="1"/>
          <w:color w:val="auto"/>
        </w:rPr>
        <w:t>Accrued expenses and other current liabilities</w:t>
      </w:r>
      <w:r>
        <w:rPr>
          <w:rFonts w:ascii="Arial" w:cs="Arial" w:eastAsia="Arial" w:hAnsi="Arial"/>
          <w:sz w:val="13"/>
          <w:szCs w:val="13"/>
          <w:color w:val="auto"/>
        </w:rPr>
        <w:t xml:space="preserve"> in our Condensed Consolidated Balance Sheets, and the long-term portion of $2.3 million was included in </w:t>
      </w:r>
      <w:r>
        <w:rPr>
          <w:rFonts w:ascii="Arial" w:cs="Arial" w:eastAsia="Arial" w:hAnsi="Arial"/>
          <w:sz w:val="13"/>
          <w:szCs w:val="13"/>
          <w:i w:val="1"/>
          <w:iCs w:val="1"/>
          <w:color w:val="auto"/>
        </w:rPr>
        <w:t xml:space="preserve">Other long-term liabilities </w:t>
      </w:r>
      <w:r>
        <w:rPr>
          <w:rFonts w:ascii="Arial" w:cs="Arial" w:eastAsia="Arial" w:hAnsi="Arial"/>
          <w:sz w:val="13"/>
          <w:szCs w:val="13"/>
          <w:color w:val="auto"/>
        </w:rPr>
        <w:t>in our Condensed Consolidated Balance Sheets.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Certain commissions are not capitalized as they do not represent incremental costs of obtaining a contract. Such commissions are expensed as incurred.</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Advertising and Promotional Expenses</w:t>
      </w:r>
    </w:p>
    <w:p>
      <w:pPr>
        <w:spacing w:after="0" w:line="122" w:lineRule="exact"/>
        <w:rPr>
          <w:sz w:val="20"/>
          <w:szCs w:val="20"/>
          <w:color w:val="auto"/>
        </w:rPr>
      </w:pPr>
    </w:p>
    <w:p>
      <w:pPr>
        <w:jc w:val="both"/>
        <w:ind w:right="20" w:firstLine="233"/>
        <w:spacing w:after="0" w:line="313" w:lineRule="auto"/>
        <w:rPr>
          <w:sz w:val="20"/>
          <w:szCs w:val="20"/>
          <w:color w:val="auto"/>
        </w:rPr>
      </w:pPr>
      <w:r>
        <w:rPr>
          <w:rFonts w:ascii="Arial" w:cs="Arial" w:eastAsia="Arial" w:hAnsi="Arial"/>
          <w:sz w:val="12"/>
          <w:szCs w:val="12"/>
          <w:color w:val="auto"/>
        </w:rPr>
        <w:t xml:space="preserve">The Company expenses advertising costs as incurred. Advertising expenses of $4.7 million and $8.6 million were recorded for the three and six months ended June 30, 2021. Advertising expenses of $2.5 million and $5.4 million were recorded for the three and six months ended June 30, 2020. Advertising expenses are included in </w:t>
      </w:r>
      <w:r>
        <w:rPr>
          <w:rFonts w:ascii="Arial" w:cs="Arial" w:eastAsia="Arial" w:hAnsi="Arial"/>
          <w:sz w:val="12"/>
          <w:szCs w:val="12"/>
          <w:i w:val="1"/>
          <w:iCs w:val="1"/>
          <w:color w:val="auto"/>
        </w:rPr>
        <w:t>Sales and marketing</w:t>
      </w:r>
      <w:r>
        <w:rPr>
          <w:rFonts w:ascii="Arial" w:cs="Arial" w:eastAsia="Arial" w:hAnsi="Arial"/>
          <w:sz w:val="12"/>
          <w:szCs w:val="12"/>
          <w:color w:val="auto"/>
        </w:rPr>
        <w:t xml:space="preserve"> on the Consolidated Statements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122"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3"/>
          <w:szCs w:val="13"/>
          <w:color w:val="auto"/>
        </w:rPr>
        <w:t>Research and development expenses consist primarily of compensation expense for our employees, including employee benefits, certain IT program expenses, facilities and related overhead costs.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Restructuring and Transaction-Related Expenses</w:t>
      </w:r>
    </w:p>
    <w:p>
      <w:pPr>
        <w:spacing w:after="0" w:line="122" w:lineRule="exact"/>
        <w:rPr>
          <w:sz w:val="20"/>
          <w:szCs w:val="20"/>
          <w:color w:val="auto"/>
        </w:rPr>
      </w:pPr>
    </w:p>
    <w:p>
      <w:pPr>
        <w:jc w:val="both"/>
        <w:ind w:right="20" w:firstLine="233"/>
        <w:spacing w:after="0" w:line="317" w:lineRule="auto"/>
        <w:rPr>
          <w:sz w:val="20"/>
          <w:szCs w:val="20"/>
          <w:color w:val="auto"/>
        </w:rPr>
      </w:pPr>
      <w:r>
        <w:rPr>
          <w:rFonts w:ascii="Arial" w:cs="Arial" w:eastAsia="Arial" w:hAnsi="Arial"/>
          <w:sz w:val="11"/>
          <w:szCs w:val="11"/>
          <w:color w:val="auto"/>
        </w:rPr>
        <w:t>The Company defines restructuring and transaction related expenses as costs directly associated with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2" w:name="page23"/>
    <w:bookmarkEnd w:id="2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 Basis of Presentation and Summary of Significant Accounting Policies (continued)</w:t>
      </w: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122" w:lineRule="exact"/>
        <w:rPr>
          <w:sz w:val="20"/>
          <w:szCs w:val="20"/>
          <w:color w:val="auto"/>
        </w:rPr>
      </w:pPr>
    </w:p>
    <w:p>
      <w:pPr>
        <w:jc w:val="both"/>
        <w:ind w:right="20" w:firstLine="233"/>
        <w:spacing w:after="0" w:line="280" w:lineRule="auto"/>
        <w:rPr>
          <w:sz w:val="20"/>
          <w:szCs w:val="20"/>
          <w:color w:val="auto"/>
        </w:rPr>
      </w:pPr>
      <w:r>
        <w:rPr>
          <w:rFonts w:ascii="Arial" w:cs="Arial" w:eastAsia="Arial" w:hAnsi="Arial"/>
          <w:sz w:val="12"/>
          <w:szCs w:val="12"/>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87" w:lineRule="exact"/>
        <w:rPr>
          <w:sz w:val="20"/>
          <w:szCs w:val="20"/>
          <w:color w:val="auto"/>
        </w:rPr>
      </w:pPr>
    </w:p>
    <w:p>
      <w:pPr>
        <w:jc w:val="both"/>
        <w:ind w:right="20" w:firstLine="233"/>
        <w:spacing w:after="0" w:line="291" w:lineRule="auto"/>
        <w:rPr>
          <w:sz w:val="20"/>
          <w:szCs w:val="20"/>
          <w:color w:val="auto"/>
        </w:rPr>
      </w:pPr>
      <w:r>
        <w:rPr>
          <w:rFonts w:ascii="Arial" w:cs="Arial" w:eastAsia="Arial" w:hAnsi="Arial"/>
          <w:sz w:val="12"/>
          <w:szCs w:val="12"/>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80" w:lineRule="exact"/>
        <w:rPr>
          <w:sz w:val="20"/>
          <w:szCs w:val="20"/>
          <w:color w:val="auto"/>
        </w:rPr>
      </w:pPr>
    </w:p>
    <w:p>
      <w:pPr>
        <w:jc w:val="both"/>
        <w:ind w:right="20" w:firstLine="233"/>
        <w:spacing w:after="0" w:line="259" w:lineRule="auto"/>
        <w:rPr>
          <w:sz w:val="20"/>
          <w:szCs w:val="20"/>
          <w:color w:val="auto"/>
        </w:rPr>
      </w:pPr>
      <w:r>
        <w:rPr>
          <w:rFonts w:ascii="Arial" w:cs="Arial" w:eastAsia="Arial" w:hAnsi="Arial"/>
          <w:sz w:val="13"/>
          <w:szCs w:val="13"/>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 and Acquired Intangible Assets</w:t>
      </w:r>
    </w:p>
    <w:p>
      <w:pPr>
        <w:spacing w:after="0" w:line="122" w:lineRule="exact"/>
        <w:rPr>
          <w:sz w:val="20"/>
          <w:szCs w:val="20"/>
          <w:color w:val="auto"/>
        </w:rPr>
      </w:pPr>
    </w:p>
    <w:p>
      <w:pPr>
        <w:jc w:val="both"/>
        <w:ind w:right="20" w:firstLine="233"/>
        <w:spacing w:after="0" w:line="270" w:lineRule="auto"/>
        <w:rPr>
          <w:sz w:val="20"/>
          <w:szCs w:val="20"/>
          <w:color w:val="auto"/>
        </w:rPr>
      </w:pPr>
      <w:r>
        <w:rPr>
          <w:rFonts w:ascii="Arial" w:cs="Arial" w:eastAsia="Arial" w:hAnsi="Arial"/>
          <w:sz w:val="13"/>
          <w:szCs w:val="13"/>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90"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3"/>
          <w:szCs w:val="13"/>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98"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3"/>
          <w:szCs w:val="13"/>
          <w:color w:val="auto"/>
        </w:rPr>
        <w:t>Acquired technology, customer lists, trade names or brand portfolios, and other intangible assets are related to previous acquisitions (see Note 7). Acquired intangible assets are amortized on a straight-line basis over the estimated period over which we expect to realize economic value related to the intangible asset. The amortization periods range from 2 years to 15 years. Any costs incurred to renew or extend the life of an intangible or long-lived asset are reviewed for capitalization.</w:t>
      </w:r>
    </w:p>
    <w:p>
      <w:pPr>
        <w:spacing w:after="0" w:line="98" w:lineRule="exact"/>
        <w:rPr>
          <w:sz w:val="20"/>
          <w:szCs w:val="20"/>
          <w:color w:val="auto"/>
        </w:rPr>
      </w:pPr>
    </w:p>
    <w:p>
      <w:pPr>
        <w:jc w:val="both"/>
        <w:ind w:firstLine="233"/>
        <w:spacing w:after="0" w:line="254" w:lineRule="auto"/>
        <w:rPr>
          <w:sz w:val="20"/>
          <w:szCs w:val="20"/>
          <w:color w:val="auto"/>
        </w:rPr>
      </w:pPr>
      <w:r>
        <w:rPr>
          <w:rFonts w:ascii="Arial" w:cs="Arial" w:eastAsia="Arial" w:hAnsi="Arial"/>
          <w:sz w:val="13"/>
          <w:szCs w:val="13"/>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 carrying value as a basis to determine whether further impairment testing is necessary. No impairment charges relating to acquired goodwill or indefinite lived intangible assets were recorded for the three and six month periods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3" w:name="page24"/>
    <w:bookmarkEnd w:id="2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 Basis of Presentation and Summary of Significant Accounting Policies (continued)</w:t>
      </w: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122" w:lineRule="exact"/>
        <w:rPr>
          <w:sz w:val="20"/>
          <w:szCs w:val="20"/>
          <w:color w:val="auto"/>
        </w:rPr>
      </w:pPr>
    </w:p>
    <w:p>
      <w:pPr>
        <w:jc w:val="both"/>
        <w:ind w:right="20" w:firstLine="233"/>
        <w:spacing w:after="0" w:line="329" w:lineRule="auto"/>
        <w:rPr>
          <w:sz w:val="20"/>
          <w:szCs w:val="20"/>
          <w:color w:val="auto"/>
        </w:rPr>
      </w:pPr>
      <w:r>
        <w:rPr>
          <w:rFonts w:ascii="Arial" w:cs="Arial" w:eastAsia="Arial" w:hAnsi="Arial"/>
          <w:sz w:val="11"/>
          <w:szCs w:val="11"/>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Leases</w:t>
      </w:r>
    </w:p>
    <w:p>
      <w:pPr>
        <w:spacing w:after="0" w:line="122" w:lineRule="exact"/>
        <w:rPr>
          <w:sz w:val="20"/>
          <w:szCs w:val="20"/>
          <w:color w:val="auto"/>
        </w:rPr>
      </w:pPr>
    </w:p>
    <w:p>
      <w:pPr>
        <w:jc w:val="both"/>
        <w:ind w:right="20" w:firstLine="233"/>
        <w:spacing w:after="0" w:line="256" w:lineRule="auto"/>
        <w:rPr>
          <w:sz w:val="20"/>
          <w:szCs w:val="20"/>
          <w:color w:val="auto"/>
        </w:rPr>
      </w:pPr>
      <w:r>
        <w:rPr>
          <w:rFonts w:ascii="Arial" w:cs="Arial" w:eastAsia="Arial" w:hAnsi="Arial"/>
          <w:sz w:val="13"/>
          <w:szCs w:val="13"/>
          <w:color w:val="auto"/>
        </w:rPr>
        <w:t>We determine if an arrangement is or contains a lease at contract inception. Determining if a contract contains a lease requires judgement. In certain of our lease arrangements, primarily those related to our data center arrangements, judgment is required in determining if a contract contains a lease. For these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99" w:lineRule="exact"/>
        <w:rPr>
          <w:sz w:val="20"/>
          <w:szCs w:val="20"/>
          <w:color w:val="auto"/>
        </w:rPr>
      </w:pPr>
    </w:p>
    <w:p>
      <w:pPr>
        <w:jc w:val="both"/>
        <w:ind w:firstLine="233"/>
        <w:spacing w:after="0" w:line="277" w:lineRule="auto"/>
        <w:rPr>
          <w:sz w:val="20"/>
          <w:szCs w:val="20"/>
          <w:color w:val="auto"/>
        </w:rPr>
      </w:pPr>
      <w:r>
        <w:rPr>
          <w:rFonts w:ascii="Arial" w:cs="Arial" w:eastAsia="Arial" w:hAnsi="Arial"/>
          <w:sz w:val="12"/>
          <w:szCs w:val="12"/>
          <w:color w:val="auto"/>
        </w:rPr>
        <w:t>We do not have any finance leases. Operating leases are recorded in our Condensed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 implicit in our leases is not readily determinable, we use our incremental borrowing rate as the discount rate,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for our facilities leases, as a single lease component. Short term leases, defined as leases having an original lease term less than or equal to one year, are excluded from our right-of-use assets and liabilities.</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Unearned Revenue</w:t>
      </w:r>
    </w:p>
    <w:p>
      <w:pPr>
        <w:spacing w:after="0" w:line="122" w:lineRule="exact"/>
        <w:rPr>
          <w:sz w:val="20"/>
          <w:szCs w:val="20"/>
          <w:color w:val="auto"/>
        </w:rPr>
      </w:pPr>
    </w:p>
    <w:p>
      <w:pPr>
        <w:jc w:val="both"/>
        <w:ind w:right="20" w:firstLine="233"/>
        <w:spacing w:after="0" w:line="313" w:lineRule="auto"/>
        <w:rPr>
          <w:sz w:val="20"/>
          <w:szCs w:val="20"/>
          <w:color w:val="auto"/>
        </w:rPr>
      </w:pPr>
      <w:r>
        <w:rPr>
          <w:rFonts w:ascii="Arial" w:cs="Arial" w:eastAsia="Arial" w:hAnsi="Arial"/>
          <w:sz w:val="12"/>
          <w:szCs w:val="12"/>
          <w:color w:val="auto"/>
        </w:rPr>
        <w:t xml:space="preserve">Unearned revenue consists of customer payments and billings in advance of revenue being recognized from our subscription services. Unearned revenue that is anticipated to be recognized within the next 12 months is recorded as Unearned revenue, current portion and the remaining portion is included in </w:t>
      </w:r>
      <w:r>
        <w:rPr>
          <w:rFonts w:ascii="Arial" w:cs="Arial" w:eastAsia="Arial" w:hAnsi="Arial"/>
          <w:sz w:val="12"/>
          <w:szCs w:val="12"/>
          <w:i w:val="1"/>
          <w:iCs w:val="1"/>
          <w:color w:val="auto"/>
        </w:rPr>
        <w:t>Unearned revenue, net of current portion</w:t>
      </w:r>
      <w:r>
        <w:rPr>
          <w:rFonts w:ascii="Arial" w:cs="Arial" w:eastAsia="Arial" w:hAnsi="Arial"/>
          <w:sz w:val="12"/>
          <w:szCs w:val="12"/>
          <w:color w:val="auto"/>
        </w:rPr>
        <w:t xml:space="preserve"> in our Condensed Consolidated Balance Sheets.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Debt Issuance Costs</w:t>
      </w:r>
    </w:p>
    <w:p>
      <w:pPr>
        <w:spacing w:after="0" w:line="122" w:lineRule="exact"/>
        <w:rPr>
          <w:sz w:val="20"/>
          <w:szCs w:val="20"/>
          <w:color w:val="auto"/>
        </w:rPr>
      </w:pPr>
    </w:p>
    <w:p>
      <w:pPr>
        <w:jc w:val="both"/>
        <w:ind w:right="20" w:firstLine="233"/>
        <w:spacing w:after="0" w:line="280" w:lineRule="auto"/>
        <w:rPr>
          <w:sz w:val="20"/>
          <w:szCs w:val="20"/>
          <w:color w:val="auto"/>
        </w:rPr>
      </w:pPr>
      <w:r>
        <w:rPr>
          <w:rFonts w:ascii="Arial" w:cs="Arial" w:eastAsia="Arial" w:hAnsi="Arial"/>
          <w:sz w:val="12"/>
          <w:szCs w:val="12"/>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4" w:name="page25"/>
    <w:bookmarkEnd w:id="2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 Basis of Presentation and Summary of Significant Accounting Policies (continued)</w:t>
      </w: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 Receivable Agreements</w:t>
      </w:r>
    </w:p>
    <w:p>
      <w:pPr>
        <w:spacing w:after="0" w:line="122" w:lineRule="exact"/>
        <w:rPr>
          <w:sz w:val="20"/>
          <w:szCs w:val="20"/>
          <w:color w:val="auto"/>
        </w:rPr>
      </w:pPr>
    </w:p>
    <w:p>
      <w:pPr>
        <w:jc w:val="both"/>
        <w:ind w:right="20" w:firstLine="233"/>
        <w:spacing w:after="0" w:line="259" w:lineRule="auto"/>
        <w:rPr>
          <w:sz w:val="20"/>
          <w:szCs w:val="20"/>
          <w:color w:val="auto"/>
        </w:rPr>
      </w:pPr>
      <w:r>
        <w:rPr>
          <w:rFonts w:ascii="Arial" w:cs="Arial" w:eastAsia="Arial" w:hAnsi="Arial"/>
          <w:sz w:val="13"/>
          <w:szCs w:val="13"/>
          <w:color w:val="auto"/>
        </w:rPr>
        <w:t>In connection with our IPO, we entered into two Tax Receivable Agreements ("TRAs")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w:t>
      </w:r>
    </w:p>
    <w:p>
      <w:pPr>
        <w:spacing w:after="0" w:line="98" w:lineRule="exact"/>
        <w:rPr>
          <w:sz w:val="20"/>
          <w:szCs w:val="20"/>
          <w:color w:val="auto"/>
        </w:rPr>
      </w:pPr>
    </w:p>
    <w:p>
      <w:pPr>
        <w:jc w:val="both"/>
        <w:ind w:right="20" w:firstLine="233"/>
        <w:spacing w:after="0" w:line="256" w:lineRule="auto"/>
        <w:rPr>
          <w:sz w:val="20"/>
          <w:szCs w:val="20"/>
          <w:color w:val="auto"/>
        </w:rPr>
      </w:pPr>
      <w:r>
        <w:rPr>
          <w:rFonts w:ascii="Arial" w:cs="Arial" w:eastAsia="Arial" w:hAnsi="Arial"/>
          <w:sz w:val="13"/>
          <w:szCs w:val="13"/>
          <w:color w:val="auto"/>
        </w:rPr>
        <w:t xml:space="preserve">Amounts payable under the TRA are accrued by a charge to income when it is probable that a liability has been incurred and the amount is estimable. TRA related liabilities are classified as current or noncurrent based on the expected date of payment and are included in the Company’s Condensed Consolidated Balance Sheets under the captions </w:t>
      </w:r>
      <w:r>
        <w:rPr>
          <w:rFonts w:ascii="Arial" w:cs="Arial" w:eastAsia="Arial" w:hAnsi="Arial"/>
          <w:sz w:val="13"/>
          <w:szCs w:val="13"/>
          <w:i w:val="1"/>
          <w:iCs w:val="1"/>
          <w:color w:val="auto"/>
        </w:rPr>
        <w:t>Current portion of tax receivable agreements liability</w:t>
      </w:r>
      <w:r>
        <w:rPr>
          <w:rFonts w:ascii="Arial" w:cs="Arial" w:eastAsia="Arial" w:hAnsi="Arial"/>
          <w:sz w:val="13"/>
          <w:szCs w:val="13"/>
          <w:color w:val="auto"/>
        </w:rPr>
        <w:t xml:space="preserve"> and </w:t>
      </w:r>
      <w:r>
        <w:rPr>
          <w:rFonts w:ascii="Arial" w:cs="Arial" w:eastAsia="Arial" w:hAnsi="Arial"/>
          <w:sz w:val="13"/>
          <w:szCs w:val="13"/>
          <w:i w:val="1"/>
          <w:iCs w:val="1"/>
          <w:color w:val="auto"/>
        </w:rPr>
        <w:t>Tax receivable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agreements liability, net of current portion, </w:t>
      </w:r>
      <w:r>
        <w:rPr>
          <w:rFonts w:ascii="Arial" w:cs="Arial" w:eastAsia="Arial" w:hAnsi="Arial"/>
          <w:sz w:val="13"/>
          <w:szCs w:val="13"/>
          <w:color w:val="auto"/>
        </w:rPr>
        <w:t>respectively. Subsequent changes to the measurement of the TRA liability are recognized in the statements of income as a component of other income (expense), net. See</w:t>
      </w:r>
      <w:r>
        <w:rPr>
          <w:rFonts w:ascii="Arial" w:cs="Arial" w:eastAsia="Arial" w:hAnsi="Arial"/>
          <w:sz w:val="13"/>
          <w:szCs w:val="13"/>
          <w:i w:val="1"/>
          <w:iCs w:val="1"/>
          <w:color w:val="auto"/>
        </w:rPr>
        <w:t xml:space="preserve"> </w:t>
      </w:r>
      <w:r>
        <w:rPr>
          <w:rFonts w:ascii="Arial" w:cs="Arial" w:eastAsia="Arial" w:hAnsi="Arial"/>
          <w:sz w:val="13"/>
          <w:szCs w:val="13"/>
          <w:color w:val="auto"/>
        </w:rPr>
        <w:t>Note 16 for further details on the TRA liability.</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Taxes</w:t>
      </w:r>
    </w:p>
    <w:p>
      <w:pPr>
        <w:spacing w:after="0" w:line="122" w:lineRule="exact"/>
        <w:rPr>
          <w:sz w:val="20"/>
          <w:szCs w:val="20"/>
          <w:color w:val="auto"/>
        </w:rPr>
      </w:pPr>
    </w:p>
    <w:p>
      <w:pPr>
        <w:jc w:val="both"/>
        <w:ind w:right="20" w:firstLine="233"/>
        <w:spacing w:after="0" w:line="256" w:lineRule="auto"/>
        <w:rPr>
          <w:sz w:val="20"/>
          <w:szCs w:val="20"/>
          <w:color w:val="auto"/>
        </w:rPr>
      </w:pPr>
      <w:r>
        <w:rPr>
          <w:rFonts w:ascii="Arial" w:cs="Arial" w:eastAsia="Arial" w:hAnsi="Arial"/>
          <w:sz w:val="13"/>
          <w:szCs w:val="13"/>
          <w:color w:val="auto"/>
        </w:rPr>
        <w:t>ZoomInfo Technologies Inc. is a corporation and is subject to U.S. federal as well as state income tax related to its ownership percentage in ZoomInfo Holdings LLC. ZoomInfo Holdings LLC is a limited liability company treated as a partnership for U.S. federal income tax purposes and files a U.S. Return of Partnership Income. Consequently, the members of ZoomInfo Holdings are taxed individually on their share of earnings for U.S. federal and state income tax purposes. However, ZoomInfo Holdings is subject to the Texas Margins Tax. Additionally, our operations in Israel are subject to local country income taxes. See Note 17 for additional information regarding income taxes.</w:t>
      </w:r>
    </w:p>
    <w:p>
      <w:pPr>
        <w:spacing w:after="0" w:line="99" w:lineRule="exact"/>
        <w:rPr>
          <w:sz w:val="20"/>
          <w:szCs w:val="20"/>
          <w:color w:val="auto"/>
        </w:rPr>
      </w:pPr>
    </w:p>
    <w:p>
      <w:pPr>
        <w:jc w:val="both"/>
        <w:ind w:right="20" w:firstLine="233"/>
        <w:spacing w:after="0" w:line="317" w:lineRule="auto"/>
        <w:rPr>
          <w:sz w:val="20"/>
          <w:szCs w:val="20"/>
          <w:color w:val="auto"/>
        </w:rPr>
      </w:pPr>
      <w:r>
        <w:rPr>
          <w:rFonts w:ascii="Arial" w:cs="Arial" w:eastAsia="Arial" w:hAnsi="Arial"/>
          <w:sz w:val="11"/>
          <w:szCs w:val="11"/>
          <w:color w:val="auto"/>
        </w:rPr>
        <w:t>Deferred taxes are recorded using the asset and liability method, whereby tax assets and liabilities are determined based on the differences between the financial statement and tax basis of assets and liabilities using enacted tax rates in effect for the year in which the differences are expected to reverse. We regularly evaluate the valuation allowances established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Equity-Based Compensation Expense</w:t>
      </w:r>
    </w:p>
    <w:p>
      <w:pPr>
        <w:spacing w:after="0" w:line="122" w:lineRule="exact"/>
        <w:rPr>
          <w:sz w:val="20"/>
          <w:szCs w:val="20"/>
          <w:color w:val="auto"/>
        </w:rPr>
      </w:pPr>
    </w:p>
    <w:p>
      <w:pPr>
        <w:jc w:val="both"/>
        <w:ind w:right="20" w:firstLine="233"/>
        <w:spacing w:after="0" w:line="254" w:lineRule="auto"/>
        <w:rPr>
          <w:sz w:val="20"/>
          <w:szCs w:val="20"/>
          <w:color w:val="auto"/>
        </w:rPr>
      </w:pPr>
      <w:r>
        <w:rPr>
          <w:rFonts w:ascii="Arial" w:cs="Arial" w:eastAsia="Arial" w:hAnsi="Arial"/>
          <w:sz w:val="13"/>
          <w:szCs w:val="13"/>
          <w:color w:val="auto"/>
        </w:rPr>
        <w:t>The Company periodically grants incentive units to employees and non-employees, which generally vest over a four-year period. Incentive units may be in the form of various equity-based awards such as restricted stock and restricted stock units, Class A stock options, and awards in one of the Company’s subsidiary partnerships which are 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is determined by reference to the closing price of our Class A Common Stock from the preceding trading day. The holders of profits interests have the right to participate in distributions of profits only in excess of the participation threshold.</w:t>
      </w:r>
    </w:p>
    <w:p>
      <w:pPr>
        <w:spacing w:after="0" w:line="101" w:lineRule="exact"/>
        <w:rPr>
          <w:sz w:val="20"/>
          <w:szCs w:val="20"/>
          <w:color w:val="auto"/>
        </w:rPr>
      </w:pPr>
    </w:p>
    <w:p>
      <w:pPr>
        <w:jc w:val="both"/>
        <w:ind w:firstLine="233"/>
        <w:spacing w:after="0" w:line="270" w:lineRule="auto"/>
        <w:rPr>
          <w:sz w:val="20"/>
          <w:szCs w:val="20"/>
          <w:color w:val="auto"/>
        </w:rPr>
      </w:pPr>
      <w:r>
        <w:rPr>
          <w:rFonts w:ascii="Arial" w:cs="Arial" w:eastAsia="Arial" w:hAnsi="Arial"/>
          <w:sz w:val="13"/>
          <w:szCs w:val="13"/>
          <w:color w:val="auto"/>
        </w:rPr>
        <w:t>Compensation expense for incentive units is measured at the estimated fair value of the incentive units and is included as compensation expense over the vesting period during which an employee provides service in exchange for the award.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5" w:name="page26"/>
    <w:bookmarkEnd w:id="2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 Basis of Presentation and Summary of Significant Accounting Policies (continued)</w:t>
      </w:r>
    </w:p>
    <w:p>
      <w:pPr>
        <w:spacing w:after="0" w:line="320" w:lineRule="exact"/>
        <w:rPr>
          <w:sz w:val="20"/>
          <w:szCs w:val="20"/>
          <w:color w:val="auto"/>
        </w:rPr>
      </w:pPr>
    </w:p>
    <w:p>
      <w:pPr>
        <w:jc w:val="both"/>
        <w:ind w:right="20" w:firstLine="233"/>
        <w:spacing w:after="0" w:line="329" w:lineRule="auto"/>
        <w:rPr>
          <w:sz w:val="20"/>
          <w:szCs w:val="20"/>
          <w:color w:val="auto"/>
        </w:rPr>
      </w:pPr>
      <w:r>
        <w:rPr>
          <w:rFonts w:ascii="Arial" w:cs="Arial" w:eastAsia="Arial" w:hAnsi="Arial"/>
          <w:sz w:val="11"/>
          <w:szCs w:val="11"/>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be materially impacted.</w:t>
      </w:r>
    </w:p>
    <w:p>
      <w:pPr>
        <w:spacing w:after="0" w:line="61" w:lineRule="exact"/>
        <w:rPr>
          <w:sz w:val="20"/>
          <w:szCs w:val="20"/>
          <w:color w:val="auto"/>
        </w:rPr>
      </w:pPr>
    </w:p>
    <w:p>
      <w:pPr>
        <w:jc w:val="both"/>
        <w:ind w:right="20" w:firstLine="233"/>
        <w:spacing w:after="0" w:line="363" w:lineRule="auto"/>
        <w:rPr>
          <w:sz w:val="20"/>
          <w:szCs w:val="20"/>
          <w:color w:val="auto"/>
        </w:rPr>
      </w:pPr>
      <w:r>
        <w:rPr>
          <w:rFonts w:ascii="Arial" w:cs="Arial" w:eastAsia="Arial" w:hAnsi="Arial"/>
          <w:sz w:val="11"/>
          <w:szCs w:val="11"/>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w:t>
      </w:r>
    </w:p>
    <w:p>
      <w:pPr>
        <w:spacing w:after="0" w:line="44" w:lineRule="exact"/>
        <w:rPr>
          <w:sz w:val="20"/>
          <w:szCs w:val="20"/>
          <w:color w:val="auto"/>
        </w:rPr>
      </w:pPr>
    </w:p>
    <w:p>
      <w:pPr>
        <w:jc w:val="both"/>
        <w:ind w:firstLine="233"/>
        <w:spacing w:after="0" w:line="270" w:lineRule="auto"/>
        <w:rPr>
          <w:sz w:val="20"/>
          <w:szCs w:val="20"/>
          <w:color w:val="auto"/>
        </w:rPr>
      </w:pPr>
      <w:r>
        <w:rPr>
          <w:rFonts w:ascii="Arial" w:cs="Arial" w:eastAsia="Arial" w:hAnsi="Arial"/>
          <w:sz w:val="13"/>
          <w:szCs w:val="13"/>
          <w:color w:val="auto"/>
        </w:rPr>
        <w:t>The Company classifies equity-based compensation expense in its Consolidated Statements of Operations in the same manner in which the award recipient’s salary and related costs are classified or in which the award recipient’s service payments are classified.</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Recent Accounting Pronouncements Not Yet Adopted</w:t>
      </w:r>
    </w:p>
    <w:p>
      <w:pPr>
        <w:spacing w:after="0" w:line="122" w:lineRule="exact"/>
        <w:rPr>
          <w:sz w:val="20"/>
          <w:szCs w:val="20"/>
          <w:color w:val="auto"/>
        </w:rPr>
      </w:pPr>
    </w:p>
    <w:p>
      <w:pPr>
        <w:jc w:val="both"/>
        <w:ind w:right="20" w:firstLine="233"/>
        <w:spacing w:after="0" w:line="275" w:lineRule="auto"/>
        <w:rPr>
          <w:sz w:val="20"/>
          <w:szCs w:val="20"/>
          <w:color w:val="auto"/>
        </w:rPr>
      </w:pPr>
      <w:r>
        <w:rPr>
          <w:rFonts w:ascii="Arial" w:cs="Arial" w:eastAsia="Arial" w:hAnsi="Arial"/>
          <w:sz w:val="12"/>
          <w:szCs w:val="12"/>
          <w:color w:val="auto"/>
        </w:rPr>
        <w:t xml:space="preserve">In March 2020, the Financial Accounting Standards Board (“FASB”) issued Accounting Standards Update (“ASU”) 2020-04, which provides optional expedients and exceptions for applying U.S. GAAP to contracts, hedging relationships, and other transactions that reference the London Interbank Offered Rate ("LIBOR") or another reference rate expected to be discontinued because of reference rate reform, if certain criteria are met. The standard applies to contract modifications that replace a reference rate affected by reference rate reform and contemporaneous modifications of other contract terms related to the replacement of the reference rate. Further, the standard provides exceptions to certain guidance in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related to changes to the critical terms of a hedging relationship due to reference rate reform and provides optional expedients for fair value, cash flow, and net investment hedging relationships for which the component excluded from the assessment of hedge effectiveness is affected by reference rate reform. The standard is effective for us as of March 12, 2020 through December 31, 2022, and we may elect to apply the provisions of the standard as of any date from the beginning of an interim period that includes or is subsequent to March 12, 2020 up to the date that the financial statements are available to be issued. Once elected, the provisions of the standard must be applied prospectively for all similar eligible contract modifications other than derivatives, which may be applied at a hedging relationship level. The standard would apply to our existing variable rate financing and derivatives designated as hedges if elected in the future. The Company continues to evaluate the impact of the guidance and may apply other elections as applicable as additional changes in the market occur.</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Recently Adopted Accounting Pronouncements</w:t>
      </w:r>
    </w:p>
    <w:p>
      <w:pPr>
        <w:spacing w:after="0" w:line="122" w:lineRule="exact"/>
        <w:rPr>
          <w:sz w:val="20"/>
          <w:szCs w:val="20"/>
          <w:color w:val="auto"/>
        </w:rPr>
      </w:pPr>
    </w:p>
    <w:p>
      <w:pPr>
        <w:jc w:val="both"/>
        <w:ind w:right="20" w:firstLine="233"/>
        <w:spacing w:after="0" w:line="280" w:lineRule="auto"/>
        <w:rPr>
          <w:sz w:val="20"/>
          <w:szCs w:val="20"/>
          <w:color w:val="auto"/>
        </w:rPr>
      </w:pPr>
      <w:r>
        <w:rPr>
          <w:rFonts w:ascii="Arial" w:cs="Arial" w:eastAsia="Arial" w:hAnsi="Arial"/>
          <w:sz w:val="12"/>
          <w:szCs w:val="12"/>
          <w:color w:val="auto"/>
        </w:rPr>
        <w:t>In June 2016, the FASB issued ASU No. 2016-13, Financial Instruments-Credit Losses (Topic 326): Measurement of Credit Losses on Financial Instruments,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adopted ASU 2016-13 and ASU 2019-05 effective January 1, 2020. The adoption of this guidance was on a modified retrospective basis and did not have a material impact on the Company's consolidated financial statements.</w:t>
      </w:r>
    </w:p>
    <w:p>
      <w:pPr>
        <w:spacing w:after="0" w:line="87" w:lineRule="exact"/>
        <w:rPr>
          <w:sz w:val="20"/>
          <w:szCs w:val="20"/>
          <w:color w:val="auto"/>
        </w:rPr>
      </w:pPr>
    </w:p>
    <w:p>
      <w:pPr>
        <w:jc w:val="both"/>
        <w:ind w:firstLine="233"/>
        <w:spacing w:after="0" w:line="256" w:lineRule="auto"/>
        <w:rPr>
          <w:sz w:val="20"/>
          <w:szCs w:val="20"/>
          <w:color w:val="auto"/>
        </w:rPr>
      </w:pPr>
      <w:r>
        <w:rPr>
          <w:rFonts w:ascii="Arial" w:cs="Arial" w:eastAsia="Arial" w:hAnsi="Arial"/>
          <w:sz w:val="13"/>
          <w:szCs w:val="13"/>
          <w:color w:val="auto"/>
        </w:rPr>
        <w:t>In August 2018, the FASB issued ASU No. 2018-13, Fair Value Measurement (Topic 820),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fiscal years beginning after December 15, 2019 and interim periods within those fiscal years. The Company adopted ASU 2018-13 on January 1, 2020, and the adoption did not have a material effect on the Company’s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6" w:name="page27"/>
    <w:bookmarkEnd w:id="2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3 - Revenue from Contracts with Customers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Revenue comprised the following service offerings:</w:t>
      </w:r>
    </w:p>
    <w:p>
      <w:pPr>
        <w:spacing w:after="0" w:line="153" w:lineRule="exact"/>
        <w:rPr>
          <w:sz w:val="20"/>
          <w:szCs w:val="20"/>
          <w:color w:val="auto"/>
        </w:rPr>
      </w:pPr>
    </w:p>
    <w:tbl>
      <w:tblPr>
        <w:tblLayout w:type="fixed"/>
        <w:tblInd w:w="240" w:type="dxa"/>
        <w:tblCellMar>
          <w:top w:w="0" w:type="dxa"/>
          <w:left w:w="0" w:type="dxa"/>
          <w:bottom w:w="0" w:type="dxa"/>
          <w:right w:w="0" w:type="dxa"/>
        </w:tblCellMar>
      </w:tblPr>
      <w:tr>
        <w:trPr>
          <w:trHeight w:val="142"/>
        </w:trPr>
        <w:tc>
          <w:tcPr>
            <w:tcW w:w="322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0"/>
                <w:szCs w:val="10"/>
                <w:b w:val="1"/>
                <w:bCs w:val="1"/>
                <w:color w:val="auto"/>
              </w:rPr>
              <w:t>Three Months Ended June 30,</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0"/>
                <w:szCs w:val="10"/>
                <w:b w:val="1"/>
                <w:bCs w:val="1"/>
                <w:color w:val="auto"/>
              </w:rPr>
              <w:t>Six Months Ended June 30,</w:t>
            </w:r>
          </w:p>
        </w:tc>
        <w:tc>
          <w:tcPr>
            <w:tcW w:w="960" w:type="dxa"/>
            <w:vAlign w:val="bottom"/>
            <w:tcBorders>
              <w:bottom w:val="single" w:sz="8" w:color="auto"/>
            </w:tcBorders>
          </w:tcPr>
          <w:p>
            <w:pPr>
              <w:spacing w:after="0"/>
              <w:rPr>
                <w:sz w:val="12"/>
                <w:szCs w:val="12"/>
                <w:color w:val="auto"/>
              </w:rPr>
            </w:pPr>
          </w:p>
        </w:tc>
      </w:tr>
      <w:tr>
        <w:trPr>
          <w:trHeight w:val="175"/>
        </w:trPr>
        <w:tc>
          <w:tcPr>
            <w:tcW w:w="3220" w:type="dxa"/>
            <w:vAlign w:val="bottom"/>
            <w:tcBorders>
              <w:bottom w:val="single" w:sz="8" w:color="CCEEFF"/>
            </w:tcBorders>
          </w:tcPr>
          <w:p>
            <w:pPr>
              <w:ind w:left="240"/>
              <w:spacing w:after="0"/>
              <w:rPr>
                <w:sz w:val="20"/>
                <w:szCs w:val="20"/>
                <w:color w:val="auto"/>
              </w:rPr>
            </w:pPr>
            <w:r>
              <w:rPr>
                <w:rFonts w:ascii="Arial" w:cs="Arial" w:eastAsia="Arial" w:hAnsi="Arial"/>
                <w:sz w:val="13"/>
                <w:szCs w:val="13"/>
                <w:i w:val="1"/>
                <w:iCs w:val="1"/>
                <w:color w:val="auto"/>
              </w:rPr>
              <w:t>(in millions)</w:t>
            </w: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0"/>
                <w:szCs w:val="10"/>
                <w:b w:val="1"/>
                <w:bCs w:val="1"/>
                <w:color w:val="auto"/>
              </w:rPr>
              <w:t>2021</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0"/>
                <w:szCs w:val="10"/>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9"/>
              <w:spacing w:after="0"/>
              <w:rPr>
                <w:sz w:val="20"/>
                <w:szCs w:val="20"/>
                <w:color w:val="auto"/>
              </w:rPr>
            </w:pPr>
            <w:r>
              <w:rPr>
                <w:rFonts w:ascii="Arial" w:cs="Arial" w:eastAsia="Arial" w:hAnsi="Arial"/>
                <w:sz w:val="10"/>
                <w:szCs w:val="10"/>
                <w:b w:val="1"/>
                <w:bCs w:val="1"/>
                <w:color w:val="auto"/>
              </w:rPr>
              <w:t>2020</w:t>
            </w:r>
          </w:p>
        </w:tc>
      </w:tr>
      <w:tr>
        <w:trPr>
          <w:trHeight w:val="173"/>
        </w:trPr>
        <w:tc>
          <w:tcPr>
            <w:tcW w:w="3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Subscription</w:t>
            </w:r>
          </w:p>
        </w:tc>
        <w:tc>
          <w:tcPr>
            <w:tcW w:w="1320" w:type="dxa"/>
            <w:vAlign w:val="bottom"/>
            <w:tcBorders>
              <w:bottom w:val="single" w:sz="8" w:color="CCEEFF"/>
            </w:tcBorders>
            <w:shd w:val="clear" w:color="auto" w:fill="CCEEFF"/>
          </w:tcPr>
          <w:p>
            <w:pPr>
              <w:jc w:val="right"/>
              <w:ind w:right="9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171.9</w:t>
            </w: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102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109.7</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98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323.3</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210</w:t>
            </w:r>
          </w:p>
        </w:tc>
      </w:tr>
      <w:tr>
        <w:trPr>
          <w:trHeight w:val="174"/>
        </w:trPr>
        <w:tc>
          <w:tcPr>
            <w:tcW w:w="3220" w:type="dxa"/>
            <w:vAlign w:val="bottom"/>
          </w:tcPr>
          <w:p>
            <w:pPr>
              <w:ind w:left="240"/>
              <w:spacing w:after="0"/>
              <w:rPr>
                <w:sz w:val="20"/>
                <w:szCs w:val="20"/>
                <w:color w:val="auto"/>
              </w:rPr>
            </w:pPr>
            <w:r>
              <w:rPr>
                <w:rFonts w:ascii="Arial" w:cs="Arial" w:eastAsia="Arial" w:hAnsi="Arial"/>
                <w:sz w:val="13"/>
                <w:szCs w:val="13"/>
                <w:color w:val="auto"/>
              </w:rPr>
              <w:t>Usage-based</w:t>
            </w: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2"/>
        </w:trPr>
        <w:tc>
          <w:tcPr>
            <w:tcW w:w="3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 revenue</w:t>
            </w:r>
          </w:p>
        </w:tc>
        <w:tc>
          <w:tcPr>
            <w:tcW w:w="1320" w:type="dxa"/>
            <w:vAlign w:val="bottom"/>
            <w:tcBorders>
              <w:bottom w:val="single" w:sz="8" w:color="auto"/>
            </w:tcBorders>
            <w:shd w:val="clear" w:color="auto" w:fill="CCEEFF"/>
          </w:tcPr>
          <w:p>
            <w:pPr>
              <w:jc w:val="right"/>
              <w:ind w:right="9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174.0</w:t>
            </w: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02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110.9</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98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327.3</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5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w:t>
            </w:r>
          </w:p>
        </w:tc>
      </w:tr>
    </w:tbl>
    <w:p>
      <w:pPr>
        <w:spacing w:after="0" w:line="224" w:lineRule="exact"/>
        <w:rPr>
          <w:sz w:val="20"/>
          <w:szCs w:val="20"/>
          <w:color w:val="auto"/>
        </w:rPr>
      </w:pPr>
    </w:p>
    <w:p>
      <w:pPr>
        <w:jc w:val="both"/>
        <w:ind w:right="80" w:firstLine="233"/>
        <w:spacing w:after="0" w:line="291" w:lineRule="auto"/>
        <w:rPr>
          <w:sz w:val="20"/>
          <w:szCs w:val="20"/>
          <w:color w:val="auto"/>
        </w:rPr>
      </w:pPr>
      <w:r>
        <w:rPr>
          <w:rFonts w:ascii="Arial" w:cs="Arial" w:eastAsia="Arial" w:hAnsi="Arial"/>
          <w:sz w:val="12"/>
          <w:szCs w:val="12"/>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80" w:lineRule="exact"/>
        <w:rPr>
          <w:sz w:val="20"/>
          <w:szCs w:val="20"/>
          <w:color w:val="auto"/>
        </w:rPr>
      </w:pPr>
    </w:p>
    <w:p>
      <w:pPr>
        <w:jc w:val="both"/>
        <w:ind w:right="80" w:firstLine="233"/>
        <w:spacing w:after="0" w:line="259" w:lineRule="auto"/>
        <w:rPr>
          <w:sz w:val="20"/>
          <w:szCs w:val="20"/>
          <w:color w:val="auto"/>
        </w:rPr>
      </w:pPr>
      <w:r>
        <w:rPr>
          <w:rFonts w:ascii="Arial" w:cs="Arial" w:eastAsia="Arial" w:hAnsi="Arial"/>
          <w:sz w:val="13"/>
          <w:szCs w:val="13"/>
          <w:color w:val="auto"/>
        </w:rPr>
        <w:t>Usage-based revenue is comprised largely of email verification and intent-driven audience and targeting services,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98" w:lineRule="exact"/>
        <w:rPr>
          <w:sz w:val="20"/>
          <w:szCs w:val="20"/>
          <w:color w:val="auto"/>
        </w:rPr>
      </w:pPr>
    </w:p>
    <w:p>
      <w:pPr>
        <w:jc w:val="both"/>
        <w:ind w:right="80" w:firstLine="233"/>
        <w:spacing w:after="0" w:line="259" w:lineRule="auto"/>
        <w:rPr>
          <w:sz w:val="20"/>
          <w:szCs w:val="20"/>
          <w:color w:val="auto"/>
        </w:rPr>
      </w:pPr>
      <w:r>
        <w:rPr>
          <w:rFonts w:ascii="Arial" w:cs="Arial" w:eastAsia="Arial" w:hAnsi="Arial"/>
          <w:sz w:val="13"/>
          <w:szCs w:val="13"/>
          <w:color w:val="auto"/>
        </w:rPr>
        <w:t>Of the total revenue recognized in the three and six months ended June 30, 2021, $57.7 million and $166.7 million were included in the unearned revenue balance as of December 31, 2020, respectively. Of the total revenue recognized in the three and six months ended June 30, 2020, $41.7 million and $116.5 million were included in the unearned revenue balance as of December 31, 2019, respectively. Revenue recognized from performance obligations satisfied (or partially satisfied) in previous periods was not material.</w:t>
      </w:r>
    </w:p>
    <w:p>
      <w:pPr>
        <w:spacing w:after="0" w:line="98" w:lineRule="exact"/>
        <w:rPr>
          <w:sz w:val="20"/>
          <w:szCs w:val="20"/>
          <w:color w:val="auto"/>
        </w:rPr>
      </w:pPr>
    </w:p>
    <w:p>
      <w:pPr>
        <w:jc w:val="both"/>
        <w:ind w:right="60" w:firstLine="233"/>
        <w:spacing w:after="0" w:line="256" w:lineRule="auto"/>
        <w:rPr>
          <w:sz w:val="20"/>
          <w:szCs w:val="20"/>
          <w:color w:val="auto"/>
        </w:rPr>
      </w:pPr>
      <w:r>
        <w:rPr>
          <w:rFonts w:ascii="Arial" w:cs="Arial" w:eastAsia="Arial" w:hAnsi="Arial"/>
          <w:sz w:val="13"/>
          <w:szCs w:val="13"/>
          <w:color w:val="auto"/>
        </w:rPr>
        <w:t>Revenues derived from customers and partners located outside the United States, as determined based on the address provided by our customers and partners, accounted for approximately 11% and 9% of our total revenues for the three months ended June 30, 2021 and 2020, respectively. Revenues derived from customers and partners located outside the United States accounted for approximately 11% and 8% of our total revenues in the six months ended June 30, 2021 and 2020, respectively. We have no Company sales offices located in a foreign country as of June 30, 2021, and contracts denominated in currencies other than U.S. Dollar were not material for the three and six months ended June 30, 2021 and 2020.</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Contract Assets and Unearned Revenue</w:t>
      </w:r>
    </w:p>
    <w:p>
      <w:pPr>
        <w:spacing w:after="0" w:line="122" w:lineRule="exact"/>
        <w:rPr>
          <w:sz w:val="20"/>
          <w:szCs w:val="20"/>
          <w:color w:val="auto"/>
        </w:rPr>
      </w:pPr>
    </w:p>
    <w:p>
      <w:pPr>
        <w:jc w:val="both"/>
        <w:ind w:right="80" w:firstLine="233"/>
        <w:spacing w:after="0" w:line="259" w:lineRule="auto"/>
        <w:rPr>
          <w:sz w:val="20"/>
          <w:szCs w:val="20"/>
          <w:color w:val="auto"/>
        </w:rPr>
      </w:pPr>
      <w:r>
        <w:rPr>
          <w:rFonts w:ascii="Arial" w:cs="Arial" w:eastAsia="Arial" w:hAnsi="Arial"/>
          <w:sz w:val="13"/>
          <w:szCs w:val="13"/>
          <w:color w:val="auto"/>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spacing w:after="0" w:line="98" w:lineRule="exact"/>
        <w:rPr>
          <w:sz w:val="20"/>
          <w:szCs w:val="20"/>
          <w:color w:val="auto"/>
        </w:rPr>
      </w:pPr>
    </w:p>
    <w:p>
      <w:pPr>
        <w:jc w:val="both"/>
        <w:ind w:right="80" w:firstLine="233"/>
        <w:spacing w:after="0" w:line="329" w:lineRule="auto"/>
        <w:rPr>
          <w:sz w:val="20"/>
          <w:szCs w:val="20"/>
          <w:color w:val="auto"/>
        </w:rPr>
      </w:pPr>
      <w:r>
        <w:rPr>
          <w:rFonts w:ascii="Arial" w:cs="Arial" w:eastAsia="Arial" w:hAnsi="Arial"/>
          <w:sz w:val="11"/>
          <w:szCs w:val="11"/>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27" w:name="page28"/>
    <w:bookmarkEnd w:id="2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3 - Revenue from Contracts with Customers (continued)</w:t>
      </w:r>
    </w:p>
    <w:p>
      <w:pPr>
        <w:spacing w:after="0" w:line="320" w:lineRule="exact"/>
        <w:rPr>
          <w:sz w:val="20"/>
          <w:szCs w:val="20"/>
          <w:color w:val="auto"/>
        </w:rPr>
      </w:pPr>
    </w:p>
    <w:p>
      <w:pPr>
        <w:jc w:val="both"/>
        <w:ind w:right="80" w:firstLine="233"/>
        <w:spacing w:after="0" w:line="313" w:lineRule="auto"/>
        <w:rPr>
          <w:sz w:val="20"/>
          <w:szCs w:val="20"/>
          <w:color w:val="auto"/>
        </w:rPr>
      </w:pPr>
      <w:r>
        <w:rPr>
          <w:rFonts w:ascii="Arial" w:cs="Arial" w:eastAsia="Arial" w:hAnsi="Arial"/>
          <w:sz w:val="12"/>
          <w:szCs w:val="12"/>
          <w:color w:val="auto"/>
        </w:rPr>
        <w:t xml:space="preserve">As of June 30, 2021 and December 31, 2020, the Company had contract assets of $2.4 million and $2.4 million, respectively, which are recorded as current assets within </w:t>
      </w:r>
      <w:r>
        <w:rPr>
          <w:rFonts w:ascii="Arial" w:cs="Arial" w:eastAsia="Arial" w:hAnsi="Arial"/>
          <w:sz w:val="12"/>
          <w:szCs w:val="12"/>
          <w:i w:val="1"/>
          <w:iCs w:val="1"/>
          <w:color w:val="auto"/>
        </w:rPr>
        <w:t>Prepaid expenses and other current assets</w:t>
      </w:r>
      <w:r>
        <w:rPr>
          <w:rFonts w:ascii="Arial" w:cs="Arial" w:eastAsia="Arial" w:hAnsi="Arial"/>
          <w:sz w:val="12"/>
          <w:szCs w:val="12"/>
          <w:color w:val="auto"/>
        </w:rPr>
        <w:t xml:space="preserve"> in the Company’s Condensed Consolidated Balance Sheets. As of June 30, 2021 and December 31, 2020, the Company had unearned revenue of $276.0 million and $222.7 million, respectively.</w:t>
      </w:r>
    </w:p>
    <w:p>
      <w:pPr>
        <w:spacing w:after="0" w:line="67" w:lineRule="exact"/>
        <w:rPr>
          <w:sz w:val="20"/>
          <w:szCs w:val="20"/>
          <w:color w:val="auto"/>
        </w:rPr>
      </w:pPr>
    </w:p>
    <w:p>
      <w:pPr>
        <w:jc w:val="both"/>
        <w:ind w:right="80" w:firstLine="233"/>
        <w:spacing w:after="0" w:line="254" w:lineRule="auto"/>
        <w:rPr>
          <w:sz w:val="20"/>
          <w:szCs w:val="20"/>
          <w:color w:val="auto"/>
        </w:rPr>
      </w:pPr>
      <w:r>
        <w:rPr>
          <w:rFonts w:ascii="Arial" w:cs="Arial" w:eastAsia="Arial" w:hAnsi="Arial"/>
          <w:sz w:val="13"/>
          <w:szCs w:val="13"/>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remaining performance obligations consisted of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Pr>
          <w:p>
            <w:pPr>
              <w:spacing w:after="0"/>
              <w:rPr>
                <w:sz w:val="15"/>
                <w:szCs w:val="15"/>
                <w:color w:val="auto"/>
              </w:rPr>
            </w:pPr>
          </w:p>
        </w:tc>
        <w:tc>
          <w:tcPr>
            <w:tcW w:w="5880" w:type="dxa"/>
            <w:vAlign w:val="bottom"/>
          </w:tcPr>
          <w:p>
            <w:pPr>
              <w:ind w:left="200"/>
              <w:spacing w:after="0"/>
              <w:rPr>
                <w:sz w:val="20"/>
                <w:szCs w:val="20"/>
                <w:color w:val="auto"/>
              </w:rPr>
            </w:pPr>
            <w:r>
              <w:rPr>
                <w:rFonts w:ascii="Arial" w:cs="Arial" w:eastAsia="Arial" w:hAnsi="Arial"/>
                <w:sz w:val="13"/>
                <w:szCs w:val="13"/>
                <w:i w:val="1"/>
                <w:iCs w:val="1"/>
                <w:color w:val="auto"/>
              </w:rPr>
              <w:t>(in millions)</w:t>
            </w:r>
          </w:p>
        </w:tc>
        <w:tc>
          <w:tcPr>
            <w:tcW w:w="34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Arial" w:cs="Arial" w:eastAsia="Arial" w:hAnsi="Arial"/>
                <w:sz w:val="10"/>
                <w:szCs w:val="10"/>
                <w:b w:val="1"/>
                <w:bCs w:val="1"/>
                <w:color w:val="auto"/>
              </w:rPr>
              <w:t>Recognized within one year</w:t>
            </w:r>
          </w:p>
        </w:tc>
        <w:tc>
          <w:tcPr>
            <w:tcW w:w="1300" w:type="dxa"/>
            <w:vAlign w:val="bottom"/>
          </w:tcPr>
          <w:p>
            <w:pPr>
              <w:jc w:val="right"/>
              <w:ind w:right="2"/>
              <w:spacing w:after="0"/>
              <w:rPr>
                <w:sz w:val="20"/>
                <w:szCs w:val="20"/>
                <w:color w:val="auto"/>
              </w:rPr>
            </w:pPr>
            <w:r>
              <w:rPr>
                <w:rFonts w:ascii="Arial" w:cs="Arial" w:eastAsia="Arial" w:hAnsi="Arial"/>
                <w:sz w:val="10"/>
                <w:szCs w:val="10"/>
                <w:b w:val="1"/>
                <w:bCs w:val="1"/>
                <w:color w:val="auto"/>
              </w:rPr>
              <w:t>Noncurrent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402"/>
              <w:spacing w:after="0"/>
              <w:rPr>
                <w:sz w:val="20"/>
                <w:szCs w:val="20"/>
                <w:color w:val="auto"/>
              </w:rPr>
            </w:pPr>
            <w:r>
              <w:rPr>
                <w:rFonts w:ascii="Arial" w:cs="Arial" w:eastAsia="Arial" w:hAnsi="Arial"/>
                <w:sz w:val="10"/>
                <w:szCs w:val="10"/>
                <w:b w:val="1"/>
                <w:bCs w:val="1"/>
                <w:color w:val="auto"/>
              </w:rPr>
              <w:t>Total</w:t>
            </w:r>
          </w:p>
        </w:tc>
      </w:tr>
      <w:tr>
        <w:trPr>
          <w:trHeight w:val="173"/>
        </w:trPr>
        <w:tc>
          <w:tcPr>
            <w:tcW w:w="280" w:type="dxa"/>
            <w:vAlign w:val="bottom"/>
            <w:tcBorders>
              <w:right w:val="single" w:sz="8" w:color="CCEEFF"/>
            </w:tcBorders>
          </w:tcPr>
          <w:p>
            <w:pPr>
              <w:spacing w:after="0"/>
              <w:rPr>
                <w:sz w:val="15"/>
                <w:szCs w:val="15"/>
                <w:color w:val="auto"/>
              </w:rPr>
            </w:pPr>
          </w:p>
        </w:tc>
        <w:tc>
          <w:tcPr>
            <w:tcW w:w="58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As of June 30, 2021</w:t>
            </w: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3"/>
                <w:szCs w:val="13"/>
                <w:color w:val="auto"/>
              </w:rPr>
              <w:t>505.2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CCEEFF"/>
            </w:tcBorders>
            <w:shd w:val="clear" w:color="auto" w:fill="CCEEFF"/>
          </w:tcPr>
          <w:p>
            <w:pPr>
              <w:jc w:val="right"/>
              <w:ind w:right="922"/>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142.9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jc w:val="right"/>
              <w:ind w:right="215"/>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648</w:t>
            </w:r>
          </w:p>
        </w:tc>
      </w:tr>
      <w:tr>
        <w:trPr>
          <w:trHeight w:val="455"/>
        </w:trPr>
        <w:tc>
          <w:tcPr>
            <w:tcW w:w="280" w:type="dxa"/>
            <w:vAlign w:val="bottom"/>
          </w:tcPr>
          <w:p>
            <w:pPr>
              <w:spacing w:after="0"/>
              <w:rPr>
                <w:sz w:val="20"/>
                <w:szCs w:val="20"/>
                <w:color w:val="auto"/>
              </w:rPr>
            </w:pPr>
            <w:r>
              <w:rPr>
                <w:rFonts w:ascii="Arial" w:cs="Arial" w:eastAsia="Arial" w:hAnsi="Arial"/>
                <w:sz w:val="13"/>
                <w:szCs w:val="13"/>
                <w:b w:val="1"/>
                <w:bCs w:val="1"/>
                <w:color w:val="auto"/>
                <w:w w:val="82"/>
              </w:rPr>
              <w:t>Note</w:t>
            </w:r>
          </w:p>
        </w:tc>
        <w:tc>
          <w:tcPr>
            <w:tcW w:w="5880" w:type="dxa"/>
            <w:vAlign w:val="bottom"/>
          </w:tcPr>
          <w:p>
            <w:pPr>
              <w:spacing w:after="0"/>
              <w:rPr>
                <w:sz w:val="20"/>
                <w:szCs w:val="20"/>
                <w:color w:val="auto"/>
              </w:rPr>
            </w:pPr>
            <w:r>
              <w:rPr>
                <w:rFonts w:ascii="Arial" w:cs="Arial" w:eastAsia="Arial" w:hAnsi="Arial"/>
                <w:sz w:val="13"/>
                <w:szCs w:val="13"/>
                <w:b w:val="1"/>
                <w:bCs w:val="1"/>
                <w:color w:val="auto"/>
              </w:rPr>
              <w:t>4 - Business Combinations</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1"/>
        </w:trPr>
        <w:tc>
          <w:tcPr>
            <w:tcW w:w="280" w:type="dxa"/>
            <w:vAlign w:val="bottom"/>
          </w:tcPr>
          <w:p>
            <w:pPr>
              <w:spacing w:after="0"/>
              <w:rPr>
                <w:sz w:val="20"/>
                <w:szCs w:val="20"/>
                <w:color w:val="auto"/>
              </w:rPr>
            </w:pPr>
            <w:r>
              <w:rPr>
                <w:rFonts w:ascii="Arial" w:cs="Arial" w:eastAsia="Arial" w:hAnsi="Arial"/>
                <w:sz w:val="13"/>
                <w:szCs w:val="13"/>
                <w:i w:val="1"/>
                <w:iCs w:val="1"/>
                <w:color w:val="auto"/>
                <w:w w:val="82"/>
              </w:rPr>
              <w:t>2021</w:t>
            </w:r>
          </w:p>
        </w:tc>
        <w:tc>
          <w:tcPr>
            <w:tcW w:w="5880" w:type="dxa"/>
            <w:vAlign w:val="bottom"/>
          </w:tcPr>
          <w:p>
            <w:pPr>
              <w:spacing w:after="0"/>
              <w:rPr>
                <w:sz w:val="20"/>
                <w:szCs w:val="20"/>
                <w:color w:val="auto"/>
              </w:rPr>
            </w:pPr>
            <w:r>
              <w:rPr>
                <w:rFonts w:ascii="Arial" w:cs="Arial" w:eastAsia="Arial" w:hAnsi="Arial"/>
                <w:sz w:val="13"/>
                <w:szCs w:val="13"/>
                <w:i w:val="1"/>
                <w:iCs w:val="1"/>
                <w:color w:val="auto"/>
              </w:rPr>
              <w:t>Acquisition</w:t>
            </w: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spacing w:after="0"/>
              <w:rPr>
                <w:sz w:val="23"/>
                <w:szCs w:val="23"/>
                <w:color w:val="auto"/>
              </w:rPr>
            </w:pPr>
          </w:p>
        </w:tc>
      </w:tr>
    </w:tbl>
    <w:p>
      <w:pPr>
        <w:spacing w:after="0" w:line="108" w:lineRule="exact"/>
        <w:rPr>
          <w:sz w:val="20"/>
          <w:szCs w:val="20"/>
          <w:color w:val="auto"/>
        </w:rPr>
      </w:pPr>
    </w:p>
    <w:p>
      <w:pPr>
        <w:jc w:val="both"/>
        <w:ind w:right="80" w:firstLine="233"/>
        <w:spacing w:after="0" w:line="259" w:lineRule="auto"/>
        <w:rPr>
          <w:sz w:val="20"/>
          <w:szCs w:val="20"/>
          <w:color w:val="auto"/>
        </w:rPr>
      </w:pPr>
      <w:r>
        <w:rPr>
          <w:rFonts w:ascii="Arial" w:cs="Arial" w:eastAsia="Arial" w:hAnsi="Arial"/>
          <w:sz w:val="13"/>
          <w:szCs w:val="13"/>
          <w:color w:val="auto"/>
        </w:rPr>
        <w:t>The Company completed an acquisition of Insent, Inc. in June 2021 for a total purchase consideration of $34.1 million, consisting of $33.0 million in cash consideration and $1.1 million in estimated deferred consideration. The purchase price was primarily comprised of acquired technology and goodwill. The Company has included the financial results of this business in the consolidated financial statements from the date of acquisition. The purchase accounting for this transaction is not yet finalized.</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2020 Acquisitions</w:t>
      </w:r>
    </w:p>
    <w:p>
      <w:pPr>
        <w:spacing w:after="0" w:line="122" w:lineRule="exact"/>
        <w:rPr>
          <w:sz w:val="20"/>
          <w:szCs w:val="20"/>
          <w:color w:val="auto"/>
        </w:rPr>
      </w:pPr>
    </w:p>
    <w:p>
      <w:pPr>
        <w:jc w:val="both"/>
        <w:ind w:right="60" w:firstLine="233"/>
        <w:spacing w:after="0" w:line="308" w:lineRule="auto"/>
        <w:rPr>
          <w:sz w:val="20"/>
          <w:szCs w:val="20"/>
          <w:color w:val="auto"/>
        </w:rPr>
      </w:pPr>
      <w:r>
        <w:rPr>
          <w:rFonts w:ascii="Arial" w:cs="Arial" w:eastAsia="Arial" w:hAnsi="Arial"/>
          <w:sz w:val="11"/>
          <w:szCs w:val="11"/>
          <w:color w:val="auto"/>
        </w:rPr>
        <w:t>The Company acquired all of the assets of Clickagy, LLC in October 2020 and all of the membership interests in EverString Technology, LLC in November 2020 for a total purchase consideration of $72.0 million. During the first half of fiscal year 2021, the Company recorded immaterial post-close net working capital adjustments. The preliminary purchase price allocation was updated to reflect the $0.3 million increase in consideration paid as well as to reflect the $0.2 million adjustment to unearned revenue and $0.1 million adjustment to goodwill. The purchase accounting from these transactions has been finalized. The Company included the financial results of these businesses in the consolidated financial statements from each date of acquisition. Transaction costs associated with each acquisition were not material. As part of the acquisitions, the Company agreed to issue 49,932 RSUs, at a total grant date fair value of $2.1 million, and agreed to pay $4.8 million of incentive compensation to acquired employees, subject to continued employment, to be recognized in the post-combination periods. The Company classifies compensation expense in its Consolidated Statements of Operations in the same manner in which the award recipient’s salary is classified.</w:t>
      </w:r>
    </w:p>
    <w:p>
      <w:pPr>
        <w:spacing w:after="0" w:line="73" w:lineRule="exact"/>
        <w:rPr>
          <w:sz w:val="20"/>
          <w:szCs w:val="20"/>
          <w:color w:val="auto"/>
        </w:rPr>
      </w:pPr>
    </w:p>
    <w:tbl>
      <w:tblPr>
        <w:tblLayout w:type="fixed"/>
        <w:tblInd w:w="240" w:type="dxa"/>
        <w:tblCellMar>
          <w:top w:w="0" w:type="dxa"/>
          <w:left w:w="0" w:type="dxa"/>
          <w:bottom w:w="0" w:type="dxa"/>
          <w:right w:w="0" w:type="dxa"/>
        </w:tblCellMar>
      </w:tblPr>
      <w:tr>
        <w:trPr>
          <w:trHeight w:val="163"/>
        </w:trPr>
        <w:tc>
          <w:tcPr>
            <w:tcW w:w="9520" w:type="dxa"/>
            <w:vAlign w:val="bottom"/>
          </w:tcPr>
          <w:p>
            <w:pPr>
              <w:spacing w:after="0"/>
              <w:rPr>
                <w:sz w:val="20"/>
                <w:szCs w:val="20"/>
                <w:color w:val="auto"/>
              </w:rPr>
            </w:pPr>
            <w:r>
              <w:rPr>
                <w:rFonts w:ascii="Arial" w:cs="Arial" w:eastAsia="Arial" w:hAnsi="Arial"/>
                <w:sz w:val="13"/>
                <w:szCs w:val="13"/>
                <w:color w:val="auto"/>
              </w:rPr>
              <w:t>The acquisition date fair value of the total consideration transferred was comprised of the following (in millions):</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6"/>
        </w:trPr>
        <w:tc>
          <w:tcPr>
            <w:tcW w:w="9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4"/>
        </w:trPr>
        <w:tc>
          <w:tcPr>
            <w:tcW w:w="9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Cash</w:t>
            </w:r>
          </w:p>
        </w:tc>
        <w:tc>
          <w:tcPr>
            <w:tcW w:w="90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w:t>
            </w:r>
          </w:p>
        </w:tc>
      </w:tr>
      <w:tr>
        <w:trPr>
          <w:trHeight w:val="174"/>
        </w:trPr>
        <w:tc>
          <w:tcPr>
            <w:tcW w:w="9520" w:type="dxa"/>
            <w:vAlign w:val="bottom"/>
          </w:tcPr>
          <w:p>
            <w:pPr>
              <w:ind w:left="240"/>
              <w:spacing w:after="0"/>
              <w:rPr>
                <w:sz w:val="20"/>
                <w:szCs w:val="20"/>
                <w:color w:val="auto"/>
              </w:rPr>
            </w:pPr>
            <w:r>
              <w:rPr>
                <w:rFonts w:ascii="Arial" w:cs="Arial" w:eastAsia="Arial" w:hAnsi="Arial"/>
                <w:sz w:val="13"/>
                <w:szCs w:val="13"/>
                <w:color w:val="auto"/>
              </w:rPr>
              <w:t>Purchase consideration liabilities</w:t>
            </w:r>
          </w:p>
        </w:tc>
        <w:tc>
          <w:tcPr>
            <w:tcW w:w="9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20"/>
        </w:trPr>
        <w:tc>
          <w:tcPr>
            <w:tcW w:w="9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4"/>
        </w:trPr>
        <w:tc>
          <w:tcPr>
            <w:tcW w:w="9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Issuance of 67,075 Class A shares</w:t>
            </w:r>
          </w:p>
        </w:tc>
        <w:tc>
          <w:tcPr>
            <w:tcW w:w="9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3"/>
        </w:trPr>
        <w:tc>
          <w:tcPr>
            <w:tcW w:w="9520" w:type="dxa"/>
            <w:vAlign w:val="bottom"/>
          </w:tcPr>
          <w:p>
            <w:pPr>
              <w:ind w:left="240"/>
              <w:spacing w:after="0"/>
              <w:rPr>
                <w:sz w:val="20"/>
                <w:szCs w:val="20"/>
                <w:color w:val="auto"/>
              </w:rPr>
            </w:pPr>
            <w:r>
              <w:rPr>
                <w:rFonts w:ascii="Arial" w:cs="Arial" w:eastAsia="Arial" w:hAnsi="Arial"/>
                <w:sz w:val="13"/>
                <w:szCs w:val="13"/>
                <w:color w:val="auto"/>
              </w:rPr>
              <w:t>Total Purchase Consideration</w:t>
            </w:r>
          </w:p>
        </w:tc>
        <w:tc>
          <w:tcPr>
            <w:tcW w:w="900" w:type="dxa"/>
            <w:vAlign w:val="bottom"/>
            <w:tcBorders>
              <w:top w:val="single" w:sz="8" w:color="auto"/>
            </w:tcBorders>
          </w:tcPr>
          <w:p>
            <w:pPr>
              <w:jc w:val="right"/>
              <w:ind w:right="535"/>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28" w:name="page29"/>
    <w:bookmarkEnd w:id="2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760" w:type="dxa"/>
            <w:vAlign w:val="bottom"/>
            <w:gridSpan w:val="2"/>
          </w:tcPr>
          <w:p>
            <w:pPr>
              <w:spacing w:after="0"/>
              <w:rPr>
                <w:sz w:val="20"/>
                <w:szCs w:val="20"/>
                <w:color w:val="auto"/>
              </w:rPr>
            </w:pPr>
            <w:r>
              <w:rPr>
                <w:rFonts w:ascii="Arial" w:cs="Arial" w:eastAsia="Arial" w:hAnsi="Arial"/>
                <w:sz w:val="13"/>
                <w:szCs w:val="13"/>
                <w:b w:val="1"/>
                <w:bCs w:val="1"/>
                <w:color w:val="auto"/>
              </w:rPr>
              <w:t>Note 4 - Business Combinations (continued)</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65"/>
        </w:trPr>
        <w:tc>
          <w:tcPr>
            <w:tcW w:w="240" w:type="dxa"/>
            <w:vAlign w:val="bottom"/>
          </w:tcPr>
          <w:p>
            <w:pPr>
              <w:spacing w:after="0"/>
              <w:rPr>
                <w:sz w:val="24"/>
                <w:szCs w:val="24"/>
                <w:color w:val="auto"/>
              </w:rPr>
            </w:pPr>
          </w:p>
        </w:tc>
        <w:tc>
          <w:tcPr>
            <w:tcW w:w="9520" w:type="dxa"/>
            <w:vAlign w:val="bottom"/>
          </w:tcPr>
          <w:p>
            <w:pPr>
              <w:spacing w:after="0"/>
              <w:rPr>
                <w:sz w:val="20"/>
                <w:szCs w:val="20"/>
                <w:color w:val="auto"/>
              </w:rPr>
            </w:pPr>
            <w:r>
              <w:rPr>
                <w:rFonts w:ascii="Arial" w:cs="Arial" w:eastAsia="Arial" w:hAnsi="Arial"/>
                <w:sz w:val="13"/>
                <w:szCs w:val="13"/>
                <w:color w:val="auto"/>
              </w:rPr>
              <w:t>The following table summarizes the aggregate fair values of the assets acquired and liabilities assumed, as of the date of the acquisitions (in millions):</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36"/>
        </w:trPr>
        <w:tc>
          <w:tcPr>
            <w:tcW w:w="240" w:type="dxa"/>
            <w:vAlign w:val="bottom"/>
          </w:tcPr>
          <w:p>
            <w:pPr>
              <w:spacing w:after="0"/>
              <w:rPr>
                <w:sz w:val="11"/>
                <w:szCs w:val="11"/>
                <w:color w:val="auto"/>
              </w:rPr>
            </w:pPr>
          </w:p>
        </w:tc>
        <w:tc>
          <w:tcPr>
            <w:tcW w:w="9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4"/>
        </w:trPr>
        <w:tc>
          <w:tcPr>
            <w:tcW w:w="240" w:type="dxa"/>
            <w:vAlign w:val="bottom"/>
          </w:tcPr>
          <w:p>
            <w:pPr>
              <w:spacing w:after="0"/>
              <w:rPr>
                <w:sz w:val="15"/>
                <w:szCs w:val="15"/>
                <w:color w:val="auto"/>
              </w:rPr>
            </w:pPr>
          </w:p>
        </w:tc>
        <w:tc>
          <w:tcPr>
            <w:tcW w:w="9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Cash and cash equivalents</w:t>
            </w:r>
          </w:p>
        </w:tc>
        <w:tc>
          <w:tcPr>
            <w:tcW w:w="90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74"/>
        </w:trPr>
        <w:tc>
          <w:tcPr>
            <w:tcW w:w="240" w:type="dxa"/>
            <w:vAlign w:val="bottom"/>
          </w:tcPr>
          <w:p>
            <w:pPr>
              <w:spacing w:after="0"/>
              <w:rPr>
                <w:sz w:val="15"/>
                <w:szCs w:val="15"/>
                <w:color w:val="auto"/>
              </w:rPr>
            </w:pPr>
          </w:p>
        </w:tc>
        <w:tc>
          <w:tcPr>
            <w:tcW w:w="9520" w:type="dxa"/>
            <w:vAlign w:val="bottom"/>
          </w:tcPr>
          <w:p>
            <w:pPr>
              <w:ind w:left="240"/>
              <w:spacing w:after="0"/>
              <w:rPr>
                <w:sz w:val="20"/>
                <w:szCs w:val="20"/>
                <w:color w:val="auto"/>
              </w:rPr>
            </w:pPr>
            <w:r>
              <w:rPr>
                <w:rFonts w:ascii="Arial" w:cs="Arial" w:eastAsia="Arial" w:hAnsi="Arial"/>
                <w:sz w:val="13"/>
                <w:szCs w:val="13"/>
                <w:color w:val="auto"/>
              </w:rPr>
              <w:t>Accounts receivable</w:t>
            </w:r>
          </w:p>
        </w:tc>
        <w:tc>
          <w:tcPr>
            <w:tcW w:w="9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20"/>
        </w:trPr>
        <w:tc>
          <w:tcPr>
            <w:tcW w:w="24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9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Prepaid expenses and other assets</w:t>
            </w:r>
          </w:p>
        </w:tc>
        <w:tc>
          <w:tcPr>
            <w:tcW w:w="9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74"/>
        </w:trPr>
        <w:tc>
          <w:tcPr>
            <w:tcW w:w="240" w:type="dxa"/>
            <w:vAlign w:val="bottom"/>
          </w:tcPr>
          <w:p>
            <w:pPr>
              <w:spacing w:after="0"/>
              <w:rPr>
                <w:sz w:val="15"/>
                <w:szCs w:val="15"/>
                <w:color w:val="auto"/>
              </w:rPr>
            </w:pPr>
          </w:p>
        </w:tc>
        <w:tc>
          <w:tcPr>
            <w:tcW w:w="9520" w:type="dxa"/>
            <w:vAlign w:val="bottom"/>
          </w:tcPr>
          <w:p>
            <w:pPr>
              <w:ind w:left="240"/>
              <w:spacing w:after="0"/>
              <w:rPr>
                <w:sz w:val="20"/>
                <w:szCs w:val="20"/>
                <w:color w:val="auto"/>
              </w:rPr>
            </w:pPr>
            <w:r>
              <w:rPr>
                <w:rFonts w:ascii="Arial" w:cs="Arial" w:eastAsia="Arial" w:hAnsi="Arial"/>
                <w:sz w:val="13"/>
                <w:szCs w:val="13"/>
                <w:color w:val="auto"/>
              </w:rPr>
              <w:t>Intangible assets</w:t>
            </w:r>
          </w:p>
        </w:tc>
        <w:tc>
          <w:tcPr>
            <w:tcW w:w="9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20"/>
        </w:trPr>
        <w:tc>
          <w:tcPr>
            <w:tcW w:w="24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9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Accounts payable and other</w:t>
            </w:r>
          </w:p>
        </w:tc>
        <w:tc>
          <w:tcPr>
            <w:tcW w:w="9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74"/>
        </w:trPr>
        <w:tc>
          <w:tcPr>
            <w:tcW w:w="240" w:type="dxa"/>
            <w:vAlign w:val="bottom"/>
          </w:tcPr>
          <w:p>
            <w:pPr>
              <w:spacing w:after="0"/>
              <w:rPr>
                <w:sz w:val="15"/>
                <w:szCs w:val="15"/>
                <w:color w:val="auto"/>
              </w:rPr>
            </w:pPr>
          </w:p>
        </w:tc>
        <w:tc>
          <w:tcPr>
            <w:tcW w:w="9520" w:type="dxa"/>
            <w:vAlign w:val="bottom"/>
          </w:tcPr>
          <w:p>
            <w:pPr>
              <w:ind w:left="240"/>
              <w:spacing w:after="0"/>
              <w:rPr>
                <w:sz w:val="20"/>
                <w:szCs w:val="20"/>
                <w:color w:val="auto"/>
              </w:rPr>
            </w:pPr>
            <w:r>
              <w:rPr>
                <w:rFonts w:ascii="Arial" w:cs="Arial" w:eastAsia="Arial" w:hAnsi="Arial"/>
                <w:sz w:val="13"/>
                <w:szCs w:val="13"/>
                <w:color w:val="auto"/>
              </w:rPr>
              <w:t>Unearned revenue</w:t>
            </w:r>
          </w:p>
        </w:tc>
        <w:tc>
          <w:tcPr>
            <w:tcW w:w="9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20"/>
        </w:trPr>
        <w:tc>
          <w:tcPr>
            <w:tcW w:w="240" w:type="dxa"/>
            <w:vAlign w:val="bottom"/>
          </w:tcPr>
          <w:p>
            <w:pPr>
              <w:spacing w:after="0" w:line="20" w:lineRule="exact"/>
              <w:rPr>
                <w:sz w:val="1"/>
                <w:szCs w:val="1"/>
                <w:color w:val="auto"/>
              </w:rPr>
            </w:pPr>
          </w:p>
        </w:tc>
        <w:tc>
          <w:tcPr>
            <w:tcW w:w="95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4"/>
        </w:trPr>
        <w:tc>
          <w:tcPr>
            <w:tcW w:w="240" w:type="dxa"/>
            <w:vAlign w:val="bottom"/>
          </w:tcPr>
          <w:p>
            <w:pPr>
              <w:spacing w:after="0"/>
              <w:rPr>
                <w:sz w:val="14"/>
                <w:szCs w:val="14"/>
                <w:color w:val="auto"/>
              </w:rPr>
            </w:pPr>
          </w:p>
        </w:tc>
        <w:tc>
          <w:tcPr>
            <w:tcW w:w="9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Total identifiable net assets acquired</w:t>
            </w:r>
          </w:p>
        </w:tc>
        <w:tc>
          <w:tcPr>
            <w:tcW w:w="9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74"/>
        </w:trPr>
        <w:tc>
          <w:tcPr>
            <w:tcW w:w="240" w:type="dxa"/>
            <w:vAlign w:val="bottom"/>
          </w:tcPr>
          <w:p>
            <w:pPr>
              <w:spacing w:after="0"/>
              <w:rPr>
                <w:sz w:val="15"/>
                <w:szCs w:val="15"/>
                <w:color w:val="auto"/>
              </w:rPr>
            </w:pPr>
          </w:p>
        </w:tc>
        <w:tc>
          <w:tcPr>
            <w:tcW w:w="9520" w:type="dxa"/>
            <w:vAlign w:val="bottom"/>
          </w:tcPr>
          <w:p>
            <w:pPr>
              <w:ind w:left="560"/>
              <w:spacing w:after="0"/>
              <w:rPr>
                <w:sz w:val="20"/>
                <w:szCs w:val="20"/>
                <w:color w:val="auto"/>
              </w:rPr>
            </w:pPr>
            <w:r>
              <w:rPr>
                <w:rFonts w:ascii="Arial" w:cs="Arial" w:eastAsia="Arial" w:hAnsi="Arial"/>
                <w:sz w:val="13"/>
                <w:szCs w:val="13"/>
                <w:color w:val="auto"/>
              </w:rPr>
              <w:t>Goodwill</w:t>
            </w:r>
          </w:p>
        </w:tc>
        <w:tc>
          <w:tcPr>
            <w:tcW w:w="9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20"/>
        </w:trPr>
        <w:tc>
          <w:tcPr>
            <w:tcW w:w="240" w:type="dxa"/>
            <w:vAlign w:val="bottom"/>
          </w:tcPr>
          <w:p>
            <w:pPr>
              <w:spacing w:after="0" w:line="20" w:lineRule="exact"/>
              <w:rPr>
                <w:sz w:val="1"/>
                <w:szCs w:val="1"/>
                <w:color w:val="auto"/>
              </w:rPr>
            </w:pPr>
          </w:p>
        </w:tc>
        <w:tc>
          <w:tcPr>
            <w:tcW w:w="95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4"/>
        </w:trPr>
        <w:tc>
          <w:tcPr>
            <w:tcW w:w="240" w:type="dxa"/>
            <w:vAlign w:val="bottom"/>
          </w:tcPr>
          <w:p>
            <w:pPr>
              <w:spacing w:after="0"/>
              <w:rPr>
                <w:sz w:val="14"/>
                <w:szCs w:val="14"/>
                <w:color w:val="auto"/>
              </w:rPr>
            </w:pPr>
          </w:p>
        </w:tc>
        <w:tc>
          <w:tcPr>
            <w:tcW w:w="9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Total consideration</w:t>
            </w:r>
          </w:p>
        </w:tc>
        <w:tc>
          <w:tcPr>
            <w:tcW w:w="9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w:t>
            </w:r>
          </w:p>
        </w:tc>
      </w:tr>
      <w:tr>
        <w:trPr>
          <w:trHeight w:val="174"/>
        </w:trPr>
        <w:tc>
          <w:tcPr>
            <w:tcW w:w="240" w:type="dxa"/>
            <w:vAlign w:val="bottom"/>
          </w:tcPr>
          <w:p>
            <w:pPr>
              <w:spacing w:after="0"/>
              <w:rPr>
                <w:sz w:val="15"/>
                <w:szCs w:val="15"/>
                <w:color w:val="auto"/>
              </w:rPr>
            </w:pPr>
          </w:p>
        </w:tc>
        <w:tc>
          <w:tcPr>
            <w:tcW w:w="9520" w:type="dxa"/>
            <w:vAlign w:val="bottom"/>
          </w:tcPr>
          <w:p>
            <w:pPr>
              <w:ind w:left="560"/>
              <w:spacing w:after="0"/>
              <w:rPr>
                <w:sz w:val="20"/>
                <w:szCs w:val="20"/>
                <w:color w:val="auto"/>
              </w:rPr>
            </w:pPr>
            <w:r>
              <w:rPr>
                <w:rFonts w:ascii="Arial" w:cs="Arial" w:eastAsia="Arial" w:hAnsi="Arial"/>
                <w:sz w:val="13"/>
                <w:szCs w:val="13"/>
                <w:color w:val="auto"/>
              </w:rPr>
              <w:t>Issuance of 67,075 Class A shares</w:t>
            </w:r>
          </w:p>
        </w:tc>
        <w:tc>
          <w:tcPr>
            <w:tcW w:w="9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0"/>
        </w:trPr>
        <w:tc>
          <w:tcPr>
            <w:tcW w:w="24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4"/>
        </w:trPr>
        <w:tc>
          <w:tcPr>
            <w:tcW w:w="240" w:type="dxa"/>
            <w:vAlign w:val="bottom"/>
          </w:tcPr>
          <w:p>
            <w:pPr>
              <w:spacing w:after="0"/>
              <w:rPr>
                <w:sz w:val="16"/>
                <w:szCs w:val="16"/>
                <w:color w:val="auto"/>
              </w:rPr>
            </w:pPr>
          </w:p>
        </w:tc>
        <w:tc>
          <w:tcPr>
            <w:tcW w:w="95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3"/>
                <w:szCs w:val="13"/>
                <w:color w:val="auto"/>
              </w:rPr>
              <w:t>Cash acquired</w:t>
            </w:r>
          </w:p>
        </w:tc>
        <w:tc>
          <w:tcPr>
            <w:tcW w:w="9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3"/>
        </w:trPr>
        <w:tc>
          <w:tcPr>
            <w:tcW w:w="240" w:type="dxa"/>
            <w:vAlign w:val="bottom"/>
          </w:tcPr>
          <w:p>
            <w:pPr>
              <w:spacing w:after="0"/>
              <w:rPr>
                <w:sz w:val="14"/>
                <w:szCs w:val="14"/>
                <w:color w:val="auto"/>
              </w:rPr>
            </w:pPr>
          </w:p>
        </w:tc>
        <w:tc>
          <w:tcPr>
            <w:tcW w:w="9520" w:type="dxa"/>
            <w:vAlign w:val="bottom"/>
          </w:tcPr>
          <w:p>
            <w:pPr>
              <w:ind w:left="240"/>
              <w:spacing w:after="0"/>
              <w:rPr>
                <w:sz w:val="20"/>
                <w:szCs w:val="20"/>
                <w:color w:val="auto"/>
              </w:rPr>
            </w:pPr>
            <w:r>
              <w:rPr>
                <w:rFonts w:ascii="Arial" w:cs="Arial" w:eastAsia="Arial" w:hAnsi="Arial"/>
                <w:sz w:val="13"/>
                <w:szCs w:val="13"/>
                <w:color w:val="auto"/>
              </w:rPr>
              <w:t>Cash paid for acquisitions</w:t>
            </w:r>
          </w:p>
        </w:tc>
        <w:tc>
          <w:tcPr>
            <w:tcW w:w="900" w:type="dxa"/>
            <w:vAlign w:val="bottom"/>
            <w:tcBorders>
              <w:top w:val="single" w:sz="8" w:color="auto"/>
            </w:tcBorders>
          </w:tcPr>
          <w:p>
            <w:pPr>
              <w:jc w:val="right"/>
              <w:ind w:right="535"/>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66</w:t>
            </w:r>
          </w:p>
        </w:tc>
      </w:tr>
    </w:tbl>
    <w:p>
      <w:pPr>
        <w:spacing w:after="0" w:line="196" w:lineRule="exact"/>
        <w:rPr>
          <w:sz w:val="20"/>
          <w:szCs w:val="20"/>
          <w:color w:val="auto"/>
        </w:rPr>
      </w:pPr>
    </w:p>
    <w:p>
      <w:pPr>
        <w:ind w:right="80" w:firstLine="233"/>
        <w:spacing w:after="0" w:line="270" w:lineRule="auto"/>
        <w:rPr>
          <w:sz w:val="20"/>
          <w:szCs w:val="20"/>
          <w:color w:val="auto"/>
        </w:rPr>
      </w:pPr>
      <w:r>
        <w:rPr>
          <w:rFonts w:ascii="Arial" w:cs="Arial" w:eastAsia="Arial" w:hAnsi="Arial"/>
          <w:sz w:val="13"/>
          <w:szCs w:val="13"/>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sets forth the components of identifiable intangible assets acquired and the estimated useful lives as of the dates of acquisition (in millions):</w:t>
      </w:r>
    </w:p>
    <w:p>
      <w:pPr>
        <w:spacing w:after="0" w:line="153" w:lineRule="exact"/>
        <w:rPr>
          <w:sz w:val="20"/>
          <w:szCs w:val="20"/>
          <w:color w:val="auto"/>
        </w:rPr>
      </w:pPr>
    </w:p>
    <w:tbl>
      <w:tblPr>
        <w:tblLayout w:type="fixed"/>
        <w:tblInd w:w="240" w:type="dxa"/>
        <w:tblCellMar>
          <w:top w:w="0" w:type="dxa"/>
          <w:left w:w="0" w:type="dxa"/>
          <w:bottom w:w="0" w:type="dxa"/>
          <w:right w:w="0" w:type="dxa"/>
        </w:tblCellMar>
      </w:tblPr>
      <w:tr>
        <w:trPr>
          <w:trHeight w:val="116"/>
        </w:trPr>
        <w:tc>
          <w:tcPr>
            <w:tcW w:w="78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ind w:left="340"/>
              <w:spacing w:after="0"/>
              <w:rPr>
                <w:sz w:val="20"/>
                <w:szCs w:val="20"/>
                <w:color w:val="auto"/>
              </w:rPr>
            </w:pPr>
            <w:r>
              <w:rPr>
                <w:rFonts w:ascii="Arial" w:cs="Arial" w:eastAsia="Arial" w:hAnsi="Arial"/>
                <w:sz w:val="10"/>
                <w:szCs w:val="10"/>
                <w:b w:val="1"/>
                <w:bCs w:val="1"/>
                <w:color w:val="auto"/>
                <w:w w:val="88"/>
              </w:rPr>
              <w:t>Weighted Average Usefu</w:t>
            </w:r>
          </w:p>
        </w:tc>
      </w:tr>
      <w:tr>
        <w:trPr>
          <w:trHeight w:val="143"/>
        </w:trPr>
        <w:tc>
          <w:tcPr>
            <w:tcW w:w="78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rPr>
              <w:t>Fair Value</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ind w:left="700"/>
              <w:spacing w:after="0"/>
              <w:rPr>
                <w:sz w:val="20"/>
                <w:szCs w:val="20"/>
                <w:color w:val="auto"/>
              </w:rPr>
            </w:pPr>
            <w:r>
              <w:rPr>
                <w:rFonts w:ascii="Arial" w:cs="Arial" w:eastAsia="Arial" w:hAnsi="Arial"/>
                <w:sz w:val="10"/>
                <w:szCs w:val="10"/>
                <w:b w:val="1"/>
                <w:bCs w:val="1"/>
                <w:color w:val="auto"/>
              </w:rPr>
              <w:t>Life</w:t>
            </w:r>
          </w:p>
        </w:tc>
      </w:tr>
      <w:tr>
        <w:trPr>
          <w:trHeight w:val="173"/>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Brand portfolio</w:t>
            </w:r>
          </w:p>
        </w:tc>
        <w:tc>
          <w:tcPr>
            <w:tcW w:w="1360" w:type="dxa"/>
            <w:vAlign w:val="bottom"/>
            <w:tcBorders>
              <w:bottom w:val="single" w:sz="8" w:color="CCEEFF"/>
            </w:tcBorders>
            <w:shd w:val="clear" w:color="auto" w:fill="CCEEFF"/>
          </w:tcPr>
          <w:p>
            <w:pPr>
              <w:jc w:val="right"/>
              <w:ind w:right="98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3"/>
                <w:szCs w:val="13"/>
                <w:color w:val="auto"/>
              </w:rPr>
              <w:t>6.5 years</w:t>
            </w:r>
          </w:p>
        </w:tc>
      </w:tr>
      <w:tr>
        <w:trPr>
          <w:trHeight w:val="174"/>
        </w:trPr>
        <w:tc>
          <w:tcPr>
            <w:tcW w:w="7880" w:type="dxa"/>
            <w:vAlign w:val="bottom"/>
          </w:tcPr>
          <w:p>
            <w:pPr>
              <w:ind w:left="240"/>
              <w:spacing w:after="0"/>
              <w:rPr>
                <w:sz w:val="20"/>
                <w:szCs w:val="20"/>
                <w:color w:val="auto"/>
              </w:rPr>
            </w:pPr>
            <w:r>
              <w:rPr>
                <w:rFonts w:ascii="Arial" w:cs="Arial" w:eastAsia="Arial" w:hAnsi="Arial"/>
                <w:sz w:val="13"/>
                <w:szCs w:val="13"/>
                <w:color w:val="auto"/>
              </w:rPr>
              <w:t>Developed technology</w:t>
            </w:r>
          </w:p>
        </w:tc>
        <w:tc>
          <w:tcPr>
            <w:tcW w:w="13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29.6</w:t>
            </w:r>
          </w:p>
        </w:tc>
        <w:tc>
          <w:tcPr>
            <w:tcW w:w="80" w:type="dxa"/>
            <w:vAlign w:val="bottom"/>
          </w:tcPr>
          <w:p>
            <w:pPr>
              <w:spacing w:after="0"/>
              <w:rPr>
                <w:sz w:val="15"/>
                <w:szCs w:val="15"/>
                <w:color w:val="auto"/>
              </w:rPr>
            </w:pPr>
          </w:p>
        </w:tc>
        <w:tc>
          <w:tcPr>
            <w:tcW w:w="1400" w:type="dxa"/>
            <w:vAlign w:val="bottom"/>
          </w:tcPr>
          <w:p>
            <w:pPr>
              <w:ind w:left="660"/>
              <w:spacing w:after="0"/>
              <w:rPr>
                <w:sz w:val="20"/>
                <w:szCs w:val="20"/>
                <w:color w:val="auto"/>
              </w:rPr>
            </w:pPr>
            <w:r>
              <w:rPr>
                <w:rFonts w:ascii="Arial" w:cs="Arial" w:eastAsia="Arial" w:hAnsi="Arial"/>
                <w:sz w:val="13"/>
                <w:szCs w:val="13"/>
                <w:color w:val="auto"/>
              </w:rPr>
              <w:t>7.0 years</w:t>
            </w:r>
          </w:p>
        </w:tc>
      </w:tr>
      <w:tr>
        <w:trPr>
          <w:trHeight w:val="20"/>
        </w:trPr>
        <w:tc>
          <w:tcPr>
            <w:tcW w:w="7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74"/>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Database</w:t>
            </w:r>
          </w:p>
        </w:tc>
        <w:tc>
          <w:tcPr>
            <w:tcW w:w="13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3"/>
                <w:szCs w:val="13"/>
                <w:color w:val="auto"/>
              </w:rPr>
              <w:t>4.0 years</w:t>
            </w:r>
          </w:p>
        </w:tc>
      </w:tr>
      <w:tr>
        <w:trPr>
          <w:trHeight w:val="174"/>
        </w:trPr>
        <w:tc>
          <w:tcPr>
            <w:tcW w:w="7880" w:type="dxa"/>
            <w:vAlign w:val="bottom"/>
          </w:tcPr>
          <w:p>
            <w:pPr>
              <w:ind w:left="240"/>
              <w:spacing w:after="0"/>
              <w:rPr>
                <w:sz w:val="20"/>
                <w:szCs w:val="20"/>
                <w:color w:val="auto"/>
              </w:rPr>
            </w:pPr>
            <w:r>
              <w:rPr>
                <w:rFonts w:ascii="Arial" w:cs="Arial" w:eastAsia="Arial" w:hAnsi="Arial"/>
                <w:sz w:val="13"/>
                <w:szCs w:val="13"/>
                <w:color w:val="auto"/>
              </w:rPr>
              <w:t>Customer relationships</w:t>
            </w:r>
          </w:p>
        </w:tc>
        <w:tc>
          <w:tcPr>
            <w:tcW w:w="13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5"/>
                <w:szCs w:val="15"/>
                <w:color w:val="auto"/>
              </w:rPr>
            </w:pPr>
          </w:p>
        </w:tc>
        <w:tc>
          <w:tcPr>
            <w:tcW w:w="1400" w:type="dxa"/>
            <w:vAlign w:val="bottom"/>
          </w:tcPr>
          <w:p>
            <w:pPr>
              <w:ind w:left="660"/>
              <w:spacing w:after="0"/>
              <w:rPr>
                <w:sz w:val="20"/>
                <w:szCs w:val="20"/>
                <w:color w:val="auto"/>
              </w:rPr>
            </w:pPr>
            <w:r>
              <w:rPr>
                <w:rFonts w:ascii="Arial" w:cs="Arial" w:eastAsia="Arial" w:hAnsi="Arial"/>
                <w:sz w:val="13"/>
                <w:szCs w:val="13"/>
                <w:color w:val="auto"/>
              </w:rPr>
              <w:t>9.3 years</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63"/>
        </w:trPr>
        <w:tc>
          <w:tcPr>
            <w:tcW w:w="78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 intangible assets</w:t>
            </w:r>
          </w:p>
        </w:tc>
        <w:tc>
          <w:tcPr>
            <w:tcW w:w="1360" w:type="dxa"/>
            <w:vAlign w:val="bottom"/>
            <w:shd w:val="clear" w:color="auto" w:fill="CCEEFF"/>
          </w:tcPr>
          <w:p>
            <w:pPr>
              <w:jc w:val="right"/>
              <w:ind w:right="9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0"/>
        </w:trPr>
        <w:tc>
          <w:tcPr>
            <w:tcW w:w="78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r>
    </w:tbl>
    <w:p>
      <w:pPr>
        <w:spacing w:after="0" w:line="166" w:lineRule="exact"/>
        <w:rPr>
          <w:sz w:val="20"/>
          <w:szCs w:val="20"/>
          <w:color w:val="auto"/>
        </w:rPr>
      </w:pPr>
    </w:p>
    <w:p>
      <w:pPr>
        <w:ind w:right="80" w:firstLine="233"/>
        <w:spacing w:after="0" w:line="270" w:lineRule="auto"/>
        <w:rPr>
          <w:sz w:val="20"/>
          <w:szCs w:val="20"/>
          <w:color w:val="auto"/>
        </w:rPr>
      </w:pPr>
      <w:r>
        <w:rPr>
          <w:rFonts w:ascii="Arial" w:cs="Arial" w:eastAsia="Arial" w:hAnsi="Arial"/>
          <w:sz w:val="13"/>
          <w:szCs w:val="13"/>
          <w:color w:val="auto"/>
        </w:rPr>
        <w:t>Developed technology represents the fair value of the technology portfolios acquired. The goodwill is primarily attributed to the expanded market opportunities when integrating technology with the Company’s technology and the assembled workforce. The goodwill balance from both acquisitions is expected to be deductible for U.S. income tax purposes.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Pro forma information related to the acquisitions has not been presented as the impact was not material to the Company’s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29" w:name="page30"/>
    <w:bookmarkEnd w:id="29"/>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5 - Cash, Cash Equivalents, and Short-term Investments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Cash, cash equivalents, and short-term investments consisted of the following as of June 30, 2021:</w:t>
      </w:r>
    </w:p>
    <w:p>
      <w:pPr>
        <w:spacing w:after="0" w:line="161" w:lineRule="exact"/>
        <w:rPr>
          <w:sz w:val="20"/>
          <w:szCs w:val="20"/>
          <w:color w:val="auto"/>
        </w:rPr>
      </w:pPr>
    </w:p>
    <w:tbl>
      <w:tblPr>
        <w:tblLayout w:type="fixed"/>
        <w:tblInd w:w="240" w:type="dxa"/>
        <w:tblCellMar>
          <w:top w:w="0" w:type="dxa"/>
          <w:left w:w="0" w:type="dxa"/>
          <w:bottom w:w="0" w:type="dxa"/>
          <w:right w:w="0" w:type="dxa"/>
        </w:tblCellMar>
      </w:tblPr>
      <w:tr>
        <w:trPr>
          <w:trHeight w:val="174"/>
        </w:trPr>
        <w:tc>
          <w:tcPr>
            <w:tcW w:w="5060" w:type="dxa"/>
            <w:vAlign w:val="bottom"/>
          </w:tcPr>
          <w:p>
            <w:pPr>
              <w:ind w:left="240"/>
              <w:spacing w:after="0"/>
              <w:rPr>
                <w:sz w:val="20"/>
                <w:szCs w:val="20"/>
                <w:color w:val="auto"/>
              </w:rPr>
            </w:pPr>
            <w:r>
              <w:rPr>
                <w:rFonts w:ascii="Arial" w:cs="Arial" w:eastAsia="Arial" w:hAnsi="Arial"/>
                <w:sz w:val="13"/>
                <w:szCs w:val="13"/>
                <w:i w:val="1"/>
                <w:iCs w:val="1"/>
                <w:color w:val="auto"/>
              </w:rPr>
              <w:t>(in millions)</w:t>
            </w:r>
          </w:p>
        </w:tc>
        <w:tc>
          <w:tcPr>
            <w:tcW w:w="40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0"/>
                <w:szCs w:val="10"/>
                <w:b w:val="1"/>
                <w:bCs w:val="1"/>
                <w:color w:val="auto"/>
              </w:rPr>
              <w:t>Amortized Cost</w:t>
            </w:r>
          </w:p>
        </w:tc>
        <w:tc>
          <w:tcPr>
            <w:tcW w:w="3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0"/>
                <w:szCs w:val="10"/>
                <w:b w:val="1"/>
                <w:bCs w:val="1"/>
                <w:color w:val="auto"/>
              </w:rPr>
              <w:t>Unrealized Gains</w:t>
            </w:r>
          </w:p>
        </w:tc>
        <w:tc>
          <w:tcPr>
            <w:tcW w:w="3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0"/>
                <w:szCs w:val="10"/>
                <w:b w:val="1"/>
                <w:bCs w:val="1"/>
                <w:color w:val="auto"/>
              </w:rPr>
              <w:t>Unrealized Losses</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w w:val="97"/>
              </w:rPr>
              <w:t>Estimated Fair Value</w:t>
            </w:r>
          </w:p>
        </w:tc>
      </w:tr>
      <w:tr>
        <w:trPr>
          <w:trHeight w:val="163"/>
        </w:trPr>
        <w:tc>
          <w:tcPr>
            <w:tcW w:w="50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Current Assets:</w:t>
            </w:r>
          </w:p>
        </w:tc>
        <w:tc>
          <w:tcPr>
            <w:tcW w:w="400" w:type="dxa"/>
            <w:vAlign w:val="bottom"/>
            <w:tcBorders>
              <w:top w:val="single" w:sz="8" w:color="auto"/>
              <w:bottom w:val="single" w:sz="8" w:color="CCEEFF"/>
            </w:tcBorders>
            <w:shd w:val="clear" w:color="auto" w:fill="CCEEFF"/>
          </w:tcPr>
          <w:p>
            <w:pPr>
              <w:spacing w:after="0"/>
              <w:rPr>
                <w:sz w:val="14"/>
                <w:szCs w:val="14"/>
                <w:color w:val="auto"/>
              </w:rPr>
            </w:pPr>
          </w:p>
        </w:tc>
        <w:tc>
          <w:tcPr>
            <w:tcW w:w="10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CCEEFF"/>
            </w:tcBorders>
            <w:shd w:val="clear" w:color="auto" w:fill="CCEEFF"/>
          </w:tcPr>
          <w:p>
            <w:pPr>
              <w:spacing w:after="0"/>
              <w:rPr>
                <w:sz w:val="14"/>
                <w:szCs w:val="14"/>
                <w:color w:val="auto"/>
              </w:rPr>
            </w:pPr>
          </w:p>
        </w:tc>
        <w:tc>
          <w:tcPr>
            <w:tcW w:w="112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74"/>
        </w:trPr>
        <w:tc>
          <w:tcPr>
            <w:tcW w:w="5060" w:type="dxa"/>
            <w:vAlign w:val="bottom"/>
          </w:tcPr>
          <w:p>
            <w:pPr>
              <w:ind w:left="380"/>
              <w:spacing w:after="0"/>
              <w:rPr>
                <w:sz w:val="20"/>
                <w:szCs w:val="20"/>
                <w:color w:val="auto"/>
              </w:rPr>
            </w:pPr>
            <w:r>
              <w:rPr>
                <w:rFonts w:ascii="Arial" w:cs="Arial" w:eastAsia="Arial" w:hAnsi="Arial"/>
                <w:sz w:val="13"/>
                <w:szCs w:val="13"/>
                <w:color w:val="auto"/>
              </w:rPr>
              <w:t>Cash</w:t>
            </w:r>
          </w:p>
        </w:tc>
        <w:tc>
          <w:tcPr>
            <w:tcW w:w="40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199.5</w:t>
            </w:r>
          </w:p>
        </w:tc>
        <w:tc>
          <w:tcPr>
            <w:tcW w:w="100" w:type="dxa"/>
            <w:vAlign w:val="bottom"/>
          </w:tcPr>
          <w:p>
            <w:pPr>
              <w:spacing w:after="0"/>
              <w:rPr>
                <w:sz w:val="15"/>
                <w:szCs w:val="15"/>
                <w:color w:val="auto"/>
              </w:rPr>
            </w:pPr>
          </w:p>
        </w:tc>
        <w:tc>
          <w:tcPr>
            <w:tcW w:w="3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0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0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199</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4"/>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Cash equivalents</w:t>
            </w:r>
          </w:p>
        </w:tc>
        <w:tc>
          <w:tcPr>
            <w:tcW w:w="4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r>
      <w:tr>
        <w:trPr>
          <w:trHeight w:val="174"/>
        </w:trPr>
        <w:tc>
          <w:tcPr>
            <w:tcW w:w="5060" w:type="dxa"/>
            <w:vAlign w:val="bottom"/>
          </w:tcPr>
          <w:p>
            <w:pPr>
              <w:ind w:left="460"/>
              <w:spacing w:after="0"/>
              <w:rPr>
                <w:sz w:val="20"/>
                <w:szCs w:val="20"/>
                <w:color w:val="auto"/>
              </w:rPr>
            </w:pPr>
            <w:r>
              <w:rPr>
                <w:rFonts w:ascii="Arial" w:cs="Arial" w:eastAsia="Arial" w:hAnsi="Arial"/>
                <w:sz w:val="13"/>
                <w:szCs w:val="13"/>
                <w:color w:val="auto"/>
              </w:rPr>
              <w:t>Corporate debt securities</w:t>
            </w: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20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20"/>
        </w:trPr>
        <w:tc>
          <w:tcPr>
            <w:tcW w:w="5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4"/>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Money market mutual funds</w:t>
            </w: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w:t>
            </w:r>
          </w:p>
        </w:tc>
      </w:tr>
      <w:tr>
        <w:trPr>
          <w:trHeight w:val="163"/>
        </w:trPr>
        <w:tc>
          <w:tcPr>
            <w:tcW w:w="5060" w:type="dxa"/>
            <w:vAlign w:val="bottom"/>
          </w:tcPr>
          <w:p>
            <w:pPr>
              <w:ind w:left="540"/>
              <w:spacing w:after="0"/>
              <w:rPr>
                <w:sz w:val="20"/>
                <w:szCs w:val="20"/>
                <w:color w:val="auto"/>
              </w:rPr>
            </w:pPr>
            <w:r>
              <w:rPr>
                <w:rFonts w:ascii="Arial" w:cs="Arial" w:eastAsia="Arial" w:hAnsi="Arial"/>
                <w:sz w:val="13"/>
                <w:szCs w:val="13"/>
                <w:color w:val="auto"/>
              </w:rPr>
              <w:t>Total cash equivalents</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133.4</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ind w:left="9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ind w:left="9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133</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4"/>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Total cash and cash equivalents</w:t>
            </w: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332.9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332</w:t>
            </w:r>
          </w:p>
        </w:tc>
      </w:tr>
      <w:tr>
        <w:trPr>
          <w:trHeight w:val="154"/>
        </w:trPr>
        <w:tc>
          <w:tcPr>
            <w:tcW w:w="5060" w:type="dxa"/>
            <w:vAlign w:val="bottom"/>
          </w:tcPr>
          <w:p>
            <w:pPr>
              <w:ind w:left="380"/>
              <w:spacing w:after="0"/>
              <w:rPr>
                <w:sz w:val="20"/>
                <w:szCs w:val="20"/>
                <w:color w:val="auto"/>
              </w:rPr>
            </w:pPr>
            <w:r>
              <w:rPr>
                <w:rFonts w:ascii="Arial" w:cs="Arial" w:eastAsia="Arial" w:hAnsi="Arial"/>
                <w:sz w:val="13"/>
                <w:szCs w:val="13"/>
                <w:color w:val="auto"/>
              </w:rPr>
              <w:t>Short-term investments:</w:t>
            </w:r>
          </w:p>
        </w:tc>
        <w:tc>
          <w:tcPr>
            <w:tcW w:w="4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r>
      <w:tr>
        <w:trPr>
          <w:trHeight w:val="20"/>
        </w:trPr>
        <w:tc>
          <w:tcPr>
            <w:tcW w:w="5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4"/>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Corporate debt securities</w:t>
            </w: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57.2</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w:t>
            </w:r>
          </w:p>
        </w:tc>
      </w:tr>
      <w:tr>
        <w:trPr>
          <w:trHeight w:val="174"/>
        </w:trPr>
        <w:tc>
          <w:tcPr>
            <w:tcW w:w="5060" w:type="dxa"/>
            <w:vAlign w:val="bottom"/>
          </w:tcPr>
          <w:p>
            <w:pPr>
              <w:ind w:left="460"/>
              <w:spacing w:after="0"/>
              <w:rPr>
                <w:sz w:val="20"/>
                <w:szCs w:val="20"/>
                <w:color w:val="auto"/>
              </w:rPr>
            </w:pPr>
            <w:r>
              <w:rPr>
                <w:rFonts w:ascii="Arial" w:cs="Arial" w:eastAsia="Arial" w:hAnsi="Arial"/>
                <w:sz w:val="13"/>
                <w:szCs w:val="13"/>
                <w:color w:val="auto"/>
              </w:rPr>
              <w:t>Securities guaranteed by U.S. government</w:t>
            </w: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20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20"/>
        </w:trPr>
        <w:tc>
          <w:tcPr>
            <w:tcW w:w="5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4"/>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Other governmental securities</w:t>
            </w: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3"/>
        </w:trPr>
        <w:tc>
          <w:tcPr>
            <w:tcW w:w="5060" w:type="dxa"/>
            <w:vAlign w:val="bottom"/>
          </w:tcPr>
          <w:p>
            <w:pPr>
              <w:ind w:left="540"/>
              <w:spacing w:after="0"/>
              <w:rPr>
                <w:sz w:val="20"/>
                <w:szCs w:val="20"/>
                <w:color w:val="auto"/>
              </w:rPr>
            </w:pPr>
            <w:r>
              <w:rPr>
                <w:rFonts w:ascii="Arial" w:cs="Arial" w:eastAsia="Arial" w:hAnsi="Arial"/>
                <w:sz w:val="13"/>
                <w:szCs w:val="13"/>
                <w:color w:val="auto"/>
              </w:rPr>
              <w:t>Total short-term investments</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66.8</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ind w:left="9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ind w:left="9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66</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2"/>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 cash, cash equivalents, and short-term investments</w:t>
            </w:r>
          </w:p>
        </w:tc>
        <w:tc>
          <w:tcPr>
            <w:tcW w:w="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w:t>
            </w:r>
          </w:p>
        </w:tc>
      </w:tr>
    </w:tbl>
    <w:p>
      <w:pPr>
        <w:spacing w:after="0" w:line="200" w:lineRule="exact"/>
        <w:rPr>
          <w:sz w:val="20"/>
          <w:szCs w:val="20"/>
          <w:color w:val="auto"/>
        </w:rPr>
      </w:pPr>
    </w:p>
    <w:p>
      <w:pPr>
        <w:spacing w:after="0" w:line="26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Cash, cash equivalents, and short-term investments consisted of the following as of December 31, 2020:</w:t>
      </w:r>
    </w:p>
    <w:p>
      <w:pPr>
        <w:spacing w:after="0" w:line="161" w:lineRule="exact"/>
        <w:rPr>
          <w:sz w:val="20"/>
          <w:szCs w:val="20"/>
          <w:color w:val="auto"/>
        </w:rPr>
      </w:pPr>
    </w:p>
    <w:tbl>
      <w:tblPr>
        <w:tblLayout w:type="fixed"/>
        <w:tblInd w:w="240" w:type="dxa"/>
        <w:tblCellMar>
          <w:top w:w="0" w:type="dxa"/>
          <w:left w:w="0" w:type="dxa"/>
          <w:bottom w:w="0" w:type="dxa"/>
          <w:right w:w="0" w:type="dxa"/>
        </w:tblCellMar>
      </w:tblPr>
      <w:tr>
        <w:trPr>
          <w:trHeight w:val="173"/>
        </w:trPr>
        <w:tc>
          <w:tcPr>
            <w:tcW w:w="5060" w:type="dxa"/>
            <w:vAlign w:val="bottom"/>
          </w:tcPr>
          <w:p>
            <w:pPr>
              <w:ind w:left="240"/>
              <w:spacing w:after="0"/>
              <w:rPr>
                <w:sz w:val="20"/>
                <w:szCs w:val="20"/>
                <w:color w:val="auto"/>
              </w:rPr>
            </w:pPr>
            <w:r>
              <w:rPr>
                <w:rFonts w:ascii="Arial" w:cs="Arial" w:eastAsia="Arial" w:hAnsi="Arial"/>
                <w:sz w:val="13"/>
                <w:szCs w:val="13"/>
                <w:i w:val="1"/>
                <w:iCs w:val="1"/>
                <w:color w:val="auto"/>
              </w:rPr>
              <w:t>(in millions)</w:t>
            </w:r>
          </w:p>
        </w:tc>
        <w:tc>
          <w:tcPr>
            <w:tcW w:w="40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0"/>
                <w:szCs w:val="10"/>
                <w:b w:val="1"/>
                <w:bCs w:val="1"/>
                <w:color w:val="auto"/>
              </w:rPr>
              <w:t>Amortized Cost</w:t>
            </w:r>
          </w:p>
        </w:tc>
        <w:tc>
          <w:tcPr>
            <w:tcW w:w="3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0"/>
                <w:szCs w:val="10"/>
                <w:b w:val="1"/>
                <w:bCs w:val="1"/>
                <w:color w:val="auto"/>
              </w:rPr>
              <w:t>Unrealized Gains</w:t>
            </w:r>
          </w:p>
        </w:tc>
        <w:tc>
          <w:tcPr>
            <w:tcW w:w="3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0"/>
                <w:szCs w:val="10"/>
                <w:b w:val="1"/>
                <w:bCs w:val="1"/>
                <w:color w:val="auto"/>
              </w:rPr>
              <w:t>Unrealized Losses</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w w:val="97"/>
              </w:rPr>
              <w:t>Estimated Fair Value</w:t>
            </w:r>
          </w:p>
        </w:tc>
      </w:tr>
      <w:tr>
        <w:trPr>
          <w:trHeight w:val="164"/>
        </w:trPr>
        <w:tc>
          <w:tcPr>
            <w:tcW w:w="5060" w:type="dxa"/>
            <w:vAlign w:val="bottom"/>
          </w:tcPr>
          <w:p>
            <w:pPr>
              <w:ind w:left="240"/>
              <w:spacing w:after="0"/>
              <w:rPr>
                <w:sz w:val="20"/>
                <w:szCs w:val="20"/>
                <w:color w:val="auto"/>
              </w:rPr>
            </w:pPr>
            <w:r>
              <w:rPr>
                <w:rFonts w:ascii="Arial" w:cs="Arial" w:eastAsia="Arial" w:hAnsi="Arial"/>
                <w:sz w:val="13"/>
                <w:szCs w:val="13"/>
                <w:color w:val="auto"/>
              </w:rPr>
              <w:t>Current Assets:</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r>
      <w:tr>
        <w:trPr>
          <w:trHeight w:val="20"/>
        </w:trPr>
        <w:tc>
          <w:tcPr>
            <w:tcW w:w="5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4"/>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Cash</w:t>
            </w:r>
          </w:p>
        </w:tc>
        <w:tc>
          <w:tcPr>
            <w:tcW w:w="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54"/>
        </w:trPr>
        <w:tc>
          <w:tcPr>
            <w:tcW w:w="5060" w:type="dxa"/>
            <w:vAlign w:val="bottom"/>
          </w:tcPr>
          <w:p>
            <w:pPr>
              <w:ind w:left="380"/>
              <w:spacing w:after="0"/>
              <w:rPr>
                <w:sz w:val="20"/>
                <w:szCs w:val="20"/>
                <w:color w:val="auto"/>
              </w:rPr>
            </w:pPr>
            <w:r>
              <w:rPr>
                <w:rFonts w:ascii="Arial" w:cs="Arial" w:eastAsia="Arial" w:hAnsi="Arial"/>
                <w:sz w:val="13"/>
                <w:szCs w:val="13"/>
                <w:color w:val="auto"/>
              </w:rPr>
              <w:t>Cash equivalents</w:t>
            </w:r>
          </w:p>
        </w:tc>
        <w:tc>
          <w:tcPr>
            <w:tcW w:w="4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r>
      <w:tr>
        <w:trPr>
          <w:trHeight w:val="20"/>
        </w:trPr>
        <w:tc>
          <w:tcPr>
            <w:tcW w:w="5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4"/>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Corporate debt securities</w:t>
            </w: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w:t>
            </w:r>
          </w:p>
        </w:tc>
      </w:tr>
      <w:tr>
        <w:trPr>
          <w:trHeight w:val="174"/>
        </w:trPr>
        <w:tc>
          <w:tcPr>
            <w:tcW w:w="5060" w:type="dxa"/>
            <w:vAlign w:val="bottom"/>
          </w:tcPr>
          <w:p>
            <w:pPr>
              <w:ind w:left="460"/>
              <w:spacing w:after="0"/>
              <w:rPr>
                <w:sz w:val="20"/>
                <w:szCs w:val="20"/>
                <w:color w:val="auto"/>
              </w:rPr>
            </w:pPr>
            <w:r>
              <w:rPr>
                <w:rFonts w:ascii="Arial" w:cs="Arial" w:eastAsia="Arial" w:hAnsi="Arial"/>
                <w:sz w:val="13"/>
                <w:szCs w:val="13"/>
                <w:color w:val="auto"/>
              </w:rPr>
              <w:t>Money market mutual funds</w:t>
            </w: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91.0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20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20"/>
        </w:trPr>
        <w:tc>
          <w:tcPr>
            <w:tcW w:w="5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4"/>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Securities guaranteed by U.S. government</w:t>
            </w: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3"/>
        </w:trPr>
        <w:tc>
          <w:tcPr>
            <w:tcW w:w="5060" w:type="dxa"/>
            <w:vAlign w:val="bottom"/>
          </w:tcPr>
          <w:p>
            <w:pPr>
              <w:ind w:left="540"/>
              <w:spacing w:after="0"/>
              <w:rPr>
                <w:sz w:val="20"/>
                <w:szCs w:val="20"/>
                <w:color w:val="auto"/>
              </w:rPr>
            </w:pPr>
            <w:r>
              <w:rPr>
                <w:rFonts w:ascii="Arial" w:cs="Arial" w:eastAsia="Arial" w:hAnsi="Arial"/>
                <w:sz w:val="13"/>
                <w:szCs w:val="13"/>
                <w:color w:val="auto"/>
              </w:rPr>
              <w:t>Total cash equivalents</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169.4</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ind w:left="9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ind w:left="9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169</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4"/>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Total cash and cash equivalents</w:t>
            </w: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269.8</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269</w:t>
            </w:r>
          </w:p>
        </w:tc>
      </w:tr>
      <w:tr>
        <w:trPr>
          <w:trHeight w:val="154"/>
        </w:trPr>
        <w:tc>
          <w:tcPr>
            <w:tcW w:w="5060" w:type="dxa"/>
            <w:vAlign w:val="bottom"/>
          </w:tcPr>
          <w:p>
            <w:pPr>
              <w:ind w:left="380"/>
              <w:spacing w:after="0"/>
              <w:rPr>
                <w:sz w:val="20"/>
                <w:szCs w:val="20"/>
                <w:color w:val="auto"/>
              </w:rPr>
            </w:pPr>
            <w:r>
              <w:rPr>
                <w:rFonts w:ascii="Arial" w:cs="Arial" w:eastAsia="Arial" w:hAnsi="Arial"/>
                <w:sz w:val="13"/>
                <w:szCs w:val="13"/>
                <w:color w:val="auto"/>
              </w:rPr>
              <w:t>Short-term investments:</w:t>
            </w:r>
          </w:p>
        </w:tc>
        <w:tc>
          <w:tcPr>
            <w:tcW w:w="4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r>
      <w:tr>
        <w:trPr>
          <w:trHeight w:val="20"/>
        </w:trPr>
        <w:tc>
          <w:tcPr>
            <w:tcW w:w="5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4"/>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Corporate debt securities</w:t>
            </w: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74"/>
        </w:trPr>
        <w:tc>
          <w:tcPr>
            <w:tcW w:w="5060" w:type="dxa"/>
            <w:vAlign w:val="bottom"/>
          </w:tcPr>
          <w:p>
            <w:pPr>
              <w:ind w:left="460"/>
              <w:spacing w:after="0"/>
              <w:rPr>
                <w:sz w:val="20"/>
                <w:szCs w:val="20"/>
                <w:color w:val="auto"/>
              </w:rPr>
            </w:pPr>
            <w:r>
              <w:rPr>
                <w:rFonts w:ascii="Arial" w:cs="Arial" w:eastAsia="Arial" w:hAnsi="Arial"/>
                <w:sz w:val="13"/>
                <w:szCs w:val="13"/>
                <w:color w:val="auto"/>
              </w:rPr>
              <w:t>Securities guaranteed by U.S. government</w:t>
            </w: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20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4"/>
        </w:trPr>
        <w:tc>
          <w:tcPr>
            <w:tcW w:w="5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Total short-term investments</w:t>
            </w: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30.6</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w:t>
            </w:r>
          </w:p>
        </w:tc>
      </w:tr>
      <w:tr>
        <w:trPr>
          <w:trHeight w:val="183"/>
        </w:trPr>
        <w:tc>
          <w:tcPr>
            <w:tcW w:w="5060" w:type="dxa"/>
            <w:vAlign w:val="bottom"/>
          </w:tcPr>
          <w:p>
            <w:pPr>
              <w:ind w:left="240"/>
              <w:spacing w:after="0"/>
              <w:rPr>
                <w:sz w:val="20"/>
                <w:szCs w:val="20"/>
                <w:color w:val="auto"/>
              </w:rPr>
            </w:pPr>
            <w:r>
              <w:rPr>
                <w:rFonts w:ascii="Arial" w:cs="Arial" w:eastAsia="Arial" w:hAnsi="Arial"/>
                <w:sz w:val="13"/>
                <w:szCs w:val="13"/>
                <w:color w:val="auto"/>
              </w:rPr>
              <w:t>Total cash, cash equivalents, and short-term investments</w:t>
            </w:r>
          </w:p>
        </w:tc>
        <w:tc>
          <w:tcPr>
            <w:tcW w:w="4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300.4</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300</w:t>
            </w:r>
          </w:p>
        </w:tc>
      </w:tr>
      <w:tr>
        <w:trPr>
          <w:trHeight w:val="20"/>
        </w:trPr>
        <w:tc>
          <w:tcPr>
            <w:tcW w:w="5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See Note 10 for further information regarding the fair value of our financial instruments.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Gross unrealized losses on our available-for sale securities were immaterial at June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30" w:name="page31"/>
    <w:bookmarkEnd w:id="30"/>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5 - Cash, Cash Equivalents, and Short-term Investments (continued)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summarizes the cost and estimated fair value of the securities classified as short-term investments based on stated effective maturities as of June 30, 2021 and December 31,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520" w:type="dxa"/>
            <w:vAlign w:val="bottom"/>
            <w:tcBorders>
              <w:bottom w:val="single" w:sz="8" w:color="auto"/>
            </w:tcBorders>
            <w:gridSpan w:val="3"/>
          </w:tcPr>
          <w:p>
            <w:pPr>
              <w:ind w:left="1800"/>
              <w:spacing w:after="0"/>
              <w:rPr>
                <w:sz w:val="20"/>
                <w:szCs w:val="20"/>
                <w:color w:val="auto"/>
              </w:rPr>
            </w:pPr>
            <w:r>
              <w:rPr>
                <w:rFonts w:ascii="Arial" w:cs="Arial" w:eastAsia="Arial" w:hAnsi="Arial"/>
                <w:sz w:val="10"/>
                <w:szCs w:val="10"/>
                <w:b w:val="1"/>
                <w:bCs w:val="1"/>
                <w:color w:val="auto"/>
              </w:rPr>
              <w:t>June 30, 2021</w:t>
            </w:r>
          </w:p>
        </w:tc>
        <w:tc>
          <w:tcPr>
            <w:tcW w:w="10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5"/>
          </w:tcPr>
          <w:p>
            <w:pPr>
              <w:jc w:val="right"/>
              <w:spacing w:after="0"/>
              <w:rPr>
                <w:sz w:val="20"/>
                <w:szCs w:val="20"/>
                <w:color w:val="auto"/>
              </w:rPr>
            </w:pPr>
            <w:r>
              <w:rPr>
                <w:rFonts w:ascii="Arial" w:cs="Arial" w:eastAsia="Arial" w:hAnsi="Arial"/>
                <w:sz w:val="10"/>
                <w:szCs w:val="10"/>
                <w:b w:val="1"/>
                <w:bCs w:val="1"/>
                <w:color w:val="auto"/>
                <w:w w:val="95"/>
              </w:rPr>
              <w:t>December 31, 2020</w:t>
            </w:r>
          </w:p>
        </w:tc>
        <w:tc>
          <w:tcPr>
            <w:tcW w:w="1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3300" w:type="dxa"/>
            <w:vAlign w:val="bottom"/>
          </w:tcPr>
          <w:p>
            <w:pPr>
              <w:ind w:left="240"/>
              <w:spacing w:after="0"/>
              <w:rPr>
                <w:sz w:val="20"/>
                <w:szCs w:val="20"/>
                <w:color w:val="auto"/>
              </w:rPr>
            </w:pPr>
            <w:r>
              <w:rPr>
                <w:rFonts w:ascii="Arial" w:cs="Arial" w:eastAsia="Arial" w:hAnsi="Arial"/>
                <w:sz w:val="13"/>
                <w:szCs w:val="13"/>
                <w:i w:val="1"/>
                <w:iCs w:val="1"/>
                <w:color w:val="auto"/>
              </w:rPr>
              <w:t>(in millions)</w:t>
            </w:r>
          </w:p>
        </w:tc>
        <w:tc>
          <w:tcPr>
            <w:tcW w:w="2520" w:type="dxa"/>
            <w:vAlign w:val="bottom"/>
            <w:gridSpan w:val="3"/>
          </w:tcPr>
          <w:p>
            <w:pPr>
              <w:ind w:left="740"/>
              <w:spacing w:after="0"/>
              <w:rPr>
                <w:sz w:val="20"/>
                <w:szCs w:val="20"/>
                <w:color w:val="auto"/>
              </w:rPr>
            </w:pPr>
            <w:r>
              <w:rPr>
                <w:rFonts w:ascii="Arial" w:cs="Arial" w:eastAsia="Arial" w:hAnsi="Arial"/>
                <w:sz w:val="10"/>
                <w:szCs w:val="10"/>
                <w:b w:val="1"/>
                <w:bCs w:val="1"/>
                <w:color w:val="auto"/>
              </w:rPr>
              <w:t>Amortized Cost</w:t>
            </w:r>
          </w:p>
        </w:tc>
        <w:tc>
          <w:tcPr>
            <w:tcW w:w="1080" w:type="dxa"/>
            <w:vAlign w:val="bottom"/>
          </w:tcPr>
          <w:p>
            <w:pPr>
              <w:ind w:left="120"/>
              <w:spacing w:after="0"/>
              <w:rPr>
                <w:sz w:val="20"/>
                <w:szCs w:val="20"/>
                <w:color w:val="auto"/>
              </w:rPr>
            </w:pPr>
            <w:r>
              <w:rPr>
                <w:rFonts w:ascii="Arial" w:cs="Arial" w:eastAsia="Arial" w:hAnsi="Arial"/>
                <w:sz w:val="10"/>
                <w:szCs w:val="10"/>
                <w:b w:val="1"/>
                <w:bCs w:val="1"/>
                <w:color w:val="auto"/>
                <w:w w:val="95"/>
              </w:rPr>
              <w:t>Estimated Fair Value</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ind w:left="20"/>
              <w:spacing w:after="0"/>
              <w:rPr>
                <w:sz w:val="20"/>
                <w:szCs w:val="20"/>
                <w:color w:val="auto"/>
              </w:rPr>
            </w:pPr>
            <w:r>
              <w:rPr>
                <w:rFonts w:ascii="Arial" w:cs="Arial" w:eastAsia="Arial" w:hAnsi="Arial"/>
                <w:sz w:val="10"/>
                <w:szCs w:val="10"/>
                <w:b w:val="1"/>
                <w:bCs w:val="1"/>
                <w:color w:val="auto"/>
              </w:rPr>
              <w:t>Amortized Cost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9"/>
              </w:rPr>
              <w:t>Estimated Fair Value</w:t>
            </w: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33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Due within one year</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8"/>
              </w:rPr>
              <w:t>$66.8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5"/>
              </w:rPr>
              <w:t>$30.6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300" w:type="dxa"/>
            <w:vAlign w:val="bottom"/>
          </w:tcPr>
          <w:p>
            <w:pPr>
              <w:ind w:left="240"/>
              <w:spacing w:after="0"/>
              <w:rPr>
                <w:sz w:val="20"/>
                <w:szCs w:val="20"/>
                <w:color w:val="auto"/>
              </w:rPr>
            </w:pPr>
            <w:r>
              <w:rPr>
                <w:rFonts w:ascii="Arial" w:cs="Arial" w:eastAsia="Arial" w:hAnsi="Arial"/>
                <w:sz w:val="13"/>
                <w:szCs w:val="13"/>
                <w:color w:val="auto"/>
              </w:rPr>
              <w:t>Total</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$66.8</w:t>
            </w:r>
          </w:p>
        </w:tc>
        <w:tc>
          <w:tcPr>
            <w:tcW w:w="80" w:type="dxa"/>
            <w:vAlign w:val="bottom"/>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8"/>
              </w:rPr>
              <w:t>$66.8</w:t>
            </w: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5"/>
              </w:rPr>
              <w:t>$30.6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Note 6 - Property and Equipment</w:t>
            </w: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54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0" w:type="dxa"/>
            <w:vAlign w:val="bottom"/>
          </w:tcPr>
          <w:p>
            <w:pPr>
              <w:spacing w:after="0"/>
              <w:rPr>
                <w:sz w:val="23"/>
                <w:szCs w:val="2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The Company’s fixed assets consist of the following:</w:t>
            </w:r>
          </w:p>
        </w:tc>
        <w:tc>
          <w:tcPr>
            <w:tcW w:w="1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Borders>
              <w:bottom w:val="single" w:sz="8" w:color="auto"/>
            </w:tcBorders>
          </w:tcPr>
          <w:p>
            <w:pPr>
              <w:jc w:val="center"/>
              <w:ind w:left="484"/>
              <w:spacing w:after="0"/>
              <w:rPr>
                <w:sz w:val="20"/>
                <w:szCs w:val="20"/>
                <w:color w:val="auto"/>
              </w:rPr>
            </w:pPr>
            <w:r>
              <w:rPr>
                <w:rFonts w:ascii="Arial" w:cs="Arial" w:eastAsia="Arial" w:hAnsi="Arial"/>
                <w:sz w:val="10"/>
                <w:szCs w:val="10"/>
                <w:b w:val="1"/>
                <w:bCs w:val="1"/>
                <w:color w:val="auto"/>
                <w:w w:val="89"/>
              </w:rPr>
              <w:t>June 30,</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78"/>
              <w:spacing w:after="0"/>
              <w:rPr>
                <w:sz w:val="20"/>
                <w:szCs w:val="20"/>
                <w:color w:val="auto"/>
              </w:rPr>
            </w:pPr>
            <w:r>
              <w:rPr>
                <w:rFonts w:ascii="Arial" w:cs="Arial" w:eastAsia="Arial" w:hAnsi="Arial"/>
                <w:sz w:val="10"/>
                <w:szCs w:val="10"/>
                <w:b w:val="1"/>
                <w:bCs w:val="1"/>
                <w:color w:val="auto"/>
              </w:rPr>
              <w:t>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60" w:type="dxa"/>
            <w:vAlign w:val="bottom"/>
            <w:gridSpan w:val="4"/>
          </w:tcPr>
          <w:p>
            <w:pPr>
              <w:jc w:val="right"/>
              <w:ind w:right="24"/>
              <w:spacing w:after="0"/>
              <w:rPr>
                <w:sz w:val="20"/>
                <w:szCs w:val="20"/>
                <w:color w:val="auto"/>
              </w:rPr>
            </w:pPr>
            <w:r>
              <w:rPr>
                <w:rFonts w:ascii="Arial" w:cs="Arial" w:eastAsia="Arial" w:hAnsi="Arial"/>
                <w:sz w:val="10"/>
                <w:szCs w:val="10"/>
                <w:b w:val="1"/>
                <w:bCs w:val="1"/>
                <w:color w:val="auto"/>
              </w:rPr>
              <w:t>2021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ind w:right="558"/>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5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millions)</w:t>
            </w: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Computer equipment</w:t>
            </w:r>
          </w:p>
        </w:tc>
        <w:tc>
          <w:tcPr>
            <w:tcW w:w="1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gridSpan w:val="4"/>
            <w:shd w:val="clear" w:color="auto" w:fill="CCEEFF"/>
          </w:tcPr>
          <w:p>
            <w:pPr>
              <w:ind w:left="116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540" w:type="dxa"/>
            <w:vAlign w:val="bottom"/>
            <w:gridSpan w:val="2"/>
          </w:tcPr>
          <w:p>
            <w:pPr>
              <w:ind w:left="20"/>
              <w:spacing w:after="0"/>
              <w:rPr>
                <w:sz w:val="20"/>
                <w:szCs w:val="20"/>
                <w:color w:val="auto"/>
              </w:rPr>
            </w:pPr>
            <w:r>
              <w:rPr>
                <w:rFonts w:ascii="Arial" w:cs="Arial" w:eastAsia="Arial" w:hAnsi="Arial"/>
                <w:sz w:val="13"/>
                <w:szCs w:val="13"/>
                <w:color w:val="auto"/>
              </w:rPr>
              <w:t>Furniture and fixtures</w:t>
            </w: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Leasehold improvements</w:t>
            </w:r>
          </w:p>
        </w:tc>
        <w:tc>
          <w:tcPr>
            <w:tcW w:w="1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540" w:type="dxa"/>
            <w:vAlign w:val="bottom"/>
            <w:gridSpan w:val="2"/>
          </w:tcPr>
          <w:p>
            <w:pPr>
              <w:ind w:left="20"/>
              <w:spacing w:after="0"/>
              <w:rPr>
                <w:sz w:val="20"/>
                <w:szCs w:val="20"/>
                <w:color w:val="auto"/>
              </w:rPr>
            </w:pPr>
            <w:r>
              <w:rPr>
                <w:rFonts w:ascii="Arial" w:cs="Arial" w:eastAsia="Arial" w:hAnsi="Arial"/>
                <w:sz w:val="13"/>
                <w:szCs w:val="13"/>
                <w:color w:val="auto"/>
              </w:rPr>
              <w:t>Internal use developed software</w:t>
            </w: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3"/>
                <w:szCs w:val="13"/>
                <w:color w:val="auto"/>
              </w:rPr>
              <w:t>34.3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28.0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Construction in progress</w:t>
            </w:r>
          </w:p>
        </w:tc>
        <w:tc>
          <w:tcPr>
            <w:tcW w:w="1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56.7</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Less: accumulated depreciation</w:t>
            </w:r>
          </w:p>
        </w:tc>
        <w:tc>
          <w:tcPr>
            <w:tcW w:w="1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(23.4)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40" w:type="dxa"/>
            <w:vAlign w:val="bottom"/>
            <w:gridSpan w:val="2"/>
          </w:tcPr>
          <w:p>
            <w:pPr>
              <w:ind w:left="160"/>
              <w:spacing w:after="0"/>
              <w:rPr>
                <w:sz w:val="20"/>
                <w:szCs w:val="20"/>
                <w:color w:val="auto"/>
              </w:rPr>
            </w:pPr>
            <w:r>
              <w:rPr>
                <w:rFonts w:ascii="Arial" w:cs="Arial" w:eastAsia="Arial" w:hAnsi="Arial"/>
                <w:sz w:val="13"/>
                <w:szCs w:val="13"/>
                <w:color w:val="auto"/>
              </w:rPr>
              <w:t>Property and equipment, net</w:t>
            </w: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gridSpan w:val="3"/>
          </w:tcPr>
          <w:p>
            <w:pPr>
              <w:spacing w:after="0"/>
              <w:rPr>
                <w:sz w:val="15"/>
                <w:szCs w:val="15"/>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33.3</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right="80" w:firstLine="233"/>
        <w:spacing w:after="0" w:line="259" w:lineRule="auto"/>
        <w:rPr>
          <w:sz w:val="20"/>
          <w:szCs w:val="20"/>
          <w:color w:val="auto"/>
        </w:rPr>
      </w:pPr>
      <w:r>
        <w:rPr>
          <w:rFonts w:ascii="Arial" w:cs="Arial" w:eastAsia="Arial" w:hAnsi="Arial"/>
          <w:sz w:val="13"/>
          <w:szCs w:val="13"/>
          <w:color w:val="auto"/>
        </w:rPr>
        <w:t xml:space="preserve">During the six months ended June 30, 2021, in relation to our Waltham office relocation, we recorded an impairment charge of $2.7 million, comprised of $1.5 million relating to the operating lease right-of-use asset, and $1.2 million relating to the leasehold improvements. We also recorded accelerated depreciation of furniture and fixtures of $2.1 million. These charges were recognized within </w:t>
      </w:r>
      <w:r>
        <w:rPr>
          <w:rFonts w:ascii="Arial" w:cs="Arial" w:eastAsia="Arial" w:hAnsi="Arial"/>
          <w:sz w:val="13"/>
          <w:szCs w:val="13"/>
          <w:i w:val="1"/>
          <w:iCs w:val="1"/>
          <w:color w:val="auto"/>
        </w:rPr>
        <w:t>Restructuring and transaction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related expenses </w:t>
      </w:r>
      <w:r>
        <w:rPr>
          <w:rFonts w:ascii="Arial" w:cs="Arial" w:eastAsia="Arial" w:hAnsi="Arial"/>
          <w:sz w:val="13"/>
          <w:szCs w:val="13"/>
          <w:color w:val="auto"/>
        </w:rPr>
        <w:t>in our Consolidated Statements of Operations.</w:t>
      </w:r>
    </w:p>
    <w:p>
      <w:pPr>
        <w:spacing w:after="0" w:line="98" w:lineRule="exact"/>
        <w:rPr>
          <w:sz w:val="20"/>
          <w:szCs w:val="20"/>
          <w:color w:val="auto"/>
        </w:rPr>
      </w:pPr>
    </w:p>
    <w:p>
      <w:pPr>
        <w:jc w:val="both"/>
        <w:ind w:right="80" w:firstLine="233"/>
        <w:spacing w:after="0" w:line="270" w:lineRule="auto"/>
        <w:rPr>
          <w:sz w:val="20"/>
          <w:szCs w:val="20"/>
          <w:color w:val="auto"/>
        </w:rPr>
      </w:pPr>
      <w:r>
        <w:rPr>
          <w:rFonts w:ascii="Arial" w:cs="Arial" w:eastAsia="Arial" w:hAnsi="Arial"/>
          <w:sz w:val="13"/>
          <w:szCs w:val="13"/>
          <w:color w:val="auto"/>
        </w:rPr>
        <w:t>Depreciation expense was $3.5 million and $2.1 million for the three months ended June 30, 2021 and 2020, respectively. Depreciation expense was $7.5 million and $4.0 million for the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31" w:name="page32"/>
    <w:bookmarkEnd w:id="31"/>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Note 7 - Goodwill and Acquired Intangible Assets</w:t>
      </w:r>
    </w:p>
    <w:p>
      <w:pPr>
        <w:sectPr>
          <w:pgSz w:w="11900" w:h="16838" w:orient="portrait"/>
          <w:cols w:equalWidth="0" w:num="1">
            <w:col w:w="11360"/>
          </w:cols>
          <w:pgMar w:left="300" w:top="125" w:right="239" w:bottom="1440" w:gutter="0" w:footer="0" w:header="0"/>
        </w:sectPr>
      </w:pPr>
    </w:p>
    <w:p>
      <w:pPr>
        <w:spacing w:after="0" w:line="149" w:lineRule="exact"/>
        <w:rPr>
          <w:sz w:val="20"/>
          <w:szCs w:val="20"/>
          <w:color w:val="auto"/>
        </w:rPr>
      </w:pPr>
    </w:p>
    <w:p>
      <w:pPr>
        <w:ind w:left="240"/>
        <w:spacing w:after="0"/>
        <w:rPr>
          <w:sz w:val="20"/>
          <w:szCs w:val="20"/>
          <w:color w:val="auto"/>
        </w:rPr>
      </w:pPr>
      <w:r>
        <w:rPr>
          <w:rFonts w:ascii="Arial" w:cs="Arial" w:eastAsia="Arial" w:hAnsi="Arial"/>
          <w:sz w:val="11"/>
          <w:szCs w:val="11"/>
          <w:color w:val="auto"/>
        </w:rPr>
        <w:t>Intangible assets consisted of the following as of June 30, 2021:</w:t>
      </w:r>
    </w:p>
    <w:p>
      <w:pPr>
        <w:spacing w:after="0" w:line="261" w:lineRule="exact"/>
        <w:rPr>
          <w:sz w:val="20"/>
          <w:szCs w:val="20"/>
          <w:color w:val="auto"/>
        </w:rPr>
      </w:pPr>
    </w:p>
    <w:p>
      <w:pPr>
        <w:ind w:left="480"/>
        <w:spacing w:after="0"/>
        <w:rPr>
          <w:sz w:val="20"/>
          <w:szCs w:val="20"/>
          <w:color w:val="auto"/>
        </w:rPr>
      </w:pPr>
      <w:r>
        <w:rPr>
          <w:rFonts w:ascii="Arial" w:cs="Arial" w:eastAsia="Arial" w:hAnsi="Arial"/>
          <w:sz w:val="13"/>
          <w:szCs w:val="13"/>
          <w:i w:val="1"/>
          <w:iCs w:val="1"/>
          <w:color w:val="auto"/>
        </w:rPr>
        <w:t>(in millions)</w:t>
      </w:r>
    </w:p>
    <w:p>
      <w:pPr>
        <w:spacing w:after="0" w:line="4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Intangible assets subject to amortization:</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3"/>
          <w:szCs w:val="13"/>
          <w:color w:val="auto"/>
        </w:rPr>
        <w:t>Customer relationships</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3"/>
          <w:szCs w:val="13"/>
          <w:color w:val="auto"/>
        </w:rPr>
        <w:t>Acquired technology</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3"/>
          <w:szCs w:val="13"/>
          <w:color w:val="auto"/>
        </w:rPr>
        <w:t>Brand portfolio</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3"/>
          <w:szCs w:val="13"/>
          <w:color w:val="auto"/>
        </w:rPr>
        <w:t>Net intangible assets subject to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6"/>
        </w:trPr>
        <w:tc>
          <w:tcPr>
            <w:tcW w:w="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jc w:val="right"/>
              <w:ind w:right="8"/>
              <w:spacing w:after="0"/>
              <w:rPr>
                <w:sz w:val="20"/>
                <w:szCs w:val="20"/>
                <w:color w:val="auto"/>
              </w:rPr>
            </w:pPr>
            <w:r>
              <w:rPr>
                <w:rFonts w:ascii="Arial" w:cs="Arial" w:eastAsia="Arial" w:hAnsi="Arial"/>
                <w:sz w:val="10"/>
                <w:szCs w:val="10"/>
                <w:b w:val="1"/>
                <w:bCs w:val="1"/>
                <w:color w:val="auto"/>
              </w:rPr>
              <w:t>Weighted Average</w:t>
            </w:r>
          </w:p>
        </w:tc>
      </w:tr>
      <w:tr>
        <w:trPr>
          <w:trHeight w:val="143"/>
        </w:trPr>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w w:val="98"/>
              </w:rPr>
              <w:t>Gross Carrying Amount</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4"/>
              </w:rPr>
              <w:t>Accumulated Amortization</w:t>
            </w:r>
          </w:p>
        </w:tc>
        <w:tc>
          <w:tcPr>
            <w:tcW w:w="1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98"/>
              <w:spacing w:after="0"/>
              <w:rPr>
                <w:sz w:val="20"/>
                <w:szCs w:val="20"/>
                <w:color w:val="auto"/>
              </w:rPr>
            </w:pPr>
            <w:r>
              <w:rPr>
                <w:rFonts w:ascii="Arial" w:cs="Arial" w:eastAsia="Arial" w:hAnsi="Arial"/>
                <w:sz w:val="10"/>
                <w:szCs w:val="10"/>
                <w:b w:val="1"/>
                <w:bCs w:val="1"/>
                <w:color w:val="auto"/>
              </w:rPr>
              <w:t>Net</w:t>
            </w:r>
          </w:p>
        </w:tc>
        <w:tc>
          <w:tcPr>
            <w:tcW w:w="100" w:type="dxa"/>
            <w:vAlign w:val="bottom"/>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Amortization Period in Year</w:t>
            </w:r>
          </w:p>
        </w:tc>
      </w:tr>
      <w:tr>
        <w:trPr>
          <w:trHeight w:val="357"/>
        </w:trPr>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272.2</w:t>
            </w:r>
          </w:p>
        </w:tc>
        <w:tc>
          <w:tcPr>
            <w:tcW w:w="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(61.9)</w:t>
            </w:r>
          </w:p>
        </w:tc>
        <w:tc>
          <w:tcPr>
            <w:tcW w:w="100" w:type="dxa"/>
            <w:vAlign w:val="bottom"/>
          </w:tcPr>
          <w:p>
            <w:pPr>
              <w:spacing w:after="0"/>
              <w:rPr>
                <w:sz w:val="24"/>
                <w:szCs w:val="24"/>
                <w:color w:val="auto"/>
              </w:rPr>
            </w:pPr>
          </w:p>
        </w:tc>
        <w:tc>
          <w:tcPr>
            <w:tcW w:w="6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210.3</w:t>
            </w: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194"/>
        </w:trPr>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206.9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(99.2)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107.7</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4"/>
        </w:trPr>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63"/>
        </w:trPr>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485.6</w:t>
            </w: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(164.5)</w:t>
            </w:r>
          </w:p>
        </w:tc>
        <w:tc>
          <w:tcPr>
            <w:tcW w:w="100" w:type="dxa"/>
            <w:vAlign w:val="bottom"/>
          </w:tcPr>
          <w:p>
            <w:pPr>
              <w:spacing w:after="0"/>
              <w:rPr>
                <w:sz w:val="14"/>
                <w:szCs w:val="14"/>
                <w:color w:val="auto"/>
              </w:rPr>
            </w:pPr>
          </w:p>
        </w:tc>
        <w:tc>
          <w:tcPr>
            <w:tcW w:w="60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321.1</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-645795</wp:posOffset>
            </wp:positionV>
            <wp:extent cx="7067550" cy="123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67550" cy="123190"/>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-399415</wp:posOffset>
            </wp:positionV>
            <wp:extent cx="7067550" cy="123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67550" cy="123190"/>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-153035</wp:posOffset>
            </wp:positionV>
            <wp:extent cx="7067550" cy="141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67550" cy="14160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3860" w:space="720"/>
            <w:col w:w="6780"/>
          </w:cols>
          <w:pgMar w:left="300" w:top="125" w:right="239" w:bottom="1440" w:gutter="0" w:footer="0" w:header="0"/>
          <w:type w:val="continuous"/>
        </w:sectPr>
      </w:pPr>
    </w:p>
    <w:tbl>
      <w:tblPr>
        <w:tblLayout w:type="fixed"/>
        <w:tblInd w:w="240" w:type="dxa"/>
        <w:tblCellMar>
          <w:top w:w="0" w:type="dxa"/>
          <w:left w:w="0" w:type="dxa"/>
          <w:bottom w:w="0" w:type="dxa"/>
          <w:right w:w="0" w:type="dxa"/>
        </w:tblCellMar>
      </w:tblPr>
      <w:tr>
        <w:trPr>
          <w:trHeight w:val="194"/>
        </w:trPr>
        <w:tc>
          <w:tcPr>
            <w:tcW w:w="35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Intangible assets not subject to amortization</w:t>
            </w:r>
          </w:p>
        </w:tc>
        <w:tc>
          <w:tcPr>
            <w:tcW w:w="16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r>
      <w:tr>
        <w:trPr>
          <w:trHeight w:val="174"/>
        </w:trPr>
        <w:tc>
          <w:tcPr>
            <w:tcW w:w="3540" w:type="dxa"/>
            <w:vAlign w:val="bottom"/>
          </w:tcPr>
          <w:p>
            <w:pPr>
              <w:ind w:left="380"/>
              <w:spacing w:after="0"/>
              <w:rPr>
                <w:sz w:val="20"/>
                <w:szCs w:val="20"/>
                <w:color w:val="auto"/>
              </w:rPr>
            </w:pPr>
            <w:r>
              <w:rPr>
                <w:rFonts w:ascii="Arial" w:cs="Arial" w:eastAsia="Arial" w:hAnsi="Arial"/>
                <w:sz w:val="13"/>
                <w:szCs w:val="13"/>
                <w:color w:val="auto"/>
              </w:rPr>
              <w:t>Pre-Acquisition ZI brand portfolio</w:t>
            </w:r>
          </w:p>
        </w:tc>
        <w:tc>
          <w:tcPr>
            <w:tcW w:w="1600" w:type="dxa"/>
            <w:vAlign w:val="bottom"/>
          </w:tcPr>
          <w:p>
            <w:pPr>
              <w:jc w:val="right"/>
              <w:ind w:right="415"/>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35"/>
              <w:spacing w:after="0"/>
              <w:rPr>
                <w:sz w:val="20"/>
                <w:szCs w:val="20"/>
                <w:color w:val="auto"/>
              </w:rPr>
            </w:pPr>
            <w:r>
              <w:rPr>
                <w:rFonts w:ascii="Arial" w:cs="Arial" w:eastAsia="Arial" w:hAnsi="Arial"/>
                <w:sz w:val="13"/>
                <w:szCs w:val="13"/>
                <w:color w:val="auto"/>
              </w:rPr>
              <w:t>33.0</w:t>
            </w:r>
          </w:p>
        </w:tc>
        <w:tc>
          <w:tcPr>
            <w:tcW w:w="880" w:type="dxa"/>
            <w:vAlign w:val="bottom"/>
          </w:tcPr>
          <w:p>
            <w:pPr>
              <w:jc w:val="right"/>
              <w:ind w:right="555"/>
              <w:spacing w:after="0"/>
              <w:rPr>
                <w:sz w:val="20"/>
                <w:szCs w:val="20"/>
                <w:color w:val="auto"/>
              </w:rPr>
            </w:pPr>
            <w:r>
              <w:rPr>
                <w:rFonts w:ascii="Arial" w:cs="Arial" w:eastAsia="Arial" w:hAnsi="Arial"/>
                <w:sz w:val="13"/>
                <w:szCs w:val="13"/>
                <w:color w:val="auto"/>
              </w:rPr>
              <w:t>$</w:t>
            </w:r>
          </w:p>
        </w:tc>
        <w:tc>
          <w:tcPr>
            <w:tcW w:w="940" w:type="dxa"/>
            <w:vAlign w:val="bottom"/>
          </w:tcPr>
          <w:p>
            <w:pPr>
              <w:ind w:left="60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415"/>
              <w:spacing w:after="0"/>
              <w:rPr>
                <w:sz w:val="20"/>
                <w:szCs w:val="20"/>
                <w:color w:val="auto"/>
              </w:rPr>
            </w:pPr>
            <w:r>
              <w:rPr>
                <w:rFonts w:ascii="Arial" w:cs="Arial" w:eastAsia="Arial" w:hAnsi="Arial"/>
                <w:sz w:val="13"/>
                <w:szCs w:val="13"/>
                <w:color w:val="auto"/>
              </w:rPr>
              <w:t>$</w:t>
            </w:r>
          </w:p>
        </w:tc>
        <w:tc>
          <w:tcPr>
            <w:tcW w:w="2360" w:type="dxa"/>
            <w:vAlign w:val="bottom"/>
          </w:tcPr>
          <w:p>
            <w:pPr>
              <w:jc w:val="right"/>
              <w:ind w:right="1435"/>
              <w:spacing w:after="0"/>
              <w:rPr>
                <w:sz w:val="20"/>
                <w:szCs w:val="20"/>
                <w:color w:val="auto"/>
              </w:rPr>
            </w:pPr>
            <w:r>
              <w:rPr>
                <w:rFonts w:ascii="Arial" w:cs="Arial" w:eastAsia="Arial" w:hAnsi="Arial"/>
                <w:sz w:val="13"/>
                <w:szCs w:val="13"/>
                <w:color w:val="auto"/>
              </w:rPr>
              <w:t>33.0</w:t>
            </w:r>
          </w:p>
        </w:tc>
      </w:tr>
      <w:tr>
        <w:trPr>
          <w:trHeight w:val="20"/>
        </w:trPr>
        <w:tc>
          <w:tcPr>
            <w:tcW w:w="3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74"/>
        </w:trPr>
        <w:tc>
          <w:tcPr>
            <w:tcW w:w="35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Goodwill</w:t>
            </w:r>
          </w:p>
        </w:tc>
        <w:tc>
          <w:tcPr>
            <w:tcW w:w="1600" w:type="dxa"/>
            <w:vAlign w:val="bottom"/>
            <w:shd w:val="clear" w:color="auto" w:fill="CCEEFF"/>
          </w:tcPr>
          <w:p>
            <w:pPr>
              <w:jc w:val="right"/>
              <w:ind w:right="415"/>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1,023.8</w:t>
            </w:r>
          </w:p>
        </w:tc>
        <w:tc>
          <w:tcPr>
            <w:tcW w:w="880" w:type="dxa"/>
            <w:vAlign w:val="bottom"/>
            <w:shd w:val="clear" w:color="auto" w:fill="CCEEFF"/>
          </w:tcPr>
          <w:p>
            <w:pPr>
              <w:jc w:val="right"/>
              <w:ind w:right="555"/>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415"/>
              <w:spacing w:after="0"/>
              <w:rPr>
                <w:sz w:val="20"/>
                <w:szCs w:val="20"/>
                <w:color w:val="auto"/>
              </w:rPr>
            </w:pPr>
            <w:r>
              <w:rPr>
                <w:rFonts w:ascii="Arial" w:cs="Arial" w:eastAsia="Arial" w:hAnsi="Arial"/>
                <w:sz w:val="13"/>
                <w:szCs w:val="13"/>
                <w:color w:val="auto"/>
              </w:rPr>
              <w:t>$</w:t>
            </w:r>
          </w:p>
        </w:tc>
        <w:tc>
          <w:tcPr>
            <w:tcW w:w="2360" w:type="dxa"/>
            <w:vAlign w:val="bottom"/>
            <w:shd w:val="clear" w:color="auto" w:fill="CCEEFF"/>
          </w:tcPr>
          <w:p>
            <w:pPr>
              <w:jc w:val="right"/>
              <w:ind w:right="1435"/>
              <w:spacing w:after="0"/>
              <w:rPr>
                <w:sz w:val="20"/>
                <w:szCs w:val="20"/>
                <w:color w:val="auto"/>
              </w:rPr>
            </w:pPr>
            <w:r>
              <w:rPr>
                <w:rFonts w:ascii="Arial" w:cs="Arial" w:eastAsia="Arial" w:hAnsi="Arial"/>
                <w:sz w:val="13"/>
                <w:szCs w:val="13"/>
                <w:color w:val="auto"/>
              </w:rPr>
              <w:t>1,023.8</w:t>
            </w:r>
          </w:p>
        </w:tc>
      </w:tr>
      <w:tr>
        <w:trPr>
          <w:trHeight w:val="20"/>
        </w:trPr>
        <w:tc>
          <w:tcPr>
            <w:tcW w:w="354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r>
    </w:tbl>
    <w:p>
      <w:pPr>
        <w:spacing w:after="0" w:line="224" w:lineRule="exact"/>
        <w:rPr>
          <w:sz w:val="20"/>
          <w:szCs w:val="20"/>
          <w:color w:val="auto"/>
        </w:rPr>
      </w:pPr>
    </w:p>
    <w:p>
      <w:pPr>
        <w:ind w:right="80" w:firstLine="233"/>
        <w:spacing w:after="0" w:line="270" w:lineRule="auto"/>
        <w:rPr>
          <w:sz w:val="20"/>
          <w:szCs w:val="20"/>
          <w:color w:val="auto"/>
        </w:rPr>
      </w:pPr>
      <w:r>
        <w:rPr>
          <w:rFonts w:ascii="Arial" w:cs="Arial" w:eastAsia="Arial" w:hAnsi="Arial"/>
          <w:sz w:val="13"/>
          <w:szCs w:val="13"/>
          <w:color w:val="auto"/>
        </w:rPr>
        <w:t>Amortization expense was $11.6 million and $10.3 million for the three months ended June 30, 2021 and 2020, respectively. Amortization expense was $23.1 million and $20.5 million for the six months ended June 30, 2021 and 2020, respectively.</w:t>
      </w:r>
    </w:p>
    <w:p>
      <w:pPr>
        <w:spacing w:after="0" w:line="139" w:lineRule="exact"/>
        <w:rPr>
          <w:sz w:val="20"/>
          <w:szCs w:val="20"/>
          <w:color w:val="auto"/>
        </w:rPr>
      </w:pPr>
    </w:p>
    <w:tbl>
      <w:tblPr>
        <w:tblLayout w:type="fixed"/>
        <w:tblInd w:w="240" w:type="dxa"/>
        <w:tblCellMar>
          <w:top w:w="0" w:type="dxa"/>
          <w:left w:w="0" w:type="dxa"/>
          <w:bottom w:w="0" w:type="dxa"/>
          <w:right w:w="0" w:type="dxa"/>
        </w:tblCellMar>
      </w:tblPr>
      <w:tr>
        <w:trPr>
          <w:trHeight w:val="163"/>
        </w:trPr>
        <w:tc>
          <w:tcPr>
            <w:tcW w:w="9440" w:type="dxa"/>
            <w:vAlign w:val="bottom"/>
          </w:tcPr>
          <w:p>
            <w:pPr>
              <w:spacing w:after="0"/>
              <w:rPr>
                <w:sz w:val="20"/>
                <w:szCs w:val="20"/>
                <w:color w:val="auto"/>
              </w:rPr>
            </w:pPr>
            <w:r>
              <w:rPr>
                <w:rFonts w:ascii="Arial" w:cs="Arial" w:eastAsia="Arial" w:hAnsi="Arial"/>
                <w:sz w:val="13"/>
                <w:szCs w:val="13"/>
                <w:color w:val="auto"/>
              </w:rPr>
              <w:t>The following summarized changes to the Company’s goodwill (in millions):</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5"/>
        </w:trPr>
        <w:tc>
          <w:tcPr>
            <w:tcW w:w="9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4"/>
        </w:trPr>
        <w:tc>
          <w:tcPr>
            <w:tcW w:w="9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Balance at December 31, 2020</w:t>
            </w:r>
          </w:p>
        </w:tc>
        <w:tc>
          <w:tcPr>
            <w:tcW w:w="86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74"/>
        </w:trPr>
        <w:tc>
          <w:tcPr>
            <w:tcW w:w="9440" w:type="dxa"/>
            <w:vAlign w:val="bottom"/>
          </w:tcPr>
          <w:p>
            <w:pPr>
              <w:ind w:left="400"/>
              <w:spacing w:after="0"/>
              <w:rPr>
                <w:sz w:val="20"/>
                <w:szCs w:val="20"/>
                <w:color w:val="auto"/>
              </w:rPr>
            </w:pPr>
            <w:r>
              <w:rPr>
                <w:rFonts w:ascii="Arial" w:cs="Arial" w:eastAsia="Arial" w:hAnsi="Arial"/>
                <w:sz w:val="13"/>
                <w:szCs w:val="13"/>
                <w:color w:val="auto"/>
              </w:rPr>
              <w:t>Adjustment from 2020 acquisition</w:t>
            </w:r>
          </w:p>
        </w:tc>
        <w:tc>
          <w:tcPr>
            <w:tcW w:w="8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20"/>
        </w:trPr>
        <w:tc>
          <w:tcPr>
            <w:tcW w:w="9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4"/>
        </w:trPr>
        <w:tc>
          <w:tcPr>
            <w:tcW w:w="94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Goodwill from 2021 acquisition</w:t>
            </w:r>
          </w:p>
        </w:tc>
        <w:tc>
          <w:tcPr>
            <w:tcW w:w="8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83"/>
        </w:trPr>
        <w:tc>
          <w:tcPr>
            <w:tcW w:w="9440" w:type="dxa"/>
            <w:vAlign w:val="bottom"/>
          </w:tcPr>
          <w:p>
            <w:pPr>
              <w:ind w:left="240"/>
              <w:spacing w:after="0"/>
              <w:rPr>
                <w:sz w:val="20"/>
                <w:szCs w:val="20"/>
                <w:color w:val="auto"/>
              </w:rPr>
            </w:pPr>
            <w:r>
              <w:rPr>
                <w:rFonts w:ascii="Arial" w:cs="Arial" w:eastAsia="Arial" w:hAnsi="Arial"/>
                <w:sz w:val="13"/>
                <w:szCs w:val="13"/>
                <w:color w:val="auto"/>
              </w:rPr>
              <w:t>Balance at June 30, 2021</w:t>
            </w:r>
          </w:p>
        </w:tc>
        <w:tc>
          <w:tcPr>
            <w:tcW w:w="8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1,023</w:t>
            </w:r>
          </w:p>
        </w:tc>
      </w:tr>
      <w:tr>
        <w:trPr>
          <w:trHeight w:val="20"/>
        </w:trPr>
        <w:tc>
          <w:tcPr>
            <w:tcW w:w="9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Based on the results of the Company’s impairment assessment, the Company did not recognize any impairment of goodwill during the six months ended June 30, 2021 or June 30, 2020.</w:t>
      </w: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8 - Financing Arrangements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As of June 30, 2021 and December 31, 2020, the carrying values of the Company’s borrowings were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1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gridSpan w:val="4"/>
          </w:tcPr>
          <w:p>
            <w:pPr>
              <w:jc w:val="right"/>
              <w:ind w:right="997"/>
              <w:spacing w:after="0"/>
              <w:rPr>
                <w:sz w:val="20"/>
                <w:szCs w:val="20"/>
                <w:color w:val="auto"/>
              </w:rPr>
            </w:pPr>
            <w:r>
              <w:rPr>
                <w:rFonts w:ascii="Arial" w:cs="Arial" w:eastAsia="Arial" w:hAnsi="Arial"/>
                <w:sz w:val="10"/>
                <w:szCs w:val="10"/>
                <w:b w:val="1"/>
                <w:bCs w:val="1"/>
                <w:color w:val="auto"/>
              </w:rPr>
              <w:t>Carrying Value as of</w:t>
            </w:r>
          </w:p>
        </w:tc>
      </w:tr>
      <w:tr>
        <w:trPr>
          <w:trHeight w:val="146"/>
        </w:trPr>
        <w:tc>
          <w:tcPr>
            <w:tcW w:w="2180" w:type="dxa"/>
            <w:vAlign w:val="bottom"/>
            <w:tcBorders>
              <w:bottom w:val="single" w:sz="8" w:color="CCEEFF"/>
            </w:tcBorders>
          </w:tcPr>
          <w:p>
            <w:pPr>
              <w:ind w:left="800"/>
              <w:spacing w:after="0"/>
              <w:rPr>
                <w:sz w:val="20"/>
                <w:szCs w:val="20"/>
                <w:color w:val="auto"/>
              </w:rPr>
            </w:pPr>
            <w:r>
              <w:rPr>
                <w:rFonts w:ascii="Arial" w:cs="Arial" w:eastAsia="Arial" w:hAnsi="Arial"/>
                <w:sz w:val="10"/>
                <w:szCs w:val="10"/>
                <w:b w:val="1"/>
                <w:bCs w:val="1"/>
                <w:color w:val="auto"/>
              </w:rPr>
              <w:t>Instrument</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Date of Issuance</w:t>
            </w:r>
          </w:p>
        </w:tc>
        <w:tc>
          <w:tcPr>
            <w:tcW w:w="120" w:type="dxa"/>
            <w:vAlign w:val="bottom"/>
            <w:tcBorders>
              <w:bottom w:val="single" w:sz="8" w:color="CCEEFF"/>
            </w:tcBorders>
          </w:tcPr>
          <w:p>
            <w:pPr>
              <w:spacing w:after="0"/>
              <w:rPr>
                <w:sz w:val="12"/>
                <w:szCs w:val="12"/>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Maturity Date</w:t>
            </w:r>
          </w:p>
        </w:tc>
        <w:tc>
          <w:tcPr>
            <w:tcW w:w="100" w:type="dxa"/>
            <w:vAlign w:val="bottom"/>
            <w:tcBorders>
              <w:bottom w:val="single" w:sz="8" w:color="CCEEFF"/>
            </w:tcBorders>
          </w:tcPr>
          <w:p>
            <w:pPr>
              <w:spacing w:after="0"/>
              <w:rPr>
                <w:sz w:val="12"/>
                <w:szCs w:val="1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Elected Interest Rate</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0"/>
                <w:szCs w:val="10"/>
                <w:b w:val="1"/>
                <w:bCs w:val="1"/>
                <w:color w:val="auto"/>
              </w:rPr>
              <w:t>June 30, 2021</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57"/>
              <w:spacing w:after="0"/>
              <w:rPr>
                <w:sz w:val="20"/>
                <w:szCs w:val="20"/>
                <w:color w:val="auto"/>
              </w:rPr>
            </w:pPr>
            <w:r>
              <w:rPr>
                <w:rFonts w:ascii="Arial" w:cs="Arial" w:eastAsia="Arial" w:hAnsi="Arial"/>
                <w:sz w:val="10"/>
                <w:szCs w:val="10"/>
                <w:b w:val="1"/>
                <w:bCs w:val="1"/>
                <w:color w:val="auto"/>
              </w:rPr>
              <w:t>December 31, 2020</w:t>
            </w:r>
          </w:p>
        </w:tc>
      </w:tr>
      <w:tr>
        <w:trPr>
          <w:trHeight w:val="173"/>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First Lien Term Loan</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February 1, 2019</w:t>
            </w:r>
          </w:p>
        </w:tc>
        <w:tc>
          <w:tcPr>
            <w:tcW w:w="2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February 1, 2026</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LIBOR + 3.00%</w:t>
            </w: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394.5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744.9</w:t>
            </w:r>
          </w:p>
        </w:tc>
      </w:tr>
      <w:tr>
        <w:trPr>
          <w:trHeight w:val="174"/>
        </w:trPr>
        <w:tc>
          <w:tcPr>
            <w:tcW w:w="2180" w:type="dxa"/>
            <w:vAlign w:val="bottom"/>
          </w:tcPr>
          <w:p>
            <w:pPr>
              <w:ind w:left="20"/>
              <w:spacing w:after="0"/>
              <w:rPr>
                <w:sz w:val="20"/>
                <w:szCs w:val="20"/>
                <w:color w:val="auto"/>
              </w:rPr>
            </w:pPr>
            <w:r>
              <w:rPr>
                <w:rFonts w:ascii="Arial" w:cs="Arial" w:eastAsia="Arial" w:hAnsi="Arial"/>
                <w:sz w:val="13"/>
                <w:szCs w:val="13"/>
                <w:color w:val="auto"/>
              </w:rPr>
              <w:t>First Lien Revolver</w:t>
            </w:r>
          </w:p>
        </w:tc>
        <w:tc>
          <w:tcPr>
            <w:tcW w:w="204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February 1, 2019</w:t>
            </w:r>
          </w:p>
        </w:tc>
        <w:tc>
          <w:tcPr>
            <w:tcW w:w="20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November 2, 2025</w:t>
            </w:r>
          </w:p>
        </w:tc>
        <w:tc>
          <w:tcPr>
            <w:tcW w:w="196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LIBOR + 2.00%</w:t>
            </w:r>
          </w:p>
        </w:tc>
        <w:tc>
          <w:tcPr>
            <w:tcW w:w="24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2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4"/>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Senior Notes</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February 2, 2021</w:t>
            </w:r>
          </w:p>
        </w:tc>
        <w:tc>
          <w:tcPr>
            <w:tcW w:w="2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February 1, 2029</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0"/>
              </w:rPr>
              <w:t>3.875%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344.7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2180" w:type="dxa"/>
            <w:vAlign w:val="bottom"/>
          </w:tcPr>
          <w:p>
            <w:pPr>
              <w:ind w:left="20"/>
              <w:spacing w:after="0"/>
              <w:rPr>
                <w:sz w:val="20"/>
                <w:szCs w:val="20"/>
                <w:color w:val="auto"/>
              </w:rPr>
            </w:pPr>
            <w:r>
              <w:rPr>
                <w:rFonts w:ascii="Arial" w:cs="Arial" w:eastAsia="Arial" w:hAnsi="Arial"/>
                <w:sz w:val="13"/>
                <w:szCs w:val="13"/>
                <w:color w:val="auto"/>
              </w:rPr>
              <w:t>Total Carrying Value of Debt</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739.2</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744.9</w:t>
            </w:r>
          </w:p>
        </w:tc>
      </w:tr>
      <w:tr>
        <w:trPr>
          <w:trHeight w:val="20"/>
        </w:trPr>
        <w:tc>
          <w:tcPr>
            <w:tcW w:w="2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4"/>
        </w:trPr>
        <w:tc>
          <w:tcPr>
            <w:tcW w:w="2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Less current portion</w:t>
            </w:r>
          </w:p>
        </w:tc>
        <w:tc>
          <w:tcPr>
            <w:tcW w:w="1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2180" w:type="dxa"/>
            <w:vAlign w:val="bottom"/>
          </w:tcPr>
          <w:p>
            <w:pPr>
              <w:ind w:left="20"/>
              <w:spacing w:after="0"/>
              <w:rPr>
                <w:sz w:val="20"/>
                <w:szCs w:val="20"/>
                <w:color w:val="auto"/>
              </w:rPr>
            </w:pPr>
            <w:r>
              <w:rPr>
                <w:rFonts w:ascii="Arial" w:cs="Arial" w:eastAsia="Arial" w:hAnsi="Arial"/>
                <w:sz w:val="13"/>
                <w:szCs w:val="13"/>
                <w:color w:val="auto"/>
              </w:rPr>
              <w:t>Total Long Term Debt</w:t>
            </w: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739.2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744.9</w:t>
            </w:r>
          </w:p>
        </w:tc>
      </w:tr>
      <w:tr>
        <w:trPr>
          <w:trHeight w:val="20"/>
        </w:trPr>
        <w:tc>
          <w:tcPr>
            <w:tcW w:w="2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type w:val="continuous"/>
        </w:sectPr>
      </w:pPr>
    </w:p>
    <w:bookmarkStart w:id="32" w:name="page33"/>
    <w:bookmarkEnd w:id="3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8 - Financing Arrangements (continued)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Senior Notes</w:t>
      </w:r>
    </w:p>
    <w:p>
      <w:pPr>
        <w:spacing w:after="0" w:line="122" w:lineRule="exact"/>
        <w:rPr>
          <w:sz w:val="20"/>
          <w:szCs w:val="20"/>
          <w:color w:val="auto"/>
        </w:rPr>
      </w:pPr>
    </w:p>
    <w:p>
      <w:pPr>
        <w:jc w:val="both"/>
        <w:ind w:firstLine="233"/>
        <w:spacing w:after="0" w:line="252" w:lineRule="auto"/>
        <w:rPr>
          <w:sz w:val="20"/>
          <w:szCs w:val="20"/>
          <w:color w:val="auto"/>
        </w:rPr>
      </w:pPr>
      <w:r>
        <w:rPr>
          <w:rFonts w:ascii="Arial" w:cs="Arial" w:eastAsia="Arial" w:hAnsi="Arial"/>
          <w:sz w:val="13"/>
          <w:szCs w:val="13"/>
          <w:color w:val="auto"/>
        </w:rPr>
        <w:t>In February 2021, ZoomInfo Technologies LLC and ZoomInfo Finance Corp., indirect subsidiaries of ZoomInfo Technologies Inc., issued $350.0 million in aggregate principal amount of 3.875% Senior Notes due February 2029 to qualified institutional buyers pursuant to Rule 144A under the Securities Act of 1933, as amended. Interest on the Senior Notes is payable semi-annually in arrears beginning on August 1, 2021. The Issuers may redeem all or a part of the Notes at any time prior to February 1, 2024 at a redemption price equal to 100% of the principal amount of the Notes being redeemed plus a make-whole premium and accrued and unpaid interest, if any, to, but not including, the redemption date. In addition, beginning on February 1, 2024, the Issuers may redeem all or a part of the Notes at a redemption price equal to 101.938% of the principal amount redeemed. The redemption price decreases to 100.969% and 100.000% of the principal amount redeemed on February 1, 2025 and February 1, 2026, respectively. In addition, at any time prior to February 1, 2024, the Issuers may redeem up to 40% of the Notes from the proceeds of certain equity offerings at a redemption price equal to 103.875% of the principal amount of the Senior Notes, plus accrued and unpaid interest.</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First Lien Term Loan</w:t>
      </w:r>
    </w:p>
    <w:p>
      <w:pPr>
        <w:spacing w:after="0" w:line="122" w:lineRule="exact"/>
        <w:rPr>
          <w:sz w:val="20"/>
          <w:szCs w:val="20"/>
          <w:color w:val="auto"/>
        </w:rPr>
      </w:pPr>
    </w:p>
    <w:p>
      <w:pPr>
        <w:jc w:val="both"/>
        <w:ind w:firstLine="233"/>
        <w:spacing w:after="0" w:line="280" w:lineRule="auto"/>
        <w:rPr>
          <w:sz w:val="20"/>
          <w:szCs w:val="20"/>
          <w:color w:val="auto"/>
        </w:rPr>
      </w:pPr>
      <w:r>
        <w:rPr>
          <w:rFonts w:ascii="Arial" w:cs="Arial" w:eastAsia="Arial" w:hAnsi="Arial"/>
          <w:sz w:val="12"/>
          <w:szCs w:val="12"/>
          <w:color w:val="auto"/>
        </w:rPr>
        <w:t xml:space="preserve">In February 2021, we used all of the net proceeds from issuance of the Senior Notes, along with cash on hand, to prepay $356.4 million aggregate principal amount of our first lien term loans outstanding under the First Lien Credit Agreement (the “Debt Prepayment”). Following the Debt Prepayment, $400.0 million aggregate principal amount of first lien term loans were outstanding under our First Lien Credit Agreement. In February 2021, we entered into an amendment to our First Lien Credit Agreement (the “Second Amendment”), pursuant to which the Company completed a repricing of its First Lien Term Loan Facility, which decreased the interest rate by 75 basis points to LIBOR plus 3.00% per annum. The Company recognized $5.9 million in the six months ended June 30, 2021 within </w:t>
      </w:r>
      <w:r>
        <w:rPr>
          <w:rFonts w:ascii="Arial" w:cs="Arial" w:eastAsia="Arial" w:hAnsi="Arial"/>
          <w:sz w:val="12"/>
          <w:szCs w:val="12"/>
          <w:i w:val="1"/>
          <w:iCs w:val="1"/>
          <w:color w:val="auto"/>
        </w:rPr>
        <w:t>Loss on debt extinguishment</w:t>
      </w:r>
      <w:r>
        <w:rPr>
          <w:rFonts w:ascii="Arial" w:cs="Arial" w:eastAsia="Arial" w:hAnsi="Arial"/>
          <w:sz w:val="12"/>
          <w:szCs w:val="12"/>
          <w:color w:val="auto"/>
        </w:rPr>
        <w:t xml:space="preserve"> on the Consolidated Statements of Operations, primarily comprised of the write-off of unamortized issuance costs associated with the Debt Prepayment.</w:t>
      </w:r>
    </w:p>
    <w:p>
      <w:pPr>
        <w:spacing w:after="0" w:line="87" w:lineRule="exact"/>
        <w:rPr>
          <w:sz w:val="20"/>
          <w:szCs w:val="20"/>
          <w:color w:val="auto"/>
        </w:rPr>
      </w:pPr>
    </w:p>
    <w:p>
      <w:pPr>
        <w:jc w:val="both"/>
        <w:ind w:firstLine="233"/>
        <w:spacing w:after="0" w:line="270" w:lineRule="auto"/>
        <w:rPr>
          <w:sz w:val="20"/>
          <w:szCs w:val="20"/>
          <w:color w:val="auto"/>
        </w:rPr>
      </w:pPr>
      <w:r>
        <w:rPr>
          <w:rFonts w:ascii="Arial" w:cs="Arial" w:eastAsia="Arial" w:hAnsi="Arial"/>
          <w:sz w:val="13"/>
          <w:szCs w:val="13"/>
          <w:color w:val="auto"/>
        </w:rPr>
        <w:t>The first lien term debt has a variable interest rate whereby the Company can elect to use a Base Rate or the London Interbank Offer Rate (“LIBOR”) plus an applicable rate. The applicable rate is 2.00% for Base Rate loans or 3.00% for LIBOR Based Loans. The effective interest rate on the first lien debt was 3.5% and 4.3% as of June 30, 2021 and December 31, 2020,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First Lien Revolving Credit Facility</w:t>
      </w:r>
    </w:p>
    <w:p>
      <w:pPr>
        <w:spacing w:after="0" w:line="122" w:lineRule="exact"/>
        <w:rPr>
          <w:sz w:val="20"/>
          <w:szCs w:val="20"/>
          <w:color w:val="auto"/>
        </w:rPr>
      </w:pPr>
    </w:p>
    <w:p>
      <w:pPr>
        <w:jc w:val="both"/>
        <w:ind w:firstLine="233"/>
        <w:spacing w:after="0" w:line="256" w:lineRule="auto"/>
        <w:rPr>
          <w:sz w:val="20"/>
          <w:szCs w:val="20"/>
          <w:color w:val="auto"/>
        </w:rPr>
      </w:pPr>
      <w:r>
        <w:rPr>
          <w:rFonts w:ascii="Arial" w:cs="Arial" w:eastAsia="Arial" w:hAnsi="Arial"/>
          <w:sz w:val="13"/>
          <w:szCs w:val="13"/>
          <w:color w:val="auto"/>
        </w:rPr>
        <w:t>Pursuant to the Second Amendment to the First Lien Credit Agreement entered into in February 2021, the Company increased the aggregate commitments to $250.0 million under our first lien revolving credit facility. The Second Amendment also provided an extension of the maturity date of our first lien revolving credit facility to November 2025. The first lien revolving debt has a variable interest rate whereby the Company can elect to use a Base Rate or the London Interbank Offer Rate (“LIBOR”) plus an applicable rate. The applicable margin is 1.00% to 1.25% for Base Rate loans or 2.00% to 2.25% for LIBOR Based Loans, depending on the Company’s leverage.</w:t>
      </w:r>
    </w:p>
    <w:p>
      <w:pPr>
        <w:spacing w:after="0" w:line="99" w:lineRule="exact"/>
        <w:rPr>
          <w:sz w:val="20"/>
          <w:szCs w:val="20"/>
          <w:color w:val="auto"/>
        </w:rPr>
      </w:pPr>
    </w:p>
    <w:p>
      <w:pPr>
        <w:jc w:val="both"/>
        <w:ind w:firstLine="233"/>
        <w:spacing w:after="0" w:line="256" w:lineRule="auto"/>
        <w:rPr>
          <w:sz w:val="20"/>
          <w:szCs w:val="20"/>
          <w:color w:val="auto"/>
        </w:rPr>
      </w:pPr>
      <w:r>
        <w:rPr>
          <w:rFonts w:ascii="Arial" w:cs="Arial" w:eastAsia="Arial" w:hAnsi="Arial"/>
          <w:sz w:val="13"/>
          <w:szCs w:val="13"/>
          <w:color w:val="auto"/>
        </w:rPr>
        <w:t xml:space="preserve">On March 25th, 2020, the Company drew down $35.0 million under the revolving credit facility. On June 8, 2020, the Company paid off the outstanding $35.0 million balance of the revolving credit facility with proceeds from the IPO. The effective interest rate was 3.7% as of the repayment date. Immaterial debt issuance costs were incurred in connection with the entry into the revolving credit facility. These debt issuance costs are amortized into interest expense over the expected life of the arrangement. Unamortized debt issuance costs included in </w:t>
      </w:r>
      <w:r>
        <w:rPr>
          <w:rFonts w:ascii="Arial" w:cs="Arial" w:eastAsia="Arial" w:hAnsi="Arial"/>
          <w:sz w:val="13"/>
          <w:szCs w:val="13"/>
          <w:i w:val="1"/>
          <w:iCs w:val="1"/>
          <w:color w:val="auto"/>
        </w:rPr>
        <w:t>Deferred costs, net of current portion</w:t>
      </w:r>
      <w:r>
        <w:rPr>
          <w:rFonts w:ascii="Arial" w:cs="Arial" w:eastAsia="Arial" w:hAnsi="Arial"/>
          <w:sz w:val="13"/>
          <w:szCs w:val="13"/>
          <w:color w:val="auto"/>
        </w:rPr>
        <w:t xml:space="preserve"> on the accompanying Condensed Consolidated Balance Sheets were immaterial as of June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8 - Financing Arrangements (continued)</w:t>
      </w: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First Lien Credit Agreement</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The First Lien Credit Agreement is secured by substantially all the productive assets of the Company. The First Lien Credit Agreement contains a number of covenants that restrict, subject to certain exceptions, the</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Company’s ability to, among other things:</w:t>
      </w:r>
    </w:p>
    <w:p>
      <w:pPr>
        <w:spacing w:after="0" w:line="114" w:lineRule="exact"/>
        <w:rPr>
          <w:sz w:val="20"/>
          <w:szCs w:val="20"/>
          <w:color w:val="auto"/>
        </w:rPr>
      </w:pPr>
    </w:p>
    <w:p>
      <w:pPr>
        <w:ind w:left="460" w:hanging="230"/>
        <w:spacing w:after="0"/>
        <w:tabs>
          <w:tab w:leader="none" w:pos="4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incur additional indebtedness;</w:t>
      </w:r>
    </w:p>
    <w:p>
      <w:pPr>
        <w:spacing w:after="0" w:line="121" w:lineRule="exact"/>
        <w:rPr>
          <w:rFonts w:ascii="Arial" w:cs="Arial" w:eastAsia="Arial" w:hAnsi="Arial"/>
          <w:sz w:val="13"/>
          <w:szCs w:val="13"/>
          <w:color w:val="auto"/>
        </w:rPr>
      </w:pPr>
    </w:p>
    <w:p>
      <w:pPr>
        <w:ind w:left="460" w:hanging="230"/>
        <w:spacing w:after="0"/>
        <w:tabs>
          <w:tab w:leader="none" w:pos="4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create or incur liens;</w:t>
      </w:r>
    </w:p>
    <w:p>
      <w:pPr>
        <w:spacing w:after="0" w:line="121" w:lineRule="exact"/>
        <w:rPr>
          <w:rFonts w:ascii="Arial" w:cs="Arial" w:eastAsia="Arial" w:hAnsi="Arial"/>
          <w:sz w:val="13"/>
          <w:szCs w:val="13"/>
          <w:color w:val="auto"/>
        </w:rPr>
      </w:pPr>
    </w:p>
    <w:p>
      <w:pPr>
        <w:ind w:left="460" w:hanging="230"/>
        <w:spacing w:after="0"/>
        <w:tabs>
          <w:tab w:leader="none" w:pos="4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engage in certain fundamental changes, including mergers or consolidations;</w:t>
      </w:r>
    </w:p>
    <w:p>
      <w:pPr>
        <w:spacing w:after="0" w:line="121" w:lineRule="exact"/>
        <w:rPr>
          <w:rFonts w:ascii="Arial" w:cs="Arial" w:eastAsia="Arial" w:hAnsi="Arial"/>
          <w:sz w:val="13"/>
          <w:szCs w:val="13"/>
          <w:color w:val="auto"/>
        </w:rPr>
      </w:pPr>
    </w:p>
    <w:p>
      <w:pPr>
        <w:ind w:left="460" w:hanging="230"/>
        <w:spacing w:after="0"/>
        <w:tabs>
          <w:tab w:leader="none" w:pos="4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sell or transfer assets;</w:t>
      </w:r>
    </w:p>
    <w:p>
      <w:pPr>
        <w:spacing w:after="0" w:line="121" w:lineRule="exact"/>
        <w:rPr>
          <w:rFonts w:ascii="Arial" w:cs="Arial" w:eastAsia="Arial" w:hAnsi="Arial"/>
          <w:sz w:val="13"/>
          <w:szCs w:val="13"/>
          <w:color w:val="auto"/>
        </w:rPr>
      </w:pPr>
    </w:p>
    <w:p>
      <w:pPr>
        <w:ind w:left="460" w:hanging="230"/>
        <w:spacing w:after="0"/>
        <w:tabs>
          <w:tab w:leader="none" w:pos="4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pay dividends and distributions on our subsidiaries’ capital stock;</w:t>
      </w:r>
    </w:p>
    <w:p>
      <w:pPr>
        <w:spacing w:after="0" w:line="121" w:lineRule="exact"/>
        <w:rPr>
          <w:rFonts w:ascii="Arial" w:cs="Arial" w:eastAsia="Arial" w:hAnsi="Arial"/>
          <w:sz w:val="13"/>
          <w:szCs w:val="13"/>
          <w:color w:val="auto"/>
        </w:rPr>
      </w:pPr>
    </w:p>
    <w:p>
      <w:pPr>
        <w:ind w:left="460" w:hanging="230"/>
        <w:spacing w:after="0"/>
        <w:tabs>
          <w:tab w:leader="none" w:pos="4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make acquisitions, investments, loans or advances;</w:t>
      </w:r>
    </w:p>
    <w:p>
      <w:pPr>
        <w:spacing w:after="0" w:line="121" w:lineRule="exact"/>
        <w:rPr>
          <w:rFonts w:ascii="Arial" w:cs="Arial" w:eastAsia="Arial" w:hAnsi="Arial"/>
          <w:sz w:val="13"/>
          <w:szCs w:val="13"/>
          <w:color w:val="auto"/>
        </w:rPr>
      </w:pPr>
    </w:p>
    <w:p>
      <w:pPr>
        <w:ind w:left="460" w:hanging="230"/>
        <w:spacing w:after="0"/>
        <w:tabs>
          <w:tab w:leader="none" w:pos="4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engage in certain transactions with affiliates; and</w:t>
      </w:r>
    </w:p>
    <w:p>
      <w:pPr>
        <w:spacing w:after="0" w:line="121" w:lineRule="exact"/>
        <w:rPr>
          <w:rFonts w:ascii="Arial" w:cs="Arial" w:eastAsia="Arial" w:hAnsi="Arial"/>
          <w:sz w:val="13"/>
          <w:szCs w:val="13"/>
          <w:color w:val="auto"/>
        </w:rPr>
      </w:pPr>
    </w:p>
    <w:p>
      <w:pPr>
        <w:ind w:left="460" w:hanging="230"/>
        <w:spacing w:after="0"/>
        <w:tabs>
          <w:tab w:leader="none" w:pos="4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enter into negative pledge clauses and clauses restricting subsidiary distributions.</w:t>
      </w:r>
    </w:p>
    <w:p>
      <w:pPr>
        <w:spacing w:after="0" w:line="122" w:lineRule="exact"/>
        <w:rPr>
          <w:sz w:val="20"/>
          <w:szCs w:val="20"/>
          <w:color w:val="auto"/>
        </w:rPr>
      </w:pPr>
    </w:p>
    <w:p>
      <w:pPr>
        <w:jc w:val="both"/>
        <w:ind w:firstLine="233"/>
        <w:spacing w:after="0" w:line="291" w:lineRule="auto"/>
        <w:rPr>
          <w:sz w:val="20"/>
          <w:szCs w:val="20"/>
          <w:color w:val="auto"/>
        </w:rPr>
      </w:pPr>
      <w:r>
        <w:rPr>
          <w:rFonts w:ascii="Arial" w:cs="Arial" w:eastAsia="Arial" w:hAnsi="Arial"/>
          <w:sz w:val="12"/>
          <w:szCs w:val="12"/>
          <w:color w:val="auto"/>
        </w:rPr>
        <w:t>If the Company draws more than $87.5 million of the revolving credit loan,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9 - Derivatives and Hedging Activities</w:t>
      </w:r>
    </w:p>
    <w:p>
      <w:pPr>
        <w:spacing w:after="0" w:line="126" w:lineRule="exact"/>
        <w:rPr>
          <w:sz w:val="20"/>
          <w:szCs w:val="20"/>
          <w:color w:val="auto"/>
        </w:rPr>
      </w:pPr>
    </w:p>
    <w:p>
      <w:pPr>
        <w:jc w:val="both"/>
        <w:ind w:right="20" w:firstLine="233"/>
        <w:spacing w:after="0" w:line="259" w:lineRule="auto"/>
        <w:rPr>
          <w:sz w:val="20"/>
          <w:szCs w:val="20"/>
          <w:color w:val="auto"/>
        </w:rPr>
      </w:pPr>
      <w:r>
        <w:rPr>
          <w:rFonts w:ascii="Arial" w:cs="Arial" w:eastAsia="Arial" w:hAnsi="Arial"/>
          <w:sz w:val="13"/>
          <w:szCs w:val="13"/>
          <w:color w:val="auto"/>
        </w:rPr>
        <w:t>We are exposed to changes in interest rates, primarily relating to changes in interest rates on our first lien term loan. Consequently, from time to time, we may use interest rate swaps or other financial instruments to manage our exposure to interest rate movements. Our primary objective in holding derivatives is to reduce the volatility of cash flows associated with changes in interest rates. We do not enter into derivative transactions for speculative or trading purposes.</w:t>
      </w:r>
    </w:p>
    <w:p>
      <w:pPr>
        <w:spacing w:after="0" w:line="175" w:lineRule="exact"/>
        <w:rPr>
          <w:sz w:val="20"/>
          <w:szCs w:val="20"/>
          <w:color w:val="auto"/>
        </w:rPr>
      </w:pPr>
    </w:p>
    <w:p>
      <w:pPr>
        <w:jc w:val="both"/>
        <w:ind w:right="20" w:firstLine="233"/>
        <w:spacing w:after="0" w:line="254" w:lineRule="auto"/>
        <w:rPr>
          <w:sz w:val="20"/>
          <w:szCs w:val="20"/>
          <w:color w:val="auto"/>
        </w:rPr>
      </w:pPr>
      <w:r>
        <w:rPr>
          <w:rFonts w:ascii="Arial" w:cs="Arial" w:eastAsia="Arial" w:hAnsi="Arial"/>
          <w:sz w:val="13"/>
          <w:szCs w:val="13"/>
          <w:color w:val="auto"/>
        </w:rPr>
        <w:t xml:space="preserve">We recognize derivative instruments and hedging activities on a gross basis as either assets or liabilities on the Company’s Condensed Consolidated Balance Sheets and measure them at fair value. Hedge accounting generally provides for the matching of the timing of gain or loss recognition on the hedging instrument with the earnings effect of the hedged forecasted transactions in a cash flow hedge. For derivatives designated as cash flow hedges, the change in the estimated fair value of the effective portion of the derivative is recognized in </w:t>
      </w:r>
      <w:r>
        <w:rPr>
          <w:rFonts w:ascii="Arial" w:cs="Arial" w:eastAsia="Arial" w:hAnsi="Arial"/>
          <w:sz w:val="13"/>
          <w:szCs w:val="13"/>
          <w:i w:val="1"/>
          <w:iCs w:val="1"/>
          <w:color w:val="auto"/>
        </w:rPr>
        <w:t>Accumulated other comprehensive income (loss)</w:t>
      </w:r>
      <w:r>
        <w:rPr>
          <w:rFonts w:ascii="Arial" w:cs="Arial" w:eastAsia="Arial" w:hAnsi="Arial"/>
          <w:sz w:val="13"/>
          <w:szCs w:val="13"/>
          <w:color w:val="auto"/>
        </w:rPr>
        <w:t xml:space="preserve"> on our Condensed Consolidated Balance Sheets. To receive hedge accounting treatment, all hedging relationships are formally documented at the inception of the hedge, and the hedges must be highly effective in offsetting changes to future cash flows on hedged transactions.</w:t>
      </w:r>
    </w:p>
    <w:p>
      <w:pPr>
        <w:spacing w:after="0" w:line="101" w:lineRule="exact"/>
        <w:rPr>
          <w:sz w:val="20"/>
          <w:szCs w:val="20"/>
          <w:color w:val="auto"/>
        </w:rPr>
      </w:pPr>
    </w:p>
    <w:p>
      <w:pPr>
        <w:jc w:val="both"/>
        <w:ind w:right="20" w:firstLine="233"/>
        <w:spacing w:after="0" w:line="280" w:lineRule="auto"/>
        <w:rPr>
          <w:sz w:val="20"/>
          <w:szCs w:val="20"/>
          <w:color w:val="auto"/>
        </w:rPr>
      </w:pPr>
      <w:r>
        <w:rPr>
          <w:rFonts w:ascii="Arial" w:cs="Arial" w:eastAsia="Arial" w:hAnsi="Arial"/>
          <w:sz w:val="12"/>
          <w:szCs w:val="12"/>
          <w:color w:val="auto"/>
        </w:rPr>
        <w:t xml:space="preserve">In February 2021, concurrent with the prepayment of $356.4 million aggregate principal amount of the first lien term loans outstanding under the First Lien Credit Agreement, we fully dedesignated the interest rate cap contract and partially dedesignated $100.0 million of the notional amount of one of the forward-starting interest rate swap contracts. As of June 30, 2021, $500.0 million of the notional amount of the interest rate cap contract and $100.0 million of the notional amount of one of the forward-starting interest rate swap contracts are not designated as accounting hedges. Gains and losses resulting from valuation adjustments on dedesignated portions of our derivative contracts subsequent to dedesignation of hedge accounting are recorded within </w:t>
      </w:r>
      <w:r>
        <w:rPr>
          <w:rFonts w:ascii="Arial" w:cs="Arial" w:eastAsia="Arial" w:hAnsi="Arial"/>
          <w:sz w:val="12"/>
          <w:szCs w:val="12"/>
          <w:i w:val="1"/>
          <w:iCs w:val="1"/>
          <w:color w:val="auto"/>
        </w:rPr>
        <w:t>Interest expense, net</w:t>
      </w:r>
      <w:r>
        <w:rPr>
          <w:rFonts w:ascii="Arial" w:cs="Arial" w:eastAsia="Arial" w:hAnsi="Arial"/>
          <w:sz w:val="12"/>
          <w:szCs w:val="12"/>
          <w:color w:val="auto"/>
        </w:rPr>
        <w:t xml:space="preserve"> in our Consolidated Statements of Operations. As it is not probable the forecasted transaction will not occur, the amounts in </w:t>
      </w:r>
      <w:r>
        <w:rPr>
          <w:rFonts w:ascii="Arial" w:cs="Arial" w:eastAsia="Arial" w:hAnsi="Arial"/>
          <w:sz w:val="12"/>
          <w:szCs w:val="12"/>
          <w:i w:val="1"/>
          <w:iCs w:val="1"/>
          <w:color w:val="auto"/>
        </w:rPr>
        <w:t>Accumulated other comprehensive income (loss)</w:t>
      </w:r>
      <w:r>
        <w:rPr>
          <w:rFonts w:ascii="Arial" w:cs="Arial" w:eastAsia="Arial" w:hAnsi="Arial"/>
          <w:sz w:val="12"/>
          <w:szCs w:val="12"/>
          <w:color w:val="auto"/>
        </w:rPr>
        <w:t xml:space="preserve"> as of the date of dedesignation will be released based on our original forecast.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4" w:name="page35"/>
    <w:bookmarkEnd w:id="34"/>
    <w:p>
      <w:pPr>
        <w:ind w:left="2"/>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Note 9 - Derivatives and Hedging Activities (continued)</w:t>
      </w:r>
    </w:p>
    <w:p>
      <w:pPr>
        <w:spacing w:after="0" w:line="200" w:lineRule="exact"/>
        <w:rPr>
          <w:sz w:val="20"/>
          <w:szCs w:val="20"/>
          <w:color w:val="auto"/>
        </w:rPr>
      </w:pPr>
    </w:p>
    <w:p>
      <w:pPr>
        <w:spacing w:after="0" w:line="294" w:lineRule="exact"/>
        <w:rPr>
          <w:sz w:val="20"/>
          <w:szCs w:val="20"/>
          <w:color w:val="auto"/>
        </w:rPr>
      </w:pPr>
    </w:p>
    <w:p>
      <w:pPr>
        <w:ind w:left="242"/>
        <w:spacing w:after="0"/>
        <w:rPr>
          <w:sz w:val="20"/>
          <w:szCs w:val="20"/>
          <w:color w:val="auto"/>
        </w:rPr>
      </w:pPr>
      <w:r>
        <w:rPr>
          <w:rFonts w:ascii="Arial" w:cs="Arial" w:eastAsia="Arial" w:hAnsi="Arial"/>
          <w:sz w:val="13"/>
          <w:szCs w:val="13"/>
          <w:color w:val="auto"/>
        </w:rPr>
        <w:t>As of June 30, 2021, the Company had the following outstanding interest rate derivatives that were designated as cash flow hedges of interest rate risk ($ in millions):</w:t>
      </w:r>
    </w:p>
    <w:p>
      <w:pPr>
        <w:spacing w:after="0" w:line="153" w:lineRule="exact"/>
        <w:rPr>
          <w:sz w:val="20"/>
          <w:szCs w:val="20"/>
          <w:color w:val="auto"/>
        </w:rPr>
      </w:pPr>
    </w:p>
    <w:tbl>
      <w:tblPr>
        <w:tblLayout w:type="fixed"/>
        <w:tblInd w:w="242" w:type="dxa"/>
        <w:tblCellMar>
          <w:top w:w="0" w:type="dxa"/>
          <w:left w:w="0" w:type="dxa"/>
          <w:bottom w:w="0" w:type="dxa"/>
          <w:right w:w="0" w:type="dxa"/>
        </w:tblCellMar>
      </w:tblPr>
      <w:tr>
        <w:trPr>
          <w:trHeight w:val="116"/>
        </w:trPr>
        <w:tc>
          <w:tcPr>
            <w:tcW w:w="3520" w:type="dxa"/>
            <w:vAlign w:val="bottom"/>
            <w:gridSpan w:val="2"/>
          </w:tcPr>
          <w:p>
            <w:pPr>
              <w:ind w:left="1280"/>
              <w:spacing w:after="0"/>
              <w:rPr>
                <w:sz w:val="20"/>
                <w:szCs w:val="20"/>
                <w:color w:val="auto"/>
              </w:rPr>
            </w:pPr>
            <w:r>
              <w:rPr>
                <w:rFonts w:ascii="Arial" w:cs="Arial" w:eastAsia="Arial" w:hAnsi="Arial"/>
                <w:sz w:val="10"/>
                <w:szCs w:val="10"/>
                <w:b w:val="1"/>
                <w:bCs w:val="1"/>
                <w:color w:val="auto"/>
              </w:rPr>
              <w:t>Interest Rate Derivatives</w:t>
            </w: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60" w:type="dxa"/>
            <w:vAlign w:val="bottom"/>
            <w:gridSpan w:val="2"/>
          </w:tcPr>
          <w:p>
            <w:pPr>
              <w:ind w:left="60"/>
              <w:spacing w:after="0"/>
              <w:rPr>
                <w:sz w:val="20"/>
                <w:szCs w:val="20"/>
                <w:color w:val="auto"/>
              </w:rPr>
            </w:pPr>
            <w:r>
              <w:rPr>
                <w:rFonts w:ascii="Arial" w:cs="Arial" w:eastAsia="Arial" w:hAnsi="Arial"/>
                <w:sz w:val="10"/>
                <w:szCs w:val="10"/>
                <w:b w:val="1"/>
                <w:bCs w:val="1"/>
                <w:color w:val="auto"/>
              </w:rPr>
              <w:t>Notional Aggregate Principal</w:t>
            </w: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143"/>
        </w:trPr>
        <w:tc>
          <w:tcPr>
            <w:tcW w:w="3420" w:type="dxa"/>
            <w:vAlign w:val="bottom"/>
            <w:tcBorders>
              <w:bottom w:val="single" w:sz="8" w:color="auto"/>
            </w:tcBorders>
          </w:tcPr>
          <w:p>
            <w:pPr>
              <w:ind w:left="1520"/>
              <w:spacing w:after="0"/>
              <w:rPr>
                <w:sz w:val="20"/>
                <w:szCs w:val="20"/>
                <w:color w:val="auto"/>
              </w:rPr>
            </w:pPr>
            <w:r>
              <w:rPr>
                <w:rFonts w:ascii="Arial" w:cs="Arial" w:eastAsia="Arial" w:hAnsi="Arial"/>
                <w:sz w:val="10"/>
                <w:szCs w:val="10"/>
                <w:b w:val="1"/>
                <w:bCs w:val="1"/>
                <w:color w:val="auto"/>
              </w:rPr>
              <w:t>(Level 2)</w:t>
            </w:r>
          </w:p>
        </w:tc>
        <w:tc>
          <w:tcPr>
            <w:tcW w:w="100" w:type="dxa"/>
            <w:vAlign w:val="bottom"/>
            <w:tcBorders>
              <w:bottom w:val="single" w:sz="8" w:color="CCEEFF"/>
            </w:tcBorders>
          </w:tcPr>
          <w:p>
            <w:pPr>
              <w:spacing w:after="0"/>
              <w:rPr>
                <w:sz w:val="12"/>
                <w:szCs w:val="12"/>
                <w:color w:val="auto"/>
              </w:rPr>
            </w:pPr>
          </w:p>
        </w:tc>
        <w:tc>
          <w:tcPr>
            <w:tcW w:w="1720" w:type="dxa"/>
            <w:vAlign w:val="bottom"/>
            <w:tcBorders>
              <w:bottom w:val="single" w:sz="8" w:color="auto"/>
            </w:tcBorders>
          </w:tcPr>
          <w:p>
            <w:pPr>
              <w:jc w:val="center"/>
              <w:ind w:left="179"/>
              <w:spacing w:after="0"/>
              <w:rPr>
                <w:sz w:val="20"/>
                <w:szCs w:val="20"/>
                <w:color w:val="auto"/>
              </w:rPr>
            </w:pPr>
            <w:r>
              <w:rPr>
                <w:rFonts w:ascii="Arial" w:cs="Arial" w:eastAsia="Arial" w:hAnsi="Arial"/>
                <w:sz w:val="10"/>
                <w:szCs w:val="10"/>
                <w:b w:val="1"/>
                <w:bCs w:val="1"/>
                <w:color w:val="auto"/>
                <w:w w:val="94"/>
              </w:rPr>
              <w:t>Number of Instruments</w:t>
            </w: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701"/>
              <w:spacing w:after="0"/>
              <w:rPr>
                <w:sz w:val="20"/>
                <w:szCs w:val="20"/>
                <w:color w:val="auto"/>
              </w:rPr>
            </w:pPr>
            <w:r>
              <w:rPr>
                <w:rFonts w:ascii="Arial" w:cs="Arial" w:eastAsia="Arial" w:hAnsi="Arial"/>
                <w:sz w:val="10"/>
                <w:szCs w:val="10"/>
                <w:b w:val="1"/>
                <w:bCs w:val="1"/>
                <w:color w:val="auto"/>
              </w:rPr>
              <w:t>Amount</w:t>
            </w:r>
          </w:p>
        </w:tc>
        <w:tc>
          <w:tcPr>
            <w:tcW w:w="120" w:type="dxa"/>
            <w:vAlign w:val="bottom"/>
            <w:tcBorders>
              <w:bottom w:val="single" w:sz="8" w:color="CCEEFF"/>
            </w:tcBorders>
          </w:tcPr>
          <w:p>
            <w:pPr>
              <w:spacing w:after="0"/>
              <w:rPr>
                <w:sz w:val="12"/>
                <w:szCs w:val="12"/>
                <w:color w:val="auto"/>
              </w:rPr>
            </w:pPr>
          </w:p>
        </w:tc>
        <w:tc>
          <w:tcPr>
            <w:tcW w:w="1820" w:type="dxa"/>
            <w:vAlign w:val="bottom"/>
            <w:tcBorders>
              <w:bottom w:val="single" w:sz="8" w:color="auto"/>
            </w:tcBorders>
          </w:tcPr>
          <w:p>
            <w:pPr>
              <w:jc w:val="right"/>
              <w:ind w:right="59"/>
              <w:spacing w:after="0"/>
              <w:rPr>
                <w:sz w:val="20"/>
                <w:szCs w:val="20"/>
                <w:color w:val="auto"/>
              </w:rPr>
            </w:pPr>
            <w:r>
              <w:rPr>
                <w:rFonts w:ascii="Arial" w:cs="Arial" w:eastAsia="Arial" w:hAnsi="Arial"/>
                <w:sz w:val="10"/>
                <w:szCs w:val="10"/>
                <w:b w:val="1"/>
                <w:bCs w:val="1"/>
                <w:color w:val="auto"/>
              </w:rPr>
              <w:t>Interest Cap / Swap Rate</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0"/>
                <w:szCs w:val="10"/>
                <w:b w:val="1"/>
                <w:bCs w:val="1"/>
                <w:color w:val="auto"/>
              </w:rPr>
              <w:t>Maturity Date</w:t>
            </w:r>
          </w:p>
        </w:tc>
      </w:tr>
      <w:tr>
        <w:trPr>
          <w:trHeight w:val="173"/>
        </w:trPr>
        <w:tc>
          <w:tcPr>
            <w:tcW w:w="35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Interest rate cap contract</w:t>
            </w:r>
          </w:p>
        </w:tc>
        <w:tc>
          <w:tcPr>
            <w:tcW w:w="1840" w:type="dxa"/>
            <w:vAlign w:val="bottom"/>
            <w:tcBorders>
              <w:bottom w:val="single" w:sz="8" w:color="CCEEFF"/>
            </w:tcBorders>
            <w:gridSpan w:val="2"/>
            <w:shd w:val="clear" w:color="auto" w:fill="CCEEFF"/>
          </w:tcPr>
          <w:p>
            <w:pPr>
              <w:jc w:val="center"/>
              <w:ind w:left="79"/>
              <w:spacing w:after="0"/>
              <w:rPr>
                <w:sz w:val="20"/>
                <w:szCs w:val="20"/>
                <w:color w:val="auto"/>
              </w:rPr>
            </w:pPr>
            <w:r>
              <w:rPr>
                <w:rFonts w:ascii="Arial" w:cs="Arial" w:eastAsia="Arial" w:hAnsi="Arial"/>
                <w:sz w:val="13"/>
                <w:szCs w:val="13"/>
                <w:color w:val="auto"/>
                <w:w w:val="89"/>
              </w:rPr>
              <w:t>One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3"/>
                <w:szCs w:val="13"/>
                <w:color w:val="auto"/>
              </w:rPr>
              <w:t>3.500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April 30, 20</w:t>
            </w:r>
          </w:p>
        </w:tc>
      </w:tr>
      <w:tr>
        <w:trPr>
          <w:trHeight w:val="174"/>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Interest rate swap contracts</w:t>
            </w:r>
          </w:p>
        </w:tc>
        <w:tc>
          <w:tcPr>
            <w:tcW w:w="1840" w:type="dxa"/>
            <w:vAlign w:val="bottom"/>
            <w:gridSpan w:val="2"/>
          </w:tcPr>
          <w:p>
            <w:pPr>
              <w:jc w:val="center"/>
              <w:ind w:left="59"/>
              <w:spacing w:after="0"/>
              <w:rPr>
                <w:sz w:val="20"/>
                <w:szCs w:val="20"/>
                <w:color w:val="auto"/>
              </w:rPr>
            </w:pPr>
            <w:r>
              <w:rPr>
                <w:rFonts w:ascii="Arial" w:cs="Arial" w:eastAsia="Arial" w:hAnsi="Arial"/>
                <w:sz w:val="13"/>
                <w:szCs w:val="13"/>
                <w:color w:val="auto"/>
                <w:w w:val="97"/>
              </w:rPr>
              <w:t>Two</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350.0</w:t>
            </w:r>
          </w:p>
        </w:tc>
        <w:tc>
          <w:tcPr>
            <w:tcW w:w="120" w:type="dxa"/>
            <w:vAlign w:val="bottom"/>
          </w:tcPr>
          <w:p>
            <w:pPr>
              <w:spacing w:after="0"/>
              <w:rPr>
                <w:sz w:val="15"/>
                <w:szCs w:val="15"/>
                <w:color w:val="auto"/>
              </w:rPr>
            </w:pPr>
          </w:p>
        </w:tc>
        <w:tc>
          <w:tcPr>
            <w:tcW w:w="1820" w:type="dxa"/>
            <w:vAlign w:val="bottom"/>
          </w:tcPr>
          <w:p>
            <w:pPr>
              <w:jc w:val="right"/>
              <w:ind w:right="99"/>
              <w:spacing w:after="0"/>
              <w:rPr>
                <w:sz w:val="20"/>
                <w:szCs w:val="20"/>
                <w:color w:val="auto"/>
              </w:rPr>
            </w:pPr>
            <w:r>
              <w:rPr>
                <w:rFonts w:ascii="Arial" w:cs="Arial" w:eastAsia="Arial" w:hAnsi="Arial"/>
                <w:sz w:val="13"/>
                <w:szCs w:val="13"/>
                <w:color w:val="auto"/>
              </w:rPr>
              <w:t>2.301</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April 29, 20</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4"/>
        </w:trPr>
        <w:tc>
          <w:tcPr>
            <w:tcW w:w="35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w w:val="99"/>
              </w:rPr>
              <w:t>Forward-starting interest rate swap contracts - April 2022</w:t>
            </w:r>
          </w:p>
        </w:tc>
        <w:tc>
          <w:tcPr>
            <w:tcW w:w="1840" w:type="dxa"/>
            <w:vAlign w:val="bottom"/>
            <w:gridSpan w:val="2"/>
            <w:shd w:val="clear" w:color="auto" w:fill="CCEEFF"/>
          </w:tcPr>
          <w:p>
            <w:pPr>
              <w:jc w:val="center"/>
              <w:ind w:left="59"/>
              <w:spacing w:after="0"/>
              <w:rPr>
                <w:sz w:val="20"/>
                <w:szCs w:val="20"/>
                <w:color w:val="auto"/>
              </w:rPr>
            </w:pPr>
            <w:r>
              <w:rPr>
                <w:rFonts w:ascii="Arial" w:cs="Arial" w:eastAsia="Arial" w:hAnsi="Arial"/>
                <w:sz w:val="13"/>
                <w:szCs w:val="13"/>
                <w:color w:val="auto"/>
                <w:w w:val="97"/>
              </w:rPr>
              <w:t>Two</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w:t>
            </w: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0.370</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January 30, 20</w:t>
            </w:r>
          </w:p>
        </w:tc>
      </w:tr>
      <w:tr>
        <w:trPr>
          <w:trHeight w:val="20"/>
        </w:trPr>
        <w:tc>
          <w:tcPr>
            <w:tcW w:w="3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left="242"/>
        <w:spacing w:after="0"/>
        <w:rPr>
          <w:sz w:val="20"/>
          <w:szCs w:val="20"/>
          <w:color w:val="auto"/>
        </w:rPr>
      </w:pPr>
      <w:r>
        <w:rPr>
          <w:rFonts w:ascii="Arial" w:cs="Arial" w:eastAsia="Arial" w:hAnsi="Arial"/>
          <w:sz w:val="12"/>
          <w:szCs w:val="12"/>
          <w:color w:val="auto"/>
        </w:rPr>
        <w:t>The following table summarizes the fair value and presentation in the Company’s Condensed Consolidated Balance Sheets for derivatives as of June 30, 2021 and December 31, 2020 (in millions):</w:t>
      </w:r>
    </w:p>
    <w:p>
      <w:pPr>
        <w:spacing w:after="0" w:line="164" w:lineRule="exact"/>
        <w:rPr>
          <w:sz w:val="20"/>
          <w:szCs w:val="20"/>
          <w:color w:val="auto"/>
        </w:rPr>
      </w:pPr>
    </w:p>
    <w:tbl>
      <w:tblPr>
        <w:tblLayout w:type="fixed"/>
        <w:tblInd w:w="242" w:type="dxa"/>
        <w:tblCellMar>
          <w:top w:w="0" w:type="dxa"/>
          <w:left w:w="0" w:type="dxa"/>
          <w:bottom w:w="0" w:type="dxa"/>
          <w:right w:w="0" w:type="dxa"/>
        </w:tblCellMar>
      </w:tblPr>
      <w:tr>
        <w:trPr>
          <w:trHeight w:val="142"/>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0"/>
                <w:szCs w:val="10"/>
                <w:b w:val="1"/>
                <w:bCs w:val="1"/>
                <w:color w:val="auto"/>
              </w:rPr>
              <w:t>Fair Value of Derivative Liabilities</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46"/>
        </w:trPr>
        <w:tc>
          <w:tcPr>
            <w:tcW w:w="3960" w:type="dxa"/>
            <w:vAlign w:val="bottom"/>
            <w:gridSpan w:val="2"/>
          </w:tcPr>
          <w:p>
            <w:pPr>
              <w:ind w:left="1780"/>
              <w:spacing w:after="0"/>
              <w:rPr>
                <w:sz w:val="20"/>
                <w:szCs w:val="20"/>
                <w:color w:val="auto"/>
              </w:rPr>
            </w:pPr>
            <w:r>
              <w:rPr>
                <w:rFonts w:ascii="Arial" w:cs="Arial" w:eastAsia="Arial" w:hAnsi="Arial"/>
                <w:sz w:val="10"/>
                <w:szCs w:val="10"/>
                <w:b w:val="1"/>
                <w:bCs w:val="1"/>
                <w:color w:val="auto"/>
              </w:rPr>
              <w:t>Instrument</w:t>
            </w:r>
          </w:p>
        </w:tc>
        <w:tc>
          <w:tcPr>
            <w:tcW w:w="1420" w:type="dxa"/>
            <w:vAlign w:val="bottom"/>
          </w:tcPr>
          <w:p>
            <w:pPr>
              <w:spacing w:after="0"/>
              <w:rPr>
                <w:sz w:val="12"/>
                <w:szCs w:val="12"/>
                <w:color w:val="auto"/>
              </w:rPr>
            </w:pPr>
          </w:p>
        </w:tc>
        <w:tc>
          <w:tcPr>
            <w:tcW w:w="1940" w:type="dxa"/>
            <w:vAlign w:val="bottom"/>
            <w:gridSpan w:val="3"/>
          </w:tcPr>
          <w:p>
            <w:pPr>
              <w:jc w:val="right"/>
              <w:ind w:right="1082"/>
              <w:spacing w:after="0"/>
              <w:rPr>
                <w:sz w:val="20"/>
                <w:szCs w:val="20"/>
                <w:color w:val="auto"/>
              </w:rPr>
            </w:pPr>
            <w:r>
              <w:rPr>
                <w:rFonts w:ascii="Arial" w:cs="Arial" w:eastAsia="Arial" w:hAnsi="Arial"/>
                <w:sz w:val="10"/>
                <w:szCs w:val="10"/>
                <w:b w:val="1"/>
                <w:bCs w:val="1"/>
                <w:color w:val="auto"/>
              </w:rPr>
              <w:t>June 30, 2021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20" w:type="dxa"/>
            <w:vAlign w:val="bottom"/>
            <w:gridSpan w:val="3"/>
          </w:tcPr>
          <w:p>
            <w:pPr>
              <w:jc w:val="right"/>
              <w:spacing w:after="0"/>
              <w:rPr>
                <w:sz w:val="20"/>
                <w:szCs w:val="20"/>
                <w:color w:val="auto"/>
              </w:rPr>
            </w:pPr>
            <w:r>
              <w:rPr>
                <w:rFonts w:ascii="Arial" w:cs="Arial" w:eastAsia="Arial" w:hAnsi="Arial"/>
                <w:sz w:val="10"/>
                <w:szCs w:val="10"/>
                <w:b w:val="1"/>
                <w:bCs w:val="1"/>
                <w:color w:val="auto"/>
                <w:w w:val="97"/>
              </w:rPr>
              <w:t>December 31, 2020</w:t>
            </w:r>
          </w:p>
        </w:tc>
        <w:tc>
          <w:tcPr>
            <w:tcW w:w="1100" w:type="dxa"/>
            <w:vAlign w:val="bottom"/>
          </w:tcPr>
          <w:p>
            <w:pPr>
              <w:spacing w:after="0"/>
              <w:rPr>
                <w:sz w:val="12"/>
                <w:szCs w:val="12"/>
                <w:color w:val="auto"/>
              </w:rPr>
            </w:pPr>
          </w:p>
        </w:tc>
      </w:tr>
      <w:tr>
        <w:trPr>
          <w:trHeight w:val="145"/>
        </w:trPr>
        <w:tc>
          <w:tcPr>
            <w:tcW w:w="38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Derivative Assets</w:t>
            </w: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Derivative Liabilities</w:t>
            </w: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Derivative Assets</w:t>
            </w: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7"/>
              </w:rPr>
              <w:t>Derivative Liabilities</w:t>
            </w:r>
          </w:p>
        </w:tc>
      </w:tr>
      <w:tr>
        <w:trPr>
          <w:trHeight w:val="173"/>
        </w:trPr>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Derivatives designated as hedging instruments</w:t>
            </w:r>
          </w:p>
        </w:tc>
        <w:tc>
          <w:tcPr>
            <w:tcW w:w="14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4"/>
        </w:trPr>
        <w:tc>
          <w:tcPr>
            <w:tcW w:w="3960" w:type="dxa"/>
            <w:vAlign w:val="bottom"/>
            <w:gridSpan w:val="2"/>
          </w:tcPr>
          <w:p>
            <w:pPr>
              <w:ind w:left="400"/>
              <w:spacing w:after="0"/>
              <w:rPr>
                <w:sz w:val="20"/>
                <w:szCs w:val="20"/>
                <w:color w:val="auto"/>
              </w:rPr>
            </w:pPr>
            <w:r>
              <w:rPr>
                <w:rFonts w:ascii="Arial" w:cs="Arial" w:eastAsia="Arial" w:hAnsi="Arial"/>
                <w:sz w:val="13"/>
                <w:szCs w:val="13"/>
                <w:color w:val="auto"/>
              </w:rPr>
              <w:t>Interest rate cap contract</w:t>
            </w:r>
            <w:r>
              <w:rPr>
                <w:rFonts w:ascii="Arial" w:cs="Arial" w:eastAsia="Arial" w:hAnsi="Arial"/>
                <w:sz w:val="16"/>
                <w:szCs w:val="16"/>
                <w:color w:val="auto"/>
                <w:vertAlign w:val="superscript"/>
              </w:rPr>
              <w:t>(1)</w:t>
            </w:r>
          </w:p>
        </w:tc>
        <w:tc>
          <w:tcPr>
            <w:tcW w:w="1420" w:type="dxa"/>
            <w:vAlign w:val="bottom"/>
          </w:tcPr>
          <w:p>
            <w:pPr>
              <w:jc w:val="right"/>
              <w:ind w:right="106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1142"/>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108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94"/>
        </w:trPr>
        <w:tc>
          <w:tcPr>
            <w:tcW w:w="39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Interest rate cap contract</w:t>
            </w:r>
            <w:r>
              <w:rPr>
                <w:rFonts w:ascii="Arial" w:cs="Arial" w:eastAsia="Arial" w:hAnsi="Arial"/>
                <w:sz w:val="16"/>
                <w:szCs w:val="16"/>
                <w:color w:val="auto"/>
                <w:vertAlign w:val="superscript"/>
              </w:rPr>
              <w:t>(2)</w:t>
            </w:r>
          </w:p>
        </w:tc>
        <w:tc>
          <w:tcPr>
            <w:tcW w:w="14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194"/>
        </w:trPr>
        <w:tc>
          <w:tcPr>
            <w:tcW w:w="3960" w:type="dxa"/>
            <w:vAlign w:val="bottom"/>
            <w:gridSpan w:val="2"/>
          </w:tcPr>
          <w:p>
            <w:pPr>
              <w:ind w:left="400"/>
              <w:spacing w:after="0"/>
              <w:rPr>
                <w:sz w:val="20"/>
                <w:szCs w:val="20"/>
                <w:color w:val="auto"/>
              </w:rPr>
            </w:pPr>
            <w:r>
              <w:rPr>
                <w:rFonts w:ascii="Arial" w:cs="Arial" w:eastAsia="Arial" w:hAnsi="Arial"/>
                <w:sz w:val="13"/>
                <w:szCs w:val="13"/>
                <w:color w:val="auto"/>
              </w:rPr>
              <w:t>Interest rate swap contracts</w:t>
            </w:r>
            <w:r>
              <w:rPr>
                <w:rFonts w:ascii="Arial" w:cs="Arial" w:eastAsia="Arial" w:hAnsi="Arial"/>
                <w:sz w:val="16"/>
                <w:szCs w:val="16"/>
                <w:color w:val="auto"/>
                <w:vertAlign w:val="superscript"/>
              </w:rPr>
              <w:t>(1)</w:t>
            </w:r>
          </w:p>
        </w:tc>
        <w:tc>
          <w:tcPr>
            <w:tcW w:w="142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5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9"/>
              </w:rPr>
              <w:t>6.2</w:t>
            </w: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94"/>
        </w:trPr>
        <w:tc>
          <w:tcPr>
            <w:tcW w:w="39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Interest rate swap contracts</w:t>
            </w:r>
            <w:r>
              <w:rPr>
                <w:rFonts w:ascii="Arial" w:cs="Arial" w:eastAsia="Arial" w:hAnsi="Arial"/>
                <w:sz w:val="16"/>
                <w:szCs w:val="16"/>
                <w:color w:val="auto"/>
                <w:vertAlign w:val="superscript"/>
              </w:rPr>
              <w:t>(2)</w:t>
            </w:r>
          </w:p>
        </w:tc>
        <w:tc>
          <w:tcPr>
            <w:tcW w:w="14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94"/>
        </w:trPr>
        <w:tc>
          <w:tcPr>
            <w:tcW w:w="3960" w:type="dxa"/>
            <w:vAlign w:val="bottom"/>
            <w:tcBorders>
              <w:bottom w:val="single" w:sz="8" w:color="CCEEFF"/>
            </w:tcBorders>
            <w:gridSpan w:val="2"/>
          </w:tcPr>
          <w:p>
            <w:pPr>
              <w:ind w:left="400"/>
              <w:spacing w:after="0"/>
              <w:rPr>
                <w:sz w:val="20"/>
                <w:szCs w:val="20"/>
                <w:color w:val="auto"/>
              </w:rPr>
            </w:pPr>
            <w:r>
              <w:rPr>
                <w:rFonts w:ascii="Arial" w:cs="Arial" w:eastAsia="Arial" w:hAnsi="Arial"/>
                <w:sz w:val="13"/>
                <w:szCs w:val="13"/>
                <w:color w:val="auto"/>
              </w:rPr>
              <w:t>Forward-starting interest rate swap contracts</w:t>
            </w:r>
            <w:r>
              <w:rPr>
                <w:rFonts w:ascii="Arial" w:cs="Arial" w:eastAsia="Arial" w:hAnsi="Arial"/>
                <w:sz w:val="16"/>
                <w:szCs w:val="16"/>
                <w:color w:val="auto"/>
                <w:vertAlign w:val="superscript"/>
              </w:rPr>
              <w:t>(3)</w:t>
            </w:r>
          </w:p>
        </w:tc>
        <w:tc>
          <w:tcPr>
            <w:tcW w:w="1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0.2</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4"/>
        </w:trPr>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Total designated derivative fair value</w:t>
            </w:r>
          </w:p>
        </w:tc>
        <w:tc>
          <w:tcPr>
            <w:tcW w:w="14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6.4</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74"/>
        </w:trPr>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174"/>
        </w:trPr>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Derivatives not designated as hedging instruments</w:t>
            </w:r>
          </w:p>
        </w:tc>
        <w:tc>
          <w:tcPr>
            <w:tcW w:w="14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4"/>
        </w:trPr>
        <w:tc>
          <w:tcPr>
            <w:tcW w:w="3960" w:type="dxa"/>
            <w:vAlign w:val="bottom"/>
            <w:gridSpan w:val="2"/>
          </w:tcPr>
          <w:p>
            <w:pPr>
              <w:ind w:left="400"/>
              <w:spacing w:after="0"/>
              <w:rPr>
                <w:sz w:val="20"/>
                <w:szCs w:val="20"/>
                <w:color w:val="auto"/>
              </w:rPr>
            </w:pPr>
            <w:r>
              <w:rPr>
                <w:rFonts w:ascii="Arial" w:cs="Arial" w:eastAsia="Arial" w:hAnsi="Arial"/>
                <w:sz w:val="13"/>
                <w:szCs w:val="13"/>
                <w:color w:val="auto"/>
              </w:rPr>
              <w:t>Interest rate cap contract</w:t>
            </w:r>
            <w:r>
              <w:rPr>
                <w:rFonts w:ascii="Arial" w:cs="Arial" w:eastAsia="Arial" w:hAnsi="Arial"/>
                <w:sz w:val="16"/>
                <w:szCs w:val="16"/>
                <w:color w:val="auto"/>
                <w:vertAlign w:val="superscript"/>
              </w:rPr>
              <w:t>(1)</w:t>
            </w:r>
          </w:p>
        </w:tc>
        <w:tc>
          <w:tcPr>
            <w:tcW w:w="142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5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9"/>
              </w:rPr>
              <w:t>0.3</w:t>
            </w: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94"/>
        </w:trPr>
        <w:tc>
          <w:tcPr>
            <w:tcW w:w="39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Interest rate cap contract</w:t>
            </w:r>
            <w:r>
              <w:rPr>
                <w:rFonts w:ascii="Arial" w:cs="Arial" w:eastAsia="Arial" w:hAnsi="Arial"/>
                <w:sz w:val="16"/>
                <w:szCs w:val="16"/>
                <w:color w:val="auto"/>
                <w:vertAlign w:val="superscript"/>
              </w:rPr>
              <w:t>(2)</w:t>
            </w:r>
          </w:p>
        </w:tc>
        <w:tc>
          <w:tcPr>
            <w:tcW w:w="14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0.3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194"/>
        </w:trPr>
        <w:tc>
          <w:tcPr>
            <w:tcW w:w="3960" w:type="dxa"/>
            <w:vAlign w:val="bottom"/>
            <w:tcBorders>
              <w:bottom w:val="single" w:sz="8" w:color="CCEEFF"/>
            </w:tcBorders>
            <w:gridSpan w:val="2"/>
          </w:tcPr>
          <w:p>
            <w:pPr>
              <w:ind w:left="400"/>
              <w:spacing w:after="0"/>
              <w:rPr>
                <w:sz w:val="20"/>
                <w:szCs w:val="20"/>
                <w:color w:val="auto"/>
              </w:rPr>
            </w:pPr>
            <w:r>
              <w:rPr>
                <w:rFonts w:ascii="Arial" w:cs="Arial" w:eastAsia="Arial" w:hAnsi="Arial"/>
                <w:sz w:val="13"/>
                <w:szCs w:val="13"/>
                <w:color w:val="auto"/>
              </w:rPr>
              <w:t>Forward-starting interest rate swap contract</w:t>
            </w:r>
            <w:r>
              <w:rPr>
                <w:rFonts w:ascii="Arial" w:cs="Arial" w:eastAsia="Arial" w:hAnsi="Arial"/>
                <w:sz w:val="16"/>
                <w:szCs w:val="16"/>
                <w:color w:val="auto"/>
                <w:vertAlign w:val="superscript"/>
              </w:rPr>
              <w:t>(3)</w:t>
            </w:r>
          </w:p>
        </w:tc>
        <w:tc>
          <w:tcPr>
            <w:tcW w:w="1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4"/>
        </w:trPr>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Total undesignated derivative fair value</w:t>
            </w:r>
          </w:p>
        </w:tc>
        <w:tc>
          <w:tcPr>
            <w:tcW w:w="14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0.6</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183"/>
        </w:trPr>
        <w:tc>
          <w:tcPr>
            <w:tcW w:w="3960" w:type="dxa"/>
            <w:vAlign w:val="bottom"/>
            <w:gridSpan w:val="2"/>
          </w:tcPr>
          <w:p>
            <w:pPr>
              <w:ind w:left="240"/>
              <w:spacing w:after="0"/>
              <w:rPr>
                <w:sz w:val="20"/>
                <w:szCs w:val="20"/>
                <w:color w:val="auto"/>
              </w:rPr>
            </w:pPr>
            <w:r>
              <w:rPr>
                <w:rFonts w:ascii="Arial" w:cs="Arial" w:eastAsia="Arial" w:hAnsi="Arial"/>
                <w:sz w:val="13"/>
                <w:szCs w:val="13"/>
                <w:color w:val="auto"/>
              </w:rPr>
              <w:t>Total derivative fair value</w:t>
            </w:r>
          </w:p>
        </w:tc>
        <w:tc>
          <w:tcPr>
            <w:tcW w:w="1420" w:type="dxa"/>
            <w:vAlign w:val="bottom"/>
            <w:tcBorders>
              <w:top w:val="single" w:sz="8" w:color="auto"/>
              <w:bottom w:val="single" w:sz="8" w:color="auto"/>
            </w:tcBorders>
          </w:tcPr>
          <w:p>
            <w:pPr>
              <w:jc w:val="right"/>
              <w:ind w:right="1060"/>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5"/>
                <w:szCs w:val="15"/>
                <w:color w:val="auto"/>
              </w:rPr>
            </w:pPr>
          </w:p>
        </w:tc>
        <w:tc>
          <w:tcPr>
            <w:tcW w:w="1520" w:type="dxa"/>
            <w:vAlign w:val="bottom"/>
            <w:tcBorders>
              <w:top w:val="single" w:sz="8" w:color="auto"/>
              <w:bottom w:val="single" w:sz="8" w:color="auto"/>
            </w:tcBorders>
          </w:tcPr>
          <w:p>
            <w:pPr>
              <w:jc w:val="right"/>
              <w:ind w:right="1142"/>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7.0</w:t>
            </w:r>
          </w:p>
        </w:tc>
        <w:tc>
          <w:tcPr>
            <w:tcW w:w="80" w:type="dxa"/>
            <w:vAlign w:val="bottom"/>
            <w:tcBorders>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1080"/>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w:t>
            </w: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2"/>
        <w:spacing w:after="0"/>
        <w:rPr>
          <w:sz w:val="20"/>
          <w:szCs w:val="20"/>
          <w:color w:val="auto"/>
        </w:rPr>
      </w:pPr>
      <w:r>
        <w:rPr>
          <w:rFonts w:ascii="Arial" w:cs="Arial" w:eastAsia="Arial" w:hAnsi="Arial"/>
          <w:sz w:val="10"/>
          <w:szCs w:val="10"/>
          <w:color w:val="auto"/>
        </w:rPr>
        <w:t>________________</w:t>
      </w:r>
    </w:p>
    <w:p>
      <w:pPr>
        <w:spacing w:after="0" w:line="9" w:lineRule="exact"/>
        <w:rPr>
          <w:sz w:val="20"/>
          <w:szCs w:val="20"/>
          <w:color w:val="auto"/>
        </w:rPr>
      </w:pPr>
    </w:p>
    <w:p>
      <w:pPr>
        <w:ind w:left="142" w:hanging="142"/>
        <w:spacing w:after="0"/>
        <w:tabs>
          <w:tab w:leader="none" w:pos="142" w:val="left"/>
        </w:tabs>
        <w:numPr>
          <w:ilvl w:val="0"/>
          <w:numId w:val="14"/>
        </w:numPr>
        <w:rPr>
          <w:rFonts w:ascii="Arial" w:cs="Arial" w:eastAsia="Arial" w:hAnsi="Arial"/>
          <w:sz w:val="10"/>
          <w:szCs w:val="10"/>
          <w:color w:val="auto"/>
        </w:rPr>
      </w:pPr>
      <w:r>
        <w:rPr>
          <w:rFonts w:ascii="Arial" w:cs="Arial" w:eastAsia="Arial" w:hAnsi="Arial"/>
          <w:sz w:val="10"/>
          <w:szCs w:val="10"/>
          <w:color w:val="auto"/>
        </w:rPr>
        <w:t xml:space="preserve">Included in </w:t>
      </w:r>
      <w:r>
        <w:rPr>
          <w:rFonts w:ascii="Arial" w:cs="Arial" w:eastAsia="Arial" w:hAnsi="Arial"/>
          <w:sz w:val="10"/>
          <w:szCs w:val="10"/>
          <w:i w:val="1"/>
          <w:iCs w:val="1"/>
          <w:color w:val="auto"/>
        </w:rPr>
        <w:t>Accrued expenses and other current liabilities</w:t>
      </w:r>
      <w:r>
        <w:rPr>
          <w:rFonts w:ascii="Arial" w:cs="Arial" w:eastAsia="Arial" w:hAnsi="Arial"/>
          <w:sz w:val="10"/>
          <w:szCs w:val="10"/>
          <w:color w:val="auto"/>
        </w:rPr>
        <w:t xml:space="preserve"> on our Condensed Consolidated Balance Sheets.</w:t>
      </w:r>
    </w:p>
    <w:p>
      <w:pPr>
        <w:spacing w:after="0" w:line="1" w:lineRule="exact"/>
        <w:rPr>
          <w:rFonts w:ascii="Arial" w:cs="Arial" w:eastAsia="Arial" w:hAnsi="Arial"/>
          <w:sz w:val="10"/>
          <w:szCs w:val="10"/>
          <w:color w:val="auto"/>
        </w:rPr>
      </w:pPr>
    </w:p>
    <w:p>
      <w:pPr>
        <w:ind w:left="142" w:hanging="142"/>
        <w:spacing w:after="0"/>
        <w:tabs>
          <w:tab w:leader="none" w:pos="142" w:val="left"/>
        </w:tabs>
        <w:numPr>
          <w:ilvl w:val="0"/>
          <w:numId w:val="14"/>
        </w:numPr>
        <w:rPr>
          <w:rFonts w:ascii="Arial" w:cs="Arial" w:eastAsia="Arial" w:hAnsi="Arial"/>
          <w:sz w:val="10"/>
          <w:szCs w:val="10"/>
          <w:color w:val="auto"/>
        </w:rPr>
      </w:pPr>
      <w:r>
        <w:rPr>
          <w:rFonts w:ascii="Arial" w:cs="Arial" w:eastAsia="Arial" w:hAnsi="Arial"/>
          <w:sz w:val="10"/>
          <w:szCs w:val="10"/>
          <w:color w:val="auto"/>
        </w:rPr>
        <w:t xml:space="preserve">Included in </w:t>
      </w:r>
      <w:r>
        <w:rPr>
          <w:rFonts w:ascii="Arial" w:cs="Arial" w:eastAsia="Arial" w:hAnsi="Arial"/>
          <w:sz w:val="10"/>
          <w:szCs w:val="10"/>
          <w:i w:val="1"/>
          <w:iCs w:val="1"/>
          <w:color w:val="auto"/>
        </w:rPr>
        <w:t>Other long-term liabilities</w:t>
      </w:r>
      <w:r>
        <w:rPr>
          <w:rFonts w:ascii="Arial" w:cs="Arial" w:eastAsia="Arial" w:hAnsi="Arial"/>
          <w:sz w:val="10"/>
          <w:szCs w:val="10"/>
          <w:color w:val="auto"/>
        </w:rPr>
        <w:t xml:space="preserve"> on our Condensed Consolidated Balance Sheets.</w:t>
      </w:r>
    </w:p>
    <w:p>
      <w:pPr>
        <w:spacing w:after="0" w:line="1" w:lineRule="exact"/>
        <w:rPr>
          <w:rFonts w:ascii="Arial" w:cs="Arial" w:eastAsia="Arial" w:hAnsi="Arial"/>
          <w:sz w:val="10"/>
          <w:szCs w:val="10"/>
          <w:color w:val="auto"/>
        </w:rPr>
      </w:pPr>
    </w:p>
    <w:p>
      <w:pPr>
        <w:ind w:left="142" w:hanging="142"/>
        <w:spacing w:after="0"/>
        <w:tabs>
          <w:tab w:leader="none" w:pos="142" w:val="left"/>
        </w:tabs>
        <w:numPr>
          <w:ilvl w:val="0"/>
          <w:numId w:val="14"/>
        </w:numPr>
        <w:rPr>
          <w:rFonts w:ascii="Arial" w:cs="Arial" w:eastAsia="Arial" w:hAnsi="Arial"/>
          <w:sz w:val="10"/>
          <w:szCs w:val="10"/>
          <w:color w:val="auto"/>
        </w:rPr>
      </w:pPr>
      <w:r>
        <w:rPr>
          <w:rFonts w:ascii="Arial" w:cs="Arial" w:eastAsia="Arial" w:hAnsi="Arial"/>
          <w:sz w:val="10"/>
          <w:szCs w:val="10"/>
          <w:color w:val="auto"/>
        </w:rPr>
        <w:t xml:space="preserve">Included in </w:t>
      </w:r>
      <w:r>
        <w:rPr>
          <w:rFonts w:ascii="Arial" w:cs="Arial" w:eastAsia="Arial" w:hAnsi="Arial"/>
          <w:sz w:val="10"/>
          <w:szCs w:val="10"/>
          <w:i w:val="1"/>
          <w:iCs w:val="1"/>
          <w:color w:val="auto"/>
        </w:rPr>
        <w:t>Deferred costs and other assets, net of current portion</w:t>
      </w:r>
      <w:r>
        <w:rPr>
          <w:rFonts w:ascii="Arial" w:cs="Arial" w:eastAsia="Arial" w:hAnsi="Arial"/>
          <w:sz w:val="10"/>
          <w:szCs w:val="10"/>
          <w:color w:val="auto"/>
        </w:rPr>
        <w:t xml:space="preserve"> on our Condensed Consolidated Balance Sheets.</w:t>
      </w:r>
    </w:p>
    <w:p>
      <w:pPr>
        <w:spacing w:after="0" w:line="191" w:lineRule="exact"/>
        <w:rPr>
          <w:sz w:val="20"/>
          <w:szCs w:val="20"/>
          <w:color w:val="auto"/>
        </w:rPr>
      </w:pPr>
    </w:p>
    <w:p>
      <w:pPr>
        <w:jc w:val="both"/>
        <w:ind w:left="2" w:right="80" w:firstLine="233"/>
        <w:spacing w:after="0" w:line="254" w:lineRule="auto"/>
        <w:rPr>
          <w:sz w:val="20"/>
          <w:szCs w:val="20"/>
          <w:color w:val="auto"/>
        </w:rPr>
      </w:pPr>
      <w:r>
        <w:rPr>
          <w:rFonts w:ascii="Arial" w:cs="Arial" w:eastAsia="Arial" w:hAnsi="Arial"/>
          <w:sz w:val="13"/>
          <w:szCs w:val="13"/>
          <w:color w:val="auto"/>
        </w:rPr>
        <w:t xml:space="preserve">The change in fair value of any derivative instruments was recorded, net of income tax, in </w:t>
      </w:r>
      <w:r>
        <w:rPr>
          <w:rFonts w:ascii="Arial" w:cs="Arial" w:eastAsia="Arial" w:hAnsi="Arial"/>
          <w:sz w:val="13"/>
          <w:szCs w:val="13"/>
          <w:i w:val="1"/>
          <w:iCs w:val="1"/>
          <w:color w:val="auto"/>
        </w:rPr>
        <w:t>Accumulated other comprehensive income (loss)</w:t>
      </w:r>
      <w:r>
        <w:rPr>
          <w:rFonts w:ascii="Arial" w:cs="Arial" w:eastAsia="Arial" w:hAnsi="Arial"/>
          <w:sz w:val="13"/>
          <w:szCs w:val="13"/>
          <w:color w:val="auto"/>
        </w:rPr>
        <w:t xml:space="preserve"> (“AOCI”) on the Company’s Condensed Consolidated Balance Sheets to the extent the agreements were designated as effective hedges. In the period that the hedged item affects earnings, such as when interest payments are made on the Company’s variable-rate debt, we reclassify the related gain or loss on the interest rate swap cash flow hedges and any receipts on the cap to </w:t>
      </w:r>
      <w:r>
        <w:rPr>
          <w:rFonts w:ascii="Arial" w:cs="Arial" w:eastAsia="Arial" w:hAnsi="Arial"/>
          <w:sz w:val="13"/>
          <w:szCs w:val="13"/>
          <w:i w:val="1"/>
          <w:iCs w:val="1"/>
          <w:color w:val="auto"/>
        </w:rPr>
        <w:t>Interest expense, net</w:t>
      </w:r>
      <w:r>
        <w:rPr>
          <w:rFonts w:ascii="Arial" w:cs="Arial" w:eastAsia="Arial" w:hAnsi="Arial"/>
          <w:sz w:val="13"/>
          <w:szCs w:val="13"/>
          <w:color w:val="auto"/>
        </w:rPr>
        <w:t xml:space="preserve"> and as operating cash flows in our Consolidated Statements of Cash Flows in the period settled in cash. Income tax effects from changes in fair value of derivative instruments are recorded in our Consolidated Statements of Operations when the derivative instruments are settled. Over the next 12 months, we expect to reclassify approximately $5.1 million into interest expense from AOCI.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8"/>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119380</wp:posOffset>
            </wp:positionV>
            <wp:extent cx="719645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2"/>
          </w:cols>
          <w:pgMar w:left="298" w:top="125" w:right="239" w:bottom="1440" w:gutter="0" w:footer="0" w:header="0"/>
        </w:sectPr>
      </w:pPr>
    </w:p>
    <w:bookmarkStart w:id="35" w:name="page36"/>
    <w:bookmarkEnd w:id="3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9 - Derivatives and Hedging Activities (continued)</w:t>
      </w:r>
    </w:p>
    <w:p>
      <w:pPr>
        <w:spacing w:after="0" w:line="200" w:lineRule="exact"/>
        <w:rPr>
          <w:sz w:val="20"/>
          <w:szCs w:val="20"/>
          <w:color w:val="auto"/>
        </w:rPr>
      </w:pPr>
    </w:p>
    <w:p>
      <w:pPr>
        <w:spacing w:after="0" w:line="294" w:lineRule="exact"/>
        <w:rPr>
          <w:sz w:val="20"/>
          <w:szCs w:val="20"/>
          <w:color w:val="auto"/>
        </w:rPr>
      </w:pPr>
    </w:p>
    <w:p>
      <w:pPr>
        <w:jc w:val="both"/>
        <w:ind w:firstLine="233"/>
        <w:spacing w:after="0" w:line="270" w:lineRule="auto"/>
        <w:rPr>
          <w:sz w:val="20"/>
          <w:szCs w:val="20"/>
          <w:color w:val="auto"/>
        </w:rPr>
      </w:pPr>
      <w:r>
        <w:rPr>
          <w:rFonts w:ascii="Arial" w:cs="Arial" w:eastAsia="Arial" w:hAnsi="Arial"/>
          <w:sz w:val="13"/>
          <w:szCs w:val="13"/>
          <w:color w:val="auto"/>
        </w:rPr>
        <w:t>Refer to the Company’s Consolidated Statements of Comprehensive Income (Loss) for amounts reclassified from AOCI into earnings related to the Company’s Derivative Instruments designated as cash flow hedging instruments for each of the reporting periods.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10 - Fair Value</w:t>
      </w:r>
    </w:p>
    <w:p>
      <w:pPr>
        <w:spacing w:after="0" w:line="126" w:lineRule="exact"/>
        <w:rPr>
          <w:sz w:val="20"/>
          <w:szCs w:val="20"/>
          <w:color w:val="auto"/>
        </w:rPr>
      </w:pPr>
    </w:p>
    <w:p>
      <w:pPr>
        <w:jc w:val="both"/>
        <w:ind w:right="20" w:firstLine="233"/>
        <w:spacing w:after="0" w:line="254" w:lineRule="auto"/>
        <w:rPr>
          <w:sz w:val="20"/>
          <w:szCs w:val="20"/>
          <w:color w:val="auto"/>
        </w:rPr>
      </w:pPr>
      <w:r>
        <w:rPr>
          <w:rFonts w:ascii="Arial" w:cs="Arial" w:eastAsia="Arial" w:hAnsi="Arial"/>
          <w:sz w:val="13"/>
          <w:szCs w:val="13"/>
          <w:color w:val="auto"/>
        </w:rPr>
        <w:t>The Company's financial instruments consist principally of cash and cash equivalents, short-term investments,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money market mutual funds as Level 1 of the fair value hierarchy. We classify our corporate debt securities, securities guaranteed by U.S. government, and other governmental securities as Level 2 of the fair value hierarchy. The carrying values of the Company's debt instruments approximate their fair value based on Level 2 inputs since the instruments carry variable interest rates based on LIBOR or other applicable reference rates.</w:t>
      </w:r>
    </w:p>
    <w:p>
      <w:pPr>
        <w:spacing w:after="0" w:line="101" w:lineRule="exact"/>
        <w:rPr>
          <w:sz w:val="20"/>
          <w:szCs w:val="20"/>
          <w:color w:val="auto"/>
        </w:rPr>
      </w:pPr>
    </w:p>
    <w:p>
      <w:pPr>
        <w:jc w:val="both"/>
        <w:ind w:firstLine="233"/>
        <w:spacing w:after="0" w:line="277" w:lineRule="auto"/>
        <w:rPr>
          <w:sz w:val="20"/>
          <w:szCs w:val="20"/>
          <w:color w:val="auto"/>
        </w:rPr>
      </w:pPr>
      <w:r>
        <w:rPr>
          <w:rFonts w:ascii="Arial" w:cs="Arial" w:eastAsia="Arial" w:hAnsi="Arial"/>
          <w:sz w:val="12"/>
          <w:szCs w:val="12"/>
          <w:color w:val="auto"/>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87" w:lineRule="exact"/>
        <w:rPr>
          <w:sz w:val="20"/>
          <w:szCs w:val="20"/>
          <w:color w:val="auto"/>
        </w:rPr>
      </w:pPr>
    </w:p>
    <w:p>
      <w:pPr>
        <w:jc w:val="both"/>
        <w:ind w:right="20" w:firstLine="233"/>
        <w:spacing w:after="0" w:line="270" w:lineRule="auto"/>
        <w:rPr>
          <w:sz w:val="20"/>
          <w:szCs w:val="20"/>
          <w:color w:val="auto"/>
        </w:rPr>
      </w:pPr>
      <w:r>
        <w:rPr>
          <w:rFonts w:ascii="Arial" w:cs="Arial" w:eastAsia="Arial" w:hAnsi="Arial"/>
          <w:sz w:val="13"/>
          <w:szCs w:val="13"/>
          <w:color w:val="auto"/>
        </w:rPr>
        <w:t>Inputs are collected from SuperDerivatives, an independent third-party derivative pricing data provider, as of the close on the last day of the period. The valuation of the interest rate swaps also take into consideration estimates of our own, as well as counterparty’s, risk of non-performance under the contract.</w:t>
      </w:r>
    </w:p>
    <w:p>
      <w:pPr>
        <w:spacing w:after="0" w:line="90" w:lineRule="exact"/>
        <w:rPr>
          <w:sz w:val="20"/>
          <w:szCs w:val="20"/>
          <w:color w:val="auto"/>
        </w:rPr>
      </w:pPr>
    </w:p>
    <w:p>
      <w:pPr>
        <w:jc w:val="both"/>
        <w:ind w:right="20" w:firstLine="233"/>
        <w:spacing w:after="0" w:line="253" w:lineRule="auto"/>
        <w:rPr>
          <w:sz w:val="20"/>
          <w:szCs w:val="20"/>
          <w:color w:val="auto"/>
        </w:rPr>
      </w:pPr>
      <w:r>
        <w:rPr>
          <w:rFonts w:ascii="Arial" w:cs="Arial" w:eastAsia="Arial" w:hAnsi="Arial"/>
          <w:sz w:val="13"/>
          <w:szCs w:val="13"/>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6" w:name="page37"/>
    <w:bookmarkEnd w:id="3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40" w:type="dxa"/>
            <w:vAlign w:val="bottom"/>
            <w:gridSpan w:val="3"/>
          </w:tcPr>
          <w:p>
            <w:pPr>
              <w:spacing w:after="0"/>
              <w:rPr>
                <w:sz w:val="20"/>
                <w:szCs w:val="20"/>
                <w:color w:val="auto"/>
              </w:rPr>
            </w:pPr>
            <w:r>
              <w:rPr>
                <w:rFonts w:ascii="Arial" w:cs="Arial" w:eastAsia="Arial" w:hAnsi="Arial"/>
                <w:sz w:val="13"/>
                <w:szCs w:val="13"/>
                <w:b w:val="1"/>
                <w:bCs w:val="1"/>
                <w:color w:val="auto"/>
              </w:rPr>
              <w:t>Note 10 - Fair Value (continued)</w:t>
            </w: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465"/>
        </w:trPr>
        <w:tc>
          <w:tcPr>
            <w:tcW w:w="240" w:type="dxa"/>
            <w:vAlign w:val="bottom"/>
          </w:tcPr>
          <w:p>
            <w:pPr>
              <w:spacing w:after="0"/>
              <w:rPr>
                <w:sz w:val="24"/>
                <w:szCs w:val="24"/>
                <w:color w:val="auto"/>
              </w:rPr>
            </w:pPr>
          </w:p>
        </w:tc>
        <w:tc>
          <w:tcPr>
            <w:tcW w:w="5900" w:type="dxa"/>
            <w:vAlign w:val="bottom"/>
            <w:gridSpan w:val="2"/>
          </w:tcPr>
          <w:p>
            <w:pPr>
              <w:spacing w:after="0"/>
              <w:rPr>
                <w:sz w:val="20"/>
                <w:szCs w:val="20"/>
                <w:color w:val="auto"/>
              </w:rPr>
            </w:pPr>
            <w:r>
              <w:rPr>
                <w:rFonts w:ascii="Arial" w:cs="Arial" w:eastAsia="Arial" w:hAnsi="Arial"/>
                <w:sz w:val="13"/>
                <w:szCs w:val="13"/>
                <w:color w:val="auto"/>
                <w:w w:val="96"/>
              </w:rPr>
              <w:t>The fair value (in millions) of our financial assets and (liabilities) was determined using the following inputs:</w:t>
            </w: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1"/>
        </w:trPr>
        <w:tc>
          <w:tcPr>
            <w:tcW w:w="240" w:type="dxa"/>
            <w:vAlign w:val="bottom"/>
          </w:tcPr>
          <w:p>
            <w:pPr>
              <w:spacing w:after="0"/>
              <w:rPr>
                <w:sz w:val="24"/>
                <w:szCs w:val="24"/>
                <w:color w:val="auto"/>
              </w:rPr>
            </w:pPr>
          </w:p>
        </w:tc>
        <w:tc>
          <w:tcPr>
            <w:tcW w:w="580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Fair Value at June 30, 2021</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0"/>
                <w:szCs w:val="10"/>
                <w:b w:val="1"/>
                <w:bCs w:val="1"/>
                <w:color w:val="auto"/>
              </w:rPr>
              <w:t>Level 1</w:t>
            </w: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97"/>
              <w:spacing w:after="0"/>
              <w:rPr>
                <w:sz w:val="20"/>
                <w:szCs w:val="20"/>
                <w:color w:val="auto"/>
              </w:rPr>
            </w:pPr>
            <w:r>
              <w:rPr>
                <w:rFonts w:ascii="Arial" w:cs="Arial" w:eastAsia="Arial" w:hAnsi="Arial"/>
                <w:sz w:val="10"/>
                <w:szCs w:val="10"/>
                <w:b w:val="1"/>
                <w:bCs w:val="1"/>
                <w:color w:val="auto"/>
              </w:rPr>
              <w:t>Level 2</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0"/>
                <w:szCs w:val="10"/>
                <w:b w:val="1"/>
                <w:bCs w:val="1"/>
                <w:color w:val="auto"/>
              </w:rPr>
              <w:t>Level 3</w:t>
            </w:r>
          </w:p>
        </w:tc>
      </w:tr>
      <w:tr>
        <w:trPr>
          <w:trHeight w:val="173"/>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b w:val="1"/>
                <w:bCs w:val="1"/>
                <w:color w:val="auto"/>
              </w:rPr>
              <w:t>Measured on a recurring basis:</w:t>
            </w:r>
          </w:p>
        </w:tc>
        <w:tc>
          <w:tcPr>
            <w:tcW w:w="1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900" w:type="dxa"/>
            <w:vAlign w:val="bottom"/>
            <w:gridSpan w:val="2"/>
          </w:tcPr>
          <w:p>
            <w:pPr>
              <w:ind w:left="240"/>
              <w:spacing w:after="0"/>
              <w:rPr>
                <w:sz w:val="20"/>
                <w:szCs w:val="20"/>
                <w:color w:val="auto"/>
              </w:rPr>
            </w:pPr>
            <w:r>
              <w:rPr>
                <w:rFonts w:ascii="Arial" w:cs="Arial" w:eastAsia="Arial" w:hAnsi="Arial"/>
                <w:sz w:val="13"/>
                <w:szCs w:val="13"/>
                <w:color w:val="auto"/>
              </w:rPr>
              <w:t>Assets:</w:t>
            </w: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3"/>
                <w:szCs w:val="13"/>
                <w:color w:val="auto"/>
              </w:rPr>
              <w:t>Cash equivalents:</w:t>
            </w:r>
          </w:p>
        </w:tc>
        <w:tc>
          <w:tcPr>
            <w:tcW w:w="1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900" w:type="dxa"/>
            <w:vAlign w:val="bottom"/>
            <w:gridSpan w:val="2"/>
          </w:tcPr>
          <w:p>
            <w:pPr>
              <w:ind w:left="400"/>
              <w:spacing w:after="0"/>
              <w:rPr>
                <w:sz w:val="20"/>
                <w:szCs w:val="20"/>
                <w:color w:val="auto"/>
              </w:rPr>
            </w:pPr>
            <w:r>
              <w:rPr>
                <w:rFonts w:ascii="Arial" w:cs="Arial" w:eastAsia="Arial" w:hAnsi="Arial"/>
                <w:sz w:val="13"/>
                <w:szCs w:val="13"/>
                <w:color w:val="auto"/>
              </w:rPr>
              <w:t>Corporate debt securities</w:t>
            </w:r>
          </w:p>
        </w:tc>
        <w:tc>
          <w:tcPr>
            <w:tcW w:w="1260" w:type="dxa"/>
            <w:vAlign w:val="bottom"/>
          </w:tcPr>
          <w:p>
            <w:pPr>
              <w:jc w:val="right"/>
              <w:ind w:right="877"/>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9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5"/>
                <w:szCs w:val="15"/>
                <w:color w:val="auto"/>
              </w:rPr>
            </w:pPr>
          </w:p>
        </w:tc>
        <w:tc>
          <w:tcPr>
            <w:tcW w:w="5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Money market mutual funds</w:t>
            </w:r>
          </w:p>
        </w:tc>
        <w:tc>
          <w:tcPr>
            <w:tcW w:w="126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116.2</w:t>
            </w: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917"/>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900" w:type="dxa"/>
            <w:vAlign w:val="bottom"/>
            <w:gridSpan w:val="2"/>
          </w:tcPr>
          <w:p>
            <w:pPr>
              <w:ind w:left="400"/>
              <w:spacing w:after="0"/>
              <w:rPr>
                <w:sz w:val="20"/>
                <w:szCs w:val="20"/>
                <w:color w:val="auto"/>
              </w:rPr>
            </w:pPr>
            <w:r>
              <w:rPr>
                <w:rFonts w:ascii="Arial" w:cs="Arial" w:eastAsia="Arial" w:hAnsi="Arial"/>
                <w:sz w:val="13"/>
                <w:szCs w:val="13"/>
                <w:color w:val="auto"/>
              </w:rPr>
              <w:t>Securities guaranteed by U.S. government</w:t>
            </w:r>
          </w:p>
        </w:tc>
        <w:tc>
          <w:tcPr>
            <w:tcW w:w="1260" w:type="dxa"/>
            <w:vAlign w:val="bottom"/>
          </w:tcPr>
          <w:p>
            <w:pPr>
              <w:jc w:val="right"/>
              <w:ind w:right="877"/>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917"/>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3"/>
                <w:szCs w:val="13"/>
                <w:color w:val="auto"/>
              </w:rPr>
              <w:t>Short-term investments:</w:t>
            </w:r>
          </w:p>
        </w:tc>
        <w:tc>
          <w:tcPr>
            <w:tcW w:w="1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900" w:type="dxa"/>
            <w:vAlign w:val="bottom"/>
            <w:gridSpan w:val="2"/>
          </w:tcPr>
          <w:p>
            <w:pPr>
              <w:ind w:left="400"/>
              <w:spacing w:after="0"/>
              <w:rPr>
                <w:sz w:val="20"/>
                <w:szCs w:val="20"/>
                <w:color w:val="auto"/>
              </w:rPr>
            </w:pPr>
            <w:r>
              <w:rPr>
                <w:rFonts w:ascii="Arial" w:cs="Arial" w:eastAsia="Arial" w:hAnsi="Arial"/>
                <w:sz w:val="13"/>
                <w:szCs w:val="13"/>
                <w:color w:val="auto"/>
              </w:rPr>
              <w:t>Corporate debt securities</w:t>
            </w:r>
          </w:p>
        </w:tc>
        <w:tc>
          <w:tcPr>
            <w:tcW w:w="1260" w:type="dxa"/>
            <w:vAlign w:val="bottom"/>
          </w:tcPr>
          <w:p>
            <w:pPr>
              <w:jc w:val="right"/>
              <w:ind w:right="877"/>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9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57.2</w:t>
            </w:r>
          </w:p>
        </w:tc>
        <w:tc>
          <w:tcPr>
            <w:tcW w:w="100" w:type="dxa"/>
            <w:vAlign w:val="bottom"/>
          </w:tcPr>
          <w:p>
            <w:pPr>
              <w:spacing w:after="0"/>
              <w:rPr>
                <w:sz w:val="15"/>
                <w:szCs w:val="15"/>
                <w:color w:val="auto"/>
              </w:rPr>
            </w:pPr>
          </w:p>
        </w:tc>
        <w:tc>
          <w:tcPr>
            <w:tcW w:w="5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Securities guaranteed by U.S. government</w:t>
            </w:r>
          </w:p>
        </w:tc>
        <w:tc>
          <w:tcPr>
            <w:tcW w:w="126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CCEEFF"/>
            </w:tcBorders>
            <w:shd w:val="clear" w:color="auto" w:fill="CCEEFF"/>
          </w:tcPr>
          <w:p>
            <w:pPr>
              <w:jc w:val="right"/>
              <w:ind w:right="91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900" w:type="dxa"/>
            <w:vAlign w:val="bottom"/>
            <w:gridSpan w:val="2"/>
          </w:tcPr>
          <w:p>
            <w:pPr>
              <w:ind w:left="400"/>
              <w:spacing w:after="0"/>
              <w:rPr>
                <w:sz w:val="20"/>
                <w:szCs w:val="20"/>
                <w:color w:val="auto"/>
              </w:rPr>
            </w:pPr>
            <w:r>
              <w:rPr>
                <w:rFonts w:ascii="Arial" w:cs="Arial" w:eastAsia="Arial" w:hAnsi="Arial"/>
                <w:sz w:val="13"/>
                <w:szCs w:val="13"/>
                <w:color w:val="auto"/>
              </w:rPr>
              <w:t>Other governmental securities</w:t>
            </w:r>
          </w:p>
        </w:tc>
        <w:tc>
          <w:tcPr>
            <w:tcW w:w="1260" w:type="dxa"/>
            <w:vAlign w:val="bottom"/>
          </w:tcPr>
          <w:p>
            <w:pPr>
              <w:jc w:val="right"/>
              <w:ind w:right="877"/>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9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5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3"/>
                <w:szCs w:val="13"/>
                <w:color w:val="auto"/>
              </w:rPr>
              <w:t>Deferred costs and other assets, net of current portion</w:t>
            </w:r>
          </w:p>
        </w:tc>
        <w:tc>
          <w:tcPr>
            <w:tcW w:w="1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900" w:type="dxa"/>
            <w:vAlign w:val="bottom"/>
            <w:gridSpan w:val="2"/>
          </w:tcPr>
          <w:p>
            <w:pPr>
              <w:ind w:left="400"/>
              <w:spacing w:after="0"/>
              <w:rPr>
                <w:sz w:val="20"/>
                <w:szCs w:val="20"/>
                <w:color w:val="auto"/>
              </w:rPr>
            </w:pPr>
            <w:r>
              <w:rPr>
                <w:rFonts w:ascii="Arial" w:cs="Arial" w:eastAsia="Arial" w:hAnsi="Arial"/>
                <w:sz w:val="13"/>
                <w:szCs w:val="13"/>
                <w:color w:val="auto"/>
              </w:rPr>
              <w:t>Forward-starting interest rate swap contracts</w:t>
            </w:r>
          </w:p>
        </w:tc>
        <w:tc>
          <w:tcPr>
            <w:tcW w:w="1260" w:type="dxa"/>
            <w:vAlign w:val="bottom"/>
          </w:tcPr>
          <w:p>
            <w:pPr>
              <w:jc w:val="right"/>
              <w:ind w:right="877"/>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9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5"/>
                <w:szCs w:val="15"/>
                <w:color w:val="auto"/>
              </w:rPr>
            </w:pPr>
          </w:p>
        </w:tc>
        <w:tc>
          <w:tcPr>
            <w:tcW w:w="5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Liabilities:</w:t>
            </w:r>
          </w:p>
        </w:tc>
        <w:tc>
          <w:tcPr>
            <w:tcW w:w="1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900" w:type="dxa"/>
            <w:vAlign w:val="bottom"/>
            <w:gridSpan w:val="2"/>
          </w:tcPr>
          <w:p>
            <w:pPr>
              <w:ind w:left="320"/>
              <w:spacing w:after="0"/>
              <w:rPr>
                <w:sz w:val="20"/>
                <w:szCs w:val="20"/>
                <w:color w:val="auto"/>
              </w:rPr>
            </w:pPr>
            <w:r>
              <w:rPr>
                <w:rFonts w:ascii="Arial" w:cs="Arial" w:eastAsia="Arial" w:hAnsi="Arial"/>
                <w:sz w:val="13"/>
                <w:szCs w:val="13"/>
                <w:color w:val="auto"/>
              </w:rPr>
              <w:t>Derivative contracts:</w:t>
            </w: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Interest rate cap contract</w:t>
            </w:r>
          </w:p>
        </w:tc>
        <w:tc>
          <w:tcPr>
            <w:tcW w:w="126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CCEEFF"/>
            </w:tcBorders>
            <w:shd w:val="clear" w:color="auto" w:fill="CCEEFF"/>
          </w:tcPr>
          <w:p>
            <w:pPr>
              <w:jc w:val="right"/>
              <w:ind w:right="91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900" w:type="dxa"/>
            <w:vAlign w:val="bottom"/>
            <w:gridSpan w:val="2"/>
          </w:tcPr>
          <w:p>
            <w:pPr>
              <w:ind w:left="400"/>
              <w:spacing w:after="0"/>
              <w:rPr>
                <w:sz w:val="20"/>
                <w:szCs w:val="20"/>
                <w:color w:val="auto"/>
              </w:rPr>
            </w:pPr>
            <w:r>
              <w:rPr>
                <w:rFonts w:ascii="Arial" w:cs="Arial" w:eastAsia="Arial" w:hAnsi="Arial"/>
                <w:sz w:val="13"/>
                <w:szCs w:val="13"/>
                <w:color w:val="auto"/>
              </w:rPr>
              <w:t>Interest rate swap contracts</w:t>
            </w:r>
          </w:p>
        </w:tc>
        <w:tc>
          <w:tcPr>
            <w:tcW w:w="1260" w:type="dxa"/>
            <w:vAlign w:val="bottom"/>
          </w:tcPr>
          <w:p>
            <w:pPr>
              <w:jc w:val="right"/>
              <w:ind w:right="877"/>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9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5"/>
                <w:szCs w:val="15"/>
                <w:color w:val="auto"/>
              </w:rPr>
            </w:pPr>
          </w:p>
        </w:tc>
        <w:tc>
          <w:tcPr>
            <w:tcW w:w="5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Forward-starting interest rate swap contracts</w:t>
            </w:r>
          </w:p>
        </w:tc>
        <w:tc>
          <w:tcPr>
            <w:tcW w:w="126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CCEEFF"/>
            </w:tcBorders>
            <w:shd w:val="clear" w:color="auto" w:fill="CCEEFF"/>
          </w:tcPr>
          <w:p>
            <w:pPr>
              <w:jc w:val="right"/>
              <w:ind w:right="91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spacing w:after="0"/>
              <w:rPr>
                <w:sz w:val="15"/>
                <w:szCs w:val="15"/>
                <w:color w:val="auto"/>
              </w:rPr>
            </w:pPr>
          </w:p>
        </w:tc>
      </w:tr>
      <w:tr>
        <w:trPr>
          <w:trHeight w:val="107"/>
        </w:trPr>
        <w:tc>
          <w:tcPr>
            <w:tcW w:w="24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74"/>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b w:val="1"/>
                <w:bCs w:val="1"/>
                <w:color w:val="auto"/>
              </w:rPr>
              <w:t>Measured on a non-recurring basis:</w:t>
            </w:r>
          </w:p>
        </w:tc>
        <w:tc>
          <w:tcPr>
            <w:tcW w:w="1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900" w:type="dxa"/>
            <w:vAlign w:val="bottom"/>
            <w:gridSpan w:val="2"/>
          </w:tcPr>
          <w:p>
            <w:pPr>
              <w:ind w:left="240"/>
              <w:spacing w:after="0"/>
              <w:rPr>
                <w:sz w:val="20"/>
                <w:szCs w:val="20"/>
                <w:color w:val="auto"/>
              </w:rPr>
            </w:pPr>
            <w:r>
              <w:rPr>
                <w:rFonts w:ascii="Arial" w:cs="Arial" w:eastAsia="Arial" w:hAnsi="Arial"/>
                <w:sz w:val="13"/>
                <w:szCs w:val="13"/>
                <w:color w:val="auto"/>
              </w:rPr>
              <w:t>Assets:</w:t>
            </w: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3"/>
                <w:szCs w:val="13"/>
                <w:color w:val="auto"/>
              </w:rPr>
              <w:t>Impaired lease-related assets</w:t>
            </w:r>
          </w:p>
        </w:tc>
        <w:tc>
          <w:tcPr>
            <w:tcW w:w="126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CCEEFF"/>
            </w:tcBorders>
            <w:shd w:val="clear" w:color="auto" w:fill="CCEEFF"/>
          </w:tcPr>
          <w:p>
            <w:pPr>
              <w:jc w:val="right"/>
              <w:ind w:right="917"/>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388"/>
        </w:trPr>
        <w:tc>
          <w:tcPr>
            <w:tcW w:w="240" w:type="dxa"/>
            <w:vAlign w:val="bottom"/>
          </w:tcPr>
          <w:p>
            <w:pPr>
              <w:spacing w:after="0"/>
              <w:rPr>
                <w:sz w:val="24"/>
                <w:szCs w:val="24"/>
                <w:color w:val="auto"/>
              </w:rPr>
            </w:pPr>
          </w:p>
        </w:tc>
        <w:tc>
          <w:tcPr>
            <w:tcW w:w="580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Fair Value at December 31, 2020</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0"/>
                <w:szCs w:val="10"/>
                <w:b w:val="1"/>
                <w:bCs w:val="1"/>
                <w:color w:val="auto"/>
              </w:rPr>
              <w:t>Level 1</w:t>
            </w: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Level 2</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0"/>
                <w:szCs w:val="10"/>
                <w:b w:val="1"/>
                <w:bCs w:val="1"/>
                <w:color w:val="auto"/>
              </w:rPr>
              <w:t>Level 3</w:t>
            </w:r>
          </w:p>
        </w:tc>
      </w:tr>
      <w:tr>
        <w:trPr>
          <w:trHeight w:val="173"/>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b w:val="1"/>
                <w:bCs w:val="1"/>
                <w:color w:val="auto"/>
              </w:rPr>
              <w:t>Measured on a recurring basis:</w:t>
            </w:r>
          </w:p>
        </w:tc>
        <w:tc>
          <w:tcPr>
            <w:tcW w:w="1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900" w:type="dxa"/>
            <w:vAlign w:val="bottom"/>
            <w:gridSpan w:val="2"/>
          </w:tcPr>
          <w:p>
            <w:pPr>
              <w:ind w:left="240"/>
              <w:spacing w:after="0"/>
              <w:rPr>
                <w:sz w:val="20"/>
                <w:szCs w:val="20"/>
                <w:color w:val="auto"/>
              </w:rPr>
            </w:pPr>
            <w:r>
              <w:rPr>
                <w:rFonts w:ascii="Arial" w:cs="Arial" w:eastAsia="Arial" w:hAnsi="Arial"/>
                <w:sz w:val="13"/>
                <w:szCs w:val="13"/>
                <w:color w:val="auto"/>
              </w:rPr>
              <w:t>Assets:</w:t>
            </w: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3"/>
                <w:szCs w:val="13"/>
                <w:color w:val="auto"/>
              </w:rPr>
              <w:t>Cash equivalents:</w:t>
            </w:r>
          </w:p>
        </w:tc>
        <w:tc>
          <w:tcPr>
            <w:tcW w:w="1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900" w:type="dxa"/>
            <w:vAlign w:val="bottom"/>
            <w:gridSpan w:val="2"/>
          </w:tcPr>
          <w:p>
            <w:pPr>
              <w:ind w:left="400"/>
              <w:spacing w:after="0"/>
              <w:rPr>
                <w:sz w:val="20"/>
                <w:szCs w:val="20"/>
                <w:color w:val="auto"/>
              </w:rPr>
            </w:pPr>
            <w:r>
              <w:rPr>
                <w:rFonts w:ascii="Arial" w:cs="Arial" w:eastAsia="Arial" w:hAnsi="Arial"/>
                <w:sz w:val="13"/>
                <w:szCs w:val="13"/>
                <w:color w:val="auto"/>
              </w:rPr>
              <w:t>Corporate debt securities</w:t>
            </w:r>
          </w:p>
        </w:tc>
        <w:tc>
          <w:tcPr>
            <w:tcW w:w="1260" w:type="dxa"/>
            <w:vAlign w:val="bottom"/>
          </w:tcPr>
          <w:p>
            <w:pPr>
              <w:jc w:val="right"/>
              <w:ind w:right="877"/>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9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72.0</w:t>
            </w:r>
          </w:p>
        </w:tc>
        <w:tc>
          <w:tcPr>
            <w:tcW w:w="100" w:type="dxa"/>
            <w:vAlign w:val="bottom"/>
          </w:tcPr>
          <w:p>
            <w:pPr>
              <w:spacing w:after="0"/>
              <w:rPr>
                <w:sz w:val="15"/>
                <w:szCs w:val="15"/>
                <w:color w:val="auto"/>
              </w:rPr>
            </w:pPr>
          </w:p>
        </w:tc>
        <w:tc>
          <w:tcPr>
            <w:tcW w:w="56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Money market mutual funds</w:t>
            </w:r>
          </w:p>
        </w:tc>
        <w:tc>
          <w:tcPr>
            <w:tcW w:w="126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917"/>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900" w:type="dxa"/>
            <w:vAlign w:val="bottom"/>
            <w:gridSpan w:val="2"/>
          </w:tcPr>
          <w:p>
            <w:pPr>
              <w:ind w:left="400"/>
              <w:spacing w:after="0"/>
              <w:rPr>
                <w:sz w:val="20"/>
                <w:szCs w:val="20"/>
                <w:color w:val="auto"/>
              </w:rPr>
            </w:pPr>
            <w:r>
              <w:rPr>
                <w:rFonts w:ascii="Arial" w:cs="Arial" w:eastAsia="Arial" w:hAnsi="Arial"/>
                <w:sz w:val="13"/>
                <w:szCs w:val="13"/>
                <w:color w:val="auto"/>
              </w:rPr>
              <w:t>Securities guaranteed by U.S. government</w:t>
            </w:r>
          </w:p>
        </w:tc>
        <w:tc>
          <w:tcPr>
            <w:tcW w:w="1260" w:type="dxa"/>
            <w:vAlign w:val="bottom"/>
          </w:tcPr>
          <w:p>
            <w:pPr>
              <w:jc w:val="right"/>
              <w:ind w:right="877"/>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9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5"/>
                <w:szCs w:val="15"/>
                <w:color w:val="auto"/>
              </w:rPr>
            </w:pPr>
          </w:p>
        </w:tc>
        <w:tc>
          <w:tcPr>
            <w:tcW w:w="56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3"/>
                <w:szCs w:val="13"/>
                <w:color w:val="auto"/>
              </w:rPr>
              <w:t>Short-term investments:</w:t>
            </w:r>
          </w:p>
        </w:tc>
        <w:tc>
          <w:tcPr>
            <w:tcW w:w="1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900" w:type="dxa"/>
            <w:vAlign w:val="bottom"/>
            <w:gridSpan w:val="2"/>
          </w:tcPr>
          <w:p>
            <w:pPr>
              <w:ind w:left="400"/>
              <w:spacing w:after="0"/>
              <w:rPr>
                <w:sz w:val="20"/>
                <w:szCs w:val="20"/>
                <w:color w:val="auto"/>
              </w:rPr>
            </w:pPr>
            <w:r>
              <w:rPr>
                <w:rFonts w:ascii="Arial" w:cs="Arial" w:eastAsia="Arial" w:hAnsi="Arial"/>
                <w:sz w:val="13"/>
                <w:szCs w:val="13"/>
                <w:color w:val="auto"/>
              </w:rPr>
              <w:t>Corporate debt securities</w:t>
            </w:r>
          </w:p>
        </w:tc>
        <w:tc>
          <w:tcPr>
            <w:tcW w:w="1260" w:type="dxa"/>
            <w:vAlign w:val="bottom"/>
          </w:tcPr>
          <w:p>
            <w:pPr>
              <w:jc w:val="right"/>
              <w:ind w:right="877"/>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9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5"/>
                <w:szCs w:val="15"/>
                <w:color w:val="auto"/>
              </w:rPr>
            </w:pPr>
          </w:p>
        </w:tc>
        <w:tc>
          <w:tcPr>
            <w:tcW w:w="56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Securities guaranteed by U.S. government</w:t>
            </w:r>
          </w:p>
        </w:tc>
        <w:tc>
          <w:tcPr>
            <w:tcW w:w="126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CCEEFF"/>
            </w:tcBorders>
            <w:shd w:val="clear" w:color="auto" w:fill="CCEEFF"/>
          </w:tcPr>
          <w:p>
            <w:pPr>
              <w:jc w:val="right"/>
              <w:ind w:right="91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900" w:type="dxa"/>
            <w:vAlign w:val="bottom"/>
            <w:gridSpan w:val="2"/>
          </w:tcPr>
          <w:p>
            <w:pPr>
              <w:ind w:left="320"/>
              <w:spacing w:after="0"/>
              <w:rPr>
                <w:sz w:val="20"/>
                <w:szCs w:val="20"/>
                <w:color w:val="auto"/>
              </w:rPr>
            </w:pPr>
            <w:r>
              <w:rPr>
                <w:rFonts w:ascii="Arial" w:cs="Arial" w:eastAsia="Arial" w:hAnsi="Arial"/>
                <w:sz w:val="13"/>
                <w:szCs w:val="13"/>
                <w:color w:val="auto"/>
              </w:rPr>
              <w:t>Deferred costs and other assets, net of current portion</w:t>
            </w: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Forward-starting interest rate swap contracts</w:t>
            </w:r>
          </w:p>
        </w:tc>
        <w:tc>
          <w:tcPr>
            <w:tcW w:w="126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CCEEFF"/>
            </w:tcBorders>
            <w:shd w:val="clear" w:color="auto" w:fill="CCEEFF"/>
          </w:tcPr>
          <w:p>
            <w:pPr>
              <w:jc w:val="right"/>
              <w:ind w:right="91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900" w:type="dxa"/>
            <w:vAlign w:val="bottom"/>
            <w:gridSpan w:val="2"/>
          </w:tcPr>
          <w:p>
            <w:pPr>
              <w:ind w:left="240"/>
              <w:spacing w:after="0"/>
              <w:rPr>
                <w:sz w:val="20"/>
                <w:szCs w:val="20"/>
                <w:color w:val="auto"/>
              </w:rPr>
            </w:pPr>
            <w:r>
              <w:rPr>
                <w:rFonts w:ascii="Arial" w:cs="Arial" w:eastAsia="Arial" w:hAnsi="Arial"/>
                <w:sz w:val="13"/>
                <w:szCs w:val="13"/>
                <w:color w:val="auto"/>
              </w:rPr>
              <w:t>Liabilities:</w:t>
            </w: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3"/>
                <w:szCs w:val="13"/>
                <w:color w:val="auto"/>
              </w:rPr>
              <w:t>Derivative contracts:</w:t>
            </w:r>
          </w:p>
        </w:tc>
        <w:tc>
          <w:tcPr>
            <w:tcW w:w="1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900" w:type="dxa"/>
            <w:vAlign w:val="bottom"/>
            <w:gridSpan w:val="2"/>
          </w:tcPr>
          <w:p>
            <w:pPr>
              <w:ind w:left="400"/>
              <w:spacing w:after="0"/>
              <w:rPr>
                <w:sz w:val="20"/>
                <w:szCs w:val="20"/>
                <w:color w:val="auto"/>
              </w:rPr>
            </w:pPr>
            <w:r>
              <w:rPr>
                <w:rFonts w:ascii="Arial" w:cs="Arial" w:eastAsia="Arial" w:hAnsi="Arial"/>
                <w:sz w:val="13"/>
                <w:szCs w:val="13"/>
                <w:color w:val="auto"/>
              </w:rPr>
              <w:t>Interest rate cap contract</w:t>
            </w:r>
          </w:p>
        </w:tc>
        <w:tc>
          <w:tcPr>
            <w:tcW w:w="1260" w:type="dxa"/>
            <w:vAlign w:val="bottom"/>
          </w:tcPr>
          <w:p>
            <w:pPr>
              <w:jc w:val="right"/>
              <w:ind w:right="877"/>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91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5"/>
                <w:szCs w:val="15"/>
                <w:color w:val="auto"/>
              </w:rPr>
            </w:pPr>
          </w:p>
        </w:tc>
        <w:tc>
          <w:tcPr>
            <w:tcW w:w="56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Interest rate swap contracts</w:t>
            </w:r>
          </w:p>
        </w:tc>
        <w:tc>
          <w:tcPr>
            <w:tcW w:w="126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CCEEFF"/>
            </w:tcBorders>
            <w:shd w:val="clear" w:color="auto" w:fill="CCEEFF"/>
          </w:tcPr>
          <w:p>
            <w:pPr>
              <w:jc w:val="right"/>
              <w:ind w:right="91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spacing w:after="0"/>
              <w:rPr>
                <w:sz w:val="15"/>
                <w:szCs w:val="15"/>
                <w:color w:val="auto"/>
              </w:rPr>
            </w:pPr>
          </w:p>
        </w:tc>
      </w:tr>
      <w:tr>
        <w:trPr>
          <w:trHeight w:val="107"/>
        </w:trPr>
        <w:tc>
          <w:tcPr>
            <w:tcW w:w="240" w:type="dxa"/>
            <w:vAlign w:val="bottom"/>
          </w:tcPr>
          <w:p>
            <w:pPr>
              <w:spacing w:after="0"/>
              <w:rPr>
                <w:sz w:val="9"/>
                <w:szCs w:val="9"/>
                <w:color w:val="auto"/>
              </w:rPr>
            </w:pPr>
          </w:p>
        </w:tc>
        <w:tc>
          <w:tcPr>
            <w:tcW w:w="5900" w:type="dxa"/>
            <w:vAlign w:val="bottom"/>
            <w:gridSpan w:val="2"/>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74"/>
        </w:trPr>
        <w:tc>
          <w:tcPr>
            <w:tcW w:w="240" w:type="dxa"/>
            <w:vAlign w:val="bottom"/>
          </w:tcPr>
          <w:p>
            <w:pPr>
              <w:spacing w:after="0"/>
              <w:rPr>
                <w:sz w:val="15"/>
                <w:szCs w:val="15"/>
                <w:color w:val="auto"/>
              </w:rPr>
            </w:pPr>
          </w:p>
        </w:tc>
        <w:tc>
          <w:tcPr>
            <w:tcW w:w="59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b w:val="1"/>
                <w:bCs w:val="1"/>
                <w:color w:val="auto"/>
              </w:rPr>
              <w:t>Measured on a non-recurring basis:</w:t>
            </w:r>
          </w:p>
        </w:tc>
        <w:tc>
          <w:tcPr>
            <w:tcW w:w="1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900" w:type="dxa"/>
            <w:vAlign w:val="bottom"/>
            <w:gridSpan w:val="2"/>
          </w:tcPr>
          <w:p>
            <w:pPr>
              <w:ind w:left="240"/>
              <w:spacing w:after="0"/>
              <w:rPr>
                <w:sz w:val="20"/>
                <w:szCs w:val="20"/>
                <w:color w:val="auto"/>
              </w:rPr>
            </w:pPr>
            <w:r>
              <w:rPr>
                <w:rFonts w:ascii="Arial" w:cs="Arial" w:eastAsia="Arial" w:hAnsi="Arial"/>
                <w:sz w:val="13"/>
                <w:szCs w:val="13"/>
                <w:color w:val="auto"/>
              </w:rPr>
              <w:t>N/A</w:t>
            </w:r>
          </w:p>
        </w:tc>
        <w:tc>
          <w:tcPr>
            <w:tcW w:w="1260" w:type="dxa"/>
            <w:vAlign w:val="bottom"/>
          </w:tcPr>
          <w:p>
            <w:pPr>
              <w:jc w:val="right"/>
              <w:ind w:right="877"/>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917"/>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37" w:name="page38"/>
    <w:bookmarkEnd w:id="3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10 - Fair Value (continued)</w:t>
      </w:r>
    </w:p>
    <w:p>
      <w:pPr>
        <w:spacing w:after="0" w:line="200" w:lineRule="exact"/>
        <w:rPr>
          <w:sz w:val="20"/>
          <w:szCs w:val="20"/>
          <w:color w:val="auto"/>
        </w:rPr>
      </w:pPr>
    </w:p>
    <w:p>
      <w:pPr>
        <w:spacing w:after="0" w:line="24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There have been no transfers between fair value measurements levels during the six months ended June 30, 2021.</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See Note 5 for further information regarding the fair value of our financial instruments.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11 - Commitments and Contingencies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Non-cancelable purchase obligations</w:t>
      </w:r>
    </w:p>
    <w:p>
      <w:pPr>
        <w:spacing w:after="0" w:line="122" w:lineRule="exact"/>
        <w:rPr>
          <w:sz w:val="20"/>
          <w:szCs w:val="20"/>
          <w:color w:val="auto"/>
        </w:rPr>
      </w:pPr>
    </w:p>
    <w:p>
      <w:pPr>
        <w:jc w:val="both"/>
        <w:ind w:right="20" w:firstLine="233"/>
        <w:spacing w:after="0" w:line="259" w:lineRule="auto"/>
        <w:rPr>
          <w:sz w:val="20"/>
          <w:szCs w:val="20"/>
          <w:color w:val="auto"/>
        </w:rPr>
      </w:pPr>
      <w:r>
        <w:rPr>
          <w:rFonts w:ascii="Arial" w:cs="Arial" w:eastAsia="Arial" w:hAnsi="Arial"/>
          <w:sz w:val="13"/>
          <w:szCs w:val="13"/>
          <w:color w:val="auto"/>
        </w:rPr>
        <w:t>As of June 30, 2021, we had additional outstanding non-cancelable purchase obligations with a term of 12 months or longer of $13.0 million over the corresponding amount disclosed in the audited financial statements in our 10-K for the year ended December 31, 2020, primarily related to third-party cloud hosting and software as a service arrangements. For information regarding financing-related obligations, refer to Note 8. For information regarding lease-related obligations, refer to Note 14.</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Sales and use tax</w:t>
      </w:r>
    </w:p>
    <w:p>
      <w:pPr>
        <w:spacing w:after="0" w:line="122"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3"/>
          <w:szCs w:val="13"/>
          <w:color w:val="auto"/>
        </w:rPr>
        <w:t xml:space="preserve">The Company has conducted an assessment of sales and use tax exposure in states where the Company has established nexus. Based on this assessment, the Company has recorded a liability for taxes owed and related penalties and interest in the amount of $3.5 million and $3.1 million at June 30, 2021 and December 31, 2020, respectively. This liability is included in </w:t>
      </w:r>
      <w:r>
        <w:rPr>
          <w:rFonts w:ascii="Arial" w:cs="Arial" w:eastAsia="Arial" w:hAnsi="Arial"/>
          <w:sz w:val="13"/>
          <w:szCs w:val="13"/>
          <w:i w:val="1"/>
          <w:iCs w:val="1"/>
          <w:color w:val="auto"/>
        </w:rPr>
        <w:t>Accrued expenses and other current liabilities</w:t>
      </w:r>
      <w:r>
        <w:rPr>
          <w:rFonts w:ascii="Arial" w:cs="Arial" w:eastAsia="Arial" w:hAnsi="Arial"/>
          <w:sz w:val="13"/>
          <w:szCs w:val="13"/>
          <w:color w:val="auto"/>
        </w:rPr>
        <w:t xml:space="preserve"> in the Company’s Condensed Consolidated Balance Sheets.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Legal Matters</w:t>
      </w:r>
    </w:p>
    <w:p>
      <w:pPr>
        <w:spacing w:after="0" w:line="122" w:lineRule="exact"/>
        <w:rPr>
          <w:sz w:val="20"/>
          <w:szCs w:val="20"/>
          <w:color w:val="auto"/>
        </w:rPr>
      </w:pPr>
    </w:p>
    <w:p>
      <w:pPr>
        <w:jc w:val="both"/>
        <w:ind w:firstLine="233"/>
        <w:spacing w:after="0" w:line="256" w:lineRule="auto"/>
        <w:rPr>
          <w:sz w:val="20"/>
          <w:szCs w:val="20"/>
          <w:color w:val="auto"/>
        </w:rPr>
      </w:pPr>
      <w:r>
        <w:rPr>
          <w:rFonts w:ascii="Arial" w:cs="Arial" w:eastAsia="Arial" w:hAnsi="Arial"/>
          <w:sz w:val="13"/>
          <w:szCs w:val="13"/>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In addition, regardless of the outcome, one or more of these matters could have an adverse impact on our financial position, results of operations, or cash flows because of costs incurred to defend against or respond to such matters, diversion of management resources and other factors.</w:t>
      </w:r>
    </w:p>
    <w:p>
      <w:pPr>
        <w:spacing w:after="0" w:line="99" w:lineRule="exact"/>
        <w:rPr>
          <w:sz w:val="20"/>
          <w:szCs w:val="20"/>
          <w:color w:val="auto"/>
        </w:rPr>
      </w:pPr>
    </w:p>
    <w:p>
      <w:pPr>
        <w:jc w:val="both"/>
        <w:ind w:firstLine="233"/>
        <w:spacing w:after="0" w:line="256" w:lineRule="auto"/>
        <w:rPr>
          <w:sz w:val="20"/>
          <w:szCs w:val="20"/>
          <w:color w:val="auto"/>
        </w:rPr>
      </w:pPr>
      <w:r>
        <w:rPr>
          <w:rFonts w:ascii="Arial" w:cs="Arial" w:eastAsia="Arial" w:hAnsi="Arial"/>
          <w:sz w:val="13"/>
          <w:szCs w:val="13"/>
          <w:color w:val="auto"/>
        </w:rPr>
        <w:t>On April 15, 2021, a putative class action lawsuit was filed against ZoomInfo Technologies LLC in the United States District Court for the Northern District of Illinois (Eastern Division) alleging ZoomInfo’s use of Illinois residents’ names in public-facing web pages violates the Illinois Right of Publicity Act, and seeking statutory, compensatory and punitive damages, costs, and attorneys’ fees. This litigation is still in its earliest stages. Based on the information known by the Company as of the date of this filing, it is not possible to provide an estimated amount of any such loss or range of loss that may occur. The Company intends to vigorously defend against this lawsuit.</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12 - Noncontrolling Interest</w:t>
      </w:r>
    </w:p>
    <w:p>
      <w:pPr>
        <w:spacing w:after="0" w:line="126" w:lineRule="exact"/>
        <w:rPr>
          <w:sz w:val="20"/>
          <w:szCs w:val="20"/>
          <w:color w:val="auto"/>
        </w:rPr>
      </w:pPr>
    </w:p>
    <w:p>
      <w:pPr>
        <w:jc w:val="both"/>
        <w:ind w:right="20" w:firstLine="233"/>
        <w:spacing w:after="0" w:line="280" w:lineRule="auto"/>
        <w:rPr>
          <w:sz w:val="20"/>
          <w:szCs w:val="20"/>
          <w:color w:val="auto"/>
        </w:rPr>
      </w:pPr>
      <w:r>
        <w:rPr>
          <w:rFonts w:ascii="Arial" w:cs="Arial" w:eastAsia="Arial" w:hAnsi="Arial"/>
          <w:sz w:val="12"/>
          <w:szCs w:val="12"/>
          <w:color w:val="auto"/>
        </w:rPr>
        <w:t xml:space="preserve">ZoomInfo Technologies Inc. operates and controls all of the business and affairs, and consolidates the financial results, of ZoomInfo OpCo through ZoomInfo HoldCo and, through ZoomInfo OpCo and its subsidiaries, conducts our business. Accordingly, ZoomInfo Technologies Inc. consolidates the financial results of ZoomInfo HoldCo, and therefore ZoomInfo OpCo, and reports the noncontrolling interests of its consolidated subsidiaries on its consolidated financial statements based on the HoldCo Units and OpCo Units held by Continuing Members. Changes in ZoomInfo’s ownership interest in its consolidated subsidiaries are accounted for as equity transactions. As such, future redemptions or direct exchanges of HoldCo Units or OpCo Units by Continuing Members will result in a change in ownership and reduce or increase the amount recorded as </w:t>
      </w:r>
      <w:r>
        <w:rPr>
          <w:rFonts w:ascii="Arial" w:cs="Arial" w:eastAsia="Arial" w:hAnsi="Arial"/>
          <w:sz w:val="12"/>
          <w:szCs w:val="12"/>
          <w:i w:val="1"/>
          <w:iCs w:val="1"/>
          <w:color w:val="auto"/>
        </w:rPr>
        <w:t>Noncontrolling interests</w:t>
      </w:r>
      <w:r>
        <w:rPr>
          <w:rFonts w:ascii="Arial" w:cs="Arial" w:eastAsia="Arial" w:hAnsi="Arial"/>
          <w:sz w:val="12"/>
          <w:szCs w:val="12"/>
          <w:color w:val="auto"/>
        </w:rPr>
        <w:t xml:space="preserve"> and increase or decrease </w:t>
      </w:r>
      <w:r>
        <w:rPr>
          <w:rFonts w:ascii="Arial" w:cs="Arial" w:eastAsia="Arial" w:hAnsi="Arial"/>
          <w:sz w:val="12"/>
          <w:szCs w:val="12"/>
          <w:i w:val="1"/>
          <w:iCs w:val="1"/>
          <w:color w:val="auto"/>
        </w:rPr>
        <w:t>Additional paid-in capital</w:t>
      </w:r>
      <w:r>
        <w:rPr>
          <w:rFonts w:ascii="Arial" w:cs="Arial" w:eastAsia="Arial" w:hAnsi="Arial"/>
          <w:sz w:val="12"/>
          <w:szCs w:val="12"/>
          <w:color w:val="auto"/>
        </w:rPr>
        <w:t xml:space="preserve"> in the Company’s Condensed Consolidated Balance Sheets.</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1"/>
          <w:szCs w:val="11"/>
          <w:color w:val="auto"/>
        </w:rPr>
        <w:t>As of June 30, 2021, ZoomInfo Technologies Inc. held 200,060,917 HoldCo Units, and ZoomInfo HoldCo held 203,372,382 OpCo Units resulting in an ownership interest of 51% in the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8" w:name="page39"/>
    <w:bookmarkEnd w:id="3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12 - Noncontrolling Interest (continued)</w:t>
      </w:r>
    </w:p>
    <w:p>
      <w:pPr>
        <w:spacing w:after="0" w:line="320" w:lineRule="exact"/>
        <w:rPr>
          <w:sz w:val="20"/>
          <w:szCs w:val="20"/>
          <w:color w:val="auto"/>
        </w:rPr>
      </w:pPr>
    </w:p>
    <w:p>
      <w:pPr>
        <w:jc w:val="both"/>
        <w:ind w:right="80" w:firstLine="233"/>
        <w:spacing w:after="0" w:line="254" w:lineRule="auto"/>
        <w:rPr>
          <w:sz w:val="20"/>
          <w:szCs w:val="20"/>
          <w:color w:val="auto"/>
        </w:rPr>
      </w:pPr>
      <w:r>
        <w:rPr>
          <w:rFonts w:ascii="Arial" w:cs="Arial" w:eastAsia="Arial" w:hAnsi="Arial"/>
          <w:sz w:val="13"/>
          <w:szCs w:val="13"/>
          <w:color w:val="auto"/>
        </w:rPr>
        <w:t>The holders of OpCo Units, including ZoomInfo HoldCo, may be subject to U.S. federal, state and local income taxes on their proportionate share of any taxable income of ZoomInfo OpCo. Net profits and net losses of ZoomInfo OpCo will generally be allocated to its holders, including ZoomInfo HoldCo, pro rata in accordance with the percentages of their respective limited liability company interests. The amended and restated limited liability company agreement of ZoomInfo OpCo provides for cash distributions (“tax distributions”) to the holders of OpCo Units and Class P Units if ZoomInfo HoldCo determines that a holder, by reason of holding OpCo Units or Class P Units, as applicable, is allocated net taxable income by ZoomInfo OpCo. During the six months ended June 30, 2021 and 2020, the Company paid $15.3 million and $6.8 million in tax distributions to the noncontrolling interest,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13 - Earnings Per Share</w:t>
      </w:r>
    </w:p>
    <w:p>
      <w:pPr>
        <w:spacing w:after="0" w:line="126" w:lineRule="exact"/>
        <w:rPr>
          <w:sz w:val="20"/>
          <w:szCs w:val="20"/>
          <w:color w:val="auto"/>
        </w:rPr>
      </w:pPr>
    </w:p>
    <w:p>
      <w:pPr>
        <w:jc w:val="both"/>
        <w:ind w:right="80" w:firstLine="233"/>
        <w:spacing w:after="0" w:line="256" w:lineRule="auto"/>
        <w:rPr>
          <w:sz w:val="20"/>
          <w:szCs w:val="20"/>
          <w:color w:val="auto"/>
        </w:rPr>
      </w:pPr>
      <w:r>
        <w:rPr>
          <w:rFonts w:ascii="Arial" w:cs="Arial" w:eastAsia="Arial" w:hAnsi="Arial"/>
          <w:sz w:val="13"/>
          <w:szCs w:val="13"/>
          <w:color w:val="242424"/>
        </w:rPr>
        <w:t>Basic earnings per share of Class A and Class C common stock is computed by dividing net income attributable to ZoomInfo Technologies, Inc. by the weighted-average number of shares of Class A and Class C common stock outstanding during the period. Diluted earnings per share of Class A and Class C common stock is computed by dividing net income attributable to ZoomInfo Technologies, Inc., adjusted for the assumed exchange of all potentially dilutive instruments for Class A common stock, by the weighted-average number of shares of Class A and Class C common stock outstanding, adjusted to give effect to potentially dilutive elements.</w:t>
      </w:r>
    </w:p>
    <w:p>
      <w:pPr>
        <w:spacing w:after="0" w:line="99" w:lineRule="exact"/>
        <w:rPr>
          <w:sz w:val="20"/>
          <w:szCs w:val="20"/>
          <w:color w:val="auto"/>
        </w:rPr>
      </w:pPr>
    </w:p>
    <w:p>
      <w:pPr>
        <w:jc w:val="both"/>
        <w:ind w:right="80" w:firstLine="233"/>
        <w:spacing w:after="0" w:line="270" w:lineRule="auto"/>
        <w:rPr>
          <w:sz w:val="20"/>
          <w:szCs w:val="20"/>
          <w:color w:val="auto"/>
        </w:rPr>
      </w:pPr>
      <w:r>
        <w:rPr>
          <w:rFonts w:ascii="Arial" w:cs="Arial" w:eastAsia="Arial" w:hAnsi="Arial"/>
          <w:sz w:val="13"/>
          <w:szCs w:val="13"/>
          <w:color w:val="242424"/>
        </w:rPr>
        <w:t>The followin</w:t>
      </w:r>
      <w:r>
        <w:rPr>
          <w:rFonts w:ascii="Arial" w:cs="Arial" w:eastAsia="Arial" w:hAnsi="Arial"/>
          <w:sz w:val="13"/>
          <w:szCs w:val="13"/>
          <w:color w:val="000000"/>
        </w:rPr>
        <w:t>g table sets forth reconciliations of the numerators and denominators used to compute basic and diluted earnings (los</w:t>
      </w:r>
      <w:r>
        <w:rPr>
          <w:rFonts w:ascii="Arial" w:cs="Arial" w:eastAsia="Arial" w:hAnsi="Arial"/>
          <w:sz w:val="13"/>
          <w:szCs w:val="13"/>
          <w:color w:val="242424"/>
        </w:rPr>
        <w:t>s) per share of Class A and Class C common stock for the three and six months ended June 30, 2021.</w:t>
      </w:r>
    </w:p>
    <w:p>
      <w:pPr>
        <w:spacing w:after="0" w:line="121" w:lineRule="exact"/>
        <w:rPr>
          <w:sz w:val="20"/>
          <w:szCs w:val="20"/>
          <w:color w:val="auto"/>
        </w:rPr>
      </w:pPr>
    </w:p>
    <w:tbl>
      <w:tblPr>
        <w:tblLayout w:type="fixed"/>
        <w:tblInd w:w="240" w:type="dxa"/>
        <w:tblCellMar>
          <w:top w:w="0" w:type="dxa"/>
          <w:left w:w="0" w:type="dxa"/>
          <w:bottom w:w="0" w:type="dxa"/>
          <w:right w:w="0" w:type="dxa"/>
        </w:tblCellMar>
      </w:tblPr>
      <w:tr>
        <w:trPr>
          <w:trHeight w:val="142"/>
        </w:trPr>
        <w:tc>
          <w:tcPr>
            <w:tcW w:w="5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60" w:type="dxa"/>
            <w:vAlign w:val="bottom"/>
            <w:gridSpan w:val="5"/>
          </w:tcPr>
          <w:p>
            <w:pPr>
              <w:ind w:left="420"/>
              <w:spacing w:after="0"/>
              <w:rPr>
                <w:sz w:val="20"/>
                <w:szCs w:val="20"/>
                <w:color w:val="auto"/>
              </w:rPr>
            </w:pPr>
            <w:r>
              <w:rPr>
                <w:rFonts w:ascii="Arial" w:cs="Arial" w:eastAsia="Arial" w:hAnsi="Arial"/>
                <w:sz w:val="10"/>
                <w:szCs w:val="10"/>
                <w:b w:val="1"/>
                <w:bCs w:val="1"/>
                <w:color w:val="auto"/>
              </w:rPr>
              <w:t>Three Months Ended June 30,</w:t>
            </w:r>
          </w:p>
        </w:tc>
        <w:tc>
          <w:tcPr>
            <w:tcW w:w="520" w:type="dxa"/>
            <w:vAlign w:val="bottom"/>
          </w:tcPr>
          <w:p>
            <w:pPr>
              <w:spacing w:after="0"/>
              <w:rPr>
                <w:sz w:val="12"/>
                <w:szCs w:val="12"/>
                <w:color w:val="auto"/>
              </w:rPr>
            </w:pPr>
          </w:p>
        </w:tc>
        <w:tc>
          <w:tcPr>
            <w:tcW w:w="1720" w:type="dxa"/>
            <w:vAlign w:val="bottom"/>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600" w:type="dxa"/>
            <w:vAlign w:val="bottom"/>
          </w:tcPr>
          <w:p>
            <w:pPr>
              <w:spacing w:after="0"/>
              <w:rPr>
                <w:sz w:val="12"/>
                <w:szCs w:val="12"/>
                <w:color w:val="auto"/>
              </w:rPr>
            </w:pPr>
          </w:p>
        </w:tc>
      </w:tr>
      <w:tr>
        <w:trPr>
          <w:trHeight w:val="175"/>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3"/>
                <w:szCs w:val="13"/>
                <w:i w:val="1"/>
                <w:iCs w:val="1"/>
                <w:color w:val="auto"/>
              </w:rPr>
              <w:t>(in millions)</w:t>
            </w:r>
          </w:p>
        </w:tc>
        <w:tc>
          <w:tcPr>
            <w:tcW w:w="5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0"/>
                <w:szCs w:val="10"/>
                <w:b w:val="1"/>
                <w:bCs w:val="1"/>
                <w:color w:val="auto"/>
                <w:w w:val="98"/>
              </w:rPr>
              <w:t>2020</w:t>
            </w:r>
          </w:p>
        </w:tc>
      </w:tr>
      <w:tr>
        <w:trPr>
          <w:trHeight w:val="163"/>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Numerator:</w:t>
            </w:r>
          </w:p>
        </w:tc>
        <w:tc>
          <w:tcPr>
            <w:tcW w:w="5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r>
      <w:tr>
        <w:trPr>
          <w:trHeight w:val="174"/>
        </w:trPr>
        <w:tc>
          <w:tcPr>
            <w:tcW w:w="5200" w:type="dxa"/>
            <w:vAlign w:val="bottom"/>
          </w:tcPr>
          <w:p>
            <w:pPr>
              <w:ind w:left="240"/>
              <w:spacing w:after="0"/>
              <w:rPr>
                <w:sz w:val="20"/>
                <w:szCs w:val="20"/>
                <w:color w:val="auto"/>
              </w:rPr>
            </w:pPr>
            <w:r>
              <w:rPr>
                <w:rFonts w:ascii="Arial" w:cs="Arial" w:eastAsia="Arial" w:hAnsi="Arial"/>
                <w:sz w:val="13"/>
                <w:szCs w:val="13"/>
                <w:color w:val="auto"/>
              </w:rPr>
              <w:t>Net income (loss)</w:t>
            </w: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15"/>
                <w:szCs w:val="15"/>
                <w:color w:val="auto"/>
              </w:rPr>
            </w:pPr>
          </w:p>
        </w:tc>
        <w:tc>
          <w:tcPr>
            <w:tcW w:w="52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(77.9)</w:t>
            </w:r>
          </w:p>
        </w:tc>
        <w:tc>
          <w:tcPr>
            <w:tcW w:w="80" w:type="dxa"/>
            <w:vAlign w:val="bottom"/>
          </w:tcPr>
          <w:p>
            <w:pPr>
              <w:spacing w:after="0"/>
              <w:rPr>
                <w:sz w:val="15"/>
                <w:szCs w:val="15"/>
                <w:color w:val="auto"/>
              </w:rPr>
            </w:pPr>
          </w:p>
        </w:tc>
        <w:tc>
          <w:tcPr>
            <w:tcW w:w="52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(9.4)</w:t>
            </w:r>
          </w:p>
        </w:tc>
        <w:tc>
          <w:tcPr>
            <w:tcW w:w="80" w:type="dxa"/>
            <w:vAlign w:val="bottom"/>
          </w:tcPr>
          <w:p>
            <w:pPr>
              <w:spacing w:after="0"/>
              <w:rPr>
                <w:sz w:val="15"/>
                <w:szCs w:val="15"/>
                <w:color w:val="auto"/>
              </w:rPr>
            </w:pPr>
          </w:p>
        </w:tc>
        <w:tc>
          <w:tcPr>
            <w:tcW w:w="72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20"/>
        </w:trPr>
        <w:tc>
          <w:tcPr>
            <w:tcW w:w="5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4"/>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w w:val="95"/>
              </w:rPr>
              <w:t>Add: Net (income) loss attributable to ZoomInfo OpCo before Reorganization Transactions</w:t>
            </w:r>
          </w:p>
        </w:tc>
        <w:tc>
          <w:tcPr>
            <w:tcW w:w="5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6"/>
        </w:trPr>
        <w:tc>
          <w:tcPr>
            <w:tcW w:w="5200" w:type="dxa"/>
            <w:vAlign w:val="bottom"/>
          </w:tcPr>
          <w:p>
            <w:pPr>
              <w:ind w:left="240"/>
              <w:spacing w:after="0"/>
              <w:rPr>
                <w:sz w:val="20"/>
                <w:szCs w:val="20"/>
                <w:color w:val="auto"/>
              </w:rPr>
            </w:pPr>
            <w:r>
              <w:rPr>
                <w:rFonts w:ascii="Arial" w:cs="Arial" w:eastAsia="Arial" w:hAnsi="Arial"/>
                <w:sz w:val="13"/>
                <w:szCs w:val="13"/>
                <w:color w:val="auto"/>
                <w:w w:val="90"/>
              </w:rPr>
              <w:t>Less: Excess of consideration paid over carrying amount to holders of Series A Preferred Units</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3"/>
        </w:trPr>
        <w:tc>
          <w:tcPr>
            <w:tcW w:w="5200" w:type="dxa"/>
            <w:vAlign w:val="bottom"/>
          </w:tcPr>
          <w:p>
            <w:pPr>
              <w:spacing w:after="0"/>
              <w:rPr>
                <w:sz w:val="20"/>
                <w:szCs w:val="20"/>
                <w:color w:val="auto"/>
              </w:rPr>
            </w:pPr>
            <w:r>
              <w:rPr>
                <w:rFonts w:ascii="Arial" w:cs="Arial" w:eastAsia="Arial" w:hAnsi="Arial"/>
                <w:sz w:val="13"/>
                <w:szCs w:val="13"/>
                <w:color w:val="auto"/>
              </w:rPr>
              <w:t>attributable to common shares</w:t>
            </w:r>
          </w:p>
        </w:tc>
        <w:tc>
          <w:tcPr>
            <w:tcW w:w="5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20"/>
        </w:trPr>
        <w:tc>
          <w:tcPr>
            <w:tcW w:w="5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4"/>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Add: Net (income) loss attributable to noncontrolling interests</w:t>
            </w: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44.3</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63"/>
        </w:trPr>
        <w:tc>
          <w:tcPr>
            <w:tcW w:w="5200" w:type="dxa"/>
            <w:vAlign w:val="bottom"/>
          </w:tcPr>
          <w:p>
            <w:pPr>
              <w:ind w:left="240"/>
              <w:spacing w:after="0"/>
              <w:rPr>
                <w:sz w:val="20"/>
                <w:szCs w:val="20"/>
                <w:color w:val="auto"/>
              </w:rPr>
            </w:pPr>
            <w:r>
              <w:rPr>
                <w:rFonts w:ascii="Arial" w:cs="Arial" w:eastAsia="Arial" w:hAnsi="Arial"/>
                <w:sz w:val="13"/>
                <w:szCs w:val="13"/>
                <w:color w:val="auto"/>
              </w:rPr>
              <w:t>Net income (loss) attributable to ZoomInfo Technologies Inc.</w:t>
            </w:r>
          </w:p>
        </w:tc>
        <w:tc>
          <w:tcPr>
            <w:tcW w:w="52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52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(45.4)</w:t>
            </w:r>
          </w:p>
        </w:tc>
        <w:tc>
          <w:tcPr>
            <w:tcW w:w="80" w:type="dxa"/>
            <w:vAlign w:val="bottom"/>
          </w:tcPr>
          <w:p>
            <w:pPr>
              <w:spacing w:after="0"/>
              <w:rPr>
                <w:sz w:val="14"/>
                <w:szCs w:val="14"/>
                <w:color w:val="auto"/>
              </w:rPr>
            </w:pPr>
          </w:p>
        </w:tc>
        <w:tc>
          <w:tcPr>
            <w:tcW w:w="52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12.5</w:t>
            </w:r>
          </w:p>
        </w:tc>
        <w:tc>
          <w:tcPr>
            <w:tcW w:w="80" w:type="dxa"/>
            <w:vAlign w:val="bottom"/>
          </w:tcPr>
          <w:p>
            <w:pPr>
              <w:spacing w:after="0"/>
              <w:rPr>
                <w:sz w:val="14"/>
                <w:szCs w:val="14"/>
                <w:color w:val="auto"/>
              </w:rPr>
            </w:pPr>
          </w:p>
        </w:tc>
        <w:tc>
          <w:tcPr>
            <w:tcW w:w="720" w:type="dxa"/>
            <w:vAlign w:val="bottom"/>
            <w:tcBorders>
              <w:top w:val="single" w:sz="8" w:color="auto"/>
            </w:tcBorders>
          </w:tcPr>
          <w:p>
            <w:pPr>
              <w:jc w:val="right"/>
              <w:ind w:right="335"/>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w:t>
            </w:r>
          </w:p>
        </w:tc>
      </w:tr>
      <w:tr>
        <w:trPr>
          <w:trHeight w:val="20"/>
        </w:trPr>
        <w:tc>
          <w:tcPr>
            <w:tcW w:w="5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4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sets forth the computation of basic and diluted net income per share of Class A and Class C common stock (in millions, except share amounts, and per share amounts):</w:t>
      </w:r>
    </w:p>
    <w:p>
      <w:pPr>
        <w:spacing w:after="0" w:line="153" w:lineRule="exact"/>
        <w:rPr>
          <w:sz w:val="20"/>
          <w:szCs w:val="20"/>
          <w:color w:val="auto"/>
        </w:rPr>
      </w:pPr>
    </w:p>
    <w:tbl>
      <w:tblPr>
        <w:tblLayout w:type="fixed"/>
        <w:tblInd w:w="240" w:type="dxa"/>
        <w:tblCellMar>
          <w:top w:w="0" w:type="dxa"/>
          <w:left w:w="0" w:type="dxa"/>
          <w:bottom w:w="0" w:type="dxa"/>
          <w:right w:w="0" w:type="dxa"/>
        </w:tblCellMar>
      </w:tblPr>
      <w:tr>
        <w:trPr>
          <w:trHeight w:val="143"/>
        </w:trPr>
        <w:tc>
          <w:tcPr>
            <w:tcW w:w="45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10"/>
                <w:szCs w:val="10"/>
                <w:b w:val="1"/>
                <w:bCs w:val="1"/>
                <w:color w:val="auto"/>
              </w:rPr>
              <w:t>Three Months Ended June 30, 2021</w:t>
            </w: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0"/>
                <w:szCs w:val="10"/>
                <w:b w:val="1"/>
                <w:bCs w:val="1"/>
                <w:color w:val="auto"/>
              </w:rPr>
              <w:t>Six Months Ended June 30, 2021</w:t>
            </w:r>
          </w:p>
        </w:tc>
      </w:tr>
      <w:tr>
        <w:trPr>
          <w:trHeight w:val="145"/>
        </w:trPr>
        <w:tc>
          <w:tcPr>
            <w:tcW w:w="4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tcPr>
          <w:p>
            <w:pPr>
              <w:ind w:left="220"/>
              <w:spacing w:after="0"/>
              <w:rPr>
                <w:sz w:val="20"/>
                <w:szCs w:val="20"/>
                <w:color w:val="auto"/>
              </w:rPr>
            </w:pPr>
            <w:r>
              <w:rPr>
                <w:rFonts w:ascii="Arial" w:cs="Arial" w:eastAsia="Arial" w:hAnsi="Arial"/>
                <w:sz w:val="10"/>
                <w:szCs w:val="10"/>
                <w:b w:val="1"/>
                <w:bCs w:val="1"/>
                <w:color w:val="auto"/>
              </w:rPr>
              <w:t>Class A</w:t>
            </w:r>
          </w:p>
        </w:tc>
        <w:tc>
          <w:tcPr>
            <w:tcW w:w="520" w:type="dxa"/>
            <w:vAlign w:val="bottom"/>
          </w:tcPr>
          <w:p>
            <w:pPr>
              <w:spacing w:after="0"/>
              <w:rPr>
                <w:sz w:val="12"/>
                <w:szCs w:val="12"/>
                <w:color w:val="auto"/>
              </w:rPr>
            </w:pPr>
          </w:p>
        </w:tc>
        <w:tc>
          <w:tcPr>
            <w:tcW w:w="1160" w:type="dxa"/>
            <w:vAlign w:val="bottom"/>
            <w:gridSpan w:val="2"/>
          </w:tcPr>
          <w:p>
            <w:pPr>
              <w:ind w:left="220"/>
              <w:spacing w:after="0"/>
              <w:rPr>
                <w:sz w:val="20"/>
                <w:szCs w:val="20"/>
                <w:color w:val="auto"/>
              </w:rPr>
            </w:pPr>
            <w:r>
              <w:rPr>
                <w:rFonts w:ascii="Arial" w:cs="Arial" w:eastAsia="Arial" w:hAnsi="Arial"/>
                <w:sz w:val="10"/>
                <w:szCs w:val="10"/>
                <w:b w:val="1"/>
                <w:bCs w:val="1"/>
                <w:color w:val="auto"/>
              </w:rPr>
              <w:t>Class C</w:t>
            </w:r>
          </w:p>
        </w:tc>
        <w:tc>
          <w:tcPr>
            <w:tcW w:w="520" w:type="dxa"/>
            <w:vAlign w:val="bottom"/>
          </w:tcPr>
          <w:p>
            <w:pPr>
              <w:spacing w:after="0"/>
              <w:rPr>
                <w:sz w:val="12"/>
                <w:szCs w:val="12"/>
                <w:color w:val="auto"/>
              </w:rPr>
            </w:pPr>
          </w:p>
        </w:tc>
        <w:tc>
          <w:tcPr>
            <w:tcW w:w="1180" w:type="dxa"/>
            <w:vAlign w:val="bottom"/>
            <w:gridSpan w:val="2"/>
          </w:tcPr>
          <w:p>
            <w:pPr>
              <w:ind w:left="240"/>
              <w:spacing w:after="0"/>
              <w:rPr>
                <w:sz w:val="20"/>
                <w:szCs w:val="20"/>
                <w:color w:val="auto"/>
              </w:rPr>
            </w:pPr>
            <w:r>
              <w:rPr>
                <w:rFonts w:ascii="Arial" w:cs="Arial" w:eastAsia="Arial" w:hAnsi="Arial"/>
                <w:sz w:val="10"/>
                <w:szCs w:val="10"/>
                <w:b w:val="1"/>
                <w:bCs w:val="1"/>
                <w:color w:val="auto"/>
              </w:rPr>
              <w:t>Class A</w:t>
            </w:r>
          </w:p>
        </w:tc>
        <w:tc>
          <w:tcPr>
            <w:tcW w:w="520" w:type="dxa"/>
            <w:vAlign w:val="bottom"/>
          </w:tcPr>
          <w:p>
            <w:pPr>
              <w:spacing w:after="0"/>
              <w:rPr>
                <w:sz w:val="12"/>
                <w:szCs w:val="12"/>
                <w:color w:val="auto"/>
              </w:rPr>
            </w:pPr>
          </w:p>
        </w:tc>
        <w:tc>
          <w:tcPr>
            <w:tcW w:w="920" w:type="dxa"/>
            <w:vAlign w:val="bottom"/>
          </w:tcPr>
          <w:p>
            <w:pPr>
              <w:jc w:val="right"/>
              <w:ind w:right="302"/>
              <w:spacing w:after="0"/>
              <w:rPr>
                <w:sz w:val="20"/>
                <w:szCs w:val="20"/>
                <w:color w:val="auto"/>
              </w:rPr>
            </w:pPr>
            <w:r>
              <w:rPr>
                <w:rFonts w:ascii="Arial" w:cs="Arial" w:eastAsia="Arial" w:hAnsi="Arial"/>
                <w:sz w:val="10"/>
                <w:szCs w:val="10"/>
                <w:b w:val="1"/>
                <w:bCs w:val="1"/>
                <w:color w:val="auto"/>
              </w:rPr>
              <w:t>Class C</w:t>
            </w:r>
          </w:p>
        </w:tc>
      </w:tr>
      <w:tr>
        <w:trPr>
          <w:trHeight w:val="28"/>
        </w:trPr>
        <w:tc>
          <w:tcPr>
            <w:tcW w:w="458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r>
      <w:tr>
        <w:trPr>
          <w:trHeight w:val="174"/>
        </w:trPr>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color w:val="auto"/>
                <w:w w:val="98"/>
              </w:rPr>
              <w:t>Basic net income (loss) per share attributable to common stockholders</w:t>
            </w:r>
          </w:p>
        </w:tc>
        <w:tc>
          <w:tcPr>
            <w:tcW w:w="5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74"/>
        </w:trPr>
        <w:tc>
          <w:tcPr>
            <w:tcW w:w="4580" w:type="dxa"/>
            <w:vAlign w:val="bottom"/>
          </w:tcPr>
          <w:p>
            <w:pPr>
              <w:ind w:left="320"/>
              <w:spacing w:after="0"/>
              <w:rPr>
                <w:sz w:val="20"/>
                <w:szCs w:val="20"/>
                <w:color w:val="auto"/>
              </w:rPr>
            </w:pPr>
            <w:r>
              <w:rPr>
                <w:rFonts w:ascii="Arial" w:cs="Arial" w:eastAsia="Arial" w:hAnsi="Arial"/>
                <w:sz w:val="13"/>
                <w:szCs w:val="13"/>
                <w:b w:val="1"/>
                <w:bCs w:val="1"/>
                <w:color w:val="auto"/>
              </w:rPr>
              <w:t>Numerator:</w:t>
            </w: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4"/>
        </w:trPr>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w w:val="99"/>
              </w:rPr>
              <w:t>Allocation of net income (loss) attributable to ZoomInfo Technologies Inc.</w:t>
            </w:r>
          </w:p>
        </w:tc>
        <w:tc>
          <w:tcPr>
            <w:tcW w:w="5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3"/>
                <w:szCs w:val="13"/>
                <w:color w:val="auto"/>
              </w:rPr>
              <w:t>3.9</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74"/>
        </w:trPr>
        <w:tc>
          <w:tcPr>
            <w:tcW w:w="4580" w:type="dxa"/>
            <w:vAlign w:val="bottom"/>
          </w:tcPr>
          <w:p>
            <w:pPr>
              <w:ind w:left="320"/>
              <w:spacing w:after="0"/>
              <w:rPr>
                <w:sz w:val="20"/>
                <w:szCs w:val="20"/>
                <w:color w:val="auto"/>
              </w:rPr>
            </w:pPr>
            <w:r>
              <w:rPr>
                <w:rFonts w:ascii="Arial" w:cs="Arial" w:eastAsia="Arial" w:hAnsi="Arial"/>
                <w:sz w:val="13"/>
                <w:szCs w:val="13"/>
                <w:b w:val="1"/>
                <w:bCs w:val="1"/>
                <w:color w:val="auto"/>
              </w:rPr>
              <w:t>Denominator:</w:t>
            </w: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6" w:right="239" w:bottom="1440" w:gutter="0" w:footer="0" w:header="0"/>
        </w:sectPr>
      </w:pPr>
    </w:p>
    <w:bookmarkStart w:id="39" w:name="page40"/>
    <w:bookmarkEnd w:id="39"/>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13 - Earnings Per Share (continued)</w:t>
      </w:r>
    </w:p>
    <w:p>
      <w:pPr>
        <w:spacing w:after="0" w:line="351" w:lineRule="exact"/>
        <w:rPr>
          <w:sz w:val="20"/>
          <w:szCs w:val="20"/>
          <w:color w:val="auto"/>
        </w:rPr>
      </w:pPr>
    </w:p>
    <w:tbl>
      <w:tblPr>
        <w:tblLayout w:type="fixed"/>
        <w:tblInd w:w="240" w:type="dxa"/>
        <w:tblCellMar>
          <w:top w:w="0" w:type="dxa"/>
          <w:left w:w="0" w:type="dxa"/>
          <w:bottom w:w="0" w:type="dxa"/>
          <w:right w:w="0" w:type="dxa"/>
        </w:tblCellMar>
      </w:tblPr>
      <w:tr>
        <w:trPr>
          <w:trHeight w:val="143"/>
        </w:trPr>
        <w:tc>
          <w:tcPr>
            <w:tcW w:w="44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0"/>
                <w:szCs w:val="10"/>
                <w:b w:val="1"/>
                <w:bCs w:val="1"/>
                <w:color w:val="auto"/>
              </w:rPr>
              <w:t>Three Months Ended June 30, 2021</w:t>
            </w: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0"/>
                <w:szCs w:val="10"/>
                <w:b w:val="1"/>
                <w:bCs w:val="1"/>
                <w:color w:val="auto"/>
              </w:rPr>
              <w:t>Six Months Ended June 30, 2021</w:t>
            </w:r>
          </w:p>
        </w:tc>
      </w:tr>
      <w:tr>
        <w:trPr>
          <w:trHeight w:val="145"/>
        </w:trPr>
        <w:tc>
          <w:tcPr>
            <w:tcW w:w="4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ind w:left="240"/>
              <w:spacing w:after="0"/>
              <w:rPr>
                <w:sz w:val="20"/>
                <w:szCs w:val="20"/>
                <w:color w:val="auto"/>
              </w:rPr>
            </w:pPr>
            <w:r>
              <w:rPr>
                <w:rFonts w:ascii="Arial" w:cs="Arial" w:eastAsia="Arial" w:hAnsi="Arial"/>
                <w:sz w:val="10"/>
                <w:szCs w:val="10"/>
                <w:b w:val="1"/>
                <w:bCs w:val="1"/>
                <w:color w:val="auto"/>
              </w:rPr>
              <w:t>Class A</w:t>
            </w:r>
          </w:p>
        </w:tc>
        <w:tc>
          <w:tcPr>
            <w:tcW w:w="520" w:type="dxa"/>
            <w:vAlign w:val="bottom"/>
          </w:tcPr>
          <w:p>
            <w:pPr>
              <w:spacing w:after="0"/>
              <w:rPr>
                <w:sz w:val="12"/>
                <w:szCs w:val="12"/>
                <w:color w:val="auto"/>
              </w:rPr>
            </w:pPr>
          </w:p>
        </w:tc>
        <w:tc>
          <w:tcPr>
            <w:tcW w:w="1180" w:type="dxa"/>
            <w:vAlign w:val="bottom"/>
            <w:gridSpan w:val="2"/>
          </w:tcPr>
          <w:p>
            <w:pPr>
              <w:ind w:left="240"/>
              <w:spacing w:after="0"/>
              <w:rPr>
                <w:sz w:val="20"/>
                <w:szCs w:val="20"/>
                <w:color w:val="auto"/>
              </w:rPr>
            </w:pPr>
            <w:r>
              <w:rPr>
                <w:rFonts w:ascii="Arial" w:cs="Arial" w:eastAsia="Arial" w:hAnsi="Arial"/>
                <w:sz w:val="10"/>
                <w:szCs w:val="10"/>
                <w:b w:val="1"/>
                <w:bCs w:val="1"/>
                <w:color w:val="auto"/>
              </w:rPr>
              <w:t>Class C</w:t>
            </w:r>
          </w:p>
        </w:tc>
        <w:tc>
          <w:tcPr>
            <w:tcW w:w="540" w:type="dxa"/>
            <w:vAlign w:val="bottom"/>
          </w:tcPr>
          <w:p>
            <w:pPr>
              <w:spacing w:after="0"/>
              <w:rPr>
                <w:sz w:val="12"/>
                <w:szCs w:val="12"/>
                <w:color w:val="auto"/>
              </w:rPr>
            </w:pPr>
          </w:p>
        </w:tc>
        <w:tc>
          <w:tcPr>
            <w:tcW w:w="1200" w:type="dxa"/>
            <w:vAlign w:val="bottom"/>
            <w:gridSpan w:val="2"/>
          </w:tcPr>
          <w:p>
            <w:pPr>
              <w:ind w:left="240"/>
              <w:spacing w:after="0"/>
              <w:rPr>
                <w:sz w:val="20"/>
                <w:szCs w:val="20"/>
                <w:color w:val="auto"/>
              </w:rPr>
            </w:pPr>
            <w:r>
              <w:rPr>
                <w:rFonts w:ascii="Arial" w:cs="Arial" w:eastAsia="Arial" w:hAnsi="Arial"/>
                <w:sz w:val="10"/>
                <w:szCs w:val="10"/>
                <w:b w:val="1"/>
                <w:bCs w:val="1"/>
                <w:color w:val="auto"/>
              </w:rPr>
              <w:t>Class A</w:t>
            </w:r>
          </w:p>
        </w:tc>
        <w:tc>
          <w:tcPr>
            <w:tcW w:w="540" w:type="dxa"/>
            <w:vAlign w:val="bottom"/>
          </w:tcPr>
          <w:p>
            <w:pPr>
              <w:spacing w:after="0"/>
              <w:rPr>
                <w:sz w:val="12"/>
                <w:szCs w:val="12"/>
                <w:color w:val="auto"/>
              </w:rPr>
            </w:pPr>
          </w:p>
        </w:tc>
        <w:tc>
          <w:tcPr>
            <w:tcW w:w="920" w:type="dxa"/>
            <w:vAlign w:val="bottom"/>
          </w:tcPr>
          <w:p>
            <w:pPr>
              <w:jc w:val="right"/>
              <w:ind w:right="297"/>
              <w:spacing w:after="0"/>
              <w:rPr>
                <w:sz w:val="20"/>
                <w:szCs w:val="20"/>
                <w:color w:val="auto"/>
              </w:rPr>
            </w:pPr>
            <w:r>
              <w:rPr>
                <w:rFonts w:ascii="Arial" w:cs="Arial" w:eastAsia="Arial" w:hAnsi="Arial"/>
                <w:sz w:val="10"/>
                <w:szCs w:val="10"/>
                <w:b w:val="1"/>
                <w:bCs w:val="1"/>
                <w:color w:val="auto"/>
              </w:rPr>
              <w:t>Class C</w:t>
            </w:r>
          </w:p>
        </w:tc>
      </w:tr>
      <w:tr>
        <w:trPr>
          <w:trHeight w:val="28"/>
        </w:trPr>
        <w:tc>
          <w:tcPr>
            <w:tcW w:w="446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r>
      <w:tr>
        <w:trPr>
          <w:trHeight w:val="174"/>
        </w:trPr>
        <w:tc>
          <w:tcPr>
            <w:tcW w:w="4460" w:type="dxa"/>
            <w:vAlign w:val="bottom"/>
            <w:shd w:val="clear" w:color="auto" w:fill="CCEEFF"/>
          </w:tcPr>
          <w:p>
            <w:pPr>
              <w:ind w:left="240"/>
              <w:spacing w:after="0"/>
              <w:rPr>
                <w:sz w:val="20"/>
                <w:szCs w:val="20"/>
                <w:color w:val="auto"/>
              </w:rPr>
            </w:pPr>
            <w:r>
              <w:rPr>
                <w:rFonts w:ascii="Arial" w:cs="Arial" w:eastAsia="Arial" w:hAnsi="Arial"/>
                <w:sz w:val="13"/>
                <w:szCs w:val="13"/>
                <w:b w:val="1"/>
                <w:bCs w:val="1"/>
                <w:color w:val="auto"/>
                <w:w w:val="95"/>
              </w:rPr>
              <w:t>Basic net income (loss) per share attributable to common stockholders</w:t>
            </w: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6"/>
        </w:trPr>
        <w:tc>
          <w:tcPr>
            <w:tcW w:w="446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2"/>
              </w:rPr>
              <w:t>Weighted average number of shares of Class A and Class C common stock</w:t>
            </w: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3"/>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outstanding</w:t>
            </w: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109,934,905</w:t>
            </w: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80,670,520</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102,253,715</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82,450,9</w:t>
            </w:r>
          </w:p>
        </w:tc>
      </w:tr>
      <w:tr>
        <w:trPr>
          <w:trHeight w:val="163"/>
        </w:trPr>
        <w:tc>
          <w:tcPr>
            <w:tcW w:w="4460" w:type="dxa"/>
            <w:vAlign w:val="bottom"/>
          </w:tcPr>
          <w:p>
            <w:pPr>
              <w:ind w:left="240"/>
              <w:spacing w:after="0"/>
              <w:rPr>
                <w:sz w:val="20"/>
                <w:szCs w:val="20"/>
                <w:color w:val="auto"/>
              </w:rPr>
            </w:pPr>
            <w:r>
              <w:rPr>
                <w:rFonts w:ascii="Arial" w:cs="Arial" w:eastAsia="Arial" w:hAnsi="Arial"/>
                <w:sz w:val="13"/>
                <w:szCs w:val="13"/>
                <w:color w:val="auto"/>
              </w:rPr>
              <w:t>Basic net income (loss) per share attributable to common stockholders</w:t>
            </w:r>
          </w:p>
        </w:tc>
        <w:tc>
          <w:tcPr>
            <w:tcW w:w="54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0.05</w:t>
            </w:r>
          </w:p>
        </w:tc>
        <w:tc>
          <w:tcPr>
            <w:tcW w:w="120" w:type="dxa"/>
            <w:vAlign w:val="bottom"/>
          </w:tcPr>
          <w:p>
            <w:pPr>
              <w:spacing w:after="0"/>
              <w:rPr>
                <w:sz w:val="14"/>
                <w:szCs w:val="14"/>
                <w:color w:val="auto"/>
              </w:rPr>
            </w:pPr>
          </w:p>
        </w:tc>
        <w:tc>
          <w:tcPr>
            <w:tcW w:w="52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0.05</w:t>
            </w:r>
          </w:p>
        </w:tc>
        <w:tc>
          <w:tcPr>
            <w:tcW w:w="80" w:type="dxa"/>
            <w:vAlign w:val="bottom"/>
          </w:tcPr>
          <w:p>
            <w:pPr>
              <w:spacing w:after="0"/>
              <w:rPr>
                <w:sz w:val="14"/>
                <w:szCs w:val="14"/>
                <w:color w:val="auto"/>
              </w:rPr>
            </w:pPr>
          </w:p>
        </w:tc>
        <w:tc>
          <w:tcPr>
            <w:tcW w:w="54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0.07</w:t>
            </w:r>
          </w:p>
        </w:tc>
        <w:tc>
          <w:tcPr>
            <w:tcW w:w="100" w:type="dxa"/>
            <w:vAlign w:val="bottom"/>
          </w:tcPr>
          <w:p>
            <w:pPr>
              <w:spacing w:after="0"/>
              <w:rPr>
                <w:sz w:val="14"/>
                <w:szCs w:val="14"/>
                <w:color w:val="auto"/>
              </w:rPr>
            </w:pPr>
          </w:p>
        </w:tc>
        <w:tc>
          <w:tcPr>
            <w:tcW w:w="540" w:type="dxa"/>
            <w:vAlign w:val="bottom"/>
            <w:tcBorders>
              <w:top w:val="single" w:sz="8" w:color="auto"/>
            </w:tcBorders>
          </w:tcPr>
          <w:p>
            <w:pPr>
              <w:jc w:val="right"/>
              <w:ind w:right="17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4"/>
        </w:trPr>
        <w:tc>
          <w:tcPr>
            <w:tcW w:w="44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4"/>
        </w:trPr>
        <w:tc>
          <w:tcPr>
            <w:tcW w:w="4460" w:type="dxa"/>
            <w:vAlign w:val="bottom"/>
          </w:tcPr>
          <w:p>
            <w:pPr>
              <w:ind w:left="240"/>
              <w:spacing w:after="0"/>
              <w:rPr>
                <w:sz w:val="20"/>
                <w:szCs w:val="20"/>
                <w:color w:val="auto"/>
              </w:rPr>
            </w:pPr>
            <w:r>
              <w:rPr>
                <w:rFonts w:ascii="Arial" w:cs="Arial" w:eastAsia="Arial" w:hAnsi="Arial"/>
                <w:sz w:val="13"/>
                <w:szCs w:val="13"/>
                <w:b w:val="1"/>
                <w:bCs w:val="1"/>
                <w:color w:val="auto"/>
                <w:w w:val="93"/>
              </w:rPr>
              <w:t>Diluted net income (loss) per share attributable to common stockholders</w:t>
            </w: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4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Numerator:</w:t>
            </w: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74"/>
        </w:trPr>
        <w:tc>
          <w:tcPr>
            <w:tcW w:w="4460" w:type="dxa"/>
            <w:vAlign w:val="bottom"/>
          </w:tcPr>
          <w:p>
            <w:pPr>
              <w:ind w:left="400"/>
              <w:spacing w:after="0"/>
              <w:rPr>
                <w:sz w:val="20"/>
                <w:szCs w:val="20"/>
                <w:color w:val="auto"/>
              </w:rPr>
            </w:pPr>
            <w:r>
              <w:rPr>
                <w:rFonts w:ascii="Arial" w:cs="Arial" w:eastAsia="Arial" w:hAnsi="Arial"/>
                <w:sz w:val="13"/>
                <w:szCs w:val="13"/>
                <w:color w:val="auto"/>
              </w:rPr>
              <w:t>Undistributed earnings for basic computation</w:t>
            </w:r>
          </w:p>
        </w:tc>
        <w:tc>
          <w:tcPr>
            <w:tcW w:w="54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5"/>
                <w:szCs w:val="15"/>
                <w:color w:val="auto"/>
              </w:rPr>
            </w:pPr>
          </w:p>
        </w:tc>
        <w:tc>
          <w:tcPr>
            <w:tcW w:w="52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3.9</w:t>
            </w:r>
          </w:p>
        </w:tc>
        <w:tc>
          <w:tcPr>
            <w:tcW w:w="80" w:type="dxa"/>
            <w:vAlign w:val="bottom"/>
          </w:tcPr>
          <w:p>
            <w:pPr>
              <w:spacing w:after="0"/>
              <w:rPr>
                <w:sz w:val="15"/>
                <w:szCs w:val="15"/>
                <w:color w:val="auto"/>
              </w:rPr>
            </w:pPr>
          </w:p>
        </w:tc>
        <w:tc>
          <w:tcPr>
            <w:tcW w:w="54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5"/>
                <w:szCs w:val="15"/>
                <w:color w:val="auto"/>
              </w:rPr>
            </w:pPr>
          </w:p>
        </w:tc>
        <w:tc>
          <w:tcPr>
            <w:tcW w:w="54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0"/>
        </w:trPr>
        <w:tc>
          <w:tcPr>
            <w:tcW w:w="4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6"/>
        </w:trPr>
        <w:tc>
          <w:tcPr>
            <w:tcW w:w="446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0"/>
              </w:rPr>
              <w:t>Increase in earnings attributable to common shareholders upon conversion of</w:t>
            </w: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3"/>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potentially dilutive instruments</w:t>
            </w: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6"/>
        </w:trPr>
        <w:tc>
          <w:tcPr>
            <w:tcW w:w="4460" w:type="dxa"/>
            <w:vAlign w:val="bottom"/>
          </w:tcPr>
          <w:p>
            <w:pPr>
              <w:ind w:left="400"/>
              <w:spacing w:after="0"/>
              <w:rPr>
                <w:sz w:val="20"/>
                <w:szCs w:val="20"/>
                <w:color w:val="auto"/>
              </w:rPr>
            </w:pPr>
            <w:r>
              <w:rPr>
                <w:rFonts w:ascii="Arial" w:cs="Arial" w:eastAsia="Arial" w:hAnsi="Arial"/>
                <w:sz w:val="13"/>
                <w:szCs w:val="13"/>
                <w:color w:val="auto"/>
                <w:w w:val="99"/>
              </w:rPr>
              <w:t>Reallocation of earnings as a result of conversion of potentially dilutive</w:t>
            </w: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3"/>
        </w:trPr>
        <w:tc>
          <w:tcPr>
            <w:tcW w:w="4460" w:type="dxa"/>
            <w:vAlign w:val="bottom"/>
          </w:tcPr>
          <w:p>
            <w:pPr>
              <w:ind w:left="160"/>
              <w:spacing w:after="0"/>
              <w:rPr>
                <w:sz w:val="20"/>
                <w:szCs w:val="20"/>
                <w:color w:val="auto"/>
              </w:rPr>
            </w:pPr>
            <w:r>
              <w:rPr>
                <w:rFonts w:ascii="Arial" w:cs="Arial" w:eastAsia="Arial" w:hAnsi="Arial"/>
                <w:sz w:val="13"/>
                <w:szCs w:val="13"/>
                <w:color w:val="auto"/>
              </w:rPr>
              <w:t>instruments</w:t>
            </w:r>
          </w:p>
        </w:tc>
        <w:tc>
          <w:tcPr>
            <w:tcW w:w="5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20"/>
        </w:trPr>
        <w:tc>
          <w:tcPr>
            <w:tcW w:w="4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6"/>
        </w:trPr>
        <w:tc>
          <w:tcPr>
            <w:tcW w:w="446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1"/>
              </w:rPr>
              <w:t>Reallocation of undistributed earnings as a result of conversion of Class C to</w:t>
            </w: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3"/>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Class A shares</w:t>
            </w: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202"/>
        </w:trPr>
        <w:tc>
          <w:tcPr>
            <w:tcW w:w="44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Allocation of undistributed earnings</w:t>
            </w:r>
          </w:p>
        </w:tc>
        <w:tc>
          <w:tcPr>
            <w:tcW w:w="5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12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80" w:type="dxa"/>
            <w:vAlign w:val="bottom"/>
            <w:tcBorders>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26.8</w:t>
            </w:r>
          </w:p>
        </w:tc>
        <w:tc>
          <w:tcPr>
            <w:tcW w:w="100" w:type="dxa"/>
            <w:vAlign w:val="bottom"/>
            <w:tcBorders>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154"/>
        </w:trPr>
        <w:tc>
          <w:tcPr>
            <w:tcW w:w="4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Denominator:</w:t>
            </w:r>
          </w:p>
        </w:tc>
        <w:tc>
          <w:tcPr>
            <w:tcW w:w="5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r>
      <w:tr>
        <w:trPr>
          <w:trHeight w:val="174"/>
        </w:trPr>
        <w:tc>
          <w:tcPr>
            <w:tcW w:w="4460" w:type="dxa"/>
            <w:vAlign w:val="bottom"/>
          </w:tcPr>
          <w:p>
            <w:pPr>
              <w:ind w:left="320"/>
              <w:spacing w:after="0"/>
              <w:rPr>
                <w:sz w:val="20"/>
                <w:szCs w:val="20"/>
                <w:color w:val="auto"/>
              </w:rPr>
            </w:pPr>
            <w:r>
              <w:rPr>
                <w:rFonts w:ascii="Arial" w:cs="Arial" w:eastAsia="Arial" w:hAnsi="Arial"/>
                <w:sz w:val="13"/>
                <w:szCs w:val="13"/>
                <w:color w:val="auto"/>
              </w:rPr>
              <w:t>Number of shares used in basic computation</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109,934,905</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80,670,520</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102,253,715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82,450,9</w:t>
            </w:r>
          </w:p>
        </w:tc>
      </w:tr>
      <w:tr>
        <w:trPr>
          <w:trHeight w:val="20"/>
        </w:trPr>
        <w:tc>
          <w:tcPr>
            <w:tcW w:w="4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6"/>
        </w:trPr>
        <w:tc>
          <w:tcPr>
            <w:tcW w:w="4460" w:type="dxa"/>
            <w:vAlign w:val="bottom"/>
            <w:shd w:val="clear" w:color="auto" w:fill="CCEEFF"/>
          </w:tcPr>
          <w:p>
            <w:pPr>
              <w:ind w:left="320"/>
              <w:spacing w:after="0"/>
              <w:rPr>
                <w:sz w:val="20"/>
                <w:szCs w:val="20"/>
                <w:color w:val="auto"/>
              </w:rPr>
            </w:pPr>
            <w:r>
              <w:rPr>
                <w:rFonts w:ascii="Arial" w:cs="Arial" w:eastAsia="Arial" w:hAnsi="Arial"/>
                <w:sz w:val="13"/>
                <w:szCs w:val="13"/>
                <w:color w:val="auto"/>
                <w:w w:val="94"/>
              </w:rPr>
              <w:t>Add: weighted-average effect of dilutive securities exchangeable for Class A</w:t>
            </w: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3"/>
        </w:trPr>
        <w:tc>
          <w:tcPr>
            <w:tcW w:w="4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common stock:</w:t>
            </w:r>
          </w:p>
        </w:tc>
        <w:tc>
          <w:tcPr>
            <w:tcW w:w="5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r>
      <w:tr>
        <w:trPr>
          <w:trHeight w:val="174"/>
        </w:trPr>
        <w:tc>
          <w:tcPr>
            <w:tcW w:w="4460" w:type="dxa"/>
            <w:vAlign w:val="bottom"/>
          </w:tcPr>
          <w:p>
            <w:pPr>
              <w:ind w:left="400"/>
              <w:spacing w:after="0"/>
              <w:rPr>
                <w:sz w:val="20"/>
                <w:szCs w:val="20"/>
                <w:color w:val="auto"/>
              </w:rPr>
            </w:pPr>
            <w:r>
              <w:rPr>
                <w:rFonts w:ascii="Arial" w:cs="Arial" w:eastAsia="Arial" w:hAnsi="Arial"/>
                <w:sz w:val="13"/>
                <w:szCs w:val="13"/>
                <w:color w:val="auto"/>
              </w:rPr>
              <w:t>OpCo Units</w:t>
            </w:r>
          </w:p>
        </w:tc>
        <w:tc>
          <w:tcPr>
            <w:tcW w:w="54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194,479,806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4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Class P Units</w:t>
            </w:r>
          </w:p>
        </w:tc>
        <w:tc>
          <w:tcPr>
            <w:tcW w:w="5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10,838,840</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74"/>
        </w:trPr>
        <w:tc>
          <w:tcPr>
            <w:tcW w:w="4460" w:type="dxa"/>
            <w:vAlign w:val="bottom"/>
          </w:tcPr>
          <w:p>
            <w:pPr>
              <w:ind w:left="400"/>
              <w:spacing w:after="0"/>
              <w:rPr>
                <w:sz w:val="20"/>
                <w:szCs w:val="20"/>
                <w:color w:val="auto"/>
              </w:rPr>
            </w:pPr>
            <w:r>
              <w:rPr>
                <w:rFonts w:ascii="Arial" w:cs="Arial" w:eastAsia="Arial" w:hAnsi="Arial"/>
                <w:sz w:val="13"/>
                <w:szCs w:val="13"/>
                <w:color w:val="auto"/>
              </w:rPr>
              <w:t>HSKB I Class 1 Units</w:t>
            </w:r>
          </w:p>
        </w:tc>
        <w:tc>
          <w:tcPr>
            <w:tcW w:w="54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7,579,542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4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HSKB II Class 1 Units</w:t>
            </w:r>
          </w:p>
        </w:tc>
        <w:tc>
          <w:tcPr>
            <w:tcW w:w="5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74"/>
        </w:trPr>
        <w:tc>
          <w:tcPr>
            <w:tcW w:w="4460" w:type="dxa"/>
            <w:vAlign w:val="bottom"/>
          </w:tcPr>
          <w:p>
            <w:pPr>
              <w:ind w:left="400"/>
              <w:spacing w:after="0"/>
              <w:rPr>
                <w:sz w:val="20"/>
                <w:szCs w:val="20"/>
                <w:color w:val="auto"/>
              </w:rPr>
            </w:pPr>
            <w:r>
              <w:rPr>
                <w:rFonts w:ascii="Arial" w:cs="Arial" w:eastAsia="Arial" w:hAnsi="Arial"/>
                <w:sz w:val="13"/>
                <w:szCs w:val="13"/>
                <w:color w:val="auto"/>
              </w:rPr>
              <w:t>HSKB II Phantom Units</w:t>
            </w:r>
          </w:p>
        </w:tc>
        <w:tc>
          <w:tcPr>
            <w:tcW w:w="54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54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4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HoldCo Units</w:t>
            </w: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1,401,741</w:t>
            </w: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1,427,229</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74"/>
        </w:trPr>
        <w:tc>
          <w:tcPr>
            <w:tcW w:w="4460" w:type="dxa"/>
            <w:vAlign w:val="bottom"/>
          </w:tcPr>
          <w:p>
            <w:pPr>
              <w:ind w:left="400"/>
              <w:spacing w:after="0"/>
              <w:rPr>
                <w:sz w:val="20"/>
                <w:szCs w:val="20"/>
                <w:color w:val="auto"/>
              </w:rPr>
            </w:pPr>
            <w:r>
              <w:rPr>
                <w:rFonts w:ascii="Arial" w:cs="Arial" w:eastAsia="Arial" w:hAnsi="Arial"/>
                <w:sz w:val="13"/>
                <w:szCs w:val="13"/>
                <w:color w:val="auto"/>
              </w:rPr>
              <w:t>Restricted Stock Units</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229,905</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258,705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4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LTIP Units</w:t>
            </w: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21,878</w:t>
            </w: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10,939</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74"/>
        </w:trPr>
        <w:tc>
          <w:tcPr>
            <w:tcW w:w="4460" w:type="dxa"/>
            <w:vAlign w:val="bottom"/>
          </w:tcPr>
          <w:p>
            <w:pPr>
              <w:ind w:left="400"/>
              <w:spacing w:after="0"/>
              <w:rPr>
                <w:sz w:val="20"/>
                <w:szCs w:val="20"/>
                <w:color w:val="auto"/>
              </w:rPr>
            </w:pPr>
            <w:r>
              <w:rPr>
                <w:rFonts w:ascii="Arial" w:cs="Arial" w:eastAsia="Arial" w:hAnsi="Arial"/>
                <w:sz w:val="13"/>
                <w:szCs w:val="13"/>
                <w:color w:val="auto"/>
              </w:rPr>
              <w:t>Exercise of Class A Common Stock Options</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272,125</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286,972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4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4"/>
        </w:trPr>
        <w:tc>
          <w:tcPr>
            <w:tcW w:w="44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Conversion of Class C to Class A common shares outstanding</w:t>
            </w:r>
          </w:p>
        </w:tc>
        <w:tc>
          <w:tcPr>
            <w:tcW w:w="5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80,670,520</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82,450,901</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46"/>
        </w:trPr>
        <w:tc>
          <w:tcPr>
            <w:tcW w:w="4460" w:type="dxa"/>
            <w:vAlign w:val="bottom"/>
          </w:tcPr>
          <w:p>
            <w:pPr>
              <w:ind w:left="400"/>
              <w:spacing w:after="0" w:line="146" w:lineRule="exact"/>
              <w:rPr>
                <w:sz w:val="20"/>
                <w:szCs w:val="20"/>
                <w:color w:val="auto"/>
              </w:rPr>
            </w:pPr>
            <w:r>
              <w:rPr>
                <w:rFonts w:ascii="Arial" w:cs="Arial" w:eastAsia="Arial" w:hAnsi="Arial"/>
                <w:sz w:val="13"/>
                <w:szCs w:val="13"/>
                <w:color w:val="auto"/>
                <w:w w:val="91"/>
              </w:rPr>
              <w:t>Weighted average shares of Class A and Class C common stock outstanding</w:t>
            </w:r>
          </w:p>
        </w:tc>
        <w:tc>
          <w:tcPr>
            <w:tcW w:w="5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r>
      <w:tr>
        <w:trPr>
          <w:trHeight w:val="163"/>
        </w:trPr>
        <w:tc>
          <w:tcPr>
            <w:tcW w:w="4460" w:type="dxa"/>
            <w:vAlign w:val="bottom"/>
          </w:tcPr>
          <w:p>
            <w:pPr>
              <w:ind w:left="160"/>
              <w:spacing w:after="0"/>
              <w:rPr>
                <w:sz w:val="20"/>
                <w:szCs w:val="20"/>
                <w:color w:val="auto"/>
              </w:rPr>
            </w:pPr>
            <w:r>
              <w:rPr>
                <w:rFonts w:ascii="Arial" w:cs="Arial" w:eastAsia="Arial" w:hAnsi="Arial"/>
                <w:sz w:val="13"/>
                <w:szCs w:val="13"/>
                <w:color w:val="auto"/>
              </w:rPr>
              <w:t>used to calculate diluted net income (loss) per share</w:t>
            </w: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192,531,074</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80,670,520</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399,586,649</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82,450,9</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2"/>
        </w:trPr>
        <w:tc>
          <w:tcPr>
            <w:tcW w:w="4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Diluted net income (loss) per share attributable to common stockholders</w:t>
            </w:r>
          </w:p>
        </w:tc>
        <w:tc>
          <w:tcPr>
            <w:tcW w:w="5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0.05</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0.05</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0.07</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0" w:name="page41"/>
    <w:bookmarkEnd w:id="40"/>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13 - Earnings Per Share (continued)</w:t>
      </w:r>
    </w:p>
    <w:p>
      <w:pPr>
        <w:spacing w:after="0" w:line="351" w:lineRule="exact"/>
        <w:rPr>
          <w:sz w:val="20"/>
          <w:szCs w:val="20"/>
          <w:color w:val="auto"/>
        </w:rPr>
      </w:pPr>
    </w:p>
    <w:tbl>
      <w:tblPr>
        <w:tblLayout w:type="fixed"/>
        <w:tblInd w:w="240" w:type="dxa"/>
        <w:tblCellMar>
          <w:top w:w="0" w:type="dxa"/>
          <w:left w:w="0" w:type="dxa"/>
          <w:bottom w:w="0" w:type="dxa"/>
          <w:right w:w="0" w:type="dxa"/>
        </w:tblCellMar>
      </w:tblPr>
      <w:tr>
        <w:trPr>
          <w:trHeight w:val="143"/>
        </w:trPr>
        <w:tc>
          <w:tcPr>
            <w:tcW w:w="45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0"/>
                <w:szCs w:val="10"/>
                <w:b w:val="1"/>
                <w:bCs w:val="1"/>
                <w:color w:val="auto"/>
              </w:rPr>
              <w:t>Three Months Ended June 30, 2020</w:t>
            </w: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4"/>
          </w:tcPr>
          <w:p>
            <w:pPr>
              <w:ind w:left="540"/>
              <w:spacing w:after="0"/>
              <w:rPr>
                <w:sz w:val="20"/>
                <w:szCs w:val="20"/>
                <w:color w:val="auto"/>
              </w:rPr>
            </w:pPr>
            <w:r>
              <w:rPr>
                <w:rFonts w:ascii="Arial" w:cs="Arial" w:eastAsia="Arial" w:hAnsi="Arial"/>
                <w:sz w:val="10"/>
                <w:szCs w:val="10"/>
                <w:b w:val="1"/>
                <w:bCs w:val="1"/>
                <w:color w:val="auto"/>
              </w:rPr>
              <w:t>Six Months Ended June 30, 2020</w:t>
            </w:r>
          </w:p>
        </w:tc>
      </w:tr>
      <w:tr>
        <w:trPr>
          <w:trHeight w:val="145"/>
        </w:trPr>
        <w:tc>
          <w:tcPr>
            <w:tcW w:w="4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ind w:left="220"/>
              <w:spacing w:after="0"/>
              <w:rPr>
                <w:sz w:val="20"/>
                <w:szCs w:val="20"/>
                <w:color w:val="auto"/>
              </w:rPr>
            </w:pPr>
            <w:r>
              <w:rPr>
                <w:rFonts w:ascii="Arial" w:cs="Arial" w:eastAsia="Arial" w:hAnsi="Arial"/>
                <w:sz w:val="10"/>
                <w:szCs w:val="10"/>
                <w:b w:val="1"/>
                <w:bCs w:val="1"/>
                <w:color w:val="auto"/>
              </w:rPr>
              <w:t>Class A</w:t>
            </w:r>
          </w:p>
        </w:tc>
        <w:tc>
          <w:tcPr>
            <w:tcW w:w="540" w:type="dxa"/>
            <w:vAlign w:val="bottom"/>
          </w:tcPr>
          <w:p>
            <w:pPr>
              <w:spacing w:after="0"/>
              <w:rPr>
                <w:sz w:val="12"/>
                <w:szCs w:val="12"/>
                <w:color w:val="auto"/>
              </w:rPr>
            </w:pPr>
          </w:p>
        </w:tc>
        <w:tc>
          <w:tcPr>
            <w:tcW w:w="1140" w:type="dxa"/>
            <w:vAlign w:val="bottom"/>
            <w:gridSpan w:val="2"/>
          </w:tcPr>
          <w:p>
            <w:pPr>
              <w:ind w:left="220"/>
              <w:spacing w:after="0"/>
              <w:rPr>
                <w:sz w:val="20"/>
                <w:szCs w:val="20"/>
                <w:color w:val="auto"/>
              </w:rPr>
            </w:pPr>
            <w:r>
              <w:rPr>
                <w:rFonts w:ascii="Arial" w:cs="Arial" w:eastAsia="Arial" w:hAnsi="Arial"/>
                <w:sz w:val="10"/>
                <w:szCs w:val="10"/>
                <w:b w:val="1"/>
                <w:bCs w:val="1"/>
                <w:color w:val="auto"/>
              </w:rPr>
              <w:t>Class C</w:t>
            </w:r>
          </w:p>
        </w:tc>
        <w:tc>
          <w:tcPr>
            <w:tcW w:w="540" w:type="dxa"/>
            <w:vAlign w:val="bottom"/>
          </w:tcPr>
          <w:p>
            <w:pPr>
              <w:spacing w:after="0"/>
              <w:rPr>
                <w:sz w:val="12"/>
                <w:szCs w:val="12"/>
                <w:color w:val="auto"/>
              </w:rPr>
            </w:pPr>
          </w:p>
        </w:tc>
        <w:tc>
          <w:tcPr>
            <w:tcW w:w="1200" w:type="dxa"/>
            <w:vAlign w:val="bottom"/>
            <w:gridSpan w:val="2"/>
          </w:tcPr>
          <w:p>
            <w:pPr>
              <w:ind w:left="240"/>
              <w:spacing w:after="0"/>
              <w:rPr>
                <w:sz w:val="20"/>
                <w:szCs w:val="20"/>
                <w:color w:val="auto"/>
              </w:rPr>
            </w:pPr>
            <w:r>
              <w:rPr>
                <w:rFonts w:ascii="Arial" w:cs="Arial" w:eastAsia="Arial" w:hAnsi="Arial"/>
                <w:sz w:val="10"/>
                <w:szCs w:val="10"/>
                <w:b w:val="1"/>
                <w:bCs w:val="1"/>
                <w:color w:val="auto"/>
              </w:rPr>
              <w:t>Class A</w:t>
            </w:r>
          </w:p>
        </w:tc>
        <w:tc>
          <w:tcPr>
            <w:tcW w:w="520" w:type="dxa"/>
            <w:vAlign w:val="bottom"/>
          </w:tcPr>
          <w:p>
            <w:pPr>
              <w:spacing w:after="0"/>
              <w:rPr>
                <w:sz w:val="12"/>
                <w:szCs w:val="12"/>
                <w:color w:val="auto"/>
              </w:rPr>
            </w:pPr>
          </w:p>
        </w:tc>
        <w:tc>
          <w:tcPr>
            <w:tcW w:w="920" w:type="dxa"/>
            <w:vAlign w:val="bottom"/>
          </w:tcPr>
          <w:p>
            <w:pPr>
              <w:ind w:left="220"/>
              <w:spacing w:after="0"/>
              <w:rPr>
                <w:sz w:val="20"/>
                <w:szCs w:val="20"/>
                <w:color w:val="auto"/>
              </w:rPr>
            </w:pPr>
            <w:r>
              <w:rPr>
                <w:rFonts w:ascii="Arial" w:cs="Arial" w:eastAsia="Arial" w:hAnsi="Arial"/>
                <w:sz w:val="10"/>
                <w:szCs w:val="10"/>
                <w:b w:val="1"/>
                <w:bCs w:val="1"/>
                <w:color w:val="auto"/>
              </w:rPr>
              <w:t>Class C</w:t>
            </w:r>
          </w:p>
        </w:tc>
      </w:tr>
      <w:tr>
        <w:trPr>
          <w:trHeight w:val="28"/>
        </w:trPr>
        <w:tc>
          <w:tcPr>
            <w:tcW w:w="45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r>
      <w:tr>
        <w:trPr>
          <w:trHeight w:val="174"/>
        </w:trPr>
        <w:tc>
          <w:tcPr>
            <w:tcW w:w="4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Basic net income (loss) per share attributable to common stockholders</w:t>
            </w: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74"/>
        </w:trPr>
        <w:tc>
          <w:tcPr>
            <w:tcW w:w="4520" w:type="dxa"/>
            <w:vAlign w:val="bottom"/>
          </w:tcPr>
          <w:p>
            <w:pPr>
              <w:ind w:left="320"/>
              <w:spacing w:after="0"/>
              <w:rPr>
                <w:sz w:val="20"/>
                <w:szCs w:val="20"/>
                <w:color w:val="auto"/>
              </w:rPr>
            </w:pPr>
            <w:r>
              <w:rPr>
                <w:rFonts w:ascii="Arial" w:cs="Arial" w:eastAsia="Arial" w:hAnsi="Arial"/>
                <w:sz w:val="13"/>
                <w:szCs w:val="13"/>
                <w:color w:val="auto"/>
              </w:rPr>
              <w:t>Numerator:</w:t>
            </w: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4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4"/>
        </w:trPr>
        <w:tc>
          <w:tcPr>
            <w:tcW w:w="4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w w:val="97"/>
              </w:rPr>
              <w:t>Allocation of net income (loss) attributable to ZoomInfo Technologies Inc.</w:t>
            </w:r>
          </w:p>
        </w:tc>
        <w:tc>
          <w:tcPr>
            <w:tcW w:w="5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3"/>
                <w:szCs w:val="13"/>
                <w:color w:val="auto"/>
                <w:w w:val="74"/>
              </w:rPr>
              <w:t>(29</w:t>
            </w:r>
          </w:p>
        </w:tc>
      </w:tr>
      <w:tr>
        <w:trPr>
          <w:trHeight w:val="174"/>
        </w:trPr>
        <w:tc>
          <w:tcPr>
            <w:tcW w:w="4520" w:type="dxa"/>
            <w:vAlign w:val="bottom"/>
          </w:tcPr>
          <w:p>
            <w:pPr>
              <w:ind w:left="320"/>
              <w:spacing w:after="0"/>
              <w:rPr>
                <w:sz w:val="20"/>
                <w:szCs w:val="20"/>
                <w:color w:val="auto"/>
              </w:rPr>
            </w:pPr>
            <w:r>
              <w:rPr>
                <w:rFonts w:ascii="Arial" w:cs="Arial" w:eastAsia="Arial" w:hAnsi="Arial"/>
                <w:sz w:val="13"/>
                <w:szCs w:val="13"/>
                <w:color w:val="auto"/>
              </w:rPr>
              <w:t>Denominator:</w:t>
            </w: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4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6"/>
        </w:trPr>
        <w:tc>
          <w:tcPr>
            <w:tcW w:w="452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4"/>
              </w:rPr>
              <w:t>Weighted average number of shares of Class A and Class C common stock</w:t>
            </w: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3"/>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outstanding</w:t>
            </w: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51,994,291</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98,106,387</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51,994,291</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w w:val="86"/>
              </w:rPr>
              <w:t>98,106,3</w:t>
            </w:r>
          </w:p>
        </w:tc>
      </w:tr>
      <w:tr>
        <w:trPr>
          <w:trHeight w:val="163"/>
        </w:trPr>
        <w:tc>
          <w:tcPr>
            <w:tcW w:w="4520" w:type="dxa"/>
            <w:vAlign w:val="bottom"/>
          </w:tcPr>
          <w:p>
            <w:pPr>
              <w:ind w:left="240"/>
              <w:spacing w:after="0"/>
              <w:rPr>
                <w:sz w:val="20"/>
                <w:szCs w:val="20"/>
                <w:color w:val="auto"/>
              </w:rPr>
            </w:pPr>
            <w:r>
              <w:rPr>
                <w:rFonts w:ascii="Arial" w:cs="Arial" w:eastAsia="Arial" w:hAnsi="Arial"/>
                <w:sz w:val="13"/>
                <w:szCs w:val="13"/>
                <w:color w:val="auto"/>
              </w:rPr>
              <w:t>Basic net income (loss) per share attributable to common stockholders</w:t>
            </w:r>
          </w:p>
        </w:tc>
        <w:tc>
          <w:tcPr>
            <w:tcW w:w="540" w:type="dxa"/>
            <w:vAlign w:val="bottom"/>
            <w:tcBorders>
              <w:top w:val="single" w:sz="8" w:color="auto"/>
            </w:tcBorders>
          </w:tcPr>
          <w:p>
            <w:pPr>
              <w:jc w:val="right"/>
              <w:ind w:right="175"/>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(0.30)</w:t>
            </w:r>
          </w:p>
        </w:tc>
        <w:tc>
          <w:tcPr>
            <w:tcW w:w="100" w:type="dxa"/>
            <w:vAlign w:val="bottom"/>
          </w:tcPr>
          <w:p>
            <w:pPr>
              <w:spacing w:after="0"/>
              <w:rPr>
                <w:sz w:val="14"/>
                <w:szCs w:val="14"/>
                <w:color w:val="auto"/>
              </w:rPr>
            </w:pPr>
          </w:p>
        </w:tc>
        <w:tc>
          <w:tcPr>
            <w:tcW w:w="54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(0.30)</w:t>
            </w:r>
          </w:p>
        </w:tc>
        <w:tc>
          <w:tcPr>
            <w:tcW w:w="80" w:type="dxa"/>
            <w:vAlign w:val="bottom"/>
          </w:tcPr>
          <w:p>
            <w:pPr>
              <w:spacing w:after="0"/>
              <w:rPr>
                <w:sz w:val="14"/>
                <w:szCs w:val="14"/>
                <w:color w:val="auto"/>
              </w:rPr>
            </w:pPr>
          </w:p>
        </w:tc>
        <w:tc>
          <w:tcPr>
            <w:tcW w:w="54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(0.30)</w:t>
            </w:r>
          </w:p>
        </w:tc>
        <w:tc>
          <w:tcPr>
            <w:tcW w:w="100" w:type="dxa"/>
            <w:vAlign w:val="bottom"/>
          </w:tcPr>
          <w:p>
            <w:pPr>
              <w:spacing w:after="0"/>
              <w:rPr>
                <w:sz w:val="14"/>
                <w:szCs w:val="14"/>
                <w:color w:val="auto"/>
              </w:rPr>
            </w:pPr>
          </w:p>
        </w:tc>
        <w:tc>
          <w:tcPr>
            <w:tcW w:w="52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ind w:left="760"/>
              <w:spacing w:after="0"/>
              <w:rPr>
                <w:sz w:val="20"/>
                <w:szCs w:val="20"/>
                <w:color w:val="auto"/>
              </w:rPr>
            </w:pPr>
            <w:r>
              <w:rPr>
                <w:rFonts w:ascii="Arial" w:cs="Arial" w:eastAsia="Arial" w:hAnsi="Arial"/>
                <w:sz w:val="13"/>
                <w:szCs w:val="13"/>
                <w:color w:val="auto"/>
                <w:w w:val="91"/>
              </w:rPr>
              <w:t>(0.</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4"/>
        </w:trPr>
        <w:tc>
          <w:tcPr>
            <w:tcW w:w="45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4"/>
        </w:trPr>
        <w:tc>
          <w:tcPr>
            <w:tcW w:w="4520" w:type="dxa"/>
            <w:vAlign w:val="bottom"/>
          </w:tcPr>
          <w:p>
            <w:pPr>
              <w:ind w:left="240"/>
              <w:spacing w:after="0"/>
              <w:rPr>
                <w:sz w:val="20"/>
                <w:szCs w:val="20"/>
                <w:color w:val="auto"/>
              </w:rPr>
            </w:pPr>
            <w:r>
              <w:rPr>
                <w:rFonts w:ascii="Arial" w:cs="Arial" w:eastAsia="Arial" w:hAnsi="Arial"/>
                <w:sz w:val="13"/>
                <w:szCs w:val="13"/>
                <w:b w:val="1"/>
                <w:bCs w:val="1"/>
                <w:color w:val="auto"/>
                <w:w w:val="94"/>
              </w:rPr>
              <w:t>Diluted net income (loss) per share attributable to common stockholders</w:t>
            </w: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4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4"/>
        </w:trPr>
        <w:tc>
          <w:tcPr>
            <w:tcW w:w="4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Numerator:</w:t>
            </w: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74"/>
        </w:trPr>
        <w:tc>
          <w:tcPr>
            <w:tcW w:w="4520" w:type="dxa"/>
            <w:vAlign w:val="bottom"/>
          </w:tcPr>
          <w:p>
            <w:pPr>
              <w:ind w:left="400"/>
              <w:spacing w:after="0"/>
              <w:rPr>
                <w:sz w:val="20"/>
                <w:szCs w:val="20"/>
                <w:color w:val="auto"/>
              </w:rPr>
            </w:pPr>
            <w:r>
              <w:rPr>
                <w:rFonts w:ascii="Arial" w:cs="Arial" w:eastAsia="Arial" w:hAnsi="Arial"/>
                <w:sz w:val="13"/>
                <w:szCs w:val="13"/>
                <w:color w:val="auto"/>
              </w:rPr>
              <w:t>Undistributed earnings for basic computation</w:t>
            </w:r>
          </w:p>
        </w:tc>
        <w:tc>
          <w:tcPr>
            <w:tcW w:w="54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5"/>
                <w:szCs w:val="15"/>
                <w:color w:val="auto"/>
              </w:rPr>
            </w:pPr>
          </w:p>
        </w:tc>
        <w:tc>
          <w:tcPr>
            <w:tcW w:w="54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(29.7)</w:t>
            </w:r>
          </w:p>
        </w:tc>
        <w:tc>
          <w:tcPr>
            <w:tcW w:w="80" w:type="dxa"/>
            <w:vAlign w:val="bottom"/>
          </w:tcPr>
          <w:p>
            <w:pPr>
              <w:spacing w:after="0"/>
              <w:rPr>
                <w:sz w:val="15"/>
                <w:szCs w:val="15"/>
                <w:color w:val="auto"/>
              </w:rPr>
            </w:pPr>
          </w:p>
        </w:tc>
        <w:tc>
          <w:tcPr>
            <w:tcW w:w="54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5"/>
                <w:szCs w:val="15"/>
                <w:color w:val="auto"/>
              </w:rPr>
            </w:pPr>
          </w:p>
        </w:tc>
        <w:tc>
          <w:tcPr>
            <w:tcW w:w="52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920" w:type="dxa"/>
            <w:vAlign w:val="bottom"/>
          </w:tcPr>
          <w:p>
            <w:pPr>
              <w:ind w:left="760"/>
              <w:spacing w:after="0"/>
              <w:rPr>
                <w:sz w:val="20"/>
                <w:szCs w:val="20"/>
                <w:color w:val="auto"/>
              </w:rPr>
            </w:pPr>
            <w:r>
              <w:rPr>
                <w:rFonts w:ascii="Arial" w:cs="Arial" w:eastAsia="Arial" w:hAnsi="Arial"/>
                <w:sz w:val="13"/>
                <w:szCs w:val="13"/>
                <w:color w:val="auto"/>
                <w:w w:val="74"/>
              </w:rPr>
              <w:t>(29</w:t>
            </w:r>
          </w:p>
        </w:tc>
      </w:tr>
      <w:tr>
        <w:trPr>
          <w:trHeight w:val="20"/>
        </w:trPr>
        <w:tc>
          <w:tcPr>
            <w:tcW w:w="4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6"/>
        </w:trPr>
        <w:tc>
          <w:tcPr>
            <w:tcW w:w="452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3"/>
              </w:rPr>
              <w:t>Reallocation of undistributed earnings as a result of conversion of Class C to</w:t>
            </w: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3"/>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Class A shares</w:t>
            </w: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202"/>
        </w:trPr>
        <w:tc>
          <w:tcPr>
            <w:tcW w:w="45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Allocation of undistributed earnings</w:t>
            </w:r>
          </w:p>
        </w:tc>
        <w:tc>
          <w:tcPr>
            <w:tcW w:w="5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(45.4)</w:t>
            </w:r>
          </w:p>
        </w:tc>
        <w:tc>
          <w:tcPr>
            <w:tcW w:w="100" w:type="dxa"/>
            <w:vAlign w:val="bottom"/>
            <w:tcBorders>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(29.7)</w:t>
            </w:r>
          </w:p>
        </w:tc>
        <w:tc>
          <w:tcPr>
            <w:tcW w:w="80" w:type="dxa"/>
            <w:vAlign w:val="bottom"/>
            <w:tcBorders>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(45.4)</w:t>
            </w:r>
          </w:p>
        </w:tc>
        <w:tc>
          <w:tcPr>
            <w:tcW w:w="10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3"/>
                <w:szCs w:val="13"/>
                <w:color w:val="auto"/>
                <w:w w:val="74"/>
              </w:rPr>
              <w:t>(29</w:t>
            </w:r>
          </w:p>
        </w:tc>
      </w:tr>
      <w:tr>
        <w:trPr>
          <w:trHeight w:val="154"/>
        </w:trPr>
        <w:tc>
          <w:tcPr>
            <w:tcW w:w="4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Denominator:</w:t>
            </w:r>
          </w:p>
        </w:tc>
        <w:tc>
          <w:tcPr>
            <w:tcW w:w="5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r>
      <w:tr>
        <w:trPr>
          <w:trHeight w:val="174"/>
        </w:trPr>
        <w:tc>
          <w:tcPr>
            <w:tcW w:w="4520" w:type="dxa"/>
            <w:vAlign w:val="bottom"/>
          </w:tcPr>
          <w:p>
            <w:pPr>
              <w:ind w:left="320"/>
              <w:spacing w:after="0"/>
              <w:rPr>
                <w:sz w:val="20"/>
                <w:szCs w:val="20"/>
                <w:color w:val="auto"/>
              </w:rPr>
            </w:pPr>
            <w:r>
              <w:rPr>
                <w:rFonts w:ascii="Arial" w:cs="Arial" w:eastAsia="Arial" w:hAnsi="Arial"/>
                <w:sz w:val="13"/>
                <w:szCs w:val="13"/>
                <w:color w:val="auto"/>
              </w:rPr>
              <w:t>Number of shares used in basic computation</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51,994,291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98,106,387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51,994,291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ind w:left="460"/>
              <w:spacing w:after="0"/>
              <w:rPr>
                <w:sz w:val="20"/>
                <w:szCs w:val="20"/>
                <w:color w:val="auto"/>
              </w:rPr>
            </w:pPr>
            <w:r>
              <w:rPr>
                <w:rFonts w:ascii="Arial" w:cs="Arial" w:eastAsia="Arial" w:hAnsi="Arial"/>
                <w:sz w:val="13"/>
                <w:szCs w:val="13"/>
                <w:color w:val="auto"/>
                <w:w w:val="86"/>
              </w:rPr>
              <w:t>98,106,3</w:t>
            </w:r>
          </w:p>
        </w:tc>
      </w:tr>
      <w:tr>
        <w:trPr>
          <w:trHeight w:val="20"/>
        </w:trPr>
        <w:tc>
          <w:tcPr>
            <w:tcW w:w="4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6"/>
        </w:trPr>
        <w:tc>
          <w:tcPr>
            <w:tcW w:w="45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95"/>
              </w:rPr>
              <w:t>Add: weighted-average effect of dilutive securities exchangeable for Class A</w:t>
            </w: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3"/>
        </w:trPr>
        <w:tc>
          <w:tcPr>
            <w:tcW w:w="4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common stock:</w:t>
            </w:r>
          </w:p>
        </w:tc>
        <w:tc>
          <w:tcPr>
            <w:tcW w:w="5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r>
      <w:tr>
        <w:trPr>
          <w:trHeight w:val="174"/>
        </w:trPr>
        <w:tc>
          <w:tcPr>
            <w:tcW w:w="4520" w:type="dxa"/>
            <w:vAlign w:val="bottom"/>
          </w:tcPr>
          <w:p>
            <w:pPr>
              <w:ind w:left="400"/>
              <w:spacing w:after="0"/>
              <w:rPr>
                <w:sz w:val="20"/>
                <w:szCs w:val="20"/>
                <w:color w:val="auto"/>
              </w:rPr>
            </w:pPr>
            <w:r>
              <w:rPr>
                <w:rFonts w:ascii="Arial" w:cs="Arial" w:eastAsia="Arial" w:hAnsi="Arial"/>
                <w:sz w:val="13"/>
                <w:szCs w:val="13"/>
                <w:color w:val="auto"/>
              </w:rPr>
              <w:t>Conversion of Class C to Class A common shares outstanding</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98,106,387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98,106,387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6"/>
        </w:trPr>
        <w:tc>
          <w:tcPr>
            <w:tcW w:w="4520" w:type="dxa"/>
            <w:vAlign w:val="bottom"/>
            <w:shd w:val="clear" w:color="auto" w:fill="CCEEFF"/>
          </w:tcPr>
          <w:p>
            <w:pPr>
              <w:ind w:left="240"/>
              <w:spacing w:after="0" w:line="146" w:lineRule="exact"/>
              <w:rPr>
                <w:sz w:val="20"/>
                <w:szCs w:val="20"/>
                <w:color w:val="auto"/>
              </w:rPr>
            </w:pPr>
            <w:r>
              <w:rPr>
                <w:rFonts w:ascii="Arial" w:cs="Arial" w:eastAsia="Arial" w:hAnsi="Arial"/>
                <w:sz w:val="13"/>
                <w:szCs w:val="13"/>
                <w:color w:val="auto"/>
                <w:w w:val="89"/>
              </w:rPr>
              <w:t>Weighted average shares of Class A and Class C common stock outstanding used</w:t>
            </w:r>
          </w:p>
        </w:tc>
        <w:tc>
          <w:tcPr>
            <w:tcW w:w="5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83"/>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 calculate diluted net income (loss) per share</w:t>
            </w: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150,100,678</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98,106,387</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150,100,678</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w w:val="86"/>
              </w:rPr>
              <w:t>98,106,3</w:t>
            </w:r>
          </w:p>
        </w:tc>
      </w:tr>
      <w:tr>
        <w:trPr>
          <w:trHeight w:val="183"/>
        </w:trPr>
        <w:tc>
          <w:tcPr>
            <w:tcW w:w="4520" w:type="dxa"/>
            <w:vAlign w:val="bottom"/>
          </w:tcPr>
          <w:p>
            <w:pPr>
              <w:ind w:left="240"/>
              <w:spacing w:after="0"/>
              <w:rPr>
                <w:sz w:val="20"/>
                <w:szCs w:val="20"/>
                <w:color w:val="auto"/>
              </w:rPr>
            </w:pPr>
            <w:r>
              <w:rPr>
                <w:rFonts w:ascii="Arial" w:cs="Arial" w:eastAsia="Arial" w:hAnsi="Arial"/>
                <w:sz w:val="13"/>
                <w:szCs w:val="13"/>
                <w:color w:val="auto"/>
              </w:rPr>
              <w:t>Diluted net income (loss) per share attributable to common stockholders</w:t>
            </w:r>
          </w:p>
        </w:tc>
        <w:tc>
          <w:tcPr>
            <w:tcW w:w="5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(0.30)</w:t>
            </w:r>
          </w:p>
        </w:tc>
        <w:tc>
          <w:tcPr>
            <w:tcW w:w="10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(0.30)</w:t>
            </w:r>
          </w:p>
        </w:tc>
        <w:tc>
          <w:tcPr>
            <w:tcW w:w="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(0.30)</w:t>
            </w:r>
          </w:p>
        </w:tc>
        <w:tc>
          <w:tcPr>
            <w:tcW w:w="10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3"/>
                <w:szCs w:val="13"/>
                <w:color w:val="auto"/>
                <w:w w:val="91"/>
              </w:rPr>
              <w:t>(0.</w:t>
            </w:r>
          </w:p>
        </w:tc>
      </w:tr>
      <w:tr>
        <w:trPr>
          <w:trHeight w:val="20"/>
        </w:trPr>
        <w:tc>
          <w:tcPr>
            <w:tcW w:w="4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80" w:firstLine="233"/>
        <w:spacing w:after="0" w:line="270" w:lineRule="auto"/>
        <w:rPr>
          <w:sz w:val="20"/>
          <w:szCs w:val="20"/>
          <w:color w:val="auto"/>
        </w:rPr>
      </w:pPr>
      <w:r>
        <w:rPr>
          <w:rFonts w:ascii="Arial" w:cs="Arial" w:eastAsia="Arial" w:hAnsi="Arial"/>
          <w:sz w:val="13"/>
          <w:szCs w:val="13"/>
          <w:color w:val="242424"/>
        </w:rPr>
        <w:t>Shares of the Company’s Class B common stock do not participate in the earnings or losses of ZoomInfo Technologies, Inc. and are therefore not participating securities. As such, separate presentation of basic and diluted earnings per share of Class B common stock under the two-class method has not been presented.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6" w:right="239" w:bottom="1440" w:gutter="0" w:footer="0" w:header="0"/>
        </w:sectPr>
      </w:pPr>
    </w:p>
    <w:bookmarkStart w:id="41" w:name="page42"/>
    <w:bookmarkEnd w:id="41"/>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13 - Earnings Per Share (continued)</w:t>
      </w:r>
    </w:p>
    <w:p>
      <w:pPr>
        <w:spacing w:after="0" w:line="320" w:lineRule="exact"/>
        <w:rPr>
          <w:sz w:val="20"/>
          <w:szCs w:val="20"/>
          <w:color w:val="auto"/>
        </w:rPr>
      </w:pPr>
    </w:p>
    <w:p>
      <w:pPr>
        <w:jc w:val="both"/>
        <w:ind w:right="80" w:firstLine="233"/>
        <w:spacing w:after="0" w:line="270" w:lineRule="auto"/>
        <w:rPr>
          <w:sz w:val="20"/>
          <w:szCs w:val="20"/>
          <w:color w:val="auto"/>
        </w:rPr>
      </w:pPr>
      <w:r>
        <w:rPr>
          <w:rFonts w:ascii="Arial" w:cs="Arial" w:eastAsia="Arial" w:hAnsi="Arial"/>
          <w:sz w:val="13"/>
          <w:szCs w:val="13"/>
          <w:color w:val="242424"/>
        </w:rPr>
        <w:t>The following weighted-average potentially dilutive securities were evaluated under the treasury stock method for potentially dilutive effects and have been excluded from diluted net loss per share in the periods presented due to their anti-dilutive effect:</w:t>
      </w:r>
    </w:p>
    <w:p>
      <w:pPr>
        <w:spacing w:after="0" w:line="121" w:lineRule="exact"/>
        <w:rPr>
          <w:sz w:val="20"/>
          <w:szCs w:val="20"/>
          <w:color w:val="auto"/>
        </w:rPr>
      </w:pPr>
    </w:p>
    <w:tbl>
      <w:tblPr>
        <w:tblLayout w:type="fixed"/>
        <w:tblInd w:w="240" w:type="dxa"/>
        <w:tblCellMar>
          <w:top w:w="0" w:type="dxa"/>
          <w:left w:w="0" w:type="dxa"/>
          <w:bottom w:w="0" w:type="dxa"/>
          <w:right w:w="0" w:type="dxa"/>
        </w:tblCellMar>
      </w:tblPr>
      <w:tr>
        <w:trPr>
          <w:trHeight w:val="143"/>
        </w:trPr>
        <w:tc>
          <w:tcPr>
            <w:tcW w:w="4320" w:type="dxa"/>
            <w:vAlign w:val="bottom"/>
          </w:tcPr>
          <w:p>
            <w:pPr>
              <w:spacing w:after="0"/>
              <w:rPr>
                <w:sz w:val="12"/>
                <w:szCs w:val="12"/>
                <w:color w:val="auto"/>
              </w:rPr>
            </w:pPr>
          </w:p>
        </w:tc>
        <w:tc>
          <w:tcPr>
            <w:tcW w:w="2560" w:type="dxa"/>
            <w:vAlign w:val="bottom"/>
            <w:tcBorders>
              <w:bottom w:val="single" w:sz="8" w:color="auto"/>
            </w:tcBorders>
            <w:gridSpan w:val="3"/>
          </w:tcPr>
          <w:p>
            <w:pPr>
              <w:ind w:left="1160"/>
              <w:spacing w:after="0"/>
              <w:rPr>
                <w:sz w:val="20"/>
                <w:szCs w:val="20"/>
                <w:color w:val="auto"/>
              </w:rPr>
            </w:pPr>
            <w:r>
              <w:rPr>
                <w:rFonts w:ascii="Arial" w:cs="Arial" w:eastAsia="Arial" w:hAnsi="Arial"/>
                <w:sz w:val="10"/>
                <w:szCs w:val="10"/>
                <w:b w:val="1"/>
                <w:bCs w:val="1"/>
                <w:color w:val="auto"/>
                <w:w w:val="97"/>
              </w:rPr>
              <w:t>Three Months Ended June 30,</w:t>
            </w:r>
          </w:p>
        </w:tc>
        <w:tc>
          <w:tcPr>
            <w:tcW w:w="8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540" w:type="dxa"/>
            <w:vAlign w:val="bottom"/>
            <w:tcBorders>
              <w:bottom w:val="single" w:sz="8" w:color="auto"/>
            </w:tcBorders>
            <w:gridSpan w:val="3"/>
          </w:tcPr>
          <w:p>
            <w:pPr>
              <w:ind w:left="1240"/>
              <w:spacing w:after="0"/>
              <w:rPr>
                <w:sz w:val="20"/>
                <w:szCs w:val="20"/>
                <w:color w:val="auto"/>
              </w:rPr>
            </w:pPr>
            <w:r>
              <w:rPr>
                <w:rFonts w:ascii="Arial" w:cs="Arial" w:eastAsia="Arial" w:hAnsi="Arial"/>
                <w:sz w:val="10"/>
                <w:szCs w:val="10"/>
                <w:b w:val="1"/>
                <w:bCs w:val="1"/>
                <w:color w:val="auto"/>
                <w:w w:val="98"/>
              </w:rPr>
              <w:t>Six Months Ended June 30,</w:t>
            </w:r>
          </w:p>
        </w:tc>
        <w:tc>
          <w:tcPr>
            <w:tcW w:w="740" w:type="dxa"/>
            <w:vAlign w:val="bottom"/>
            <w:tcBorders>
              <w:bottom w:val="single" w:sz="8" w:color="auto"/>
            </w:tcBorders>
          </w:tcPr>
          <w:p>
            <w:pPr>
              <w:spacing w:after="0"/>
              <w:rPr>
                <w:sz w:val="12"/>
                <w:szCs w:val="12"/>
                <w:color w:val="auto"/>
              </w:rPr>
            </w:pPr>
          </w:p>
        </w:tc>
      </w:tr>
      <w:tr>
        <w:trPr>
          <w:trHeight w:val="145"/>
        </w:trPr>
        <w:tc>
          <w:tcPr>
            <w:tcW w:w="4320" w:type="dxa"/>
            <w:vAlign w:val="bottom"/>
            <w:tcBorders>
              <w:bottom w:val="single" w:sz="8" w:color="CCEEFF"/>
            </w:tcBorders>
          </w:tcPr>
          <w:p>
            <w:pPr>
              <w:spacing w:after="0"/>
              <w:rPr>
                <w:sz w:val="12"/>
                <w:szCs w:val="12"/>
                <w:color w:val="auto"/>
              </w:rPr>
            </w:pPr>
          </w:p>
        </w:tc>
        <w:tc>
          <w:tcPr>
            <w:tcW w:w="1680" w:type="dxa"/>
            <w:vAlign w:val="bottom"/>
            <w:tcBorders>
              <w:bottom w:val="single" w:sz="8" w:color="auto"/>
            </w:tcBorders>
          </w:tcPr>
          <w:p>
            <w:pPr>
              <w:jc w:val="right"/>
              <w:ind w:right="558"/>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57"/>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2"/>
                <w:szCs w:val="12"/>
                <w:color w:val="auto"/>
              </w:rPr>
            </w:pPr>
          </w:p>
        </w:tc>
        <w:tc>
          <w:tcPr>
            <w:tcW w:w="1680" w:type="dxa"/>
            <w:vAlign w:val="bottom"/>
            <w:tcBorders>
              <w:bottom w:val="single" w:sz="8" w:color="auto"/>
            </w:tcBorders>
          </w:tcPr>
          <w:p>
            <w:pPr>
              <w:jc w:val="right"/>
              <w:ind w:right="558"/>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97"/>
              <w:spacing w:after="0"/>
              <w:rPr>
                <w:sz w:val="20"/>
                <w:szCs w:val="20"/>
                <w:color w:val="auto"/>
              </w:rPr>
            </w:pPr>
            <w:r>
              <w:rPr>
                <w:rFonts w:ascii="Arial" w:cs="Arial" w:eastAsia="Arial" w:hAnsi="Arial"/>
                <w:sz w:val="10"/>
                <w:szCs w:val="10"/>
                <w:b w:val="1"/>
                <w:bCs w:val="1"/>
                <w:color w:val="auto"/>
              </w:rPr>
              <w:t>2020</w:t>
            </w:r>
          </w:p>
        </w:tc>
      </w:tr>
      <w:tr>
        <w:trPr>
          <w:trHeight w:val="173"/>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OpCo Units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189,991,429</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219,637,430</w:t>
            </w:r>
          </w:p>
        </w:tc>
        <w:tc>
          <w:tcPr>
            <w:tcW w:w="80" w:type="dxa"/>
            <w:vAlign w:val="bottom"/>
            <w:tcBorders>
              <w:bottom w:val="single" w:sz="8" w:color="CCEEFF"/>
            </w:tcBorders>
            <w:shd w:val="clear" w:color="auto" w:fill="CCEEFF"/>
          </w:tcPr>
          <w:p>
            <w:pPr>
              <w:spacing w:after="0"/>
              <w:rPr>
                <w:sz w:val="15"/>
                <w:szCs w:val="15"/>
                <w:color w:val="auto"/>
              </w:rPr>
            </w:pPr>
          </w:p>
        </w:tc>
        <w:tc>
          <w:tcPr>
            <w:tcW w:w="2540" w:type="dxa"/>
            <w:vAlign w:val="bottom"/>
            <w:tcBorders>
              <w:bottom w:val="single" w:sz="8" w:color="CCEEFF"/>
            </w:tcBorders>
            <w:gridSpan w:val="3"/>
            <w:shd w:val="clear" w:color="auto" w:fill="CCEEFF"/>
          </w:tcPr>
          <w:p>
            <w:pPr>
              <w:jc w:val="right"/>
              <w:ind w:right="9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219,637,4</w:t>
            </w:r>
          </w:p>
        </w:tc>
      </w:tr>
      <w:tr>
        <w:trPr>
          <w:trHeight w:val="174"/>
        </w:trPr>
        <w:tc>
          <w:tcPr>
            <w:tcW w:w="4320" w:type="dxa"/>
            <w:vAlign w:val="bottom"/>
          </w:tcPr>
          <w:p>
            <w:pPr>
              <w:ind w:left="240"/>
              <w:spacing w:after="0"/>
              <w:rPr>
                <w:sz w:val="20"/>
                <w:szCs w:val="20"/>
                <w:color w:val="auto"/>
              </w:rPr>
            </w:pPr>
            <w:r>
              <w:rPr>
                <w:rFonts w:ascii="Arial" w:cs="Arial" w:eastAsia="Arial" w:hAnsi="Arial"/>
                <w:sz w:val="13"/>
                <w:szCs w:val="13"/>
                <w:color w:val="auto"/>
              </w:rPr>
              <w:t>Class P Units</w:t>
            </w:r>
          </w:p>
        </w:tc>
        <w:tc>
          <w:tcPr>
            <w:tcW w:w="1680" w:type="dxa"/>
            <w:vAlign w:val="bottom"/>
          </w:tcPr>
          <w:p>
            <w:pPr>
              <w:jc w:val="right"/>
              <w:spacing w:after="0"/>
              <w:rPr>
                <w:sz w:val="20"/>
                <w:szCs w:val="20"/>
                <w:color w:val="auto"/>
              </w:rPr>
            </w:pPr>
            <w:r>
              <w:rPr>
                <w:rFonts w:ascii="Arial" w:cs="Arial" w:eastAsia="Arial" w:hAnsi="Arial"/>
                <w:sz w:val="13"/>
                <w:szCs w:val="13"/>
                <w:color w:val="auto"/>
              </w:rPr>
              <w:t>10,479,037</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12,548,938</w:t>
            </w:r>
          </w:p>
        </w:tc>
        <w:tc>
          <w:tcPr>
            <w:tcW w:w="80" w:type="dxa"/>
            <w:vAlign w:val="bottom"/>
          </w:tcPr>
          <w:p>
            <w:pPr>
              <w:spacing w:after="0"/>
              <w:rPr>
                <w:sz w:val="15"/>
                <w:szCs w:val="15"/>
                <w:color w:val="auto"/>
              </w:rPr>
            </w:pPr>
          </w:p>
        </w:tc>
        <w:tc>
          <w:tcPr>
            <w:tcW w:w="2540" w:type="dxa"/>
            <w:vAlign w:val="bottom"/>
            <w:gridSpan w:val="3"/>
          </w:tcPr>
          <w:p>
            <w:pPr>
              <w:jc w:val="right"/>
              <w:ind w:right="9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12,548,9</w:t>
            </w:r>
          </w:p>
        </w:tc>
      </w:tr>
      <w:tr>
        <w:trPr>
          <w:trHeight w:val="20"/>
        </w:trPr>
        <w:tc>
          <w:tcPr>
            <w:tcW w:w="4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4"/>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HSKB I Class 1 Units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6,661,067</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13,169,365</w:t>
            </w:r>
          </w:p>
        </w:tc>
        <w:tc>
          <w:tcPr>
            <w:tcW w:w="80" w:type="dxa"/>
            <w:vAlign w:val="bottom"/>
            <w:tcBorders>
              <w:bottom w:val="single" w:sz="8" w:color="CCEEFF"/>
            </w:tcBorders>
            <w:shd w:val="clear" w:color="auto" w:fill="CCEEFF"/>
          </w:tcPr>
          <w:p>
            <w:pPr>
              <w:spacing w:after="0"/>
              <w:rPr>
                <w:sz w:val="15"/>
                <w:szCs w:val="15"/>
                <w:color w:val="auto"/>
              </w:rPr>
            </w:pPr>
          </w:p>
        </w:tc>
        <w:tc>
          <w:tcPr>
            <w:tcW w:w="2540" w:type="dxa"/>
            <w:vAlign w:val="bottom"/>
            <w:tcBorders>
              <w:bottom w:val="single" w:sz="8" w:color="CCEEFF"/>
            </w:tcBorders>
            <w:gridSpan w:val="3"/>
            <w:shd w:val="clear" w:color="auto" w:fill="CCEEFF"/>
          </w:tcPr>
          <w:p>
            <w:pPr>
              <w:jc w:val="right"/>
              <w:ind w:right="9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13,169,3</w:t>
            </w:r>
          </w:p>
        </w:tc>
      </w:tr>
      <w:tr>
        <w:trPr>
          <w:trHeight w:val="174"/>
        </w:trPr>
        <w:tc>
          <w:tcPr>
            <w:tcW w:w="4320" w:type="dxa"/>
            <w:vAlign w:val="bottom"/>
          </w:tcPr>
          <w:p>
            <w:pPr>
              <w:ind w:left="240"/>
              <w:spacing w:after="0"/>
              <w:rPr>
                <w:sz w:val="20"/>
                <w:szCs w:val="20"/>
                <w:color w:val="auto"/>
              </w:rPr>
            </w:pPr>
            <w:r>
              <w:rPr>
                <w:rFonts w:ascii="Arial" w:cs="Arial" w:eastAsia="Arial" w:hAnsi="Arial"/>
                <w:sz w:val="13"/>
                <w:szCs w:val="13"/>
                <w:color w:val="auto"/>
              </w:rPr>
              <w:t>HSKB II Class 1 Units</w:t>
            </w:r>
          </w:p>
        </w:tc>
        <w:tc>
          <w:tcPr>
            <w:tcW w:w="1680" w:type="dxa"/>
            <w:vAlign w:val="bottom"/>
          </w:tcPr>
          <w:p>
            <w:pPr>
              <w:jc w:val="right"/>
              <w:spacing w:after="0"/>
              <w:rPr>
                <w:sz w:val="20"/>
                <w:szCs w:val="20"/>
                <w:color w:val="auto"/>
              </w:rPr>
            </w:pPr>
            <w:r>
              <w:rPr>
                <w:rFonts w:ascii="Arial" w:cs="Arial" w:eastAsia="Arial" w:hAnsi="Arial"/>
                <w:sz w:val="13"/>
                <w:szCs w:val="13"/>
                <w:color w:val="auto"/>
              </w:rPr>
              <w:t>334,017</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1,824,814</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391,480</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1,824,8</w:t>
            </w:r>
          </w:p>
        </w:tc>
      </w:tr>
      <w:tr>
        <w:trPr>
          <w:trHeight w:val="20"/>
        </w:trPr>
        <w:tc>
          <w:tcPr>
            <w:tcW w:w="4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4"/>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HSKB II Phantom Units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1,296,597</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375,201</w:t>
            </w:r>
          </w:p>
        </w:tc>
        <w:tc>
          <w:tcPr>
            <w:tcW w:w="8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1,327,044</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375,2</w:t>
            </w:r>
          </w:p>
        </w:tc>
      </w:tr>
      <w:tr>
        <w:trPr>
          <w:trHeight w:val="174"/>
        </w:trPr>
        <w:tc>
          <w:tcPr>
            <w:tcW w:w="4320" w:type="dxa"/>
            <w:vAlign w:val="bottom"/>
          </w:tcPr>
          <w:p>
            <w:pPr>
              <w:ind w:left="240"/>
              <w:spacing w:after="0"/>
              <w:rPr>
                <w:sz w:val="20"/>
                <w:szCs w:val="20"/>
                <w:color w:val="auto"/>
              </w:rPr>
            </w:pPr>
            <w:r>
              <w:rPr>
                <w:rFonts w:ascii="Arial" w:cs="Arial" w:eastAsia="Arial" w:hAnsi="Arial"/>
                <w:sz w:val="13"/>
                <w:szCs w:val="13"/>
                <w:color w:val="auto"/>
              </w:rPr>
              <w:t>HoldCo Units</w:t>
            </w:r>
          </w:p>
        </w:tc>
        <w:tc>
          <w:tcPr>
            <w:tcW w:w="2560" w:type="dxa"/>
            <w:vAlign w:val="bottom"/>
            <w:gridSpan w:val="3"/>
          </w:tcPr>
          <w:p>
            <w:pPr>
              <w:jc w:val="right"/>
              <w:ind w:right="9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1,250,509</w:t>
            </w:r>
          </w:p>
        </w:tc>
        <w:tc>
          <w:tcPr>
            <w:tcW w:w="80" w:type="dxa"/>
            <w:vAlign w:val="bottom"/>
          </w:tcPr>
          <w:p>
            <w:pPr>
              <w:spacing w:after="0"/>
              <w:rPr>
                <w:sz w:val="15"/>
                <w:szCs w:val="15"/>
                <w:color w:val="auto"/>
              </w:rPr>
            </w:pPr>
          </w:p>
        </w:tc>
        <w:tc>
          <w:tcPr>
            <w:tcW w:w="2540" w:type="dxa"/>
            <w:vAlign w:val="bottom"/>
            <w:gridSpan w:val="3"/>
          </w:tcPr>
          <w:p>
            <w:pPr>
              <w:jc w:val="right"/>
              <w:ind w:right="9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1,250,5</w:t>
            </w:r>
          </w:p>
        </w:tc>
      </w:tr>
      <w:tr>
        <w:trPr>
          <w:trHeight w:val="20"/>
        </w:trPr>
        <w:tc>
          <w:tcPr>
            <w:tcW w:w="4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4"/>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Restricted Stock Units</w:t>
            </w:r>
          </w:p>
        </w:tc>
        <w:tc>
          <w:tcPr>
            <w:tcW w:w="2560" w:type="dxa"/>
            <w:vAlign w:val="bottom"/>
            <w:tcBorders>
              <w:bottom w:val="single" w:sz="8" w:color="CCEEFF"/>
            </w:tcBorders>
            <w:gridSpan w:val="3"/>
            <w:shd w:val="clear" w:color="auto" w:fill="CCEEFF"/>
          </w:tcPr>
          <w:p>
            <w:pPr>
              <w:jc w:val="right"/>
              <w:ind w:right="94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290,795</w:t>
            </w:r>
          </w:p>
        </w:tc>
        <w:tc>
          <w:tcPr>
            <w:tcW w:w="80" w:type="dxa"/>
            <w:vAlign w:val="bottom"/>
            <w:tcBorders>
              <w:bottom w:val="single" w:sz="8" w:color="CCEEFF"/>
            </w:tcBorders>
            <w:shd w:val="clear" w:color="auto" w:fill="CCEEFF"/>
          </w:tcPr>
          <w:p>
            <w:pPr>
              <w:spacing w:after="0"/>
              <w:rPr>
                <w:sz w:val="15"/>
                <w:szCs w:val="15"/>
                <w:color w:val="auto"/>
              </w:rPr>
            </w:pPr>
          </w:p>
        </w:tc>
        <w:tc>
          <w:tcPr>
            <w:tcW w:w="2540" w:type="dxa"/>
            <w:vAlign w:val="bottom"/>
            <w:tcBorders>
              <w:bottom w:val="single" w:sz="8" w:color="CCEEFF"/>
            </w:tcBorders>
            <w:gridSpan w:val="3"/>
            <w:shd w:val="clear" w:color="auto" w:fill="CCEEFF"/>
          </w:tcPr>
          <w:p>
            <w:pPr>
              <w:jc w:val="right"/>
              <w:ind w:right="9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290,7</w:t>
            </w:r>
          </w:p>
        </w:tc>
      </w:tr>
      <w:tr>
        <w:trPr>
          <w:trHeight w:val="174"/>
        </w:trPr>
        <w:tc>
          <w:tcPr>
            <w:tcW w:w="4320" w:type="dxa"/>
            <w:vAlign w:val="bottom"/>
          </w:tcPr>
          <w:p>
            <w:pPr>
              <w:ind w:left="240"/>
              <w:spacing w:after="0"/>
              <w:rPr>
                <w:sz w:val="20"/>
                <w:szCs w:val="20"/>
                <w:color w:val="auto"/>
              </w:rPr>
            </w:pPr>
            <w:r>
              <w:rPr>
                <w:rFonts w:ascii="Arial" w:cs="Arial" w:eastAsia="Arial" w:hAnsi="Arial"/>
                <w:sz w:val="13"/>
                <w:szCs w:val="13"/>
                <w:color w:val="auto"/>
              </w:rPr>
              <w:t>LTIP Units</w:t>
            </w:r>
          </w:p>
        </w:tc>
        <w:tc>
          <w:tcPr>
            <w:tcW w:w="2560" w:type="dxa"/>
            <w:vAlign w:val="bottom"/>
            <w:gridSpan w:val="3"/>
          </w:tcPr>
          <w:p>
            <w:pPr>
              <w:jc w:val="right"/>
              <w:ind w:right="9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26,595</w:t>
            </w:r>
          </w:p>
        </w:tc>
        <w:tc>
          <w:tcPr>
            <w:tcW w:w="80" w:type="dxa"/>
            <w:vAlign w:val="bottom"/>
          </w:tcPr>
          <w:p>
            <w:pPr>
              <w:spacing w:after="0"/>
              <w:rPr>
                <w:sz w:val="15"/>
                <w:szCs w:val="15"/>
                <w:color w:val="auto"/>
              </w:rPr>
            </w:pPr>
          </w:p>
        </w:tc>
        <w:tc>
          <w:tcPr>
            <w:tcW w:w="2540" w:type="dxa"/>
            <w:vAlign w:val="bottom"/>
            <w:gridSpan w:val="3"/>
          </w:tcPr>
          <w:p>
            <w:pPr>
              <w:jc w:val="right"/>
              <w:ind w:right="9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26,5</w:t>
            </w:r>
          </w:p>
        </w:tc>
      </w:tr>
      <w:tr>
        <w:trPr>
          <w:trHeight w:val="20"/>
        </w:trPr>
        <w:tc>
          <w:tcPr>
            <w:tcW w:w="4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4"/>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Exercise of Class A Common Stock Options</w:t>
            </w:r>
          </w:p>
        </w:tc>
        <w:tc>
          <w:tcPr>
            <w:tcW w:w="2560" w:type="dxa"/>
            <w:vAlign w:val="bottom"/>
            <w:tcBorders>
              <w:bottom w:val="single" w:sz="8" w:color="CCEEFF"/>
            </w:tcBorders>
            <w:gridSpan w:val="3"/>
            <w:shd w:val="clear" w:color="auto" w:fill="CCEEFF"/>
          </w:tcPr>
          <w:p>
            <w:pPr>
              <w:jc w:val="right"/>
              <w:ind w:right="94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287,299</w:t>
            </w:r>
          </w:p>
        </w:tc>
        <w:tc>
          <w:tcPr>
            <w:tcW w:w="8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gridSpan w:val="3"/>
            <w:shd w:val="clear" w:color="auto" w:fill="CCEEFF"/>
          </w:tcPr>
          <w:p>
            <w:pPr>
              <w:jc w:val="right"/>
              <w:ind w:right="9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287,2</w:t>
            </w:r>
          </w:p>
        </w:tc>
      </w:tr>
      <w:tr>
        <w:trPr>
          <w:trHeight w:val="183"/>
        </w:trPr>
        <w:tc>
          <w:tcPr>
            <w:tcW w:w="4320" w:type="dxa"/>
            <w:vAlign w:val="bottom"/>
          </w:tcPr>
          <w:p>
            <w:pPr>
              <w:ind w:left="240"/>
              <w:spacing w:after="0"/>
              <w:rPr>
                <w:sz w:val="20"/>
                <w:szCs w:val="20"/>
                <w:color w:val="auto"/>
              </w:rPr>
            </w:pPr>
            <w:r>
              <w:rPr>
                <w:rFonts w:ascii="Arial" w:cs="Arial" w:eastAsia="Arial" w:hAnsi="Arial"/>
                <w:sz w:val="13"/>
                <w:szCs w:val="13"/>
                <w:color w:val="auto"/>
              </w:rPr>
              <w:t>Total anti-dilutive securities</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208,762,147</w:t>
            </w:r>
          </w:p>
        </w:tc>
        <w:tc>
          <w:tcPr>
            <w:tcW w:w="80" w:type="dxa"/>
            <w:vAlign w:val="bottom"/>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249,410,946</w:t>
            </w:r>
          </w:p>
        </w:tc>
        <w:tc>
          <w:tcPr>
            <w:tcW w:w="80" w:type="dxa"/>
            <w:vAlign w:val="bottom"/>
          </w:tcPr>
          <w:p>
            <w:pPr>
              <w:spacing w:after="0"/>
              <w:rPr>
                <w:sz w:val="15"/>
                <w:szCs w:val="15"/>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1,718,524</w:t>
            </w:r>
          </w:p>
        </w:tc>
        <w:tc>
          <w:tcPr>
            <w:tcW w:w="80" w:type="dxa"/>
            <w:vAlign w:val="bottom"/>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249,410,9</w:t>
            </w:r>
          </w:p>
        </w:tc>
      </w:tr>
      <w:tr>
        <w:trPr>
          <w:trHeight w:val="20"/>
        </w:trPr>
        <w:tc>
          <w:tcPr>
            <w:tcW w:w="4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14 - Leases</w:t>
      </w:r>
    </w:p>
    <w:p>
      <w:pPr>
        <w:spacing w:after="0" w:line="126" w:lineRule="exact"/>
        <w:rPr>
          <w:sz w:val="20"/>
          <w:szCs w:val="20"/>
          <w:color w:val="auto"/>
        </w:rPr>
      </w:pPr>
    </w:p>
    <w:p>
      <w:pPr>
        <w:jc w:val="both"/>
        <w:ind w:right="80" w:firstLine="233"/>
        <w:spacing w:after="0" w:line="284" w:lineRule="auto"/>
        <w:rPr>
          <w:sz w:val="20"/>
          <w:szCs w:val="20"/>
          <w:color w:val="auto"/>
        </w:rPr>
      </w:pPr>
      <w:r>
        <w:rPr>
          <w:rFonts w:ascii="Arial" w:cs="Arial" w:eastAsia="Arial" w:hAnsi="Arial"/>
          <w:sz w:val="12"/>
          <w:szCs w:val="12"/>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less than one year, from our right-of-use assets and lease liabilities as well as the package of practical expedients relating to adoption of Topic 842.</w:t>
      </w:r>
    </w:p>
    <w:p>
      <w:pPr>
        <w:spacing w:after="0" w:line="84" w:lineRule="exact"/>
        <w:rPr>
          <w:sz w:val="20"/>
          <w:szCs w:val="20"/>
          <w:color w:val="auto"/>
        </w:rPr>
      </w:pPr>
    </w:p>
    <w:p>
      <w:pPr>
        <w:jc w:val="both"/>
        <w:ind w:right="80" w:firstLine="233"/>
        <w:spacing w:after="0" w:line="363" w:lineRule="auto"/>
        <w:rPr>
          <w:sz w:val="20"/>
          <w:szCs w:val="20"/>
          <w:color w:val="auto"/>
        </w:rPr>
      </w:pPr>
      <w:r>
        <w:rPr>
          <w:rFonts w:ascii="Arial" w:cs="Arial" w:eastAsia="Arial" w:hAnsi="Arial"/>
          <w:sz w:val="11"/>
          <w:szCs w:val="11"/>
          <w:color w:val="auto"/>
        </w:rPr>
        <w:t xml:space="preserve">The Company also subleases a former corporate office space. The sublease has a remaining lease term of less than one year. Sublease income, which is recorded as a reduction of rent expense and allocated to the appropriate financial statement line item to arrive at </w:t>
      </w:r>
      <w:r>
        <w:rPr>
          <w:rFonts w:ascii="Arial" w:cs="Arial" w:eastAsia="Arial" w:hAnsi="Arial"/>
          <w:sz w:val="11"/>
          <w:szCs w:val="11"/>
          <w:i w:val="1"/>
          <w:iCs w:val="1"/>
          <w:color w:val="auto"/>
        </w:rPr>
        <w:t>Income from operations</w:t>
      </w:r>
      <w:r>
        <w:rPr>
          <w:rFonts w:ascii="Arial" w:cs="Arial" w:eastAsia="Arial" w:hAnsi="Arial"/>
          <w:sz w:val="11"/>
          <w:szCs w:val="11"/>
          <w:color w:val="auto"/>
        </w:rPr>
        <w:t xml:space="preserve"> in the Consolidated Statements of Operations was immaterial for the three and six months ended June 30, 2021 and 2020.</w:t>
      </w:r>
    </w:p>
    <w:p>
      <w:pPr>
        <w:spacing w:after="0" w:line="44" w:lineRule="exact"/>
        <w:rPr>
          <w:sz w:val="20"/>
          <w:szCs w:val="20"/>
          <w:color w:val="auto"/>
        </w:rPr>
      </w:pPr>
    </w:p>
    <w:p>
      <w:pPr>
        <w:jc w:val="both"/>
        <w:ind w:right="80" w:firstLine="233"/>
        <w:spacing w:after="0" w:line="256" w:lineRule="auto"/>
        <w:rPr>
          <w:sz w:val="20"/>
          <w:szCs w:val="20"/>
          <w:color w:val="auto"/>
        </w:rPr>
      </w:pPr>
      <w:r>
        <w:rPr>
          <w:rFonts w:ascii="Arial" w:cs="Arial" w:eastAsia="Arial" w:hAnsi="Arial"/>
          <w:sz w:val="13"/>
          <w:szCs w:val="13"/>
          <w:color w:val="auto"/>
        </w:rPr>
        <w:t xml:space="preserve">During the six months ended June 30, 2021, the Company executed an agreement to sublease our existing Waltham office space for the remainder of our lease term in anticipation of our office relocation which commenced in June 2021. Sublease income will be recorded as a reduction of rent expense and allocated to the appropriate financial statement line item to arrive at </w:t>
      </w:r>
      <w:r>
        <w:rPr>
          <w:rFonts w:ascii="Arial" w:cs="Arial" w:eastAsia="Arial" w:hAnsi="Arial"/>
          <w:sz w:val="13"/>
          <w:szCs w:val="13"/>
          <w:i w:val="1"/>
          <w:iCs w:val="1"/>
          <w:color w:val="auto"/>
        </w:rPr>
        <w:t>Income from operations</w:t>
      </w:r>
      <w:r>
        <w:rPr>
          <w:rFonts w:ascii="Arial" w:cs="Arial" w:eastAsia="Arial" w:hAnsi="Arial"/>
          <w:sz w:val="13"/>
          <w:szCs w:val="13"/>
          <w:color w:val="auto"/>
        </w:rPr>
        <w:t xml:space="preserve"> in the Consolidated Statements of Operations. In connection with these activities, and as referenced in Note 6 - Property and Equipment, we recorded a cumulative impairment charge of $1.5 million to reduce the carrying values of our existing Waltham right-of-use asset and related leasehold improvements to their respective fair values.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2" w:name="page43"/>
    <w:bookmarkEnd w:id="4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14 - Leases (continued)</w:t>
      </w:r>
    </w:p>
    <w:p>
      <w:pPr>
        <w:spacing w:after="0" w:line="320" w:lineRule="exact"/>
        <w:rPr>
          <w:sz w:val="20"/>
          <w:szCs w:val="20"/>
          <w:color w:val="auto"/>
        </w:rPr>
      </w:pPr>
    </w:p>
    <w:p>
      <w:pPr>
        <w:jc w:val="both"/>
        <w:ind w:right="80" w:firstLine="233"/>
        <w:spacing w:after="0" w:line="308" w:lineRule="auto"/>
        <w:rPr>
          <w:sz w:val="20"/>
          <w:szCs w:val="20"/>
          <w:color w:val="auto"/>
        </w:rPr>
      </w:pPr>
      <w:r>
        <w:rPr>
          <w:rFonts w:ascii="Arial" w:cs="Arial" w:eastAsia="Arial" w:hAnsi="Arial"/>
          <w:sz w:val="11"/>
          <w:szCs w:val="11"/>
          <w:color w:val="auto"/>
        </w:rPr>
        <w:t>In Q1 2021, we executed a lease for office space, with the rent payments for the first phase expected to commence at the earliest in January 2022 and the rent payments for the additional phases expected to commence between January 2023 and April 2027. The lease will terminate on December 31, 2036, the last day of the fifteenth lease year. The lease is subject to fixed-rate rent escalations and provides for $11.3 million in tenant improvements and the option to extend the lease for two terms of five years each, which were not reasonably certain of exercise. The Company determined that it is the accounting owner of all tenant improvements. Upon commencement of the first phase of the lease in June 2021, the Company recorded an operating lease right-of-use asset and lease liability of $35.9 million. As the commencement of the subsequent phases of this lease are expected to occur in the future, the Company has not recorded operating lease right-of-use assets or lease liabilities for these phases as of June 30, 2021. Undiscounted lease payments under the subsequent phases are anticipated to be $60.1 million, which are not included in the tabular disclosure of undiscounted future minimum lease payments under non-cancelable leases below.</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are additional details related to leases recorded on our balance sheet as of June 30, 2021 and December 31, 2020:</w:t>
      </w:r>
    </w:p>
    <w:p>
      <w:pPr>
        <w:spacing w:after="0" w:line="269" w:lineRule="exact"/>
        <w:rPr>
          <w:sz w:val="20"/>
          <w:szCs w:val="20"/>
          <w:color w:val="auto"/>
        </w:rPr>
      </w:pPr>
    </w:p>
    <w:tbl>
      <w:tblPr>
        <w:tblLayout w:type="fixed"/>
        <w:tblInd w:w="240" w:type="dxa"/>
        <w:tblCellMar>
          <w:top w:w="0" w:type="dxa"/>
          <w:left w:w="0" w:type="dxa"/>
          <w:bottom w:w="0" w:type="dxa"/>
          <w:right w:w="0" w:type="dxa"/>
        </w:tblCellMar>
      </w:tblPr>
      <w:tr>
        <w:trPr>
          <w:trHeight w:val="143"/>
        </w:trPr>
        <w:tc>
          <w:tcPr>
            <w:tcW w:w="40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2"/>
          </w:tcPr>
          <w:p>
            <w:pPr>
              <w:ind w:left="300"/>
              <w:spacing w:after="0"/>
              <w:rPr>
                <w:sz w:val="20"/>
                <w:szCs w:val="20"/>
                <w:color w:val="auto"/>
              </w:rPr>
            </w:pPr>
            <w:r>
              <w:rPr>
                <w:rFonts w:ascii="Arial" w:cs="Arial" w:eastAsia="Arial" w:hAnsi="Arial"/>
                <w:sz w:val="10"/>
                <w:szCs w:val="10"/>
                <w:b w:val="1"/>
                <w:bCs w:val="1"/>
                <w:color w:val="auto"/>
              </w:rPr>
              <w:t>June 30,</w:t>
            </w:r>
          </w:p>
        </w:tc>
        <w:tc>
          <w:tcPr>
            <w:tcW w:w="540" w:type="dxa"/>
            <w:vAlign w:val="bottom"/>
          </w:tcPr>
          <w:p>
            <w:pPr>
              <w:spacing w:after="0"/>
              <w:rPr>
                <w:sz w:val="12"/>
                <w:szCs w:val="12"/>
                <w:color w:val="auto"/>
              </w:rPr>
            </w:pPr>
          </w:p>
        </w:tc>
        <w:tc>
          <w:tcPr>
            <w:tcW w:w="1260" w:type="dxa"/>
            <w:vAlign w:val="bottom"/>
          </w:tcPr>
          <w:p>
            <w:pPr>
              <w:jc w:val="right"/>
              <w:ind w:right="341"/>
              <w:spacing w:after="0"/>
              <w:rPr>
                <w:sz w:val="20"/>
                <w:szCs w:val="20"/>
                <w:color w:val="auto"/>
              </w:rPr>
            </w:pPr>
            <w:r>
              <w:rPr>
                <w:rFonts w:ascii="Arial" w:cs="Arial" w:eastAsia="Arial" w:hAnsi="Arial"/>
                <w:sz w:val="10"/>
                <w:szCs w:val="10"/>
                <w:b w:val="1"/>
                <w:bCs w:val="1"/>
                <w:color w:val="auto"/>
              </w:rPr>
              <w:t>December 31,</w:t>
            </w:r>
          </w:p>
        </w:tc>
      </w:tr>
      <w:tr>
        <w:trPr>
          <w:trHeight w:val="144"/>
        </w:trPr>
        <w:tc>
          <w:tcPr>
            <w:tcW w:w="40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2020</w:t>
            </w:r>
          </w:p>
        </w:tc>
      </w:tr>
      <w:tr>
        <w:trPr>
          <w:trHeight w:val="164"/>
        </w:trPr>
        <w:tc>
          <w:tcPr>
            <w:tcW w:w="4080" w:type="dxa"/>
            <w:vAlign w:val="bottom"/>
          </w:tcPr>
          <w:p>
            <w:pPr>
              <w:ind w:left="240"/>
              <w:spacing w:after="0"/>
              <w:rPr>
                <w:sz w:val="20"/>
                <w:szCs w:val="20"/>
                <w:color w:val="auto"/>
              </w:rPr>
            </w:pPr>
            <w:r>
              <w:rPr>
                <w:rFonts w:ascii="Arial" w:cs="Arial" w:eastAsia="Arial" w:hAnsi="Arial"/>
                <w:sz w:val="13"/>
                <w:szCs w:val="13"/>
                <w:i w:val="1"/>
                <w:iCs w:val="1"/>
                <w:color w:val="auto"/>
              </w:rPr>
              <w:t>(in millions)</w:t>
            </w:r>
          </w:p>
        </w:tc>
        <w:tc>
          <w:tcPr>
            <w:tcW w:w="3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40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4"/>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Assets</w:t>
            </w:r>
          </w:p>
        </w:tc>
        <w:tc>
          <w:tcPr>
            <w:tcW w:w="3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r>
      <w:tr>
        <w:trPr>
          <w:trHeight w:val="174"/>
        </w:trPr>
        <w:tc>
          <w:tcPr>
            <w:tcW w:w="4080" w:type="dxa"/>
            <w:vAlign w:val="bottom"/>
          </w:tcPr>
          <w:p>
            <w:pPr>
              <w:ind w:left="240"/>
              <w:spacing w:after="0"/>
              <w:rPr>
                <w:sz w:val="20"/>
                <w:szCs w:val="20"/>
                <w:color w:val="auto"/>
              </w:rPr>
            </w:pPr>
            <w:r>
              <w:rPr>
                <w:rFonts w:ascii="Arial" w:cs="Arial" w:eastAsia="Arial" w:hAnsi="Arial"/>
                <w:sz w:val="13"/>
                <w:szCs w:val="13"/>
                <w:color w:val="auto"/>
              </w:rPr>
              <w:t>Operating lease right-of-use assets, net</w:t>
            </w:r>
          </w:p>
        </w:tc>
        <w:tc>
          <w:tcPr>
            <w:tcW w:w="3180" w:type="dxa"/>
            <w:vAlign w:val="bottom"/>
          </w:tcPr>
          <w:p>
            <w:pPr>
              <w:ind w:left="1360"/>
              <w:spacing w:after="0"/>
              <w:rPr>
                <w:sz w:val="20"/>
                <w:szCs w:val="20"/>
                <w:color w:val="auto"/>
              </w:rPr>
            </w:pPr>
            <w:r>
              <w:rPr>
                <w:rFonts w:ascii="Arial" w:cs="Arial" w:eastAsia="Arial" w:hAnsi="Arial"/>
                <w:sz w:val="13"/>
                <w:szCs w:val="13"/>
                <w:color w:val="auto"/>
              </w:rPr>
              <w:t>Operating leases</w:t>
            </w:r>
          </w:p>
        </w:tc>
        <w:tc>
          <w:tcPr>
            <w:tcW w:w="620" w:type="dxa"/>
            <w:vAlign w:val="bottom"/>
          </w:tcPr>
          <w:p>
            <w:pPr>
              <w:jc w:val="right"/>
              <w:ind w:right="235"/>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64.7</w:t>
            </w:r>
          </w:p>
        </w:tc>
        <w:tc>
          <w:tcPr>
            <w:tcW w:w="100" w:type="dxa"/>
            <w:vAlign w:val="bottom"/>
          </w:tcPr>
          <w:p>
            <w:pPr>
              <w:spacing w:after="0"/>
              <w:rPr>
                <w:sz w:val="15"/>
                <w:szCs w:val="15"/>
                <w:color w:val="auto"/>
              </w:rPr>
            </w:pPr>
          </w:p>
        </w:tc>
        <w:tc>
          <w:tcPr>
            <w:tcW w:w="54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20"/>
        </w:trPr>
        <w:tc>
          <w:tcPr>
            <w:tcW w:w="40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4"/>
        </w:trPr>
        <w:tc>
          <w:tcPr>
            <w:tcW w:w="4080" w:type="dxa"/>
            <w:vAlign w:val="bottom"/>
            <w:shd w:val="clear" w:color="auto" w:fill="CCEEFF"/>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4"/>
        </w:trPr>
        <w:tc>
          <w:tcPr>
            <w:tcW w:w="4080" w:type="dxa"/>
            <w:vAlign w:val="bottom"/>
          </w:tcPr>
          <w:p>
            <w:pPr>
              <w:ind w:left="240"/>
              <w:spacing w:after="0"/>
              <w:rPr>
                <w:sz w:val="20"/>
                <w:szCs w:val="20"/>
                <w:color w:val="auto"/>
              </w:rPr>
            </w:pPr>
            <w:r>
              <w:rPr>
                <w:rFonts w:ascii="Arial" w:cs="Arial" w:eastAsia="Arial" w:hAnsi="Arial"/>
                <w:sz w:val="13"/>
                <w:szCs w:val="13"/>
                <w:b w:val="1"/>
                <w:bCs w:val="1"/>
                <w:color w:val="auto"/>
              </w:rPr>
              <w:t>Liabilities</w:t>
            </w:r>
          </w:p>
        </w:tc>
        <w:tc>
          <w:tcPr>
            <w:tcW w:w="3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40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4"/>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Current portion of operating lease liabilities</w:t>
            </w:r>
          </w:p>
        </w:tc>
        <w:tc>
          <w:tcPr>
            <w:tcW w:w="318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3"/>
                <w:szCs w:val="13"/>
                <w:color w:val="auto"/>
              </w:rPr>
              <w:t>Operating leases</w:t>
            </w:r>
          </w:p>
        </w:tc>
        <w:tc>
          <w:tcPr>
            <w:tcW w:w="6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74"/>
        </w:trPr>
        <w:tc>
          <w:tcPr>
            <w:tcW w:w="4080" w:type="dxa"/>
            <w:vAlign w:val="bottom"/>
          </w:tcPr>
          <w:p>
            <w:pPr>
              <w:ind w:left="240"/>
              <w:spacing w:after="0"/>
              <w:rPr>
                <w:sz w:val="20"/>
                <w:szCs w:val="20"/>
                <w:color w:val="auto"/>
              </w:rPr>
            </w:pPr>
            <w:r>
              <w:rPr>
                <w:rFonts w:ascii="Arial" w:cs="Arial" w:eastAsia="Arial" w:hAnsi="Arial"/>
                <w:sz w:val="13"/>
                <w:szCs w:val="13"/>
                <w:color w:val="auto"/>
              </w:rPr>
              <w:t>Operating lease liabilities, net of current portion</w:t>
            </w:r>
          </w:p>
        </w:tc>
        <w:tc>
          <w:tcPr>
            <w:tcW w:w="3180" w:type="dxa"/>
            <w:vAlign w:val="bottom"/>
          </w:tcPr>
          <w:p>
            <w:pPr>
              <w:ind w:left="1360"/>
              <w:spacing w:after="0"/>
              <w:rPr>
                <w:sz w:val="20"/>
                <w:szCs w:val="20"/>
                <w:color w:val="auto"/>
              </w:rPr>
            </w:pPr>
            <w:r>
              <w:rPr>
                <w:rFonts w:ascii="Arial" w:cs="Arial" w:eastAsia="Arial" w:hAnsi="Arial"/>
                <w:sz w:val="13"/>
                <w:szCs w:val="13"/>
                <w:color w:val="auto"/>
              </w:rPr>
              <w:t>Operating leases</w:t>
            </w:r>
          </w:p>
        </w:tc>
        <w:tc>
          <w:tcPr>
            <w:tcW w:w="620" w:type="dxa"/>
            <w:vAlign w:val="bottom"/>
          </w:tcPr>
          <w:p>
            <w:pPr>
              <w:jc w:val="right"/>
              <w:ind w:right="235"/>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65.3</w:t>
            </w:r>
          </w:p>
        </w:tc>
        <w:tc>
          <w:tcPr>
            <w:tcW w:w="100" w:type="dxa"/>
            <w:vAlign w:val="bottom"/>
          </w:tcPr>
          <w:p>
            <w:pPr>
              <w:spacing w:after="0"/>
              <w:rPr>
                <w:sz w:val="15"/>
                <w:szCs w:val="15"/>
                <w:color w:val="auto"/>
              </w:rPr>
            </w:pPr>
          </w:p>
        </w:tc>
        <w:tc>
          <w:tcPr>
            <w:tcW w:w="54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33</w:t>
            </w:r>
          </w:p>
        </w:tc>
      </w:tr>
    </w:tbl>
    <w:p>
      <w:pPr>
        <w:spacing w:after="0" w:line="244" w:lineRule="exact"/>
        <w:rPr>
          <w:sz w:val="20"/>
          <w:szCs w:val="20"/>
          <w:color w:val="auto"/>
        </w:rPr>
      </w:pPr>
    </w:p>
    <w:p>
      <w:pPr>
        <w:ind w:right="80" w:firstLine="233"/>
        <w:spacing w:after="0" w:line="270" w:lineRule="auto"/>
        <w:rPr>
          <w:sz w:val="20"/>
          <w:szCs w:val="20"/>
          <w:color w:val="auto"/>
        </w:rPr>
      </w:pPr>
      <w:r>
        <w:rPr>
          <w:rFonts w:ascii="Arial" w:cs="Arial" w:eastAsia="Arial" w:hAnsi="Arial"/>
          <w:sz w:val="13"/>
          <w:szCs w:val="13"/>
          <w:color w:val="auto"/>
        </w:rPr>
        <w:t>Rent expense was $2.8 million and $1.6 million for the three months ended June 30, 2021 and 2020, respectively. Rent expense was $5.2 million and $3.3 million for the six months ended June 30, 2021 and 2020, respectively.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Other information related to leases was as follows:</w:t>
      </w:r>
    </w:p>
    <w:p>
      <w:pPr>
        <w:spacing w:after="0" w:line="161" w:lineRule="exact"/>
        <w:rPr>
          <w:sz w:val="20"/>
          <w:szCs w:val="20"/>
          <w:color w:val="auto"/>
        </w:rPr>
      </w:pPr>
    </w:p>
    <w:tbl>
      <w:tblPr>
        <w:tblLayout w:type="fixed"/>
        <w:tblInd w:w="240" w:type="dxa"/>
        <w:tblCellMar>
          <w:top w:w="0" w:type="dxa"/>
          <w:left w:w="0" w:type="dxa"/>
          <w:bottom w:w="0" w:type="dxa"/>
          <w:right w:w="0" w:type="dxa"/>
        </w:tblCellMar>
      </w:tblPr>
      <w:tr>
        <w:trPr>
          <w:trHeight w:val="173"/>
        </w:trPr>
        <w:tc>
          <w:tcPr>
            <w:tcW w:w="4580" w:type="dxa"/>
            <w:vAlign w:val="bottom"/>
          </w:tcPr>
          <w:p>
            <w:pPr>
              <w:ind w:left="240"/>
              <w:spacing w:after="0"/>
              <w:rPr>
                <w:sz w:val="20"/>
                <w:szCs w:val="20"/>
                <w:color w:val="auto"/>
              </w:rPr>
            </w:pPr>
            <w:r>
              <w:rPr>
                <w:rFonts w:ascii="Arial" w:cs="Arial" w:eastAsia="Arial" w:hAnsi="Arial"/>
                <w:sz w:val="13"/>
                <w:szCs w:val="13"/>
                <w:i w:val="1"/>
                <w:iCs w:val="1"/>
                <w:color w:val="auto"/>
              </w:rPr>
              <w:t>(in millions)</w:t>
            </w:r>
          </w:p>
        </w:tc>
        <w:tc>
          <w:tcPr>
            <w:tcW w:w="10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0"/>
                <w:szCs w:val="10"/>
                <w:b w:val="1"/>
                <w:bCs w:val="1"/>
                <w:color w:val="auto"/>
                <w:w w:val="95"/>
              </w:rPr>
              <w:t>Three Months Ended June 30,</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0"/>
                <w:szCs w:val="10"/>
                <w:b w:val="1"/>
                <w:bCs w:val="1"/>
                <w:color w:val="auto"/>
                <w:w w:val="95"/>
              </w:rPr>
              <w:t>Six Months Ended June 30,</w:t>
            </w:r>
          </w:p>
        </w:tc>
        <w:tc>
          <w:tcPr>
            <w:tcW w:w="400" w:type="dxa"/>
            <w:vAlign w:val="bottom"/>
            <w:tcBorders>
              <w:bottom w:val="single" w:sz="8" w:color="auto"/>
            </w:tcBorders>
          </w:tcPr>
          <w:p>
            <w:pPr>
              <w:spacing w:after="0"/>
              <w:rPr>
                <w:sz w:val="15"/>
                <w:szCs w:val="15"/>
                <w:color w:val="auto"/>
              </w:rPr>
            </w:pPr>
          </w:p>
        </w:tc>
      </w:tr>
      <w:tr>
        <w:trPr>
          <w:trHeight w:val="175"/>
        </w:trPr>
        <w:tc>
          <w:tcPr>
            <w:tcW w:w="4580" w:type="dxa"/>
            <w:vAlign w:val="bottom"/>
            <w:tcBorders>
              <w:bottom w:val="single" w:sz="8" w:color="CCEEFF"/>
            </w:tcBorders>
          </w:tcPr>
          <w:p>
            <w:pPr>
              <w:ind w:left="240"/>
              <w:spacing w:after="0"/>
              <w:rPr>
                <w:sz w:val="20"/>
                <w:szCs w:val="20"/>
                <w:color w:val="auto"/>
              </w:rPr>
            </w:pPr>
            <w:r>
              <w:rPr>
                <w:rFonts w:ascii="Arial" w:cs="Arial" w:eastAsia="Arial" w:hAnsi="Arial"/>
                <w:sz w:val="13"/>
                <w:szCs w:val="13"/>
                <w:b w:val="1"/>
                <w:bCs w:val="1"/>
                <w:color w:val="auto"/>
              </w:rPr>
              <w:t>Supplemental Cash Flow Information</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w w:val="98"/>
              </w:rPr>
              <w:t>2020</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400" w:type="dxa"/>
            <w:vAlign w:val="bottom"/>
            <w:tcBorders>
              <w:bottom w:val="single" w:sz="8" w:color="auto"/>
            </w:tcBorders>
          </w:tcPr>
          <w:p>
            <w:pPr>
              <w:spacing w:after="0"/>
              <w:rPr>
                <w:sz w:val="15"/>
                <w:szCs w:val="15"/>
                <w:color w:val="auto"/>
              </w:rPr>
            </w:pPr>
          </w:p>
        </w:tc>
      </w:tr>
      <w:tr>
        <w:trPr>
          <w:trHeight w:val="173"/>
        </w:trPr>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w w:val="93"/>
              </w:rPr>
              <w:t>Cash paid for amounts included in the measurement of operating lease liabilities</w:t>
            </w:r>
          </w:p>
        </w:tc>
        <w:tc>
          <w:tcPr>
            <w:tcW w:w="10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3"/>
                <w:szCs w:val="13"/>
                <w:color w:val="auto"/>
              </w:rPr>
              <w:t>2.1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94"/>
        </w:trPr>
        <w:tc>
          <w:tcPr>
            <w:tcW w:w="4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74"/>
        </w:trPr>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Lease liabilities arising from obtaining right-of-use assets</w:t>
            </w:r>
          </w:p>
        </w:tc>
        <w:tc>
          <w:tcPr>
            <w:tcW w:w="10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r>
      <w:tr>
        <w:trPr>
          <w:trHeight w:val="174"/>
        </w:trPr>
        <w:tc>
          <w:tcPr>
            <w:tcW w:w="4580" w:type="dxa"/>
            <w:vAlign w:val="bottom"/>
          </w:tcPr>
          <w:p>
            <w:pPr>
              <w:ind w:left="240"/>
              <w:spacing w:after="0"/>
              <w:rPr>
                <w:sz w:val="20"/>
                <w:szCs w:val="20"/>
                <w:color w:val="auto"/>
              </w:rPr>
            </w:pPr>
            <w:r>
              <w:rPr>
                <w:rFonts w:ascii="Arial" w:cs="Arial" w:eastAsia="Arial" w:hAnsi="Arial"/>
                <w:sz w:val="13"/>
                <w:szCs w:val="13"/>
                <w:color w:val="auto"/>
              </w:rPr>
              <w:t>From acquisitions</w:t>
            </w:r>
          </w:p>
        </w:tc>
        <w:tc>
          <w:tcPr>
            <w:tcW w:w="1060" w:type="dxa"/>
            <w:vAlign w:val="bottom"/>
          </w:tcPr>
          <w:p>
            <w:pPr>
              <w:jc w:val="right"/>
              <w:ind w:right="679"/>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104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681"/>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r>
      <w:tr>
        <w:trPr>
          <w:trHeight w:val="20"/>
        </w:trPr>
        <w:tc>
          <w:tcPr>
            <w:tcW w:w="4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4"/>
        </w:trPr>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From new and existing lease agreements and modifications</w:t>
            </w:r>
          </w:p>
        </w:tc>
        <w:tc>
          <w:tcPr>
            <w:tcW w:w="10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475"/>
        </w:trPr>
        <w:tc>
          <w:tcPr>
            <w:tcW w:w="4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As of</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r>
        <w:trPr>
          <w:trHeight w:val="145"/>
        </w:trPr>
        <w:tc>
          <w:tcPr>
            <w:tcW w:w="458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ind w:left="320"/>
              <w:spacing w:after="0"/>
              <w:rPr>
                <w:sz w:val="20"/>
                <w:szCs w:val="20"/>
                <w:color w:val="auto"/>
              </w:rPr>
            </w:pPr>
            <w:r>
              <w:rPr>
                <w:rFonts w:ascii="Arial" w:cs="Arial" w:eastAsia="Arial" w:hAnsi="Arial"/>
                <w:sz w:val="10"/>
                <w:szCs w:val="10"/>
                <w:b w:val="1"/>
                <w:bCs w:val="1"/>
                <w:color w:val="auto"/>
              </w:rPr>
              <w:t>June 30, 2021</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w w:val="99"/>
              </w:rPr>
              <w:t>December 31, 2020</w:t>
            </w:r>
          </w:p>
        </w:tc>
        <w:tc>
          <w:tcPr>
            <w:tcW w:w="400" w:type="dxa"/>
            <w:vAlign w:val="bottom"/>
            <w:tcBorders>
              <w:bottom w:val="single" w:sz="8" w:color="auto"/>
            </w:tcBorders>
          </w:tcPr>
          <w:p>
            <w:pPr>
              <w:spacing w:after="0"/>
              <w:rPr>
                <w:sz w:val="12"/>
                <w:szCs w:val="12"/>
                <w:color w:val="auto"/>
              </w:rPr>
            </w:pPr>
          </w:p>
        </w:tc>
      </w:tr>
      <w:tr>
        <w:trPr>
          <w:trHeight w:val="173"/>
        </w:trPr>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Weighted average remaining lease term (in years)</w:t>
            </w:r>
          </w:p>
        </w:tc>
        <w:tc>
          <w:tcPr>
            <w:tcW w:w="10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r>
      <w:tr>
        <w:trPr>
          <w:trHeight w:val="174"/>
        </w:trPr>
        <w:tc>
          <w:tcPr>
            <w:tcW w:w="4580" w:type="dxa"/>
            <w:vAlign w:val="bottom"/>
          </w:tcPr>
          <w:p>
            <w:pPr>
              <w:ind w:left="240"/>
              <w:spacing w:after="0"/>
              <w:rPr>
                <w:sz w:val="20"/>
                <w:szCs w:val="20"/>
                <w:color w:val="auto"/>
              </w:rPr>
            </w:pPr>
            <w:r>
              <w:rPr>
                <w:rFonts w:ascii="Arial" w:cs="Arial" w:eastAsia="Arial" w:hAnsi="Arial"/>
                <w:sz w:val="13"/>
                <w:szCs w:val="13"/>
                <w:b w:val="1"/>
                <w:bCs w:val="1"/>
                <w:color w:val="auto"/>
              </w:rPr>
              <w:t>Weighted average discount rate</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ind w:right="55"/>
              <w:spacing w:after="0"/>
              <w:rPr>
                <w:sz w:val="20"/>
                <w:szCs w:val="20"/>
                <w:color w:val="auto"/>
              </w:rPr>
            </w:pPr>
            <w:r>
              <w:rPr>
                <w:rFonts w:ascii="Arial" w:cs="Arial" w:eastAsia="Arial" w:hAnsi="Arial"/>
                <w:sz w:val="13"/>
                <w:szCs w:val="13"/>
                <w:color w:val="auto"/>
              </w:rPr>
              <w:t>4.4</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jc w:val="right"/>
              <w:ind w:right="155"/>
              <w:spacing w:after="0"/>
              <w:rPr>
                <w:sz w:val="20"/>
                <w:szCs w:val="20"/>
                <w:color w:val="auto"/>
              </w:rPr>
            </w:pPr>
            <w:r>
              <w:rPr>
                <w:rFonts w:ascii="Arial" w:cs="Arial" w:eastAsia="Arial" w:hAnsi="Arial"/>
                <w:sz w:val="13"/>
                <w:szCs w:val="13"/>
                <w:color w:val="auto"/>
                <w:w w:val="88"/>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3" w:name="page44"/>
    <w:bookmarkEnd w:id="4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14 - Leases (continued)</w:t>
      </w:r>
    </w:p>
    <w:p>
      <w:pPr>
        <w:spacing w:after="0" w:line="200" w:lineRule="exact"/>
        <w:rPr>
          <w:sz w:val="20"/>
          <w:szCs w:val="20"/>
          <w:color w:val="auto"/>
        </w:rPr>
      </w:pPr>
    </w:p>
    <w:p>
      <w:pPr>
        <w:spacing w:after="0" w:line="304" w:lineRule="exact"/>
        <w:rPr>
          <w:sz w:val="20"/>
          <w:szCs w:val="20"/>
          <w:color w:val="auto"/>
        </w:rPr>
      </w:pPr>
    </w:p>
    <w:p>
      <w:pPr>
        <w:jc w:val="both"/>
        <w:ind w:right="60" w:firstLine="233"/>
        <w:spacing w:after="0" w:line="270" w:lineRule="auto"/>
        <w:rPr>
          <w:sz w:val="20"/>
          <w:szCs w:val="20"/>
          <w:color w:val="auto"/>
        </w:rPr>
      </w:pPr>
      <w:r>
        <w:rPr>
          <w:rFonts w:ascii="Arial" w:cs="Arial" w:eastAsia="Arial" w:hAnsi="Arial"/>
          <w:sz w:val="13"/>
          <w:szCs w:val="13"/>
          <w:color w:val="auto"/>
        </w:rPr>
        <w:t>The table below reconciles the undiscounted future minimum lease payments under non-cancelable leases to the total lease liabilities recognized on the condensed consolidated balance sheets as of June 30, 2021 (in millions):</w:t>
      </w:r>
    </w:p>
    <w:p>
      <w:pPr>
        <w:spacing w:after="0" w:line="125" w:lineRule="exact"/>
        <w:rPr>
          <w:sz w:val="20"/>
          <w:szCs w:val="20"/>
          <w:color w:val="auto"/>
        </w:rPr>
      </w:pPr>
    </w:p>
    <w:tbl>
      <w:tblPr>
        <w:tblLayout w:type="fixed"/>
        <w:tblInd w:w="240" w:type="dxa"/>
        <w:tblCellMar>
          <w:top w:w="0" w:type="dxa"/>
          <w:left w:w="0" w:type="dxa"/>
          <w:bottom w:w="0" w:type="dxa"/>
          <w:right w:w="0" w:type="dxa"/>
        </w:tblCellMar>
      </w:tblPr>
      <w:tr>
        <w:trPr>
          <w:trHeight w:val="178"/>
        </w:trPr>
        <w:tc>
          <w:tcPr>
            <w:tcW w:w="9520" w:type="dxa"/>
            <w:vAlign w:val="bottom"/>
            <w:tcBorders>
              <w:bottom w:val="single" w:sz="8" w:color="CCEEFF"/>
            </w:tcBorders>
          </w:tcPr>
          <w:p>
            <w:pPr>
              <w:ind w:left="240"/>
              <w:spacing w:after="0"/>
              <w:rPr>
                <w:sz w:val="20"/>
                <w:szCs w:val="20"/>
                <w:color w:val="auto"/>
              </w:rPr>
            </w:pPr>
            <w:r>
              <w:rPr>
                <w:rFonts w:ascii="Arial" w:cs="Arial" w:eastAsia="Arial" w:hAnsi="Arial"/>
                <w:sz w:val="13"/>
                <w:szCs w:val="13"/>
                <w:b w:val="1"/>
                <w:bCs w:val="1"/>
                <w:color w:val="auto"/>
              </w:rPr>
              <w:t>Year Ending December 31,</w:t>
            </w:r>
          </w:p>
        </w:tc>
        <w:tc>
          <w:tcPr>
            <w:tcW w:w="4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0"/>
                <w:szCs w:val="10"/>
                <w:b w:val="1"/>
                <w:bCs w:val="1"/>
                <w:color w:val="auto"/>
              </w:rPr>
              <w:t>Operating Leases</w:t>
            </w:r>
          </w:p>
        </w:tc>
      </w:tr>
      <w:tr>
        <w:trPr>
          <w:trHeight w:val="173"/>
        </w:trPr>
        <w:tc>
          <w:tcPr>
            <w:tcW w:w="9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2021 (excluding six months ended June 30, 2021)</w:t>
            </w:r>
          </w:p>
        </w:tc>
        <w:tc>
          <w:tcPr>
            <w:tcW w:w="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74"/>
        </w:trPr>
        <w:tc>
          <w:tcPr>
            <w:tcW w:w="9520" w:type="dxa"/>
            <w:vAlign w:val="bottom"/>
          </w:tcPr>
          <w:p>
            <w:pPr>
              <w:ind w:left="240"/>
              <w:spacing w:after="0"/>
              <w:rPr>
                <w:sz w:val="20"/>
                <w:szCs w:val="20"/>
                <w:color w:val="auto"/>
              </w:rPr>
            </w:pPr>
            <w:r>
              <w:rPr>
                <w:rFonts w:ascii="Arial" w:cs="Arial" w:eastAsia="Arial" w:hAnsi="Arial"/>
                <w:sz w:val="13"/>
                <w:szCs w:val="13"/>
                <w:color w:val="auto"/>
              </w:rPr>
              <w:t>2022</w:t>
            </w:r>
          </w:p>
        </w:tc>
        <w:tc>
          <w:tcPr>
            <w:tcW w:w="4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20"/>
        </w:trPr>
        <w:tc>
          <w:tcPr>
            <w:tcW w:w="9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9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2023</w:t>
            </w:r>
          </w:p>
        </w:tc>
        <w:tc>
          <w:tcPr>
            <w:tcW w:w="4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74"/>
        </w:trPr>
        <w:tc>
          <w:tcPr>
            <w:tcW w:w="9520" w:type="dxa"/>
            <w:vAlign w:val="bottom"/>
          </w:tcPr>
          <w:p>
            <w:pPr>
              <w:ind w:left="240"/>
              <w:spacing w:after="0"/>
              <w:rPr>
                <w:sz w:val="20"/>
                <w:szCs w:val="20"/>
                <w:color w:val="auto"/>
              </w:rPr>
            </w:pPr>
            <w:r>
              <w:rPr>
                <w:rFonts w:ascii="Arial" w:cs="Arial" w:eastAsia="Arial" w:hAnsi="Arial"/>
                <w:sz w:val="13"/>
                <w:szCs w:val="13"/>
                <w:color w:val="auto"/>
              </w:rPr>
              <w:t>2024</w:t>
            </w:r>
          </w:p>
        </w:tc>
        <w:tc>
          <w:tcPr>
            <w:tcW w:w="4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20"/>
        </w:trPr>
        <w:tc>
          <w:tcPr>
            <w:tcW w:w="9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9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2025</w:t>
            </w:r>
          </w:p>
        </w:tc>
        <w:tc>
          <w:tcPr>
            <w:tcW w:w="4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74"/>
        </w:trPr>
        <w:tc>
          <w:tcPr>
            <w:tcW w:w="9520" w:type="dxa"/>
            <w:vAlign w:val="bottom"/>
          </w:tcPr>
          <w:p>
            <w:pPr>
              <w:ind w:left="240"/>
              <w:spacing w:after="0"/>
              <w:rPr>
                <w:sz w:val="20"/>
                <w:szCs w:val="20"/>
                <w:color w:val="auto"/>
              </w:rPr>
            </w:pPr>
            <w:r>
              <w:rPr>
                <w:rFonts w:ascii="Arial" w:cs="Arial" w:eastAsia="Arial" w:hAnsi="Arial"/>
                <w:sz w:val="13"/>
                <w:szCs w:val="13"/>
                <w:color w:val="auto"/>
              </w:rPr>
              <w:t>Thereafter</w:t>
            </w:r>
          </w:p>
        </w:tc>
        <w:tc>
          <w:tcPr>
            <w:tcW w:w="4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20"/>
        </w:trPr>
        <w:tc>
          <w:tcPr>
            <w:tcW w:w="9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4"/>
        </w:trPr>
        <w:tc>
          <w:tcPr>
            <w:tcW w:w="9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 future minimum lease payments</w:t>
            </w:r>
          </w:p>
        </w:tc>
        <w:tc>
          <w:tcPr>
            <w:tcW w:w="4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w:t>
            </w:r>
          </w:p>
        </w:tc>
      </w:tr>
      <w:tr>
        <w:trPr>
          <w:trHeight w:val="174"/>
        </w:trPr>
        <w:tc>
          <w:tcPr>
            <w:tcW w:w="9520" w:type="dxa"/>
            <w:vAlign w:val="bottom"/>
          </w:tcPr>
          <w:p>
            <w:pPr>
              <w:ind w:left="240"/>
              <w:spacing w:after="0"/>
              <w:rPr>
                <w:sz w:val="20"/>
                <w:szCs w:val="20"/>
                <w:color w:val="auto"/>
              </w:rPr>
            </w:pPr>
            <w:r>
              <w:rPr>
                <w:rFonts w:ascii="Arial" w:cs="Arial" w:eastAsia="Arial" w:hAnsi="Arial"/>
                <w:sz w:val="13"/>
                <w:szCs w:val="13"/>
                <w:color w:val="auto"/>
              </w:rPr>
              <w:t>Less effects of discounting</w:t>
            </w:r>
          </w:p>
        </w:tc>
        <w:tc>
          <w:tcPr>
            <w:tcW w:w="4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20"/>
        </w:trPr>
        <w:tc>
          <w:tcPr>
            <w:tcW w:w="9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2"/>
        </w:trPr>
        <w:tc>
          <w:tcPr>
            <w:tcW w:w="9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Total lease liabilities</w:t>
            </w:r>
          </w:p>
        </w:tc>
        <w:tc>
          <w:tcPr>
            <w:tcW w:w="4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w:t>
            </w:r>
          </w:p>
        </w:tc>
      </w:tr>
      <w:tr>
        <w:trPr>
          <w:trHeight w:val="174"/>
        </w:trPr>
        <w:tc>
          <w:tcPr>
            <w:tcW w:w="9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4"/>
        </w:trPr>
        <w:tc>
          <w:tcPr>
            <w:tcW w:w="9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Reported as of June 30, 2021</w:t>
            </w:r>
          </w:p>
        </w:tc>
        <w:tc>
          <w:tcPr>
            <w:tcW w:w="4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74"/>
        </w:trPr>
        <w:tc>
          <w:tcPr>
            <w:tcW w:w="9520" w:type="dxa"/>
            <w:vAlign w:val="bottom"/>
          </w:tcPr>
          <w:p>
            <w:pPr>
              <w:ind w:left="240"/>
              <w:spacing w:after="0"/>
              <w:rPr>
                <w:sz w:val="20"/>
                <w:szCs w:val="20"/>
                <w:color w:val="auto"/>
              </w:rPr>
            </w:pPr>
            <w:r>
              <w:rPr>
                <w:rFonts w:ascii="Arial" w:cs="Arial" w:eastAsia="Arial" w:hAnsi="Arial"/>
                <w:sz w:val="13"/>
                <w:szCs w:val="13"/>
                <w:color w:val="auto"/>
              </w:rPr>
              <w:t>Current portion of operating lease liabilities</w:t>
            </w:r>
          </w:p>
        </w:tc>
        <w:tc>
          <w:tcPr>
            <w:tcW w:w="46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20"/>
        </w:trPr>
        <w:tc>
          <w:tcPr>
            <w:tcW w:w="9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4"/>
        </w:trPr>
        <w:tc>
          <w:tcPr>
            <w:tcW w:w="9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Operating lease liabilities, net of current portion</w:t>
            </w:r>
          </w:p>
        </w:tc>
        <w:tc>
          <w:tcPr>
            <w:tcW w:w="4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w:t>
            </w:r>
          </w:p>
        </w:tc>
      </w:tr>
      <w:tr>
        <w:trPr>
          <w:trHeight w:val="183"/>
        </w:trPr>
        <w:tc>
          <w:tcPr>
            <w:tcW w:w="9520" w:type="dxa"/>
            <w:vAlign w:val="bottom"/>
          </w:tcPr>
          <w:p>
            <w:pPr>
              <w:ind w:left="380"/>
              <w:spacing w:after="0"/>
              <w:rPr>
                <w:sz w:val="20"/>
                <w:szCs w:val="20"/>
                <w:color w:val="auto"/>
              </w:rPr>
            </w:pPr>
            <w:r>
              <w:rPr>
                <w:rFonts w:ascii="Arial" w:cs="Arial" w:eastAsia="Arial" w:hAnsi="Arial"/>
                <w:sz w:val="13"/>
                <w:szCs w:val="13"/>
                <w:color w:val="auto"/>
              </w:rPr>
              <w:t>Total lease liabilities</w:t>
            </w:r>
          </w:p>
        </w:tc>
        <w:tc>
          <w:tcPr>
            <w:tcW w:w="4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w:t>
            </w:r>
          </w:p>
        </w:tc>
      </w:tr>
      <w:tr>
        <w:trPr>
          <w:trHeight w:val="20"/>
        </w:trPr>
        <w:tc>
          <w:tcPr>
            <w:tcW w:w="9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table above does not include any legally binding minimum lease payments for leases signed but not yet commenced.</w:t>
      </w:r>
    </w:p>
    <w:p>
      <w:pPr>
        <w:spacing w:after="0" w:line="122" w:lineRule="exact"/>
        <w:rPr>
          <w:sz w:val="20"/>
          <w:szCs w:val="20"/>
          <w:color w:val="auto"/>
        </w:rPr>
      </w:pPr>
    </w:p>
    <w:p>
      <w:pPr>
        <w:jc w:val="both"/>
        <w:ind w:right="80" w:firstLine="233"/>
        <w:spacing w:after="0" w:line="270" w:lineRule="auto"/>
        <w:rPr>
          <w:sz w:val="20"/>
          <w:szCs w:val="20"/>
          <w:color w:val="auto"/>
        </w:rPr>
      </w:pPr>
      <w:r>
        <w:rPr>
          <w:rFonts w:ascii="Arial" w:cs="Arial" w:eastAsia="Arial" w:hAnsi="Arial"/>
          <w:sz w:val="13"/>
          <w:szCs w:val="13"/>
          <w:color w:val="auto"/>
        </w:rPr>
        <w:t>Expense associated with short term leases and variable lease costs were immaterial for the three and six months ended June 30, 2021. The expense related to short-term leases reasonably reflects our short-term lease commitments.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15 - Equity-based Compensation</w:t>
      </w:r>
    </w:p>
    <w:p>
      <w:pPr>
        <w:spacing w:after="0" w:line="122" w:lineRule="exact"/>
        <w:rPr>
          <w:sz w:val="20"/>
          <w:szCs w:val="20"/>
          <w:color w:val="auto"/>
        </w:rPr>
      </w:pPr>
    </w:p>
    <w:p>
      <w:pPr>
        <w:jc w:val="both"/>
        <w:ind w:right="60" w:firstLine="233"/>
        <w:spacing w:after="0" w:line="258" w:lineRule="auto"/>
        <w:rPr>
          <w:sz w:val="20"/>
          <w:szCs w:val="20"/>
          <w:color w:val="auto"/>
        </w:rPr>
      </w:pPr>
      <w:r>
        <w:rPr>
          <w:rFonts w:ascii="Arial" w:cs="Arial" w:eastAsia="Arial" w:hAnsi="Arial"/>
          <w:sz w:val="13"/>
          <w:szCs w:val="13"/>
          <w:b w:val="1"/>
          <w:bCs w:val="1"/>
          <w:color w:val="auto"/>
        </w:rPr>
        <w:t xml:space="preserve">2020 Omnibus Incentive Plan </w:t>
      </w:r>
      <w:r>
        <w:rPr>
          <w:rFonts w:ascii="Arial" w:cs="Arial" w:eastAsia="Arial" w:hAnsi="Arial"/>
          <w:sz w:val="13"/>
          <w:szCs w:val="13"/>
          <w:color w:val="auto"/>
        </w:rPr>
        <w:t>- On May 27, 2020, the Board of Directors of the Company (the “Board”) adopted the ZoomInfo Technologies Inc. 2020 Omnibus Incentive Plan (the “Omnibus Plan”). The</w:t>
      </w:r>
      <w:r>
        <w:rPr>
          <w:rFonts w:ascii="Arial" w:cs="Arial" w:eastAsia="Arial" w:hAnsi="Arial"/>
          <w:sz w:val="13"/>
          <w:szCs w:val="13"/>
          <w:b w:val="1"/>
          <w:bCs w:val="1"/>
          <w:color w:val="auto"/>
        </w:rPr>
        <w:t xml:space="preserve"> </w:t>
      </w:r>
      <w:r>
        <w:rPr>
          <w:rFonts w:ascii="Arial" w:cs="Arial" w:eastAsia="Arial" w:hAnsi="Arial"/>
          <w:sz w:val="13"/>
          <w:szCs w:val="13"/>
          <w:color w:val="auto"/>
        </w:rPr>
        <w:t>Omnibus Plan provides for potential grants of the following awards with respect to shares of the Company’s Class A common stock and OpCo Units: (i) incentive stock options qualified as such under U.S. federal income tax laws; (ii) non-qualified stock options or any other form of stock options; (iii) stock appreciation rights; (iv) restricted stock; (v) restricted stock units; (vi) OpCo Units, and (vii) other equity-based and cash-based incentive awards as determined by the compensation committee of the Board or any properly delegated subcommittee.</w:t>
      </w:r>
    </w:p>
    <w:p>
      <w:pPr>
        <w:spacing w:after="0" w:line="98" w:lineRule="exact"/>
        <w:rPr>
          <w:sz w:val="20"/>
          <w:szCs w:val="20"/>
          <w:color w:val="auto"/>
        </w:rPr>
      </w:pPr>
    </w:p>
    <w:p>
      <w:pPr>
        <w:jc w:val="both"/>
        <w:ind w:right="80" w:firstLine="233"/>
        <w:spacing w:after="0" w:line="254" w:lineRule="auto"/>
        <w:rPr>
          <w:sz w:val="20"/>
          <w:szCs w:val="20"/>
          <w:color w:val="auto"/>
        </w:rPr>
      </w:pPr>
      <w:r>
        <w:rPr>
          <w:rFonts w:ascii="Arial" w:cs="Arial" w:eastAsia="Arial" w:hAnsi="Arial"/>
          <w:sz w:val="13"/>
          <w:szCs w:val="13"/>
          <w:color w:val="auto"/>
        </w:rPr>
        <w:t>The maximum aggregate number of shares of the Company’s Class A common stock that may be issued pursuant to awards under the Omnibus Plan shall not exceed 18,650,000 shares (including OpCo Units or other securities which have been issued under the plan and can be exchanged or converted into shares of Class A common stock) (the “Plan Share Reserve”). The Omnibus Plan also contains a provision that will add an additional number of shares of Class A common stock to the Plan Share Reserve on the first day of each year starting with January 1, 2021, equal to the lesser of (i) the positive difference between (x) 5% of the outstanding Class A Common Stock on the last day of the immediately preceding year, and (y) the Plan Share Reserve on the last day of the immediately preceding year, and (ii) a lower number of shares of Class A Common Stock as may be determined by the Board.</w:t>
      </w:r>
    </w:p>
    <w:p>
      <w:pPr>
        <w:spacing w:after="0" w:line="101" w:lineRule="exact"/>
        <w:rPr>
          <w:sz w:val="20"/>
          <w:szCs w:val="20"/>
          <w:color w:val="auto"/>
        </w:rPr>
      </w:pPr>
    </w:p>
    <w:p>
      <w:pPr>
        <w:jc w:val="both"/>
        <w:ind w:right="80" w:firstLine="233"/>
        <w:spacing w:after="0" w:line="259" w:lineRule="auto"/>
        <w:rPr>
          <w:sz w:val="20"/>
          <w:szCs w:val="20"/>
          <w:color w:val="auto"/>
        </w:rPr>
      </w:pPr>
      <w:r>
        <w:rPr>
          <w:rFonts w:ascii="Arial" w:cs="Arial" w:eastAsia="Arial" w:hAnsi="Arial"/>
          <w:sz w:val="13"/>
          <w:szCs w:val="13"/>
          <w:color w:val="auto"/>
        </w:rPr>
        <w:t>The Company currently has equity-based compensation awards outstanding as follows: Restricted Stock Units, Class A Common Stock Options, HoldCo Units, OpCo Units, Class P Units, and LTIP units. In addition, the Company recognizes equity-based compensation expense from awards granted to employees by noncontrolling interest holders of HoldCo Units and OpCo Units as further described below under HSKB Incentive Units.</w:t>
      </w:r>
    </w:p>
    <w:p>
      <w:pPr>
        <w:spacing w:after="0" w:line="98" w:lineRule="exact"/>
        <w:rPr>
          <w:sz w:val="20"/>
          <w:szCs w:val="20"/>
          <w:color w:val="auto"/>
        </w:rPr>
      </w:pPr>
    </w:p>
    <w:p>
      <w:pPr>
        <w:jc w:val="both"/>
        <w:ind w:right="80" w:firstLine="233"/>
        <w:spacing w:after="0" w:line="270" w:lineRule="auto"/>
        <w:rPr>
          <w:sz w:val="20"/>
          <w:szCs w:val="20"/>
          <w:color w:val="auto"/>
        </w:rPr>
      </w:pPr>
      <w:r>
        <w:rPr>
          <w:rFonts w:ascii="Arial" w:cs="Arial" w:eastAsia="Arial" w:hAnsi="Arial"/>
          <w:sz w:val="13"/>
          <w:szCs w:val="13"/>
          <w:color w:val="auto"/>
        </w:rPr>
        <w:t>In connection with the Reorganization Transactions and the IPO, 1,950,930 Class P Units held directly by employees of the Company or indirectly through DiscoverOrg Management Holdings, LLC, were converted into</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6" w:right="239" w:bottom="1440" w:gutter="0" w:footer="0" w:header="0"/>
        </w:sectPr>
      </w:pPr>
    </w:p>
    <w:bookmarkStart w:id="44" w:name="page45"/>
    <w:bookmarkEnd w:id="4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15 - Equity-based Compensation (continued)</w:t>
      </w:r>
    </w:p>
    <w:p>
      <w:pPr>
        <w:spacing w:after="0" w:line="200" w:lineRule="exact"/>
        <w:rPr>
          <w:sz w:val="20"/>
          <w:szCs w:val="20"/>
          <w:color w:val="auto"/>
        </w:rPr>
      </w:pPr>
    </w:p>
    <w:p>
      <w:pPr>
        <w:spacing w:after="0" w:line="217" w:lineRule="exact"/>
        <w:rPr>
          <w:sz w:val="20"/>
          <w:szCs w:val="20"/>
          <w:color w:val="auto"/>
        </w:rPr>
      </w:pPr>
    </w:p>
    <w:p>
      <w:pPr>
        <w:jc w:val="both"/>
        <w:ind w:right="80"/>
        <w:spacing w:after="0" w:line="259" w:lineRule="auto"/>
        <w:rPr>
          <w:sz w:val="20"/>
          <w:szCs w:val="20"/>
          <w:color w:val="auto"/>
        </w:rPr>
      </w:pPr>
      <w:r>
        <w:rPr>
          <w:rFonts w:ascii="Arial" w:cs="Arial" w:eastAsia="Arial" w:hAnsi="Arial"/>
          <w:sz w:val="13"/>
          <w:szCs w:val="13"/>
          <w:color w:val="auto"/>
        </w:rPr>
        <w:t>1,325,330 unvested HoldCo Units and 576,708 unvested Options based on their respective participation thresholds and the IPO price of $21.00 per share. In connection with this conversion of Class P Units as part of the Reorganization Transactions, the Company incurred incremental grant date fair value of $4.0 million. The HoldCo Units and Options issued upon the conversion remain subject to the same service vesting requirements of the original Class P Units.</w:t>
      </w:r>
    </w:p>
    <w:p>
      <w:pPr>
        <w:spacing w:after="0" w:line="98" w:lineRule="exact"/>
        <w:rPr>
          <w:sz w:val="20"/>
          <w:szCs w:val="20"/>
          <w:color w:val="auto"/>
        </w:rPr>
      </w:pPr>
    </w:p>
    <w:p>
      <w:pPr>
        <w:jc w:val="both"/>
        <w:ind w:right="80" w:firstLine="233"/>
        <w:spacing w:after="0" w:line="259" w:lineRule="auto"/>
        <w:rPr>
          <w:sz w:val="20"/>
          <w:szCs w:val="20"/>
          <w:color w:val="auto"/>
        </w:rPr>
      </w:pPr>
      <w:r>
        <w:rPr>
          <w:rFonts w:ascii="Arial" w:cs="Arial" w:eastAsia="Arial" w:hAnsi="Arial"/>
          <w:sz w:val="13"/>
          <w:szCs w:val="13"/>
          <w:color w:val="auto"/>
        </w:rPr>
        <w:t>Except where indicated otherwise, the equity-based compensation awards described below are subject to time-based service requirements. For grants issued prior to June 2020, the service vesting condition is generally over four years with 50% vesting on the two year anniversary of the grant date of the award and the remainder vesting monthly thereafter. For awards made after May 2020, the service vesting condition is generally over four years with 25% vesting on the one year anniversary of the grant date of the award and 6.25% vesting quarterly thereafter.</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Restricted Stock Units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Restricted Stock Unit (“RSU”) activity was as follows during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4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14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0"/>
                <w:szCs w:val="10"/>
                <w:b w:val="1"/>
                <w:bCs w:val="1"/>
                <w:color w:val="auto"/>
              </w:rPr>
              <w:t>Six Months Ended June 30, 2021</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Six Months Ended June 30, 2</w:t>
            </w:r>
          </w:p>
        </w:tc>
      </w:tr>
      <w:tr>
        <w:trPr>
          <w:trHeight w:val="118"/>
        </w:trPr>
        <w:tc>
          <w:tcPr>
            <w:tcW w:w="24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3"/>
          </w:tcPr>
          <w:p>
            <w:pPr>
              <w:ind w:left="280"/>
              <w:spacing w:after="0"/>
              <w:rPr>
                <w:sz w:val="20"/>
                <w:szCs w:val="20"/>
                <w:color w:val="auto"/>
              </w:rPr>
            </w:pPr>
            <w:r>
              <w:rPr>
                <w:rFonts w:ascii="Arial" w:cs="Arial" w:eastAsia="Arial" w:hAnsi="Arial"/>
                <w:sz w:val="10"/>
                <w:szCs w:val="10"/>
                <w:b w:val="1"/>
                <w:bCs w:val="1"/>
                <w:color w:val="auto"/>
              </w:rPr>
              <w:t>Weighted Average Grant Date Fair</w:t>
            </w:r>
          </w:p>
        </w:tc>
        <w:tc>
          <w:tcPr>
            <w:tcW w:w="1560" w:type="dxa"/>
            <w:vAlign w:val="bottom"/>
          </w:tcPr>
          <w:p>
            <w:pPr>
              <w:spacing w:after="0"/>
              <w:rPr>
                <w:sz w:val="10"/>
                <w:szCs w:val="10"/>
                <w:color w:val="auto"/>
              </w:rPr>
            </w:pPr>
          </w:p>
        </w:tc>
      </w:tr>
      <w:tr>
        <w:trPr>
          <w:trHeight w:val="143"/>
        </w:trPr>
        <w:tc>
          <w:tcPr>
            <w:tcW w:w="24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72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Restricted Stock Units</w:t>
            </w:r>
          </w:p>
        </w:tc>
        <w:tc>
          <w:tcPr>
            <w:tcW w:w="10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rPr>
              <w:t>Value</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Restricted Stock Units</w:t>
            </w:r>
          </w:p>
        </w:tc>
      </w:tr>
      <w:tr>
        <w:trPr>
          <w:trHeight w:val="173"/>
        </w:trPr>
        <w:tc>
          <w:tcPr>
            <w:tcW w:w="240" w:type="dxa"/>
            <w:vAlign w:val="bottom"/>
          </w:tcPr>
          <w:p>
            <w:pPr>
              <w:spacing w:after="0"/>
              <w:rPr>
                <w:sz w:val="15"/>
                <w:szCs w:val="15"/>
                <w:color w:val="auto"/>
              </w:rPr>
            </w:pPr>
          </w:p>
        </w:tc>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Unvested at beginning of period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985,398</w:t>
            </w:r>
          </w:p>
        </w:tc>
        <w:tc>
          <w:tcPr>
            <w:tcW w:w="142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28.84</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760" w:type="dxa"/>
            <w:vAlign w:val="bottom"/>
          </w:tcPr>
          <w:p>
            <w:pPr>
              <w:ind w:left="320"/>
              <w:spacing w:after="0"/>
              <w:rPr>
                <w:sz w:val="20"/>
                <w:szCs w:val="20"/>
                <w:color w:val="auto"/>
              </w:rPr>
            </w:pPr>
            <w:r>
              <w:rPr>
                <w:rFonts w:ascii="Arial" w:cs="Arial" w:eastAsia="Arial" w:hAnsi="Arial"/>
                <w:sz w:val="13"/>
                <w:szCs w:val="13"/>
                <w:color w:val="auto"/>
              </w:rPr>
              <w:t>Granted</w:t>
            </w:r>
          </w:p>
        </w:tc>
        <w:tc>
          <w:tcPr>
            <w:tcW w:w="1720" w:type="dxa"/>
            <w:vAlign w:val="bottom"/>
          </w:tcPr>
          <w:p>
            <w:pPr>
              <w:jc w:val="right"/>
              <w:spacing w:after="0"/>
              <w:rPr>
                <w:sz w:val="20"/>
                <w:szCs w:val="20"/>
                <w:color w:val="auto"/>
              </w:rPr>
            </w:pPr>
            <w:r>
              <w:rPr>
                <w:rFonts w:ascii="Arial" w:cs="Arial" w:eastAsia="Arial" w:hAnsi="Arial"/>
                <w:sz w:val="13"/>
                <w:szCs w:val="13"/>
                <w:color w:val="auto"/>
              </w:rPr>
              <w:t>758,949</w:t>
            </w:r>
          </w:p>
        </w:tc>
        <w:tc>
          <w:tcPr>
            <w:tcW w:w="1420" w:type="dxa"/>
            <w:vAlign w:val="bottom"/>
            <w:gridSpan w:val="2"/>
          </w:tcPr>
          <w:p>
            <w:pPr>
              <w:jc w:val="right"/>
              <w:ind w:right="968"/>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48.23</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511,5</w:t>
            </w:r>
          </w:p>
        </w:tc>
      </w:tr>
      <w:tr>
        <w:trPr>
          <w:trHeight w:val="20"/>
        </w:trPr>
        <w:tc>
          <w:tcPr>
            <w:tcW w:w="2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(144,168)</w:t>
            </w:r>
          </w:p>
        </w:tc>
        <w:tc>
          <w:tcPr>
            <w:tcW w:w="142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21.60</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760" w:type="dxa"/>
            <w:vAlign w:val="bottom"/>
          </w:tcPr>
          <w:p>
            <w:pPr>
              <w:ind w:left="320"/>
              <w:spacing w:after="0"/>
              <w:rPr>
                <w:sz w:val="20"/>
                <w:szCs w:val="20"/>
                <w:color w:val="auto"/>
              </w:rPr>
            </w:pPr>
            <w:r>
              <w:rPr>
                <w:rFonts w:ascii="Arial" w:cs="Arial" w:eastAsia="Arial" w:hAnsi="Arial"/>
                <w:sz w:val="13"/>
                <w:szCs w:val="13"/>
                <w:color w:val="auto"/>
              </w:rPr>
              <w:t>Forfeited</w:t>
            </w:r>
          </w:p>
        </w:tc>
        <w:tc>
          <w:tcPr>
            <w:tcW w:w="1720" w:type="dxa"/>
            <w:vAlign w:val="bottom"/>
          </w:tcPr>
          <w:p>
            <w:pPr>
              <w:jc w:val="right"/>
              <w:spacing w:after="0"/>
              <w:rPr>
                <w:sz w:val="20"/>
                <w:szCs w:val="20"/>
                <w:color w:val="auto"/>
              </w:rPr>
            </w:pPr>
            <w:r>
              <w:rPr>
                <w:rFonts w:ascii="Arial" w:cs="Arial" w:eastAsia="Arial" w:hAnsi="Arial"/>
                <w:sz w:val="13"/>
                <w:szCs w:val="13"/>
                <w:color w:val="auto"/>
              </w:rPr>
              <w:t>(107,611)</w:t>
            </w:r>
          </w:p>
        </w:tc>
        <w:tc>
          <w:tcPr>
            <w:tcW w:w="1420" w:type="dxa"/>
            <w:vAlign w:val="bottom"/>
            <w:gridSpan w:val="2"/>
          </w:tcPr>
          <w:p>
            <w:pPr>
              <w:jc w:val="right"/>
              <w:ind w:right="968"/>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36.68</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20"/>
        </w:trPr>
        <w:tc>
          <w:tcPr>
            <w:tcW w:w="240" w:type="dxa"/>
            <w:vAlign w:val="bottom"/>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Unvested at end of period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1,492,568</w:t>
            </w:r>
          </w:p>
        </w:tc>
        <w:tc>
          <w:tcPr>
            <w:tcW w:w="142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41.51</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510,4</w:t>
            </w:r>
          </w:p>
        </w:tc>
      </w:tr>
      <w:tr>
        <w:trPr>
          <w:trHeight w:val="386"/>
        </w:trPr>
        <w:tc>
          <w:tcPr>
            <w:tcW w:w="60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Class A Common Stock Options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1"/>
        </w:trPr>
        <w:tc>
          <w:tcPr>
            <w:tcW w:w="240" w:type="dxa"/>
            <w:vAlign w:val="bottom"/>
          </w:tcPr>
          <w:p>
            <w:pPr>
              <w:spacing w:after="0"/>
              <w:rPr>
                <w:sz w:val="23"/>
                <w:szCs w:val="23"/>
                <w:color w:val="auto"/>
              </w:rPr>
            </w:pPr>
          </w:p>
        </w:tc>
        <w:tc>
          <w:tcPr>
            <w:tcW w:w="5760" w:type="dxa"/>
            <w:vAlign w:val="bottom"/>
          </w:tcPr>
          <w:p>
            <w:pPr>
              <w:spacing w:after="0"/>
              <w:rPr>
                <w:sz w:val="20"/>
                <w:szCs w:val="20"/>
                <w:color w:val="auto"/>
              </w:rPr>
            </w:pPr>
            <w:r>
              <w:rPr>
                <w:rFonts w:ascii="Arial" w:cs="Arial" w:eastAsia="Arial" w:hAnsi="Arial"/>
                <w:sz w:val="13"/>
                <w:szCs w:val="13"/>
                <w:color w:val="auto"/>
              </w:rPr>
              <w:t>Outstanding options activity was as follows during the period indicated:</w:t>
            </w: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82"/>
        </w:trPr>
        <w:tc>
          <w:tcPr>
            <w:tcW w:w="2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14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0"/>
                <w:szCs w:val="10"/>
                <w:b w:val="1"/>
                <w:bCs w:val="1"/>
                <w:color w:val="auto"/>
              </w:rPr>
              <w:t>Six Months Ended June 30, 2021</w:t>
            </w: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Six Months Ended June 30, 2</w:t>
            </w:r>
          </w:p>
        </w:tc>
      </w:tr>
      <w:tr>
        <w:trPr>
          <w:trHeight w:val="145"/>
        </w:trPr>
        <w:tc>
          <w:tcPr>
            <w:tcW w:w="24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720" w:type="dxa"/>
            <w:vAlign w:val="bottom"/>
            <w:tcBorders>
              <w:bottom w:val="single" w:sz="8" w:color="auto"/>
            </w:tcBorders>
          </w:tcPr>
          <w:p>
            <w:pPr>
              <w:jc w:val="right"/>
              <w:ind w:right="499"/>
              <w:spacing w:after="0"/>
              <w:rPr>
                <w:sz w:val="20"/>
                <w:szCs w:val="20"/>
                <w:color w:val="auto"/>
              </w:rPr>
            </w:pPr>
            <w:r>
              <w:rPr>
                <w:rFonts w:ascii="Arial" w:cs="Arial" w:eastAsia="Arial" w:hAnsi="Arial"/>
                <w:sz w:val="10"/>
                <w:szCs w:val="10"/>
                <w:b w:val="1"/>
                <w:bCs w:val="1"/>
                <w:color w:val="auto"/>
              </w:rPr>
              <w:t>Options</w:t>
            </w:r>
          </w:p>
        </w:tc>
        <w:tc>
          <w:tcPr>
            <w:tcW w:w="100" w:type="dxa"/>
            <w:vAlign w:val="bottom"/>
            <w:tcBorders>
              <w:bottom w:val="single" w:sz="8" w:color="CCEEFF"/>
            </w:tcBorders>
          </w:tcPr>
          <w:p>
            <w:pPr>
              <w:spacing w:after="0"/>
              <w:rPr>
                <w:sz w:val="12"/>
                <w:szCs w:val="12"/>
                <w:color w:val="auto"/>
              </w:rPr>
            </w:pPr>
          </w:p>
        </w:tc>
        <w:tc>
          <w:tcPr>
            <w:tcW w:w="190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0"/>
                <w:szCs w:val="10"/>
                <w:b w:val="1"/>
                <w:bCs w:val="1"/>
                <w:color w:val="auto"/>
              </w:rPr>
              <w:t>Weighted Average Exercise Price</w:t>
            </w:r>
          </w:p>
        </w:tc>
        <w:tc>
          <w:tcPr>
            <w:tcW w:w="8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Options</w:t>
            </w:r>
          </w:p>
        </w:tc>
      </w:tr>
      <w:tr>
        <w:trPr>
          <w:trHeight w:val="173"/>
        </w:trPr>
        <w:tc>
          <w:tcPr>
            <w:tcW w:w="240" w:type="dxa"/>
            <w:vAlign w:val="bottom"/>
          </w:tcPr>
          <w:p>
            <w:pPr>
              <w:spacing w:after="0"/>
              <w:rPr>
                <w:sz w:val="15"/>
                <w:szCs w:val="15"/>
                <w:color w:val="auto"/>
              </w:rPr>
            </w:pPr>
          </w:p>
        </w:tc>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Unvested at beginning of period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552,440</w:t>
            </w:r>
          </w:p>
        </w:tc>
        <w:tc>
          <w:tcPr>
            <w:tcW w:w="142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21.00</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760" w:type="dxa"/>
            <w:vAlign w:val="bottom"/>
          </w:tcPr>
          <w:p>
            <w:pPr>
              <w:ind w:left="320"/>
              <w:spacing w:after="0"/>
              <w:rPr>
                <w:sz w:val="20"/>
                <w:szCs w:val="20"/>
                <w:color w:val="auto"/>
              </w:rPr>
            </w:pPr>
            <w:r>
              <w:rPr>
                <w:rFonts w:ascii="Arial" w:cs="Arial" w:eastAsia="Arial" w:hAnsi="Arial"/>
                <w:sz w:val="13"/>
                <w:szCs w:val="13"/>
                <w:color w:val="auto"/>
              </w:rPr>
              <w:t>Effect of Reorganization Transactions and IPO</w:t>
            </w:r>
          </w:p>
        </w:tc>
        <w:tc>
          <w:tcPr>
            <w:tcW w:w="17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968"/>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576,7</w:t>
            </w:r>
          </w:p>
        </w:tc>
      </w:tr>
      <w:tr>
        <w:trPr>
          <w:trHeight w:val="20"/>
        </w:trPr>
        <w:tc>
          <w:tcPr>
            <w:tcW w:w="2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(120,618)</w:t>
            </w:r>
          </w:p>
        </w:tc>
        <w:tc>
          <w:tcPr>
            <w:tcW w:w="142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21.00</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760" w:type="dxa"/>
            <w:vAlign w:val="bottom"/>
          </w:tcPr>
          <w:p>
            <w:pPr>
              <w:ind w:left="320"/>
              <w:spacing w:after="0"/>
              <w:rPr>
                <w:sz w:val="20"/>
                <w:szCs w:val="20"/>
                <w:color w:val="auto"/>
              </w:rPr>
            </w:pPr>
            <w:r>
              <w:rPr>
                <w:rFonts w:ascii="Arial" w:cs="Arial" w:eastAsia="Arial" w:hAnsi="Arial"/>
                <w:sz w:val="13"/>
                <w:szCs w:val="13"/>
                <w:color w:val="auto"/>
              </w:rPr>
              <w:t>Forfeited</w:t>
            </w:r>
          </w:p>
        </w:tc>
        <w:tc>
          <w:tcPr>
            <w:tcW w:w="1720" w:type="dxa"/>
            <w:vAlign w:val="bottom"/>
          </w:tcPr>
          <w:p>
            <w:pPr>
              <w:jc w:val="right"/>
              <w:spacing w:after="0"/>
              <w:rPr>
                <w:sz w:val="20"/>
                <w:szCs w:val="20"/>
                <w:color w:val="auto"/>
              </w:rPr>
            </w:pPr>
            <w:r>
              <w:rPr>
                <w:rFonts w:ascii="Arial" w:cs="Arial" w:eastAsia="Arial" w:hAnsi="Arial"/>
                <w:sz w:val="13"/>
                <w:szCs w:val="13"/>
                <w:color w:val="auto"/>
              </w:rPr>
              <w:t>(18,283)</w:t>
            </w:r>
          </w:p>
        </w:tc>
        <w:tc>
          <w:tcPr>
            <w:tcW w:w="1420" w:type="dxa"/>
            <w:vAlign w:val="bottom"/>
            <w:gridSpan w:val="2"/>
          </w:tcPr>
          <w:p>
            <w:pPr>
              <w:jc w:val="right"/>
              <w:ind w:right="968"/>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21.00</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20"/>
        </w:trPr>
        <w:tc>
          <w:tcPr>
            <w:tcW w:w="240" w:type="dxa"/>
            <w:vAlign w:val="bottom"/>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gridSpan w:val="2"/>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2"/>
        </w:trPr>
        <w:tc>
          <w:tcPr>
            <w:tcW w:w="240" w:type="dxa"/>
            <w:vAlign w:val="bottom"/>
          </w:tcPr>
          <w:p>
            <w:pPr>
              <w:spacing w:after="0"/>
              <w:rPr>
                <w:sz w:val="17"/>
                <w:szCs w:val="17"/>
                <w:color w:val="auto"/>
              </w:rPr>
            </w:pPr>
          </w:p>
        </w:tc>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Unvested at end of period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413,539</w:t>
            </w:r>
          </w:p>
        </w:tc>
        <w:tc>
          <w:tcPr>
            <w:tcW w:w="142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21.00</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569,5</w:t>
            </w:r>
          </w:p>
        </w:tc>
      </w:tr>
    </w:tbl>
    <w:p>
      <w:pPr>
        <w:spacing w:after="0" w:line="224" w:lineRule="exact"/>
        <w:rPr>
          <w:sz w:val="20"/>
          <w:szCs w:val="20"/>
          <w:color w:val="auto"/>
        </w:rPr>
      </w:pPr>
    </w:p>
    <w:p>
      <w:pPr>
        <w:ind w:right="60" w:firstLine="233"/>
        <w:spacing w:after="0" w:line="270" w:lineRule="auto"/>
        <w:rPr>
          <w:sz w:val="20"/>
          <w:szCs w:val="20"/>
          <w:color w:val="auto"/>
        </w:rPr>
      </w:pPr>
      <w:r>
        <w:rPr>
          <w:rFonts w:ascii="Arial" w:cs="Arial" w:eastAsia="Arial" w:hAnsi="Arial"/>
          <w:sz w:val="13"/>
          <w:szCs w:val="13"/>
          <w:color w:val="auto"/>
        </w:rPr>
        <w:t>Options have a maximum contractual term of ten years. The aggregate intrinsic value and weighted average remaining contractual terms of Options outstanding and Options exercisable were as follows as of June 30, 2021.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6" w:right="239" w:bottom="1440" w:gutter="0" w:footer="0" w:header="0"/>
        </w:sectPr>
      </w:pPr>
    </w:p>
    <w:bookmarkStart w:id="45" w:name="page46"/>
    <w:bookmarkEnd w:id="4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15 - Equity-based Compensation (continued)</w:t>
      </w:r>
    </w:p>
    <w:p>
      <w:pPr>
        <w:spacing w:after="0" w:line="200" w:lineRule="exact"/>
        <w:rPr>
          <w:sz w:val="20"/>
          <w:szCs w:val="20"/>
          <w:color w:val="auto"/>
        </w:rPr>
      </w:pPr>
    </w:p>
    <w:p>
      <w:pPr>
        <w:spacing w:after="0" w:line="247" w:lineRule="exact"/>
        <w:rPr>
          <w:sz w:val="20"/>
          <w:szCs w:val="20"/>
          <w:color w:val="auto"/>
        </w:rPr>
      </w:pPr>
    </w:p>
    <w:tbl>
      <w:tblPr>
        <w:tblLayout w:type="fixed"/>
        <w:tblInd w:w="240" w:type="dxa"/>
        <w:tblCellMar>
          <w:top w:w="0" w:type="dxa"/>
          <w:left w:w="0" w:type="dxa"/>
          <w:bottom w:w="0" w:type="dxa"/>
          <w:right w:w="0" w:type="dxa"/>
        </w:tblCellMar>
      </w:tblPr>
      <w:tr>
        <w:trPr>
          <w:trHeight w:val="143"/>
        </w:trPr>
        <w:tc>
          <w:tcPr>
            <w:tcW w:w="93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June 30, 2021</w:t>
            </w:r>
          </w:p>
        </w:tc>
      </w:tr>
      <w:tr>
        <w:trPr>
          <w:trHeight w:val="163"/>
        </w:trPr>
        <w:tc>
          <w:tcPr>
            <w:tcW w:w="9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Aggregate intrinsic value (in millions)</w:t>
            </w:r>
          </w:p>
        </w:tc>
        <w:tc>
          <w:tcPr>
            <w:tcW w:w="5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r>
      <w:tr>
        <w:trPr>
          <w:trHeight w:val="174"/>
        </w:trPr>
        <w:tc>
          <w:tcPr>
            <w:tcW w:w="9360" w:type="dxa"/>
            <w:vAlign w:val="bottom"/>
          </w:tcPr>
          <w:p>
            <w:pPr>
              <w:ind w:left="320"/>
              <w:spacing w:after="0"/>
              <w:rPr>
                <w:sz w:val="20"/>
                <w:szCs w:val="20"/>
                <w:color w:val="auto"/>
              </w:rPr>
            </w:pPr>
            <w:r>
              <w:rPr>
                <w:rFonts w:ascii="Arial" w:cs="Arial" w:eastAsia="Arial" w:hAnsi="Arial"/>
                <w:sz w:val="13"/>
                <w:szCs w:val="13"/>
                <w:color w:val="auto"/>
              </w:rPr>
              <w:t>Unit Options outstanding</w:t>
            </w:r>
          </w:p>
        </w:tc>
        <w:tc>
          <w:tcPr>
            <w:tcW w:w="54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20"/>
        </w:trPr>
        <w:tc>
          <w:tcPr>
            <w:tcW w:w="9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4"/>
        </w:trPr>
        <w:tc>
          <w:tcPr>
            <w:tcW w:w="9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Unit Options exercisable</w:t>
            </w:r>
          </w:p>
        </w:tc>
        <w:tc>
          <w:tcPr>
            <w:tcW w:w="5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74"/>
        </w:trPr>
        <w:tc>
          <w:tcPr>
            <w:tcW w:w="9360" w:type="dxa"/>
            <w:vAlign w:val="bottom"/>
          </w:tcPr>
          <w:p>
            <w:pPr>
              <w:ind w:left="240"/>
              <w:spacing w:after="0"/>
              <w:rPr>
                <w:sz w:val="20"/>
                <w:szCs w:val="20"/>
                <w:color w:val="auto"/>
              </w:rPr>
            </w:pPr>
            <w:r>
              <w:rPr>
                <w:rFonts w:ascii="Arial" w:cs="Arial" w:eastAsia="Arial" w:hAnsi="Arial"/>
                <w:sz w:val="13"/>
                <w:szCs w:val="13"/>
                <w:color w:val="auto"/>
              </w:rPr>
              <w:t>Weighted average remaining contractual life (in years)</w:t>
            </w: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
        </w:trPr>
        <w:tc>
          <w:tcPr>
            <w:tcW w:w="9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4"/>
        </w:trPr>
        <w:tc>
          <w:tcPr>
            <w:tcW w:w="9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Unit Options outstanding</w:t>
            </w:r>
          </w:p>
        </w:tc>
        <w:tc>
          <w:tcPr>
            <w:tcW w:w="5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 ye</w:t>
            </w:r>
          </w:p>
        </w:tc>
      </w:tr>
      <w:tr>
        <w:trPr>
          <w:trHeight w:val="174"/>
        </w:trPr>
        <w:tc>
          <w:tcPr>
            <w:tcW w:w="9360" w:type="dxa"/>
            <w:vAlign w:val="bottom"/>
          </w:tcPr>
          <w:p>
            <w:pPr>
              <w:ind w:left="320"/>
              <w:spacing w:after="0"/>
              <w:rPr>
                <w:sz w:val="20"/>
                <w:szCs w:val="20"/>
                <w:color w:val="auto"/>
              </w:rPr>
            </w:pPr>
            <w:r>
              <w:rPr>
                <w:rFonts w:ascii="Arial" w:cs="Arial" w:eastAsia="Arial" w:hAnsi="Arial"/>
                <w:sz w:val="13"/>
                <w:szCs w:val="13"/>
                <w:color w:val="auto"/>
              </w:rPr>
              <w:t>Unit Options exercisable</w:t>
            </w: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8.9 ye</w:t>
            </w:r>
          </w:p>
        </w:tc>
      </w:tr>
    </w:tbl>
    <w:p>
      <w:pPr>
        <w:spacing w:after="0" w:line="244" w:lineRule="exact"/>
        <w:rPr>
          <w:sz w:val="20"/>
          <w:szCs w:val="20"/>
          <w:color w:val="auto"/>
        </w:rPr>
      </w:pPr>
    </w:p>
    <w:p>
      <w:pPr>
        <w:jc w:val="both"/>
        <w:ind w:right="80" w:firstLine="233"/>
        <w:spacing w:after="0" w:line="329" w:lineRule="auto"/>
        <w:rPr>
          <w:sz w:val="20"/>
          <w:szCs w:val="20"/>
          <w:color w:val="auto"/>
        </w:rPr>
      </w:pPr>
      <w:r>
        <w:rPr>
          <w:rFonts w:ascii="Arial" w:cs="Arial" w:eastAsia="Arial" w:hAnsi="Arial"/>
          <w:sz w:val="11"/>
          <w:szCs w:val="11"/>
          <w:color w:val="auto"/>
        </w:rPr>
        <w:t>All Options outstanding were issued at the time of the IPO in 2020. No additional options have been issued to date. The fair value of Class A stock options granted at the time of the IPO was determined using the Black-Scholes option pricing model. 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HoldCo Units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Unvested HoldCo Unit activity was as follows during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4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6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0"/>
                <w:szCs w:val="10"/>
                <w:b w:val="1"/>
                <w:bCs w:val="1"/>
                <w:color w:val="auto"/>
              </w:rPr>
              <w:t>Six Months Ended June 30, 2021</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Six Months Ended June 30, 2</w:t>
            </w:r>
          </w:p>
        </w:tc>
      </w:tr>
      <w:tr>
        <w:trPr>
          <w:trHeight w:val="118"/>
        </w:trPr>
        <w:tc>
          <w:tcPr>
            <w:tcW w:w="24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rPr>
              <w:t>Weighted Average Grant Date Fair</w:t>
            </w:r>
          </w:p>
        </w:tc>
        <w:tc>
          <w:tcPr>
            <w:tcW w:w="1560" w:type="dxa"/>
            <w:vAlign w:val="bottom"/>
          </w:tcPr>
          <w:p>
            <w:pPr>
              <w:spacing w:after="0"/>
              <w:rPr>
                <w:sz w:val="10"/>
                <w:szCs w:val="10"/>
                <w:color w:val="auto"/>
              </w:rPr>
            </w:pPr>
          </w:p>
        </w:tc>
      </w:tr>
      <w:tr>
        <w:trPr>
          <w:trHeight w:val="143"/>
        </w:trPr>
        <w:tc>
          <w:tcPr>
            <w:tcW w:w="240" w:type="dxa"/>
            <w:vAlign w:val="bottom"/>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7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rPr>
              <w:t>HoldCo Units</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b w:val="1"/>
                <w:bCs w:val="1"/>
                <w:color w:val="auto"/>
              </w:rPr>
              <w:t>Value</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right"/>
              <w:ind w:right="220"/>
              <w:spacing w:after="0"/>
              <w:rPr>
                <w:sz w:val="20"/>
                <w:szCs w:val="20"/>
                <w:color w:val="auto"/>
              </w:rPr>
            </w:pPr>
            <w:r>
              <w:rPr>
                <w:rFonts w:ascii="Arial" w:cs="Arial" w:eastAsia="Arial" w:hAnsi="Arial"/>
                <w:sz w:val="10"/>
                <w:szCs w:val="10"/>
                <w:b w:val="1"/>
                <w:bCs w:val="1"/>
                <w:color w:val="auto"/>
              </w:rPr>
              <w:t>HoldCo Units</w:t>
            </w:r>
          </w:p>
        </w:tc>
      </w:tr>
      <w:tr>
        <w:trPr>
          <w:trHeight w:val="173"/>
        </w:trPr>
        <w:tc>
          <w:tcPr>
            <w:tcW w:w="240" w:type="dxa"/>
            <w:vAlign w:val="bottom"/>
          </w:tcPr>
          <w:p>
            <w:pPr>
              <w:spacing w:after="0"/>
              <w:rPr>
                <w:sz w:val="15"/>
                <w:szCs w:val="15"/>
                <w:color w:val="auto"/>
              </w:rPr>
            </w:pPr>
          </w:p>
        </w:tc>
        <w:tc>
          <w:tcPr>
            <w:tcW w:w="5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Unvested at beginning of period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1,214,105</w:t>
            </w:r>
          </w:p>
        </w:tc>
        <w:tc>
          <w:tcPr>
            <w:tcW w:w="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gridSpan w:val="3"/>
            <w:shd w:val="clear" w:color="auto" w:fill="CCEEFF"/>
          </w:tcPr>
          <w:p>
            <w:pPr>
              <w:jc w:val="right"/>
              <w:ind w:right="988"/>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9.13</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5760" w:type="dxa"/>
            <w:vAlign w:val="bottom"/>
            <w:gridSpan w:val="2"/>
          </w:tcPr>
          <w:p>
            <w:pPr>
              <w:ind w:left="320"/>
              <w:spacing w:after="0"/>
              <w:rPr>
                <w:sz w:val="20"/>
                <w:szCs w:val="20"/>
                <w:color w:val="auto"/>
              </w:rPr>
            </w:pPr>
            <w:r>
              <w:rPr>
                <w:rFonts w:ascii="Arial" w:cs="Arial" w:eastAsia="Arial" w:hAnsi="Arial"/>
                <w:sz w:val="13"/>
                <w:szCs w:val="13"/>
                <w:color w:val="auto"/>
              </w:rPr>
              <w:t>Effect of Reorganization Transactions and IPO</w:t>
            </w:r>
          </w:p>
        </w:tc>
        <w:tc>
          <w:tcPr>
            <w:tcW w:w="1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60" w:type="dxa"/>
            <w:vAlign w:val="bottom"/>
            <w:gridSpan w:val="3"/>
          </w:tcPr>
          <w:p>
            <w:pPr>
              <w:jc w:val="right"/>
              <w:ind w:right="988"/>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1,332,2</w:t>
            </w:r>
          </w:p>
        </w:tc>
      </w:tr>
      <w:tr>
        <w:trPr>
          <w:trHeight w:val="20"/>
        </w:trPr>
        <w:tc>
          <w:tcPr>
            <w:tcW w:w="2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7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3"/>
                <w:szCs w:val="13"/>
                <w:color w:val="auto"/>
              </w:rPr>
              <w:t>Vested</w:t>
            </w:r>
          </w:p>
        </w:tc>
        <w:tc>
          <w:tcPr>
            <w:tcW w:w="1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(278,166)</w:t>
            </w:r>
          </w:p>
        </w:tc>
        <w:tc>
          <w:tcPr>
            <w:tcW w:w="1460" w:type="dxa"/>
            <w:vAlign w:val="bottom"/>
            <w:tcBorders>
              <w:bottom w:val="single" w:sz="8" w:color="CCEEFF"/>
            </w:tcBorders>
            <w:gridSpan w:val="3"/>
            <w:shd w:val="clear" w:color="auto" w:fill="CCEEFF"/>
          </w:tcPr>
          <w:p>
            <w:pPr>
              <w:jc w:val="right"/>
              <w:ind w:right="988"/>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8.53</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(35,7</w:t>
            </w:r>
          </w:p>
        </w:tc>
      </w:tr>
      <w:tr>
        <w:trPr>
          <w:trHeight w:val="174"/>
        </w:trPr>
        <w:tc>
          <w:tcPr>
            <w:tcW w:w="240" w:type="dxa"/>
            <w:vAlign w:val="bottom"/>
          </w:tcPr>
          <w:p>
            <w:pPr>
              <w:spacing w:after="0"/>
              <w:rPr>
                <w:sz w:val="15"/>
                <w:szCs w:val="15"/>
                <w:color w:val="auto"/>
              </w:rPr>
            </w:pPr>
          </w:p>
        </w:tc>
        <w:tc>
          <w:tcPr>
            <w:tcW w:w="5760" w:type="dxa"/>
            <w:vAlign w:val="bottom"/>
            <w:gridSpan w:val="2"/>
          </w:tcPr>
          <w:p>
            <w:pPr>
              <w:ind w:left="320"/>
              <w:spacing w:after="0"/>
              <w:rPr>
                <w:sz w:val="20"/>
                <w:szCs w:val="20"/>
                <w:color w:val="auto"/>
              </w:rPr>
            </w:pPr>
            <w:r>
              <w:rPr>
                <w:rFonts w:ascii="Arial" w:cs="Arial" w:eastAsia="Arial" w:hAnsi="Arial"/>
                <w:sz w:val="13"/>
                <w:szCs w:val="13"/>
                <w:color w:val="auto"/>
              </w:rPr>
              <w:t>Forfeited</w:t>
            </w:r>
          </w:p>
        </w:tc>
        <w:tc>
          <w:tcPr>
            <w:tcW w:w="1700" w:type="dxa"/>
            <w:vAlign w:val="bottom"/>
            <w:gridSpan w:val="2"/>
          </w:tcPr>
          <w:p>
            <w:pPr>
              <w:jc w:val="right"/>
              <w:ind w:right="20"/>
              <w:spacing w:after="0"/>
              <w:rPr>
                <w:sz w:val="20"/>
                <w:szCs w:val="20"/>
                <w:color w:val="auto"/>
              </w:rPr>
            </w:pPr>
            <w:r>
              <w:rPr>
                <w:rFonts w:ascii="Arial" w:cs="Arial" w:eastAsia="Arial" w:hAnsi="Arial"/>
                <w:sz w:val="13"/>
                <w:szCs w:val="13"/>
                <w:color w:val="auto"/>
              </w:rPr>
              <w:t>(40,276)</w:t>
            </w:r>
          </w:p>
        </w:tc>
        <w:tc>
          <w:tcPr>
            <w:tcW w:w="1460" w:type="dxa"/>
            <w:vAlign w:val="bottom"/>
            <w:gridSpan w:val="3"/>
          </w:tcPr>
          <w:p>
            <w:pPr>
              <w:jc w:val="right"/>
              <w:ind w:right="988"/>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8.98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20"/>
        </w:trPr>
        <w:tc>
          <w:tcPr>
            <w:tcW w:w="240" w:type="dxa"/>
            <w:vAlign w:val="bottom"/>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5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Unvested at end of period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895,663</w:t>
            </w:r>
          </w:p>
        </w:tc>
        <w:tc>
          <w:tcPr>
            <w:tcW w:w="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CCEEFF"/>
            </w:tcBorders>
            <w:gridSpan w:val="3"/>
            <w:shd w:val="clear" w:color="auto" w:fill="CCEEFF"/>
          </w:tcPr>
          <w:p>
            <w:pPr>
              <w:jc w:val="right"/>
              <w:ind w:right="988"/>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1,290,2</w:t>
            </w:r>
          </w:p>
        </w:tc>
      </w:tr>
      <w:tr>
        <w:trPr>
          <w:trHeight w:val="347"/>
        </w:trPr>
        <w:tc>
          <w:tcPr>
            <w:tcW w:w="600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OpCo Units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1"/>
        </w:trPr>
        <w:tc>
          <w:tcPr>
            <w:tcW w:w="240" w:type="dxa"/>
            <w:vAlign w:val="bottom"/>
          </w:tcPr>
          <w:p>
            <w:pPr>
              <w:spacing w:after="0"/>
              <w:rPr>
                <w:sz w:val="23"/>
                <w:szCs w:val="23"/>
                <w:color w:val="auto"/>
              </w:rPr>
            </w:pPr>
          </w:p>
        </w:tc>
        <w:tc>
          <w:tcPr>
            <w:tcW w:w="5760" w:type="dxa"/>
            <w:vAlign w:val="bottom"/>
            <w:gridSpan w:val="2"/>
          </w:tcPr>
          <w:p>
            <w:pPr>
              <w:spacing w:after="0"/>
              <w:rPr>
                <w:sz w:val="20"/>
                <w:szCs w:val="20"/>
                <w:color w:val="auto"/>
              </w:rPr>
            </w:pPr>
            <w:r>
              <w:rPr>
                <w:rFonts w:ascii="Arial" w:cs="Arial" w:eastAsia="Arial" w:hAnsi="Arial"/>
                <w:sz w:val="13"/>
                <w:szCs w:val="13"/>
                <w:color w:val="auto"/>
              </w:rPr>
              <w:t>OpCo Unit activity was as follows during the periods indicated:</w:t>
            </w:r>
          </w:p>
        </w:tc>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82"/>
        </w:trPr>
        <w:tc>
          <w:tcPr>
            <w:tcW w:w="2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right"/>
              <w:ind w:right="428"/>
              <w:spacing w:after="0"/>
              <w:rPr>
                <w:sz w:val="20"/>
                <w:szCs w:val="20"/>
                <w:color w:val="auto"/>
              </w:rPr>
            </w:pPr>
            <w:r>
              <w:rPr>
                <w:rFonts w:ascii="Arial" w:cs="Arial" w:eastAsia="Arial" w:hAnsi="Arial"/>
                <w:sz w:val="10"/>
                <w:szCs w:val="10"/>
                <w:b w:val="1"/>
                <w:bCs w:val="1"/>
                <w:color w:val="auto"/>
              </w:rPr>
              <w:t>Six Months Ended June 30, 2021</w:t>
            </w: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Six Months Ended June 30, 2</w:t>
            </w:r>
          </w:p>
        </w:tc>
      </w:tr>
      <w:tr>
        <w:trPr>
          <w:trHeight w:val="118"/>
        </w:trPr>
        <w:tc>
          <w:tcPr>
            <w:tcW w:w="24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gridSpan w:val="4"/>
          </w:tcPr>
          <w:p>
            <w:pPr>
              <w:ind w:left="260"/>
              <w:spacing w:after="0"/>
              <w:rPr>
                <w:sz w:val="20"/>
                <w:szCs w:val="20"/>
                <w:color w:val="auto"/>
              </w:rPr>
            </w:pPr>
            <w:r>
              <w:rPr>
                <w:rFonts w:ascii="Arial" w:cs="Arial" w:eastAsia="Arial" w:hAnsi="Arial"/>
                <w:sz w:val="10"/>
                <w:szCs w:val="10"/>
                <w:b w:val="1"/>
                <w:bCs w:val="1"/>
                <w:color w:val="auto"/>
              </w:rPr>
              <w:t>Weighted Average Grant Date Fair</w:t>
            </w:r>
          </w:p>
        </w:tc>
        <w:tc>
          <w:tcPr>
            <w:tcW w:w="1560" w:type="dxa"/>
            <w:vAlign w:val="bottom"/>
          </w:tcPr>
          <w:p>
            <w:pPr>
              <w:spacing w:after="0"/>
              <w:rPr>
                <w:sz w:val="10"/>
                <w:szCs w:val="10"/>
                <w:color w:val="auto"/>
              </w:rPr>
            </w:pPr>
          </w:p>
        </w:tc>
      </w:tr>
      <w:tr>
        <w:trPr>
          <w:trHeight w:val="143"/>
        </w:trPr>
        <w:tc>
          <w:tcPr>
            <w:tcW w:w="240" w:type="dxa"/>
            <w:vAlign w:val="bottom"/>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399"/>
              <w:spacing w:after="0"/>
              <w:rPr>
                <w:sz w:val="20"/>
                <w:szCs w:val="20"/>
                <w:color w:val="auto"/>
              </w:rPr>
            </w:pPr>
            <w:r>
              <w:rPr>
                <w:rFonts w:ascii="Arial" w:cs="Arial" w:eastAsia="Arial" w:hAnsi="Arial"/>
                <w:sz w:val="10"/>
                <w:szCs w:val="10"/>
                <w:b w:val="1"/>
                <w:bCs w:val="1"/>
                <w:color w:val="auto"/>
              </w:rPr>
              <w:t>OpCo Units</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b w:val="1"/>
                <w:bCs w:val="1"/>
                <w:color w:val="auto"/>
              </w:rPr>
              <w:t>Value</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right"/>
              <w:ind w:right="260"/>
              <w:spacing w:after="0"/>
              <w:rPr>
                <w:sz w:val="20"/>
                <w:szCs w:val="20"/>
                <w:color w:val="auto"/>
              </w:rPr>
            </w:pPr>
            <w:r>
              <w:rPr>
                <w:rFonts w:ascii="Arial" w:cs="Arial" w:eastAsia="Arial" w:hAnsi="Arial"/>
                <w:sz w:val="10"/>
                <w:szCs w:val="10"/>
                <w:b w:val="1"/>
                <w:bCs w:val="1"/>
                <w:color w:val="auto"/>
              </w:rPr>
              <w:t>OpCo Units</w:t>
            </w:r>
          </w:p>
        </w:tc>
      </w:tr>
      <w:tr>
        <w:trPr>
          <w:trHeight w:val="173"/>
        </w:trPr>
        <w:tc>
          <w:tcPr>
            <w:tcW w:w="240" w:type="dxa"/>
            <w:vAlign w:val="bottom"/>
          </w:tcPr>
          <w:p>
            <w:pPr>
              <w:spacing w:after="0"/>
              <w:rPr>
                <w:sz w:val="15"/>
                <w:szCs w:val="15"/>
                <w:color w:val="auto"/>
              </w:rPr>
            </w:pPr>
          </w:p>
        </w:tc>
        <w:tc>
          <w:tcPr>
            <w:tcW w:w="5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Unvested at beginning of period</w:t>
            </w:r>
          </w:p>
        </w:tc>
        <w:tc>
          <w:tcPr>
            <w:tcW w:w="1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CCEEFF"/>
            </w:tcBorders>
            <w:gridSpan w:val="3"/>
            <w:shd w:val="clear" w:color="auto" w:fill="CCEEFF"/>
          </w:tcPr>
          <w:p>
            <w:pPr>
              <w:jc w:val="right"/>
              <w:ind w:right="1008"/>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228,8</w:t>
            </w:r>
          </w:p>
        </w:tc>
      </w:tr>
      <w:tr>
        <w:trPr>
          <w:trHeight w:val="174"/>
        </w:trPr>
        <w:tc>
          <w:tcPr>
            <w:tcW w:w="240" w:type="dxa"/>
            <w:vAlign w:val="bottom"/>
          </w:tcPr>
          <w:p>
            <w:pPr>
              <w:spacing w:after="0"/>
              <w:rPr>
                <w:sz w:val="15"/>
                <w:szCs w:val="15"/>
                <w:color w:val="auto"/>
              </w:rPr>
            </w:pPr>
          </w:p>
        </w:tc>
        <w:tc>
          <w:tcPr>
            <w:tcW w:w="5760" w:type="dxa"/>
            <w:vAlign w:val="bottom"/>
            <w:gridSpan w:val="2"/>
          </w:tcPr>
          <w:p>
            <w:pPr>
              <w:ind w:left="320"/>
              <w:spacing w:after="0"/>
              <w:rPr>
                <w:sz w:val="20"/>
                <w:szCs w:val="20"/>
                <w:color w:val="auto"/>
              </w:rPr>
            </w:pPr>
            <w:r>
              <w:rPr>
                <w:rFonts w:ascii="Arial" w:cs="Arial" w:eastAsia="Arial" w:hAnsi="Arial"/>
                <w:sz w:val="13"/>
                <w:szCs w:val="13"/>
                <w:color w:val="auto"/>
              </w:rPr>
              <w:t>Effect of Reorganization Transactions and IPO</w:t>
            </w:r>
          </w:p>
        </w:tc>
        <w:tc>
          <w:tcPr>
            <w:tcW w:w="1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60" w:type="dxa"/>
            <w:vAlign w:val="bottom"/>
            <w:gridSpan w:val="3"/>
          </w:tcPr>
          <w:p>
            <w:pPr>
              <w:jc w:val="right"/>
              <w:ind w:right="1008"/>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20"/>
        </w:trPr>
        <w:tc>
          <w:tcPr>
            <w:tcW w:w="2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4"/>
        </w:trPr>
        <w:tc>
          <w:tcPr>
            <w:tcW w:w="240" w:type="dxa"/>
            <w:vAlign w:val="bottom"/>
          </w:tcPr>
          <w:p>
            <w:pPr>
              <w:spacing w:after="0"/>
              <w:rPr>
                <w:sz w:val="15"/>
                <w:szCs w:val="15"/>
                <w:color w:val="auto"/>
              </w:rPr>
            </w:pPr>
          </w:p>
        </w:tc>
        <w:tc>
          <w:tcPr>
            <w:tcW w:w="57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3"/>
                <w:szCs w:val="13"/>
                <w:color w:val="auto"/>
              </w:rPr>
              <w:t>Vested</w:t>
            </w:r>
          </w:p>
        </w:tc>
        <w:tc>
          <w:tcPr>
            <w:tcW w:w="1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CCEEFF"/>
            </w:tcBorders>
            <w:gridSpan w:val="3"/>
            <w:shd w:val="clear" w:color="auto" w:fill="CCEEFF"/>
          </w:tcPr>
          <w:p>
            <w:pPr>
              <w:jc w:val="right"/>
              <w:ind w:right="1008"/>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(162,2</w:t>
            </w:r>
          </w:p>
        </w:tc>
      </w:tr>
      <w:tr>
        <w:trPr>
          <w:trHeight w:val="174"/>
        </w:trPr>
        <w:tc>
          <w:tcPr>
            <w:tcW w:w="240" w:type="dxa"/>
            <w:vAlign w:val="bottom"/>
          </w:tcPr>
          <w:p>
            <w:pPr>
              <w:spacing w:after="0"/>
              <w:rPr>
                <w:sz w:val="15"/>
                <w:szCs w:val="15"/>
                <w:color w:val="auto"/>
              </w:rPr>
            </w:pPr>
          </w:p>
        </w:tc>
        <w:tc>
          <w:tcPr>
            <w:tcW w:w="5760" w:type="dxa"/>
            <w:vAlign w:val="bottom"/>
            <w:gridSpan w:val="2"/>
          </w:tcPr>
          <w:p>
            <w:pPr>
              <w:ind w:left="320"/>
              <w:spacing w:after="0"/>
              <w:rPr>
                <w:sz w:val="20"/>
                <w:szCs w:val="20"/>
                <w:color w:val="auto"/>
              </w:rPr>
            </w:pPr>
            <w:r>
              <w:rPr>
                <w:rFonts w:ascii="Arial" w:cs="Arial" w:eastAsia="Arial" w:hAnsi="Arial"/>
                <w:sz w:val="13"/>
                <w:szCs w:val="13"/>
                <w:color w:val="auto"/>
              </w:rPr>
              <w:t>Forfeited</w:t>
            </w:r>
          </w:p>
        </w:tc>
        <w:tc>
          <w:tcPr>
            <w:tcW w:w="1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60" w:type="dxa"/>
            <w:vAlign w:val="bottom"/>
            <w:gridSpan w:val="3"/>
          </w:tcPr>
          <w:p>
            <w:pPr>
              <w:jc w:val="right"/>
              <w:ind w:right="1008"/>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(59,6</w:t>
            </w:r>
          </w:p>
        </w:tc>
      </w:tr>
      <w:tr>
        <w:trPr>
          <w:trHeight w:val="20"/>
        </w:trPr>
        <w:tc>
          <w:tcPr>
            <w:tcW w:w="240" w:type="dxa"/>
            <w:vAlign w:val="bottom"/>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gridSpan w:val="2"/>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2"/>
        </w:trPr>
        <w:tc>
          <w:tcPr>
            <w:tcW w:w="240" w:type="dxa"/>
            <w:vAlign w:val="bottom"/>
          </w:tcPr>
          <w:p>
            <w:pPr>
              <w:spacing w:after="0"/>
              <w:rPr>
                <w:sz w:val="17"/>
                <w:szCs w:val="17"/>
                <w:color w:val="auto"/>
              </w:rPr>
            </w:pPr>
          </w:p>
        </w:tc>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Unvested at end of period</w:t>
            </w:r>
          </w:p>
        </w:tc>
        <w:tc>
          <w:tcPr>
            <w:tcW w:w="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3"/>
            <w:shd w:val="clear" w:color="auto" w:fill="CCEEFF"/>
          </w:tcPr>
          <w:p>
            <w:pPr>
              <w:jc w:val="right"/>
              <w:ind w:right="1008"/>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auto"/>
            </w:tcBorders>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6" w:right="239" w:bottom="1440" w:gutter="0" w:footer="0" w:header="0"/>
        </w:sectPr>
      </w:pPr>
    </w:p>
    <w:bookmarkStart w:id="46" w:name="page47"/>
    <w:bookmarkEnd w:id="4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15 - Equity-based Compensation (continued)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Class P Units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Class P Units were issued under both the prior and current LLC agreement of ZoomInfo OpCo. Class P Unit activity was as follows during the periods indicated:</w:t>
      </w:r>
    </w:p>
    <w:p>
      <w:pPr>
        <w:spacing w:after="0" w:line="153" w:lineRule="exact"/>
        <w:rPr>
          <w:sz w:val="20"/>
          <w:szCs w:val="20"/>
          <w:color w:val="auto"/>
        </w:rPr>
      </w:pPr>
    </w:p>
    <w:tbl>
      <w:tblPr>
        <w:tblLayout w:type="fixed"/>
        <w:tblInd w:w="240" w:type="dxa"/>
        <w:tblCellMar>
          <w:top w:w="0" w:type="dxa"/>
          <w:left w:w="0" w:type="dxa"/>
          <w:bottom w:w="0" w:type="dxa"/>
          <w:right w:w="0" w:type="dxa"/>
        </w:tblCellMar>
      </w:tblPr>
      <w:tr>
        <w:trPr>
          <w:trHeight w:val="143"/>
        </w:trPr>
        <w:tc>
          <w:tcPr>
            <w:tcW w:w="5720" w:type="dxa"/>
            <w:vAlign w:val="bottom"/>
          </w:tcPr>
          <w:p>
            <w:pPr>
              <w:spacing w:after="0"/>
              <w:rPr>
                <w:sz w:val="12"/>
                <w:szCs w:val="12"/>
                <w:color w:val="auto"/>
              </w:rPr>
            </w:pPr>
          </w:p>
        </w:tc>
        <w:tc>
          <w:tcPr>
            <w:tcW w:w="374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0"/>
                <w:szCs w:val="10"/>
                <w:b w:val="1"/>
                <w:bCs w:val="1"/>
                <w:color w:val="auto"/>
              </w:rPr>
              <w:t>Six Months Ended June 30, 2021</w:t>
            </w:r>
          </w:p>
        </w:tc>
        <w:tc>
          <w:tcPr>
            <w:tcW w:w="10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Six Months Ended June 30, 2</w:t>
            </w:r>
          </w:p>
        </w:tc>
      </w:tr>
      <w:tr>
        <w:trPr>
          <w:trHeight w:val="118"/>
        </w:trPr>
        <w:tc>
          <w:tcPr>
            <w:tcW w:w="57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gridSpan w:val="2"/>
          </w:tcPr>
          <w:p>
            <w:pPr>
              <w:ind w:left="40"/>
              <w:spacing w:after="0"/>
              <w:rPr>
                <w:sz w:val="20"/>
                <w:szCs w:val="20"/>
                <w:color w:val="auto"/>
              </w:rPr>
            </w:pPr>
            <w:r>
              <w:rPr>
                <w:rFonts w:ascii="Arial" w:cs="Arial" w:eastAsia="Arial" w:hAnsi="Arial"/>
                <w:sz w:val="10"/>
                <w:szCs w:val="10"/>
                <w:b w:val="1"/>
                <w:bCs w:val="1"/>
                <w:color w:val="auto"/>
              </w:rPr>
              <w:t>Weighted Average Participation</w:t>
            </w:r>
          </w:p>
        </w:tc>
        <w:tc>
          <w:tcPr>
            <w:tcW w:w="1560" w:type="dxa"/>
            <w:vAlign w:val="bottom"/>
          </w:tcPr>
          <w:p>
            <w:pPr>
              <w:spacing w:after="0"/>
              <w:rPr>
                <w:sz w:val="10"/>
                <w:szCs w:val="10"/>
                <w:color w:val="auto"/>
              </w:rPr>
            </w:pPr>
          </w:p>
        </w:tc>
      </w:tr>
      <w:tr>
        <w:trPr>
          <w:trHeight w:val="143"/>
        </w:trPr>
        <w:tc>
          <w:tcPr>
            <w:tcW w:w="5720" w:type="dxa"/>
            <w:vAlign w:val="bottom"/>
            <w:tcBorders>
              <w:bottom w:val="single" w:sz="8" w:color="CCEEFF"/>
            </w:tcBorders>
          </w:tcPr>
          <w:p>
            <w:pPr>
              <w:spacing w:after="0"/>
              <w:rPr>
                <w:sz w:val="12"/>
                <w:szCs w:val="12"/>
                <w:color w:val="auto"/>
              </w:rPr>
            </w:pPr>
          </w:p>
        </w:tc>
        <w:tc>
          <w:tcPr>
            <w:tcW w:w="1720" w:type="dxa"/>
            <w:vAlign w:val="bottom"/>
            <w:tcBorders>
              <w:bottom w:val="single" w:sz="8" w:color="auto"/>
            </w:tcBorders>
          </w:tcPr>
          <w:p>
            <w:pPr>
              <w:jc w:val="right"/>
              <w:ind w:right="379"/>
              <w:spacing w:after="0"/>
              <w:rPr>
                <w:sz w:val="20"/>
                <w:szCs w:val="20"/>
                <w:color w:val="auto"/>
              </w:rPr>
            </w:pPr>
            <w:r>
              <w:rPr>
                <w:rFonts w:ascii="Arial" w:cs="Arial" w:eastAsia="Arial" w:hAnsi="Arial"/>
                <w:sz w:val="10"/>
                <w:szCs w:val="10"/>
                <w:b w:val="1"/>
                <w:bCs w:val="1"/>
                <w:color w:val="auto"/>
              </w:rPr>
              <w:t>Class P Units</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0"/>
                <w:szCs w:val="10"/>
                <w:b w:val="1"/>
                <w:bCs w:val="1"/>
                <w:color w:val="auto"/>
              </w:rPr>
              <w:t>Threshold</w:t>
            </w:r>
          </w:p>
        </w:tc>
        <w:tc>
          <w:tcPr>
            <w:tcW w:w="10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ind w:left="680"/>
              <w:spacing w:after="0"/>
              <w:rPr>
                <w:sz w:val="20"/>
                <w:szCs w:val="20"/>
                <w:color w:val="auto"/>
              </w:rPr>
            </w:pPr>
            <w:r>
              <w:rPr>
                <w:rFonts w:ascii="Arial" w:cs="Arial" w:eastAsia="Arial" w:hAnsi="Arial"/>
                <w:sz w:val="10"/>
                <w:szCs w:val="10"/>
                <w:b w:val="1"/>
                <w:bCs w:val="1"/>
                <w:color w:val="auto"/>
              </w:rPr>
              <w:t>Class P Units</w:t>
            </w:r>
          </w:p>
        </w:tc>
      </w:tr>
      <w:tr>
        <w:trPr>
          <w:trHeight w:val="173"/>
        </w:trPr>
        <w:tc>
          <w:tcPr>
            <w:tcW w:w="5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Unvested at beginning of period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8,796,642</w:t>
            </w: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6.59</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3"/>
                <w:szCs w:val="13"/>
                <w:color w:val="auto"/>
                <w:w w:val="86"/>
              </w:rPr>
              <w:t>16,893,6</w:t>
            </w:r>
          </w:p>
        </w:tc>
      </w:tr>
      <w:tr>
        <w:trPr>
          <w:trHeight w:val="174"/>
        </w:trPr>
        <w:tc>
          <w:tcPr>
            <w:tcW w:w="5720" w:type="dxa"/>
            <w:vAlign w:val="bottom"/>
          </w:tcPr>
          <w:p>
            <w:pPr>
              <w:ind w:left="320"/>
              <w:spacing w:after="0"/>
              <w:rPr>
                <w:sz w:val="20"/>
                <w:szCs w:val="20"/>
                <w:color w:val="auto"/>
              </w:rPr>
            </w:pPr>
            <w:r>
              <w:rPr>
                <w:rFonts w:ascii="Arial" w:cs="Arial" w:eastAsia="Arial" w:hAnsi="Arial"/>
                <w:sz w:val="13"/>
                <w:szCs w:val="13"/>
                <w:color w:val="auto"/>
              </w:rPr>
              <w:t>Effect of Reorganization Transactions and IPO</w:t>
            </w:r>
          </w:p>
        </w:tc>
        <w:tc>
          <w:tcPr>
            <w:tcW w:w="17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tcPr>
          <w:p>
            <w:pPr>
              <w:ind w:left="1100"/>
              <w:spacing w:after="0"/>
              <w:rPr>
                <w:sz w:val="20"/>
                <w:szCs w:val="20"/>
                <w:color w:val="auto"/>
              </w:rPr>
            </w:pPr>
            <w:r>
              <w:rPr>
                <w:rFonts w:ascii="Arial" w:cs="Arial" w:eastAsia="Arial" w:hAnsi="Arial"/>
                <w:sz w:val="13"/>
                <w:szCs w:val="13"/>
                <w:color w:val="auto"/>
                <w:w w:val="92"/>
              </w:rPr>
              <w:t>(1,950,9</w:t>
            </w:r>
          </w:p>
        </w:tc>
      </w:tr>
      <w:tr>
        <w:trPr>
          <w:trHeight w:val="20"/>
        </w:trPr>
        <w:tc>
          <w:tcPr>
            <w:tcW w:w="5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4"/>
        </w:trPr>
        <w:tc>
          <w:tcPr>
            <w:tcW w:w="5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Granted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642,5</w:t>
            </w:r>
          </w:p>
        </w:tc>
      </w:tr>
      <w:tr>
        <w:trPr>
          <w:trHeight w:val="174"/>
        </w:trPr>
        <w:tc>
          <w:tcPr>
            <w:tcW w:w="5720" w:type="dxa"/>
            <w:vAlign w:val="bottom"/>
          </w:tcPr>
          <w:p>
            <w:pPr>
              <w:ind w:left="320"/>
              <w:spacing w:after="0"/>
              <w:rPr>
                <w:sz w:val="20"/>
                <w:szCs w:val="20"/>
                <w:color w:val="auto"/>
              </w:rPr>
            </w:pPr>
            <w:r>
              <w:rPr>
                <w:rFonts w:ascii="Arial" w:cs="Arial" w:eastAsia="Arial" w:hAnsi="Arial"/>
                <w:sz w:val="13"/>
                <w:szCs w:val="13"/>
                <w:color w:val="auto"/>
              </w:rPr>
              <w:t>Vested</w:t>
            </w:r>
          </w:p>
        </w:tc>
        <w:tc>
          <w:tcPr>
            <w:tcW w:w="1720" w:type="dxa"/>
            <w:vAlign w:val="bottom"/>
          </w:tcPr>
          <w:p>
            <w:pPr>
              <w:jc w:val="right"/>
              <w:spacing w:after="0"/>
              <w:rPr>
                <w:sz w:val="20"/>
                <w:szCs w:val="20"/>
                <w:color w:val="auto"/>
              </w:rPr>
            </w:pPr>
            <w:r>
              <w:rPr>
                <w:rFonts w:ascii="Arial" w:cs="Arial" w:eastAsia="Arial" w:hAnsi="Arial"/>
                <w:sz w:val="13"/>
                <w:szCs w:val="13"/>
                <w:color w:val="auto"/>
              </w:rPr>
              <w:t>(3,579,797)</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6.02</w:t>
            </w:r>
          </w:p>
        </w:tc>
        <w:tc>
          <w:tcPr>
            <w:tcW w:w="100" w:type="dxa"/>
            <w:vAlign w:val="bottom"/>
          </w:tcPr>
          <w:p>
            <w:pPr>
              <w:spacing w:after="0"/>
              <w:rPr>
                <w:sz w:val="15"/>
                <w:szCs w:val="15"/>
                <w:color w:val="auto"/>
              </w:rPr>
            </w:pPr>
          </w:p>
        </w:tc>
        <w:tc>
          <w:tcPr>
            <w:tcW w:w="1560" w:type="dxa"/>
            <w:vAlign w:val="bottom"/>
          </w:tcPr>
          <w:p>
            <w:pPr>
              <w:ind w:left="1100"/>
              <w:spacing w:after="0"/>
              <w:rPr>
                <w:sz w:val="20"/>
                <w:szCs w:val="20"/>
                <w:color w:val="auto"/>
              </w:rPr>
            </w:pPr>
            <w:r>
              <w:rPr>
                <w:rFonts w:ascii="Arial" w:cs="Arial" w:eastAsia="Arial" w:hAnsi="Arial"/>
                <w:sz w:val="13"/>
                <w:szCs w:val="13"/>
                <w:color w:val="auto"/>
                <w:w w:val="92"/>
              </w:rPr>
              <w:t>(3,504,8</w:t>
            </w:r>
          </w:p>
        </w:tc>
      </w:tr>
      <w:tr>
        <w:trPr>
          <w:trHeight w:val="20"/>
        </w:trPr>
        <w:tc>
          <w:tcPr>
            <w:tcW w:w="5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4"/>
        </w:trPr>
        <w:tc>
          <w:tcPr>
            <w:tcW w:w="5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(58,453)</w:t>
            </w: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6.56</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(343,2</w:t>
            </w:r>
          </w:p>
        </w:tc>
      </w:tr>
      <w:tr>
        <w:trPr>
          <w:trHeight w:val="183"/>
        </w:trPr>
        <w:tc>
          <w:tcPr>
            <w:tcW w:w="5720" w:type="dxa"/>
            <w:vAlign w:val="bottom"/>
          </w:tcPr>
          <w:p>
            <w:pPr>
              <w:ind w:left="240"/>
              <w:spacing w:after="0"/>
              <w:rPr>
                <w:sz w:val="20"/>
                <w:szCs w:val="20"/>
                <w:color w:val="auto"/>
              </w:rPr>
            </w:pPr>
            <w:r>
              <w:rPr>
                <w:rFonts w:ascii="Arial" w:cs="Arial" w:eastAsia="Arial" w:hAnsi="Arial"/>
                <w:sz w:val="13"/>
                <w:szCs w:val="13"/>
                <w:color w:val="auto"/>
              </w:rPr>
              <w:t>Unvested at end of period</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5,158,392</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7.65</w:t>
            </w:r>
          </w:p>
        </w:tc>
        <w:tc>
          <w:tcPr>
            <w:tcW w:w="100" w:type="dxa"/>
            <w:vAlign w:val="bottom"/>
          </w:tcPr>
          <w:p>
            <w:pPr>
              <w:spacing w:after="0"/>
              <w:rPr>
                <w:sz w:val="15"/>
                <w:szCs w:val="15"/>
                <w:color w:val="auto"/>
              </w:rPr>
            </w:pPr>
          </w:p>
        </w:tc>
        <w:tc>
          <w:tcPr>
            <w:tcW w:w="156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3"/>
                <w:szCs w:val="13"/>
                <w:color w:val="auto"/>
                <w:w w:val="86"/>
              </w:rPr>
              <w:t>11,737,0</w:t>
            </w:r>
          </w:p>
        </w:tc>
      </w:tr>
      <w:tr>
        <w:trPr>
          <w:trHeight w:val="20"/>
        </w:trPr>
        <w:tc>
          <w:tcPr>
            <w:tcW w:w="57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80" w:firstLine="233"/>
        <w:spacing w:after="0" w:line="254" w:lineRule="auto"/>
        <w:rPr>
          <w:sz w:val="20"/>
          <w:szCs w:val="20"/>
          <w:color w:val="auto"/>
        </w:rPr>
      </w:pPr>
      <w:r>
        <w:rPr>
          <w:rFonts w:ascii="Arial" w:cs="Arial" w:eastAsia="Arial" w:hAnsi="Arial"/>
          <w:sz w:val="13"/>
          <w:szCs w:val="13"/>
          <w:color w:val="auto"/>
        </w:rPr>
        <w:t>In September 2019, ZoomInfo OpCo expanded its employee incentive programs under a newly-formed upper tier entity DiscoverOrg Management Holdings, LLC (“Management Holdings”), established to issue Incentive Units to employees of the Company. Through this newly formed upper tier entity, Class P Units were issued by Management Holdings to employees, directors, and consultants or advisors of the Company, and ZoomInfo OpCo issued corresponding Class P Units to Management Holdings. The cancellation or forfeiture of any Management Holdings’ Class P Units automatically results in a cancellation of an equal number of ZoomInfo OpCo’s Class P Units. Management Holdings was subsequently merged with and into ZoomInfo HoldCo in connection with the Reorganization Transactions and IPO. Class P Units issued directly by ZoomInfo OpCo and by Management Holdings are combined in the table above.</w:t>
      </w:r>
    </w:p>
    <w:p>
      <w:pPr>
        <w:spacing w:after="0" w:line="101" w:lineRule="exact"/>
        <w:rPr>
          <w:sz w:val="20"/>
          <w:szCs w:val="20"/>
          <w:color w:val="auto"/>
        </w:rPr>
      </w:pPr>
    </w:p>
    <w:p>
      <w:pPr>
        <w:jc w:val="both"/>
        <w:ind w:right="80" w:firstLine="233"/>
        <w:spacing w:after="0" w:line="259" w:lineRule="auto"/>
        <w:rPr>
          <w:sz w:val="20"/>
          <w:szCs w:val="20"/>
          <w:color w:val="auto"/>
        </w:rPr>
      </w:pPr>
      <w:r>
        <w:rPr>
          <w:rFonts w:ascii="Arial" w:cs="Arial" w:eastAsia="Arial" w:hAnsi="Arial"/>
          <w:sz w:val="13"/>
          <w:szCs w:val="13"/>
          <w:color w:val="auto"/>
        </w:rPr>
        <w:t>The fair value of these Class P Units was determined using the Black-Scholes option pricing model. We estimated the future stock price volatility based on the volatility of a set of publicly traded comparable companies with a look back period consistent with the expected life. The estimated life for the units was based on the expected holding period of private equity owners. The risk-free rate is based on the rate for a U.S. government security with the same estimated life at the time of grant. There were no grants of Class P Units during the six months ended June 30, 2021.</w:t>
      </w:r>
    </w:p>
    <w:p>
      <w:pPr>
        <w:sectPr>
          <w:pgSz w:w="11900" w:h="16838" w:orient="portrait"/>
          <w:cols w:equalWidth="0" w:num="1">
            <w:col w:w="11360"/>
          </w:cols>
          <w:pgMar w:left="300" w:top="126" w:right="23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LTIP Units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LTIP Unit activity was as follows during the periods indicated: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Unvested at beginning of period</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Granted</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Unvested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3"/>
        </w:trPr>
        <w:tc>
          <w:tcPr>
            <w:tcW w:w="3720" w:type="dxa"/>
            <w:vAlign w:val="bottom"/>
            <w:tcBorders>
              <w:bottom w:val="single" w:sz="8" w:color="auto"/>
            </w:tcBorders>
            <w:gridSpan w:val="4"/>
          </w:tcPr>
          <w:p>
            <w:pPr>
              <w:jc w:val="right"/>
              <w:ind w:right="961"/>
              <w:spacing w:after="0"/>
              <w:rPr>
                <w:sz w:val="20"/>
                <w:szCs w:val="20"/>
                <w:color w:val="auto"/>
              </w:rPr>
            </w:pPr>
            <w:r>
              <w:rPr>
                <w:rFonts w:ascii="Arial" w:cs="Arial" w:eastAsia="Arial" w:hAnsi="Arial"/>
                <w:sz w:val="10"/>
                <w:szCs w:val="10"/>
                <w:b w:val="1"/>
                <w:bCs w:val="1"/>
                <w:color w:val="auto"/>
              </w:rPr>
              <w:t>Six Months Ended June 30, 2021</w:t>
            </w:r>
          </w:p>
        </w:tc>
        <w:tc>
          <w:tcPr>
            <w:tcW w:w="80" w:type="dxa"/>
            <w:vAlign w:val="bottom"/>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Six Months Ended June 30, 20</w:t>
            </w:r>
          </w:p>
        </w:tc>
      </w:tr>
      <w:tr>
        <w:trPr>
          <w:trHeight w:val="118"/>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40" w:type="dxa"/>
            <w:vAlign w:val="bottom"/>
            <w:gridSpan w:val="2"/>
          </w:tcPr>
          <w:p>
            <w:pPr>
              <w:ind w:left="20"/>
              <w:spacing w:after="0"/>
              <w:rPr>
                <w:sz w:val="20"/>
                <w:szCs w:val="20"/>
                <w:color w:val="auto"/>
              </w:rPr>
            </w:pPr>
            <w:r>
              <w:rPr>
                <w:rFonts w:ascii="Arial" w:cs="Arial" w:eastAsia="Arial" w:hAnsi="Arial"/>
                <w:sz w:val="10"/>
                <w:szCs w:val="10"/>
                <w:b w:val="1"/>
                <w:bCs w:val="1"/>
                <w:color w:val="auto"/>
              </w:rPr>
              <w:t>Weighted Average Participation</w:t>
            </w:r>
          </w:p>
        </w:tc>
        <w:tc>
          <w:tcPr>
            <w:tcW w:w="1640" w:type="dxa"/>
            <w:vAlign w:val="bottom"/>
          </w:tcPr>
          <w:p>
            <w:pPr>
              <w:spacing w:after="0"/>
              <w:rPr>
                <w:sz w:val="10"/>
                <w:szCs w:val="10"/>
                <w:color w:val="auto"/>
              </w:rPr>
            </w:pPr>
          </w:p>
        </w:tc>
      </w:tr>
      <w:tr>
        <w:trPr>
          <w:trHeight w:val="143"/>
        </w:trPr>
        <w:tc>
          <w:tcPr>
            <w:tcW w:w="170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LTIP Units</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661"/>
              <w:spacing w:after="0"/>
              <w:rPr>
                <w:sz w:val="20"/>
                <w:szCs w:val="20"/>
                <w:color w:val="auto"/>
              </w:rPr>
            </w:pPr>
            <w:r>
              <w:rPr>
                <w:rFonts w:ascii="Arial" w:cs="Arial" w:eastAsia="Arial" w:hAnsi="Arial"/>
                <w:sz w:val="10"/>
                <w:szCs w:val="10"/>
                <w:b w:val="1"/>
                <w:bCs w:val="1"/>
                <w:color w:val="auto"/>
              </w:rPr>
              <w:t>Threshold</w:t>
            </w:r>
          </w:p>
        </w:tc>
        <w:tc>
          <w:tcPr>
            <w:tcW w:w="80" w:type="dxa"/>
            <w:vAlign w:val="bottom"/>
          </w:tcPr>
          <w:p>
            <w:pPr>
              <w:spacing w:after="0"/>
              <w:rPr>
                <w:sz w:val="12"/>
                <w:szCs w:val="12"/>
                <w:color w:val="auto"/>
              </w:rPr>
            </w:pPr>
          </w:p>
        </w:tc>
        <w:tc>
          <w:tcPr>
            <w:tcW w:w="1640" w:type="dxa"/>
            <w:vAlign w:val="bottom"/>
            <w:tcBorders>
              <w:bottom w:val="single" w:sz="8" w:color="auto"/>
            </w:tcBorders>
          </w:tcPr>
          <w:p>
            <w:pPr>
              <w:jc w:val="right"/>
              <w:ind w:right="361"/>
              <w:spacing w:after="0"/>
              <w:rPr>
                <w:sz w:val="20"/>
                <w:szCs w:val="20"/>
                <w:color w:val="auto"/>
              </w:rPr>
            </w:pPr>
            <w:r>
              <w:rPr>
                <w:rFonts w:ascii="Arial" w:cs="Arial" w:eastAsia="Arial" w:hAnsi="Arial"/>
                <w:sz w:val="10"/>
                <w:szCs w:val="10"/>
                <w:b w:val="1"/>
                <w:bCs w:val="1"/>
                <w:color w:val="auto"/>
              </w:rPr>
              <w:t>LTIP Units</w:t>
            </w:r>
          </w:p>
        </w:tc>
      </w:tr>
      <w:tr>
        <w:trPr>
          <w:trHeight w:val="173"/>
        </w:trPr>
        <w:tc>
          <w:tcPr>
            <w:tcW w:w="1700" w:type="dxa"/>
            <w:vAlign w:val="bottom"/>
          </w:tcPr>
          <w:p>
            <w:pPr>
              <w:jc w:val="right"/>
              <w:spacing w:after="0"/>
              <w:rPr>
                <w:sz w:val="20"/>
                <w:szCs w:val="20"/>
                <w:color w:val="auto"/>
              </w:rPr>
            </w:pPr>
            <w:r>
              <w:rPr>
                <w:rFonts w:ascii="Arial" w:cs="Arial" w:eastAsia="Arial" w:hAnsi="Arial"/>
                <w:sz w:val="13"/>
                <w:szCs w:val="13"/>
                <w:color w:val="auto"/>
              </w:rPr>
              <w:t>47,620</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21.00</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4"/>
        </w:trPr>
        <w:tc>
          <w:tcPr>
            <w:tcW w:w="1700" w:type="dxa"/>
            <w:vAlign w:val="bottom"/>
          </w:tcPr>
          <w:p>
            <w:pPr>
              <w:jc w:val="right"/>
              <w:spacing w:after="0"/>
              <w:rPr>
                <w:sz w:val="20"/>
                <w:szCs w:val="20"/>
                <w:color w:val="auto"/>
              </w:rPr>
            </w:pPr>
            <w:r>
              <w:rPr>
                <w:rFonts w:ascii="Arial" w:cs="Arial" w:eastAsia="Arial" w:hAnsi="Arial"/>
                <w:sz w:val="13"/>
                <w:szCs w:val="13"/>
                <w:color w:val="auto"/>
              </w:rPr>
              <w:t>247,045</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52.42</w:t>
            </w:r>
          </w:p>
        </w:tc>
        <w:tc>
          <w:tcPr>
            <w:tcW w:w="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47,620</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83"/>
        </w:trPr>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294,665</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47.34</w:t>
            </w:r>
          </w:p>
        </w:tc>
        <w:tc>
          <w:tcPr>
            <w:tcW w:w="80" w:type="dxa"/>
            <w:vAlign w:val="bottom"/>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47,620</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-405765</wp:posOffset>
            </wp:positionV>
            <wp:extent cx="7067550" cy="1295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67550" cy="129540"/>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-153035</wp:posOffset>
            </wp:positionV>
            <wp:extent cx="7067550" cy="141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67550"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0" w:space="720"/>
            <w:col w:w="5440"/>
          </w:cols>
          <w:pgMar w:left="300" w:top="12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80"/>
        <w:spacing w:after="0"/>
        <w:rPr>
          <w:sz w:val="20"/>
          <w:szCs w:val="20"/>
          <w:color w:val="auto"/>
        </w:rPr>
      </w:pPr>
      <w:r>
        <w:rPr>
          <w:rFonts w:ascii="Arial" w:cs="Arial" w:eastAsia="Arial" w:hAnsi="Arial"/>
          <w:sz w:val="10"/>
          <w:szCs w:val="1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141605</wp:posOffset>
            </wp:positionV>
            <wp:extent cx="719645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6" w:right="239" w:bottom="1440" w:gutter="0" w:footer="0" w:header="0"/>
          <w:type w:val="continuous"/>
        </w:sectPr>
      </w:pPr>
    </w:p>
    <w:bookmarkStart w:id="47" w:name="page48"/>
    <w:bookmarkEnd w:id="4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HSKB Incentive Units</w:t>
      </w:r>
    </w:p>
    <w:p>
      <w:pPr>
        <w:spacing w:after="0" w:line="122" w:lineRule="exact"/>
        <w:rPr>
          <w:sz w:val="20"/>
          <w:szCs w:val="20"/>
          <w:color w:val="auto"/>
        </w:rPr>
      </w:pPr>
    </w:p>
    <w:p>
      <w:pPr>
        <w:jc w:val="both"/>
        <w:ind w:right="20" w:firstLine="233"/>
        <w:spacing w:after="0" w:line="254" w:lineRule="auto"/>
        <w:rPr>
          <w:sz w:val="20"/>
          <w:szCs w:val="20"/>
          <w:color w:val="auto"/>
        </w:rPr>
      </w:pPr>
      <w:r>
        <w:rPr>
          <w:rFonts w:ascii="Arial" w:cs="Arial" w:eastAsia="Arial" w:hAnsi="Arial"/>
          <w:sz w:val="13"/>
          <w:szCs w:val="13"/>
          <w:color w:val="auto"/>
        </w:rPr>
        <w:t>After selling units to TA Associates and funds affiliated with 22C Capital LLC, the founders of the Company contributed membership units of ZoomInfo OpCo into an upper tier entity, HSKB Funds, LLC, which is controlled by the current CEO of the Company (“HSKB Manager”). In connection with the Reorganization Transactions, HSKB was reorganized into HSKB I and HSKB II (together, “HSKB”), with HSKB I owning OpCo Units and HSKB II owning HoldCo Units. HSKB may issue LLC units to employees of the Company (“HSKB Grant”) in the form of Class 1 units and Class 2 units, with a Class 1 unit being exchangeable into one share of Class A Common Stock, and a Class 2 unit equal to any residual interests in HSKB upon liquidation. These awards are recorded in accordance with the measurement and recognition criteria of ASC 718 for awards made to non-employees.</w:t>
      </w:r>
    </w:p>
    <w:p>
      <w:pPr>
        <w:spacing w:after="0" w:line="101" w:lineRule="exact"/>
        <w:rPr>
          <w:sz w:val="20"/>
          <w:szCs w:val="20"/>
          <w:color w:val="auto"/>
        </w:rPr>
      </w:pPr>
    </w:p>
    <w:p>
      <w:pPr>
        <w:jc w:val="both"/>
        <w:ind w:firstLine="233"/>
        <w:spacing w:after="0" w:line="252" w:lineRule="auto"/>
        <w:rPr>
          <w:sz w:val="20"/>
          <w:szCs w:val="20"/>
          <w:color w:val="auto"/>
        </w:rPr>
      </w:pPr>
      <w:r>
        <w:rPr>
          <w:rFonts w:ascii="Arial" w:cs="Arial" w:eastAsia="Arial" w:hAnsi="Arial"/>
          <w:sz w:val="13"/>
          <w:szCs w:val="13"/>
          <w:color w:val="auto"/>
        </w:rPr>
        <w:t>Prior to December 2019, most HSKB Grants were issued with a performance vesting condition wherein the award vests upon the cumulative change of more than 90% of the membership interests in the Company. In December 2019, unvested HSKB Grants were modified to add an alternative vesting condition and modify the forfeiture provisions, wherein 50% of an HSKB Grant will no longer be subject to forfeiture and will be eligible to vest on the later of September 1, 2020 or two years following the award grant date, and 1/48th will no longer be subject to forfeiture and be eligible to vest on the first day of each subsequent month. This additional vesting condition (but not the forfeiture modification) is conditioned upon the ability to exchange the HSKB Units for the Class A Common Stock of the Company after an IPO. This modification affected 142 grantees at the time and resulted in an increase in unrecognized equity-based compensation cost related to the HSKB Grants of approximately $88.4 million. Upon completion of the IPO in June 2020, this performance condition was satisfied and the Company began to recognize compensation cost under these awards on a straight-line basis in the same manner as if the Company had paid cash in lieu of awarding the HSKB Grants, per the requirements of ASC 718.</w:t>
      </w:r>
    </w:p>
    <w:p>
      <w:pPr>
        <w:spacing w:after="0" w:line="103" w:lineRule="exact"/>
        <w:rPr>
          <w:sz w:val="20"/>
          <w:szCs w:val="20"/>
          <w:color w:val="auto"/>
        </w:rPr>
      </w:pPr>
    </w:p>
    <w:p>
      <w:pPr>
        <w:jc w:val="both"/>
        <w:ind w:right="20" w:firstLine="233"/>
        <w:spacing w:after="0" w:line="256" w:lineRule="auto"/>
        <w:rPr>
          <w:sz w:val="20"/>
          <w:szCs w:val="20"/>
          <w:color w:val="auto"/>
        </w:rPr>
      </w:pPr>
      <w:r>
        <w:rPr>
          <w:rFonts w:ascii="Arial" w:cs="Arial" w:eastAsia="Arial" w:hAnsi="Arial"/>
          <w:sz w:val="13"/>
          <w:szCs w:val="13"/>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On March 31, 2020, HSKB allocated an additional $5.3 million to be paid out over four years, starting with March 31, 2020, to holders of HSKB Grants who received their grants after the March 2018 Carlyle Investment, subject to the holders continued employment by the Company. During the six months ended June 30, 2021, HSKB paid $9.0 million from allocated funds and has $3.1 million remaining that it has allocated to be paid through 2023.</w:t>
      </w:r>
    </w:p>
    <w:p>
      <w:pPr>
        <w:spacing w:after="0" w:line="95" w:lineRule="exact"/>
        <w:rPr>
          <w:sz w:val="20"/>
          <w:szCs w:val="20"/>
          <w:color w:val="auto"/>
        </w:rPr>
      </w:pPr>
    </w:p>
    <w:p>
      <w:pPr>
        <w:jc w:val="both"/>
        <w:ind w:firstLine="233"/>
        <w:spacing w:after="0" w:line="253" w:lineRule="auto"/>
        <w:rPr>
          <w:sz w:val="20"/>
          <w:szCs w:val="20"/>
          <w:color w:val="auto"/>
        </w:rPr>
      </w:pPr>
      <w:r>
        <w:rPr>
          <w:rFonts w:ascii="Arial" w:cs="Arial" w:eastAsia="Arial" w:hAnsi="Arial"/>
          <w:sz w:val="13"/>
          <w:szCs w:val="13"/>
          <w:b w:val="1"/>
          <w:bCs w:val="1"/>
          <w:color w:val="auto"/>
        </w:rPr>
        <w:t xml:space="preserve">HSKB Phantom Units </w:t>
      </w:r>
      <w:r>
        <w:rPr>
          <w:rFonts w:ascii="Arial" w:cs="Arial" w:eastAsia="Arial" w:hAnsi="Arial"/>
          <w:sz w:val="13"/>
          <w:szCs w:val="13"/>
          <w:color w:val="auto"/>
        </w:rPr>
        <w:t>- In December 2019, HSKB I adopted the HSKB Funds, LLC 2019 Phantom Unit Plan wherein HSKB may grant Phantom Units (“HSKB Phantom Units”) to employees of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HSKB Phantom Units are recorded in accordance with the measurement and recognition criteria of ASC 718 for awards made to non-employees. HSKB Phantom Units represent the economic equivalent of one Class A Common Share in the Company and generally have the same vesting and forfeiture conditions as the modified HSKB Grants (see HSKB Incentive Units above). In connection with the Reorganization Transactions, all HSKB Phantom Units were moved from HSKB I to HSKB II. Within 30 days of the later of the date upon which a Phantom Unit vests and the date that HSKB II is capable of making an exchange of a corresponding ZoomInfo HoldCo Common Unit for Class A Common Stock, HSKB II must settle the HSKB Phantom Unit in exchange for either (1) cash or (2) Class A Common Stock as determined by the HSKB Manager, in each case, equal to the fair market value of such Common Unit at the time of such exchange. The HSKB Incentive Units and HSKB Phantom Units both had time-based vesting conditions that were conditional upon the completion of an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8" w:name="page49"/>
    <w:bookmarkEnd w:id="4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15 - Equity-based Compensation (continued)</w:t>
      </w: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Compensation expense incurred from all the equity-based incentive awards described above was the following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2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3"/>
              </w:rPr>
              <w:t>Three Months Ended June 30,</w:t>
            </w: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60" w:type="dxa"/>
            <w:vAlign w:val="bottom"/>
            <w:tcBorders>
              <w:bottom w:val="single" w:sz="8" w:color="auto"/>
            </w:tcBorders>
          </w:tcPr>
          <w:p>
            <w:pPr>
              <w:spacing w:after="0"/>
              <w:rPr>
                <w:sz w:val="12"/>
                <w:szCs w:val="12"/>
                <w:color w:val="auto"/>
              </w:rPr>
            </w:pPr>
          </w:p>
        </w:tc>
      </w:tr>
      <w:tr>
        <w:trPr>
          <w:trHeight w:val="145"/>
        </w:trPr>
        <w:tc>
          <w:tcPr>
            <w:tcW w:w="5240" w:type="dxa"/>
            <w:vAlign w:val="bottom"/>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58"/>
              <w:spacing w:after="0"/>
              <w:rPr>
                <w:sz w:val="20"/>
                <w:szCs w:val="20"/>
                <w:color w:val="auto"/>
              </w:rPr>
            </w:pPr>
            <w:r>
              <w:rPr>
                <w:rFonts w:ascii="Arial" w:cs="Arial" w:eastAsia="Arial" w:hAnsi="Arial"/>
                <w:sz w:val="10"/>
                <w:szCs w:val="10"/>
                <w:b w:val="1"/>
                <w:bCs w:val="1"/>
                <w:color w:val="auto"/>
                <w:w w:val="80"/>
              </w:rPr>
              <w:t>2020</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9"/>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58"/>
              <w:spacing w:after="0"/>
              <w:rPr>
                <w:sz w:val="20"/>
                <w:szCs w:val="20"/>
                <w:color w:val="auto"/>
              </w:rPr>
            </w:pPr>
            <w:r>
              <w:rPr>
                <w:rFonts w:ascii="Arial" w:cs="Arial" w:eastAsia="Arial" w:hAnsi="Arial"/>
                <w:sz w:val="10"/>
                <w:szCs w:val="10"/>
                <w:b w:val="1"/>
                <w:bCs w:val="1"/>
                <w:color w:val="auto"/>
                <w:w w:val="98"/>
              </w:rPr>
              <w:t>2020</w:t>
            </w:r>
          </w:p>
        </w:tc>
      </w:tr>
      <w:tr>
        <w:trPr>
          <w:trHeight w:val="183"/>
        </w:trPr>
        <w:tc>
          <w:tcPr>
            <w:tcW w:w="5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2"/>
              </w:rPr>
              <w:t>Cost of service and Operating expenses include equity-based compensation expenses as follows:</w:t>
            </w:r>
          </w:p>
        </w:tc>
        <w:tc>
          <w:tcPr>
            <w:tcW w:w="8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4"/>
        </w:trPr>
        <w:tc>
          <w:tcPr>
            <w:tcW w:w="5240" w:type="dxa"/>
            <w:vAlign w:val="bottom"/>
          </w:tcPr>
          <w:p>
            <w:pPr>
              <w:ind w:left="160"/>
              <w:spacing w:after="0"/>
              <w:rPr>
                <w:sz w:val="20"/>
                <w:szCs w:val="20"/>
                <w:color w:val="auto"/>
              </w:rPr>
            </w:pPr>
            <w:r>
              <w:rPr>
                <w:rFonts w:ascii="Arial" w:cs="Arial" w:eastAsia="Arial" w:hAnsi="Arial"/>
                <w:sz w:val="13"/>
                <w:szCs w:val="13"/>
                <w:color w:val="auto"/>
              </w:rPr>
              <w:t>Cost of service</w:t>
            </w:r>
          </w:p>
        </w:tc>
        <w:tc>
          <w:tcPr>
            <w:tcW w:w="820" w:type="dxa"/>
            <w:vAlign w:val="bottom"/>
          </w:tcPr>
          <w:p>
            <w:pPr>
              <w:jc w:val="right"/>
              <w:ind w:right="71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5"/>
                <w:szCs w:val="15"/>
                <w:color w:val="auto"/>
              </w:rPr>
            </w:pPr>
          </w:p>
        </w:tc>
        <w:tc>
          <w:tcPr>
            <w:tcW w:w="620" w:type="dxa"/>
            <w:vAlign w:val="bottom"/>
          </w:tcPr>
          <w:p>
            <w:pPr>
              <w:jc w:val="right"/>
              <w:ind w:right="475"/>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15.3</w:t>
            </w:r>
          </w:p>
        </w:tc>
        <w:tc>
          <w:tcPr>
            <w:tcW w:w="100" w:type="dxa"/>
            <w:vAlign w:val="bottom"/>
          </w:tcPr>
          <w:p>
            <w:pPr>
              <w:spacing w:after="0"/>
              <w:rPr>
                <w:sz w:val="15"/>
                <w:szCs w:val="15"/>
                <w:color w:val="auto"/>
              </w:rPr>
            </w:pPr>
          </w:p>
        </w:tc>
        <w:tc>
          <w:tcPr>
            <w:tcW w:w="340" w:type="dxa"/>
            <w:vAlign w:val="bottom"/>
          </w:tcPr>
          <w:p>
            <w:pPr>
              <w:jc w:val="right"/>
              <w:ind w:right="195"/>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6.7</w:t>
            </w:r>
          </w:p>
        </w:tc>
        <w:tc>
          <w:tcPr>
            <w:tcW w:w="80" w:type="dxa"/>
            <w:vAlign w:val="bottom"/>
          </w:tcPr>
          <w:p>
            <w:pPr>
              <w:spacing w:after="0"/>
              <w:rPr>
                <w:sz w:val="15"/>
                <w:szCs w:val="15"/>
                <w:color w:val="auto"/>
              </w:rPr>
            </w:pPr>
          </w:p>
        </w:tc>
        <w:tc>
          <w:tcPr>
            <w:tcW w:w="600" w:type="dxa"/>
            <w:vAlign w:val="bottom"/>
          </w:tcPr>
          <w:p>
            <w:pPr>
              <w:jc w:val="right"/>
              <w:ind w:right="45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17.0</w:t>
            </w:r>
          </w:p>
        </w:tc>
      </w:tr>
      <w:tr>
        <w:trPr>
          <w:trHeight w:val="20"/>
        </w:trPr>
        <w:tc>
          <w:tcPr>
            <w:tcW w:w="5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4"/>
        </w:trPr>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Sales and marketing</w:t>
            </w:r>
          </w:p>
        </w:tc>
        <w:tc>
          <w:tcPr>
            <w:tcW w:w="8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38.4</w:t>
            </w:r>
          </w:p>
        </w:tc>
      </w:tr>
      <w:tr>
        <w:trPr>
          <w:trHeight w:val="174"/>
        </w:trPr>
        <w:tc>
          <w:tcPr>
            <w:tcW w:w="5240" w:type="dxa"/>
            <w:vAlign w:val="bottom"/>
          </w:tcPr>
          <w:p>
            <w:pPr>
              <w:ind w:left="160"/>
              <w:spacing w:after="0"/>
              <w:rPr>
                <w:sz w:val="20"/>
                <w:szCs w:val="20"/>
                <w:color w:val="auto"/>
              </w:rPr>
            </w:pPr>
            <w:r>
              <w:rPr>
                <w:rFonts w:ascii="Arial" w:cs="Arial" w:eastAsia="Arial" w:hAnsi="Arial"/>
                <w:sz w:val="13"/>
                <w:szCs w:val="13"/>
                <w:color w:val="auto"/>
              </w:rPr>
              <w:t>Research and development</w:t>
            </w:r>
          </w:p>
        </w:tc>
        <w:tc>
          <w:tcPr>
            <w:tcW w:w="8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10.1</w:t>
            </w:r>
          </w:p>
        </w:tc>
      </w:tr>
      <w:tr>
        <w:trPr>
          <w:trHeight w:val="20"/>
        </w:trPr>
        <w:tc>
          <w:tcPr>
            <w:tcW w:w="5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4"/>
        </w:trPr>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General and administrative</w:t>
            </w:r>
          </w:p>
        </w:tc>
        <w:tc>
          <w:tcPr>
            <w:tcW w:w="8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10.3</w:t>
            </w:r>
          </w:p>
        </w:tc>
      </w:tr>
      <w:tr>
        <w:trPr>
          <w:trHeight w:val="183"/>
        </w:trPr>
        <w:tc>
          <w:tcPr>
            <w:tcW w:w="5240" w:type="dxa"/>
            <w:vAlign w:val="bottom"/>
          </w:tcPr>
          <w:p>
            <w:pPr>
              <w:ind w:left="340"/>
              <w:spacing w:after="0"/>
              <w:rPr>
                <w:sz w:val="20"/>
                <w:szCs w:val="20"/>
                <w:color w:val="auto"/>
              </w:rPr>
            </w:pPr>
            <w:r>
              <w:rPr>
                <w:rFonts w:ascii="Arial" w:cs="Arial" w:eastAsia="Arial" w:hAnsi="Arial"/>
                <w:sz w:val="13"/>
                <w:szCs w:val="13"/>
                <w:color w:val="auto"/>
              </w:rPr>
              <w:t>Total equity-based compensation expense</w:t>
            </w:r>
          </w:p>
        </w:tc>
        <w:tc>
          <w:tcPr>
            <w:tcW w:w="8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64.5</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35.2</w:t>
            </w:r>
          </w:p>
        </w:tc>
        <w:tc>
          <w:tcPr>
            <w:tcW w:w="8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75.8</w:t>
            </w:r>
          </w:p>
        </w:tc>
      </w:tr>
      <w:tr>
        <w:trPr>
          <w:trHeight w:val="20"/>
        </w:trPr>
        <w:tc>
          <w:tcPr>
            <w:tcW w:w="5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As of June 30, 2021, unamortized equity-based compensation costs related to each equity-based incentive award described above is the following:</w:t>
      </w:r>
    </w:p>
    <w:p>
      <w:pPr>
        <w:spacing w:after="0" w:line="153" w:lineRule="exact"/>
        <w:rPr>
          <w:sz w:val="20"/>
          <w:szCs w:val="20"/>
          <w:color w:val="auto"/>
        </w:rPr>
      </w:pPr>
    </w:p>
    <w:tbl>
      <w:tblPr>
        <w:tblLayout w:type="fixed"/>
        <w:tblInd w:w="240" w:type="dxa"/>
        <w:tblCellMar>
          <w:top w:w="0" w:type="dxa"/>
          <w:left w:w="0" w:type="dxa"/>
          <w:bottom w:w="0" w:type="dxa"/>
          <w:right w:w="0" w:type="dxa"/>
        </w:tblCellMar>
      </w:tblPr>
      <w:tr>
        <w:trPr>
          <w:trHeight w:val="116"/>
        </w:trPr>
        <w:tc>
          <w:tcPr>
            <w:tcW w:w="75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jc w:val="right"/>
              <w:spacing w:after="0"/>
              <w:rPr>
                <w:sz w:val="20"/>
                <w:szCs w:val="20"/>
                <w:color w:val="auto"/>
              </w:rPr>
            </w:pPr>
            <w:r>
              <w:rPr>
                <w:rFonts w:ascii="Arial" w:cs="Arial" w:eastAsia="Arial" w:hAnsi="Arial"/>
                <w:sz w:val="10"/>
                <w:szCs w:val="10"/>
                <w:b w:val="1"/>
                <w:bCs w:val="1"/>
                <w:color w:val="auto"/>
              </w:rPr>
              <w:t>Weighted Average Remainin</w:t>
            </w:r>
          </w:p>
        </w:tc>
      </w:tr>
      <w:tr>
        <w:trPr>
          <w:trHeight w:val="143"/>
        </w:trPr>
        <w:tc>
          <w:tcPr>
            <w:tcW w:w="75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0"/>
                <w:szCs w:val="10"/>
                <w:b w:val="1"/>
                <w:bCs w:val="1"/>
                <w:color w:val="auto"/>
              </w:rPr>
              <w:t>Amount</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Service Period (years)</w:t>
            </w:r>
          </w:p>
        </w:tc>
      </w:tr>
      <w:tr>
        <w:trPr>
          <w:trHeight w:val="173"/>
        </w:trPr>
        <w:tc>
          <w:tcPr>
            <w:tcW w:w="7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Restricted Stock Units</w:t>
            </w:r>
          </w:p>
        </w:tc>
        <w:tc>
          <w:tcPr>
            <w:tcW w:w="1420" w:type="dxa"/>
            <w:vAlign w:val="bottom"/>
            <w:tcBorders>
              <w:bottom w:val="single" w:sz="8" w:color="CCEEFF"/>
            </w:tcBorders>
            <w:shd w:val="clear" w:color="auto" w:fill="CCEEFF"/>
          </w:tcPr>
          <w:p>
            <w:pPr>
              <w:jc w:val="right"/>
              <w:ind w:right="104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55.4</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74"/>
        </w:trPr>
        <w:tc>
          <w:tcPr>
            <w:tcW w:w="7540" w:type="dxa"/>
            <w:vAlign w:val="bottom"/>
          </w:tcPr>
          <w:p>
            <w:pPr>
              <w:ind w:left="240"/>
              <w:spacing w:after="0"/>
              <w:rPr>
                <w:sz w:val="20"/>
                <w:szCs w:val="20"/>
                <w:color w:val="auto"/>
              </w:rPr>
            </w:pPr>
            <w:r>
              <w:rPr>
                <w:rFonts w:ascii="Arial" w:cs="Arial" w:eastAsia="Arial" w:hAnsi="Arial"/>
                <w:sz w:val="13"/>
                <w:szCs w:val="13"/>
                <w:color w:val="auto"/>
              </w:rPr>
              <w:t>Class A Common Stock Options</w:t>
            </w:r>
          </w:p>
        </w:tc>
        <w:tc>
          <w:tcPr>
            <w:tcW w:w="1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0.8</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0"/>
        </w:trPr>
        <w:tc>
          <w:tcPr>
            <w:tcW w:w="7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4"/>
        </w:trPr>
        <w:tc>
          <w:tcPr>
            <w:tcW w:w="7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HoldCo Units</w:t>
            </w:r>
          </w:p>
        </w:tc>
        <w:tc>
          <w:tcPr>
            <w:tcW w:w="1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74"/>
        </w:trPr>
        <w:tc>
          <w:tcPr>
            <w:tcW w:w="7540" w:type="dxa"/>
            <w:vAlign w:val="bottom"/>
          </w:tcPr>
          <w:p>
            <w:pPr>
              <w:ind w:left="240"/>
              <w:spacing w:after="0"/>
              <w:rPr>
                <w:sz w:val="20"/>
                <w:szCs w:val="20"/>
                <w:color w:val="auto"/>
              </w:rPr>
            </w:pPr>
            <w:r>
              <w:rPr>
                <w:rFonts w:ascii="Arial" w:cs="Arial" w:eastAsia="Arial" w:hAnsi="Arial"/>
                <w:sz w:val="13"/>
                <w:szCs w:val="13"/>
                <w:color w:val="auto"/>
              </w:rPr>
              <w:t>Class P Units</w:t>
            </w:r>
          </w:p>
        </w:tc>
        <w:tc>
          <w:tcPr>
            <w:tcW w:w="1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17.6</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20"/>
        </w:trPr>
        <w:tc>
          <w:tcPr>
            <w:tcW w:w="7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4"/>
        </w:trPr>
        <w:tc>
          <w:tcPr>
            <w:tcW w:w="7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LTIP Units</w:t>
            </w:r>
          </w:p>
        </w:tc>
        <w:tc>
          <w:tcPr>
            <w:tcW w:w="1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74"/>
        </w:trPr>
        <w:tc>
          <w:tcPr>
            <w:tcW w:w="7540" w:type="dxa"/>
            <w:vAlign w:val="bottom"/>
          </w:tcPr>
          <w:p>
            <w:pPr>
              <w:ind w:left="240"/>
              <w:spacing w:after="0"/>
              <w:rPr>
                <w:sz w:val="20"/>
                <w:szCs w:val="20"/>
                <w:color w:val="auto"/>
              </w:rPr>
            </w:pPr>
            <w:r>
              <w:rPr>
                <w:rFonts w:ascii="Arial" w:cs="Arial" w:eastAsia="Arial" w:hAnsi="Arial"/>
                <w:sz w:val="13"/>
                <w:szCs w:val="13"/>
                <w:color w:val="auto"/>
              </w:rPr>
              <w:t>HSKB Incentive Units</w:t>
            </w:r>
          </w:p>
        </w:tc>
        <w:tc>
          <w:tcPr>
            <w:tcW w:w="1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38.1</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20"/>
        </w:trPr>
        <w:tc>
          <w:tcPr>
            <w:tcW w:w="7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4"/>
        </w:trPr>
        <w:tc>
          <w:tcPr>
            <w:tcW w:w="7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HSKB Phantom Units</w:t>
            </w:r>
          </w:p>
        </w:tc>
        <w:tc>
          <w:tcPr>
            <w:tcW w:w="14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83"/>
        </w:trPr>
        <w:tc>
          <w:tcPr>
            <w:tcW w:w="7540" w:type="dxa"/>
            <w:vAlign w:val="bottom"/>
          </w:tcPr>
          <w:p>
            <w:pPr>
              <w:ind w:left="400"/>
              <w:spacing w:after="0"/>
              <w:rPr>
                <w:sz w:val="20"/>
                <w:szCs w:val="20"/>
                <w:color w:val="auto"/>
              </w:rPr>
            </w:pPr>
            <w:r>
              <w:rPr>
                <w:rFonts w:ascii="Arial" w:cs="Arial" w:eastAsia="Arial" w:hAnsi="Arial"/>
                <w:sz w:val="13"/>
                <w:szCs w:val="13"/>
                <w:color w:val="auto"/>
              </w:rPr>
              <w:t>Total unamortized equity-based compensation cost</w:t>
            </w:r>
          </w:p>
        </w:tc>
        <w:tc>
          <w:tcPr>
            <w:tcW w:w="1420" w:type="dxa"/>
            <w:vAlign w:val="bottom"/>
            <w:tcBorders>
              <w:top w:val="single" w:sz="8" w:color="auto"/>
              <w:bottom w:val="single" w:sz="8" w:color="auto"/>
            </w:tcBorders>
          </w:tcPr>
          <w:p>
            <w:pPr>
              <w:jc w:val="right"/>
              <w:ind w:right="1040"/>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135.0</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0"/>
        </w:trPr>
        <w:tc>
          <w:tcPr>
            <w:tcW w:w="75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9" w:name="page50"/>
    <w:bookmarkEnd w:id="49"/>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16 - Tax Receivable Agreements</w:t>
      </w:r>
    </w:p>
    <w:p>
      <w:pPr>
        <w:spacing w:after="0" w:line="126" w:lineRule="exact"/>
        <w:rPr>
          <w:sz w:val="20"/>
          <w:szCs w:val="20"/>
          <w:color w:val="auto"/>
        </w:rPr>
      </w:pPr>
    </w:p>
    <w:p>
      <w:pPr>
        <w:jc w:val="both"/>
        <w:ind w:firstLine="233"/>
        <w:spacing w:after="0" w:line="274" w:lineRule="auto"/>
        <w:rPr>
          <w:sz w:val="20"/>
          <w:szCs w:val="20"/>
          <w:color w:val="auto"/>
        </w:rPr>
      </w:pPr>
      <w:r>
        <w:rPr>
          <w:rFonts w:ascii="Arial" w:cs="Arial" w:eastAsia="Arial" w:hAnsi="Arial"/>
          <w:sz w:val="12"/>
          <w:szCs w:val="12"/>
          <w:color w:val="auto"/>
        </w:rPr>
        <w:t>In connection with the Reorganization Transactions and the IPO, the Company entered into (i) the Exchange Tax Receivable Agreement with certain Pre-IPO OpCo Unitholders and (ii) the Reorganization Tax Receivable Agreement with the Pre-IPO Blocker Holders (collectively, the “Tax Receivable Agreements”). These Tax Receivable Agreements provide for the payment by ZoomInfo Technologies Inc. or any member of its affiliated, consolidated, combined, or unitary tax group (collectively, the “ZoomInfo Tax Group”) to such Pre-IPO Owners and certain Pre-IPO HoldCo Unitholders of 85.0% of the benefits, if any, the ZoomInfo Tax Group actually realizes, or is deemed to realize in certain circumstances, as a result of certain tax attributes and benefits covered by the Tax Receivable Agreements. The Exchange Tax Receivable Agreement provides for the payment by members of the ZoomInfo Tax Group to certain Pre-IPO OpCo Unitholders and certain Pre-IPO HoldCo Unitholders of 85.0% of the benefits, if any, that the ZoomInfo Tax Group realizes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the Pre-IPO Blocker Holders and certain Pre-IPO HoldCo Unitholders of 85.0% of the benefits, if any, that the ZoomInfo Tax Group realizes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The Company expects to benefit from the remaining 15.0% of any of cash savings that it realizes.</w:t>
      </w:r>
    </w:p>
    <w:p>
      <w:pPr>
        <w:spacing w:after="0" w:line="89" w:lineRule="exact"/>
        <w:rPr>
          <w:sz w:val="20"/>
          <w:szCs w:val="20"/>
          <w:color w:val="auto"/>
        </w:rPr>
      </w:pPr>
    </w:p>
    <w:p>
      <w:pPr>
        <w:jc w:val="both"/>
        <w:ind w:right="20" w:firstLine="233"/>
        <w:spacing w:after="0" w:line="291" w:lineRule="auto"/>
        <w:rPr>
          <w:sz w:val="20"/>
          <w:szCs w:val="20"/>
          <w:color w:val="auto"/>
        </w:rPr>
      </w:pPr>
      <w:r>
        <w:rPr>
          <w:rFonts w:ascii="Arial" w:cs="Arial" w:eastAsia="Arial" w:hAnsi="Arial"/>
          <w:sz w:val="12"/>
          <w:szCs w:val="12"/>
          <w:color w:val="auto"/>
        </w:rPr>
        <w:t>The Company expects to obtain an increase in its share of the tax basis in the net assets of ZoomInfo HoldCo when OpCo Units are exchanged by Pre-IPO OpCo Unitholders. The Company intends to treat any redemptions and exchanges of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80"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3"/>
          <w:szCs w:val="13"/>
          <w:color w:val="auto"/>
        </w:rPr>
        <w:t xml:space="preserve">As of June 30, 2021, the Company had a liability of $551.4 million related to its projected obligations under the Tax Receivable Agreements in connection with the Reorganization Transactions and OpCo units exchanged. Tax Receivable Agreements related liabilities are classified as current or noncurrent based on the expected date of payment and are included in the Company’s Condensed Consolidated Balance Sheets under the captions </w:t>
      </w:r>
      <w:r>
        <w:rPr>
          <w:rFonts w:ascii="Arial" w:cs="Arial" w:eastAsia="Arial" w:hAnsi="Arial"/>
          <w:sz w:val="13"/>
          <w:szCs w:val="13"/>
          <w:i w:val="1"/>
          <w:iCs w:val="1"/>
          <w:color w:val="auto"/>
        </w:rPr>
        <w:t>Current portion of tax receivable agreements liability</w:t>
      </w:r>
      <w:r>
        <w:rPr>
          <w:rFonts w:ascii="Arial" w:cs="Arial" w:eastAsia="Arial" w:hAnsi="Arial"/>
          <w:sz w:val="13"/>
          <w:szCs w:val="13"/>
          <w:color w:val="auto"/>
        </w:rPr>
        <w:t xml:space="preserve"> and </w:t>
      </w:r>
      <w:r>
        <w:rPr>
          <w:rFonts w:ascii="Arial" w:cs="Arial" w:eastAsia="Arial" w:hAnsi="Arial"/>
          <w:sz w:val="13"/>
          <w:szCs w:val="13"/>
          <w:i w:val="1"/>
          <w:iCs w:val="1"/>
          <w:color w:val="auto"/>
        </w:rPr>
        <w:t>Tax receivable agreements liability, net of current portion</w:t>
      </w:r>
      <w:r>
        <w:rPr>
          <w:rFonts w:ascii="Arial" w:cs="Arial" w:eastAsia="Arial" w:hAnsi="Arial"/>
          <w:sz w:val="13"/>
          <w:szCs w:val="13"/>
          <w:color w:val="auto"/>
        </w:rPr>
        <w:t>,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17 - Income Taxes</w:t>
      </w:r>
    </w:p>
    <w:p>
      <w:pPr>
        <w:spacing w:after="0" w:line="126" w:lineRule="exact"/>
        <w:rPr>
          <w:sz w:val="20"/>
          <w:szCs w:val="20"/>
          <w:color w:val="auto"/>
        </w:rPr>
      </w:pPr>
    </w:p>
    <w:p>
      <w:pPr>
        <w:jc w:val="both"/>
        <w:ind w:right="20" w:firstLine="233"/>
        <w:spacing w:after="0" w:line="256" w:lineRule="auto"/>
        <w:rPr>
          <w:sz w:val="20"/>
          <w:szCs w:val="20"/>
          <w:color w:val="auto"/>
        </w:rPr>
      </w:pPr>
      <w:r>
        <w:rPr>
          <w:rFonts w:ascii="Arial" w:cs="Arial" w:eastAsia="Arial" w:hAnsi="Arial"/>
          <w:sz w:val="13"/>
          <w:szCs w:val="13"/>
          <w:color w:val="auto"/>
        </w:rPr>
        <w:t>The Company recorded $6.2 million of income tax expense and $8.8 million of income tax expense for the three months ended June 30, 2021 and 2020, respectively, and $55.9 million of income tax expense and $8.4 million of income tax expense for the six months ended June 30, 2021 and 2020, respectively. The Company’s estimated effective tax rate for the six months ended June 30, 2021 was 120.2%. The Company’s estimated annual effective tax rate differs from the statutory rate of 21.0% primarily due to the recognition of non-cash tax expense resulting from a 2021 Q1 shift in GAAP basis from a non-taxable entity to a taxable entity.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Company does not believe it has any significant uncertain tax positions and therefore has no unrecognized tax benefits as of June 30, 2021, that if recognized, would affect the annual effective tax rate.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50" w:name="page51"/>
    <w:bookmarkEnd w:id="50"/>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18 - Subsequent Events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Acquisition</w:t>
      </w:r>
    </w:p>
    <w:p>
      <w:pPr>
        <w:spacing w:after="0" w:line="122" w:lineRule="exact"/>
        <w:rPr>
          <w:sz w:val="20"/>
          <w:szCs w:val="20"/>
          <w:color w:val="auto"/>
        </w:rPr>
      </w:pPr>
    </w:p>
    <w:p>
      <w:pPr>
        <w:jc w:val="both"/>
        <w:ind w:firstLine="233"/>
        <w:spacing w:after="0" w:line="254" w:lineRule="auto"/>
        <w:rPr>
          <w:sz w:val="20"/>
          <w:szCs w:val="20"/>
          <w:color w:val="auto"/>
        </w:rPr>
      </w:pPr>
      <w:r>
        <w:rPr>
          <w:rFonts w:ascii="Arial" w:cs="Arial" w:eastAsia="Arial" w:hAnsi="Arial"/>
          <w:sz w:val="13"/>
          <w:szCs w:val="13"/>
          <w:color w:val="auto"/>
        </w:rPr>
        <w:t>In July 2021, the Company acquired substantially all the assets, and certain specified liabilities, of AffectLayer Inc. d/b/a Chorus.ai, a leader in conversation intelligence (the “Acquisition”). In connection with this acquisition, the Company has paid aggregate cash consideration, inclusive of $132.0 million relating to certain tax liabilities, of approximately $575.0 million, subject to working capital and other customary adjustments. The Company funded cash payments made at closing with $225.0 million of revolving credit borrowings under the existing First Lien Credit Agreement, and the remainder with cash on hand. The initial accounting of the business combinations is incomplete as of the issuance date of these financial statements. The Company has not yet determined the acquisition date fair value of the assets acquired and liabilities assumed.</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Senior Unsecured Notes Offering</w:t>
      </w:r>
    </w:p>
    <w:p>
      <w:pPr>
        <w:spacing w:after="0" w:line="122"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3"/>
          <w:szCs w:val="13"/>
          <w:color w:val="auto"/>
        </w:rPr>
        <w:t>In July 2021, ZoomInfo Technologies LLC and ZoomInfo Finance Corp. (collectively, the “Issuers”), indirect subsidiaries of ZoomInfo Technologies Inc., issued and sold $300.0 million in aggregate principal amount of additional 3.875% senior notes due 2029. The notes were issued under the same indenture as the Issuers’ existing $350.0 million aggregate principal amount of 3.875% senior notes due 2029 (the “Existing Notes”), which were issued in February 2021, and constitute part of the same series as the Existing Notes.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First Lien Credit Agreement Amendment</w:t>
      </w:r>
    </w:p>
    <w:p>
      <w:pPr>
        <w:spacing w:after="0" w:line="122" w:lineRule="exact"/>
        <w:rPr>
          <w:sz w:val="20"/>
          <w:szCs w:val="20"/>
          <w:color w:val="auto"/>
        </w:rPr>
      </w:pPr>
    </w:p>
    <w:p>
      <w:pPr>
        <w:jc w:val="both"/>
        <w:ind w:firstLine="233"/>
        <w:spacing w:after="0" w:line="270" w:lineRule="auto"/>
        <w:rPr>
          <w:sz w:val="20"/>
          <w:szCs w:val="20"/>
          <w:color w:val="auto"/>
        </w:rPr>
      </w:pPr>
      <w:r>
        <w:rPr>
          <w:rFonts w:ascii="Arial" w:cs="Arial" w:eastAsia="Arial" w:hAnsi="Arial"/>
          <w:sz w:val="13"/>
          <w:szCs w:val="13"/>
          <w:color w:val="auto"/>
        </w:rPr>
        <w:t>In July 2021, the Company entered into an amendment (the “Credit Agreement Amendment”) to its existing First Lien Credit Agreement that provided for, among other things, the incurrence of an additional $200.0 million aggregate principal amount of additional term loans under its existing First Lien Credit Agreement.</w:t>
      </w:r>
    </w:p>
    <w:p>
      <w:pPr>
        <w:spacing w:after="0" w:line="90"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3"/>
          <w:szCs w:val="13"/>
          <w:color w:val="auto"/>
        </w:rPr>
        <w:t>The net proceeds from the Credit Agreement Amendment were used, together with the net proceeds from the offering (the “Offering”) by the Issuers of $300.0 million aggregate principal amount of 3.875% senior notes due 2029, to (i) repay $225.0 million of outstanding borrowings under the revolving credit facility which were used to pay a portion of the consideration for the Acquisition, and (ii) pay fees and expenses related to the Credit Agreement Amendment, the Offering and the Acquisition, and the remainder is expected to be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1" w:name="page52"/>
    <w:bookmarkEnd w:id="51"/>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126" w:lineRule="exact"/>
        <w:rPr>
          <w:sz w:val="20"/>
          <w:szCs w:val="20"/>
          <w:color w:val="auto"/>
        </w:rPr>
      </w:pPr>
    </w:p>
    <w:p>
      <w:pPr>
        <w:jc w:val="both"/>
        <w:ind w:firstLine="233"/>
        <w:spacing w:after="0" w:line="254"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in conjunction with the financial statements and related notes included in our 2020 Form 10-K, the information included under “Management’s Discussion and Analysis of Financial Condition and Results of Operations” in Part II, Item 7 of our 2020 Form 10-K, and the unaudited consolidated financial statements and related notes included in Part I, Item 1 of this Form 10-Q.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 and under “Risk Factors” in Part I, Item 1A of our 2020 Form 10-K.</w:t>
      </w:r>
    </w:p>
    <w:p>
      <w:pPr>
        <w:spacing w:after="0" w:line="101" w:lineRule="exact"/>
        <w:rPr>
          <w:sz w:val="20"/>
          <w:szCs w:val="20"/>
          <w:color w:val="auto"/>
        </w:rPr>
      </w:pPr>
    </w:p>
    <w:p>
      <w:pPr>
        <w:jc w:val="both"/>
        <w:ind w:right="20" w:firstLine="233"/>
        <w:spacing w:after="0" w:line="256" w:lineRule="auto"/>
        <w:rPr>
          <w:sz w:val="20"/>
          <w:szCs w:val="20"/>
          <w:color w:val="auto"/>
        </w:rPr>
      </w:pPr>
      <w:r>
        <w:rPr>
          <w:rFonts w:ascii="Arial" w:cs="Arial" w:eastAsia="Arial" w:hAnsi="Arial"/>
          <w:sz w:val="13"/>
          <w:szCs w:val="13"/>
          <w:i w:val="1"/>
          <w:iCs w:val="1"/>
          <w:color w:val="auto"/>
        </w:rPr>
        <w:t>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 Numerical figures included in this Form 10-Q have been subject to rounding adjustments. Accordingly, numerical figures shown as totals in various tables may not be arithmetic aggregations of the figures that precede them.</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26" w:lineRule="exact"/>
        <w:rPr>
          <w:sz w:val="20"/>
          <w:szCs w:val="20"/>
          <w:color w:val="auto"/>
        </w:rPr>
      </w:pPr>
    </w:p>
    <w:p>
      <w:pPr>
        <w:jc w:val="both"/>
        <w:ind w:right="20" w:firstLine="233"/>
        <w:spacing w:after="0" w:line="270" w:lineRule="auto"/>
        <w:rPr>
          <w:sz w:val="20"/>
          <w:szCs w:val="20"/>
          <w:color w:val="auto"/>
        </w:rPr>
      </w:pPr>
      <w:r>
        <w:rPr>
          <w:rFonts w:ascii="Arial" w:cs="Arial" w:eastAsia="Arial" w:hAnsi="Arial"/>
          <w:sz w:val="13"/>
          <w:szCs w:val="13"/>
          <w:color w:val="auto"/>
        </w:rPr>
        <w:t>ZoomInfo provides a go-to-market platform that combines intelligence, orchestration, and engagement technologies to deliver insight-driven automation that helps sales, marketing, and recruiting professionals succeed.</w:t>
      </w:r>
    </w:p>
    <w:p>
      <w:pPr>
        <w:spacing w:after="0" w:line="90" w:lineRule="exact"/>
        <w:rPr>
          <w:sz w:val="20"/>
          <w:szCs w:val="20"/>
          <w:color w:val="auto"/>
        </w:rPr>
      </w:pPr>
    </w:p>
    <w:p>
      <w:pPr>
        <w:jc w:val="both"/>
        <w:ind w:right="20" w:firstLine="233"/>
        <w:spacing w:after="0" w:line="270" w:lineRule="auto"/>
        <w:rPr>
          <w:sz w:val="20"/>
          <w:szCs w:val="20"/>
          <w:color w:val="auto"/>
        </w:rPr>
      </w:pPr>
      <w:r>
        <w:rPr>
          <w:rFonts w:ascii="Arial" w:cs="Arial" w:eastAsia="Arial" w:hAnsi="Arial"/>
          <w:sz w:val="13"/>
          <w:szCs w:val="13"/>
          <w:color w:val="auto"/>
        </w:rPr>
        <w:t>Our products allow sales, marketing and recruiting teams to shorten sales cycles and increase win rates by delivering the right message, to the right person, at the right time, in the right way. We do this by delivering timely competitive intelligence and offering services that make reaching prospects fast and easy.</w:t>
      </w:r>
    </w:p>
    <w:p>
      <w:pPr>
        <w:spacing w:after="0" w:line="90" w:lineRule="exact"/>
        <w:rPr>
          <w:sz w:val="20"/>
          <w:szCs w:val="20"/>
          <w:color w:val="auto"/>
        </w:rPr>
      </w:pPr>
    </w:p>
    <w:p>
      <w:pPr>
        <w:jc w:val="both"/>
        <w:ind w:firstLine="233"/>
        <w:spacing w:after="0" w:line="270" w:lineRule="auto"/>
        <w:rPr>
          <w:sz w:val="20"/>
          <w:szCs w:val="20"/>
          <w:color w:val="auto"/>
        </w:rPr>
      </w:pPr>
      <w:r>
        <w:rPr>
          <w:rFonts w:ascii="Arial" w:cs="Arial" w:eastAsia="Arial" w:hAnsi="Arial"/>
          <w:sz w:val="13"/>
          <w:szCs w:val="13"/>
          <w:color w:val="auto"/>
        </w:rPr>
        <w:t>ZoomInfo, formerly known as DiscoverOrg, was co-founded in 2007 by our CEO, Henry Schuck. We have grown our company by developing innovative ways of gathering and improving our data and insights, and using intelligent automation to put those insights into action.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Today, our company defines the modern go-to-market technology stack across three distinct layers that build upon each other:</w:t>
      </w:r>
    </w:p>
    <w:p>
      <w:pPr>
        <w:spacing w:after="0" w:line="122" w:lineRule="exact"/>
        <w:rPr>
          <w:sz w:val="20"/>
          <w:szCs w:val="20"/>
          <w:color w:val="auto"/>
        </w:rPr>
      </w:pPr>
    </w:p>
    <w:p>
      <w:pPr>
        <w:jc w:val="both"/>
        <w:ind w:right="20" w:firstLine="233"/>
        <w:spacing w:after="0" w:line="270" w:lineRule="auto"/>
        <w:rPr>
          <w:sz w:val="20"/>
          <w:szCs w:val="20"/>
          <w:color w:val="auto"/>
        </w:rPr>
      </w:pPr>
      <w:r>
        <w:rPr>
          <w:rFonts w:ascii="Arial" w:cs="Arial" w:eastAsia="Arial" w:hAnsi="Arial"/>
          <w:sz w:val="13"/>
          <w:szCs w:val="13"/>
          <w:color w:val="auto"/>
        </w:rPr>
        <w:t>Our Intelligence Layer is the foundation of our data-driven strategies. Our best-in-class data, curated through first- and third-party sources, includes millions of data points such as companies, contacts, intent, hierarchy, location, and financial information.</w:t>
      </w:r>
    </w:p>
    <w:p>
      <w:pPr>
        <w:spacing w:after="0" w:line="90" w:lineRule="exact"/>
        <w:rPr>
          <w:sz w:val="20"/>
          <w:szCs w:val="20"/>
          <w:color w:val="auto"/>
        </w:rPr>
      </w:pPr>
    </w:p>
    <w:p>
      <w:pPr>
        <w:jc w:val="both"/>
        <w:ind w:right="20" w:firstLine="233"/>
        <w:spacing w:after="0" w:line="270" w:lineRule="auto"/>
        <w:rPr>
          <w:sz w:val="20"/>
          <w:szCs w:val="20"/>
          <w:color w:val="auto"/>
        </w:rPr>
      </w:pPr>
      <w:r>
        <w:rPr>
          <w:rFonts w:ascii="Arial" w:cs="Arial" w:eastAsia="Arial" w:hAnsi="Arial"/>
          <w:sz w:val="13"/>
          <w:szCs w:val="13"/>
          <w:color w:val="auto"/>
        </w:rPr>
        <w:t>Our Orchestration Layer stitches together and enriches our data sources. At this stage, our products assign and route data, leads, and insights to the appropriate people. This creates a “living” dataset that remains updated and can be used to power automated business workflows. Our services connect with all major CRM providers.</w:t>
      </w:r>
    </w:p>
    <w:p>
      <w:pPr>
        <w:spacing w:after="0" w:line="90" w:lineRule="exact"/>
        <w:rPr>
          <w:sz w:val="20"/>
          <w:szCs w:val="20"/>
          <w:color w:val="auto"/>
        </w:rPr>
      </w:pPr>
    </w:p>
    <w:p>
      <w:pPr>
        <w:jc w:val="both"/>
        <w:ind w:right="20" w:firstLine="233"/>
        <w:spacing w:after="0" w:line="270" w:lineRule="auto"/>
        <w:rPr>
          <w:sz w:val="20"/>
          <w:szCs w:val="20"/>
          <w:color w:val="auto"/>
        </w:rPr>
      </w:pPr>
      <w:r>
        <w:rPr>
          <w:rFonts w:ascii="Arial" w:cs="Arial" w:eastAsia="Arial" w:hAnsi="Arial"/>
          <w:sz w:val="13"/>
          <w:szCs w:val="13"/>
          <w:color w:val="auto"/>
        </w:rPr>
        <w:t>Our Engagement Layer, which includes services such as Engage, ZI Chat, and Chorus, allows sales, marketing, and recruiting professionals to put our data-driven insights into action by using multiple channels to reach and communicate with prospects and customers.</w:t>
      </w:r>
    </w:p>
    <w:p>
      <w:pPr>
        <w:spacing w:after="0" w:line="90" w:lineRule="exact"/>
        <w:rPr>
          <w:sz w:val="20"/>
          <w:szCs w:val="20"/>
          <w:color w:val="auto"/>
        </w:rPr>
      </w:pPr>
    </w:p>
    <w:p>
      <w:pPr>
        <w:jc w:val="both"/>
        <w:ind w:right="20" w:firstLine="233"/>
        <w:spacing w:after="0" w:line="259" w:lineRule="auto"/>
        <w:rPr>
          <w:sz w:val="20"/>
          <w:szCs w:val="20"/>
          <w:color w:val="auto"/>
        </w:rPr>
      </w:pPr>
      <w:r>
        <w:rPr>
          <w:rFonts w:ascii="Arial" w:cs="Arial" w:eastAsia="Arial" w:hAnsi="Arial"/>
          <w:sz w:val="13"/>
          <w:szCs w:val="13"/>
          <w:color w:val="auto"/>
        </w:rPr>
        <w:t>We generate substantially all of our revenue from sales of subscriptions to our platform. Our subscription fees include the use of our platform and access to customer support. Subscriptions generally range from one to three years in length with over 30% of our ACV being under multi-year agreements. We typically bill our customers at the beginning of each annual, semi-annual, or quarterly period and recognize revenue ratably over the term of the subscription period.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52" w:name="page53"/>
    <w:bookmarkEnd w:id="5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20" w:firstLine="233"/>
        <w:spacing w:after="0" w:line="259" w:lineRule="auto"/>
        <w:rPr>
          <w:sz w:val="20"/>
          <w:szCs w:val="20"/>
          <w:color w:val="auto"/>
        </w:rPr>
      </w:pPr>
      <w:r>
        <w:rPr>
          <w:rFonts w:ascii="Arial" w:cs="Arial" w:eastAsia="Arial" w:hAnsi="Arial"/>
          <w:sz w:val="13"/>
          <w:szCs w:val="13"/>
          <w:color w:val="auto"/>
        </w:rPr>
        <w:t>We sell our ZoomInfo platform to both new and existing customers. Some existing customers continue to renew their subscriptions to pre-acquisition versions of the Pre-Acquisition ZI and DiscoverOrg solutions. We price our subscriptions based on the functionality, users, and records under management that are included in each product edition. Our paid product editions are Elite, Advanced, and Professional, and we have a free Community Edition.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Developments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Acquisitions</w:t>
      </w:r>
    </w:p>
    <w:p>
      <w:pPr>
        <w:spacing w:after="0" w:line="122" w:lineRule="exact"/>
        <w:rPr>
          <w:sz w:val="20"/>
          <w:szCs w:val="20"/>
          <w:color w:val="auto"/>
        </w:rPr>
      </w:pPr>
    </w:p>
    <w:p>
      <w:pPr>
        <w:jc w:val="both"/>
        <w:ind w:right="20" w:firstLine="233"/>
        <w:spacing w:after="0" w:line="259" w:lineRule="auto"/>
        <w:rPr>
          <w:sz w:val="20"/>
          <w:szCs w:val="20"/>
          <w:color w:val="auto"/>
        </w:rPr>
      </w:pPr>
      <w:r>
        <w:rPr>
          <w:rFonts w:ascii="Arial" w:cs="Arial" w:eastAsia="Arial" w:hAnsi="Arial"/>
          <w:sz w:val="13"/>
          <w:szCs w:val="13"/>
          <w:color w:val="auto"/>
        </w:rPr>
        <w:t>The Company acquired Insent, Inc. in June 2021 for a total purchase consideration of $34.1 million, consisting of $33.0 million in cash consideration and $1.1 million in estimated deferred consideration. The purchase price was primarily comprised of acquired technology and goodwill. The Company has included the financial results of this business in the consolidated financial statements from the date of acquisition. The purchase accounting for this transaction is not yet finalized.</w:t>
      </w:r>
    </w:p>
    <w:p>
      <w:pPr>
        <w:spacing w:after="0" w:line="98" w:lineRule="exact"/>
        <w:rPr>
          <w:sz w:val="20"/>
          <w:szCs w:val="20"/>
          <w:color w:val="auto"/>
        </w:rPr>
      </w:pPr>
    </w:p>
    <w:p>
      <w:pPr>
        <w:jc w:val="both"/>
        <w:ind w:right="20" w:firstLine="233"/>
        <w:spacing w:after="0" w:line="291" w:lineRule="auto"/>
        <w:rPr>
          <w:sz w:val="20"/>
          <w:szCs w:val="20"/>
          <w:color w:val="auto"/>
        </w:rPr>
      </w:pPr>
      <w:r>
        <w:rPr>
          <w:rFonts w:ascii="Arial" w:cs="Arial" w:eastAsia="Arial" w:hAnsi="Arial"/>
          <w:sz w:val="12"/>
          <w:szCs w:val="12"/>
          <w:color w:val="auto"/>
        </w:rPr>
        <w:t>In July 2021, the Company acquired substantially all the assets, and certain specified liabilities, of AffectLayer Inc. d/b/a Chorus.ai, a leader in conversation intelligence. In connection with this acquisition, the Company paid an aggregate cash consideration, inclusive of $132.0 million relating to certain tax liabilities, of approximately $575.0 million, subject to working capital and other customary adjustments. The Company funded cash payments made at closing with $225.0 million of revolving credit borrowings under the existing First Lien Credit Agreement, and the remainder with cash on hand.</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Senior Unsecured Notes Offering</w:t>
      </w:r>
    </w:p>
    <w:p>
      <w:pPr>
        <w:spacing w:after="0" w:line="112" w:lineRule="exact"/>
        <w:rPr>
          <w:sz w:val="20"/>
          <w:szCs w:val="20"/>
          <w:color w:val="auto"/>
        </w:rPr>
      </w:pPr>
    </w:p>
    <w:p>
      <w:pPr>
        <w:jc w:val="both"/>
        <w:ind w:right="20" w:firstLine="233"/>
        <w:spacing w:after="0" w:line="259" w:lineRule="auto"/>
        <w:rPr>
          <w:sz w:val="20"/>
          <w:szCs w:val="20"/>
          <w:color w:val="auto"/>
        </w:rPr>
      </w:pPr>
      <w:r>
        <w:rPr>
          <w:rFonts w:ascii="Arial" w:cs="Arial" w:eastAsia="Arial" w:hAnsi="Arial"/>
          <w:sz w:val="13"/>
          <w:szCs w:val="13"/>
          <w:color w:val="auto"/>
        </w:rPr>
        <w:t>In July 2021, ZoomInfo Technologies LLC and ZoomInfo Finance Corp. (collectively, the “Issuers”), indirect subsidiaries of ZoomInfo Technologies Inc., issued and sold $300.0 million in aggregate principal amount of additional 3.875% senior notes due 2029. The notes were issued under the same indenture as the Issuers’ existing $350.0 million aggregate principal amount of 3.875% senior notes due 2029 (the “Existing Notes”), which were issued in February 2021, and constitute part of the same series as the Existing Notes.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First Lien Credit Agreement Amendment</w:t>
      </w:r>
    </w:p>
    <w:p>
      <w:pPr>
        <w:spacing w:after="0" w:line="122" w:lineRule="exact"/>
        <w:rPr>
          <w:sz w:val="20"/>
          <w:szCs w:val="20"/>
          <w:color w:val="auto"/>
        </w:rPr>
      </w:pPr>
    </w:p>
    <w:p>
      <w:pPr>
        <w:jc w:val="both"/>
        <w:ind w:right="20" w:firstLine="233"/>
        <w:spacing w:after="0" w:line="270" w:lineRule="auto"/>
        <w:rPr>
          <w:sz w:val="20"/>
          <w:szCs w:val="20"/>
          <w:color w:val="auto"/>
        </w:rPr>
      </w:pPr>
      <w:r>
        <w:rPr>
          <w:rFonts w:ascii="Arial" w:cs="Arial" w:eastAsia="Arial" w:hAnsi="Arial"/>
          <w:sz w:val="13"/>
          <w:szCs w:val="13"/>
          <w:color w:val="auto"/>
        </w:rPr>
        <w:t>In July 2021, the Company entered into an amendment (the “Credit Agreement Amendment”) to its existing First Lien Credit Agreement that provided for, among other things, the incurrence of an additional $200.0 million aggregate principal amount of additional term loans under its existing First Lien Credit Agreement.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net proceeds from the Credit Agreement Amendment were used, together with the net proceeds from the offering (the “Offering”) by the Issuers of $300.0 million aggregate principal amount of 3.875% senior notes due 2029, to (i) repay $225.0 million of outstanding borrowings under the revolving credit facility which were used to pay a portion of the consideration for the Acquisition, and (ii) pay fees and expenses related to the Credit Agreement Amendment, the Offering and the Acquisition, and the remainder is expected to be used for general corporate purposes.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COVID-19</w:t>
      </w:r>
    </w:p>
    <w:p>
      <w:pPr>
        <w:spacing w:after="0" w:line="122" w:lineRule="exact"/>
        <w:rPr>
          <w:sz w:val="20"/>
          <w:szCs w:val="20"/>
          <w:color w:val="auto"/>
        </w:rPr>
      </w:pPr>
    </w:p>
    <w:p>
      <w:pPr>
        <w:jc w:val="both"/>
        <w:ind w:right="20" w:firstLine="233"/>
        <w:spacing w:after="0" w:line="256" w:lineRule="auto"/>
        <w:rPr>
          <w:sz w:val="20"/>
          <w:szCs w:val="20"/>
          <w:color w:val="auto"/>
        </w:rPr>
      </w:pPr>
      <w:r>
        <w:rPr>
          <w:rFonts w:ascii="Arial" w:cs="Arial" w:eastAsia="Arial" w:hAnsi="Arial"/>
          <w:sz w:val="13"/>
          <w:szCs w:val="13"/>
          <w:color w:val="auto"/>
        </w:rPr>
        <w:t>In December 2019, a novel strain of Coronavirus disease (“COVID-19”) was reported, and in March 2020, the WHO characterized COVID-19 as a pandemic. The ongoing COVID-19 pandemic has resulted in travel restrictions, prohibitions of non-essential activities, disruption and shutdown of certain businesses, and greater uncertainty in global financial markets. Such conditions have created disruption in global supply chains, increasing rates of unemployment, and adverse impacts for many industries. The outbreak could have a continued adverse impact on economic and market conditions and has triggered a period of global economic slowdown.</w:t>
      </w:r>
    </w:p>
    <w:p>
      <w:pPr>
        <w:spacing w:after="0" w:line="99" w:lineRule="exact"/>
        <w:rPr>
          <w:sz w:val="20"/>
          <w:szCs w:val="20"/>
          <w:color w:val="auto"/>
        </w:rPr>
      </w:pPr>
    </w:p>
    <w:p>
      <w:pPr>
        <w:jc w:val="both"/>
        <w:ind w:right="20" w:firstLine="233"/>
        <w:spacing w:after="0" w:line="270" w:lineRule="auto"/>
        <w:rPr>
          <w:sz w:val="20"/>
          <w:szCs w:val="20"/>
          <w:color w:val="auto"/>
        </w:rPr>
      </w:pPr>
      <w:r>
        <w:rPr>
          <w:rFonts w:ascii="Arial" w:cs="Arial" w:eastAsia="Arial" w:hAnsi="Arial"/>
          <w:sz w:val="13"/>
          <w:szCs w:val="13"/>
          <w:color w:val="auto"/>
        </w:rPr>
        <w:t>As a result of the COVID-19 pandemic, we experienced headwinds and tailwinds that impacted our business. In early 2020, we experienced headwinds in some sales cycles as business leaders adapted to the impacts of the pandemic. Customers in heavily impacted industries represented less than 4% of ACV, and in early 2020, we saw</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53" w:name="page54"/>
    <w:bookmarkEnd w:id="5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heightened cancellations and reductions in spend from this subset of customers relative to pre-COVID time frames. We also experienced longer sales cycles and more intense scrutiny, particularly for larger purchases and upgrades as customers and prospects re-assessed their growth trajectory in light of the changing economic environment. Our sales teams adjusted to the new environment and drove improved sales and retention activity relative to prior year results. These headwinds dissipated during the course of the year and were partially offset by tailwinds we experienced relating to reduced spending on travel, facilities, and marketing events. By the end of 2020, demand for our platform normalized and returned to levels materially consistent with historical trends. The extent and continued impact of the COVID-19 pandemic on our operational and financial condition will depend on certain developments, including: the duration and spread of the outbreak; government responses to the pandemic including vaccine availability and deployment; its impact on the health and welfare of our employees and their families; its impact on our customers and our sales cycles; its impact on customer, industry, or employee events; delays in hiring and onboarding new employees; and effects on our partners and vendors, some of which are uncertain, difficult to predict, not within our control. Furthermore, because of our largely subscription-based business model, the effect of the COVID-19 pandemic may not be fully reflected in our results of operations and overall financial condition until future periods.</w:t>
      </w:r>
    </w:p>
    <w:p>
      <w:pPr>
        <w:spacing w:after="0" w:line="92" w:lineRule="exact"/>
        <w:rPr>
          <w:sz w:val="20"/>
          <w:szCs w:val="20"/>
          <w:color w:val="auto"/>
        </w:rPr>
      </w:pPr>
    </w:p>
    <w:p>
      <w:pPr>
        <w:jc w:val="both"/>
        <w:ind w:firstLine="233"/>
        <w:spacing w:after="0" w:line="284" w:lineRule="auto"/>
        <w:rPr>
          <w:sz w:val="20"/>
          <w:szCs w:val="20"/>
          <w:color w:val="auto"/>
        </w:rPr>
      </w:pPr>
      <w:r>
        <w:rPr>
          <w:rFonts w:ascii="Arial" w:cs="Arial" w:eastAsia="Arial" w:hAnsi="Arial"/>
          <w:sz w:val="12"/>
          <w:szCs w:val="12"/>
          <w:color w:val="auto"/>
        </w:rPr>
        <w:t>To address the safety and health of our employees during the COVID-19 pandemic, in the first quarter of 2020 we temporarily closed all of our offices and enabled our entire workforce to work remotely. These changes remained largely in effect throughout the second quarter of 2021 and could extend into future quarters. The impact, if any, of these and any additional operational changes we may implement is uncertain, but changes we have implemented to date have not affected, and are not expected to materially, affect our ability to maintain operations, including financial reporting systems, internal control over financial reporting, and disclosure controls and procedures. See “Human Capital” in Part I, Item 1 and “Risk Factors” in Part I, Item 1A of our 2020 Form 10-K.</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Factors Affecting Our Performance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believe that the growth and future success of our business depends on many factors, including the following:</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Continuing to Acquire New Customers</w:t>
      </w:r>
    </w:p>
    <w:p>
      <w:pPr>
        <w:spacing w:after="0" w:line="122" w:lineRule="exact"/>
        <w:rPr>
          <w:sz w:val="20"/>
          <w:szCs w:val="20"/>
          <w:color w:val="auto"/>
        </w:rPr>
      </w:pPr>
    </w:p>
    <w:p>
      <w:pPr>
        <w:jc w:val="both"/>
        <w:ind w:right="20" w:firstLine="233"/>
        <w:spacing w:after="0" w:line="259" w:lineRule="auto"/>
        <w:rPr>
          <w:sz w:val="20"/>
          <w:szCs w:val="20"/>
          <w:color w:val="auto"/>
        </w:rPr>
      </w:pPr>
      <w:r>
        <w:rPr>
          <w:rFonts w:ascii="Arial" w:cs="Arial" w:eastAsia="Arial" w:hAnsi="Arial"/>
          <w:sz w:val="13"/>
          <w:szCs w:val="13"/>
          <w:color w:val="auto"/>
        </w:rPr>
        <w:t>We are focused on continuing to grow the number of customers that use our platform. The majority of revenue growth when comparing the three months ended June 30, 2021 to the three months ended June 30, 2020 was the result of new customers added over the last 12 months. Our operating results and growth prospects will depend in part on our ability to continue to attract new customers. Additionally, acquiring new customers strengthens the power of our contributory network. We will need to continue to invest in our efficient go-to-market effort to acquire new customers.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Delivering Additional High-Value Solutions to Our Existing Customers</w:t>
      </w:r>
    </w:p>
    <w:p>
      <w:pPr>
        <w:spacing w:after="0" w:line="122" w:lineRule="exact"/>
        <w:rPr>
          <w:sz w:val="20"/>
          <w:szCs w:val="20"/>
          <w:color w:val="auto"/>
        </w:rPr>
      </w:pPr>
    </w:p>
    <w:p>
      <w:pPr>
        <w:jc w:val="both"/>
        <w:ind w:firstLine="233"/>
        <w:spacing w:after="0" w:line="270" w:lineRule="auto"/>
        <w:rPr>
          <w:sz w:val="20"/>
          <w:szCs w:val="20"/>
          <w:color w:val="auto"/>
        </w:rPr>
      </w:pPr>
      <w:r>
        <w:rPr>
          <w:rFonts w:ascii="Arial" w:cs="Arial" w:eastAsia="Arial" w:hAnsi="Arial"/>
          <w:sz w:val="13"/>
          <w:szCs w:val="13"/>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Expanding Relationships with Existing Customers</w:t>
      </w:r>
    </w:p>
    <w:p>
      <w:pPr>
        <w:spacing w:after="0" w:line="122" w:lineRule="exact"/>
        <w:rPr>
          <w:sz w:val="20"/>
          <w:szCs w:val="20"/>
          <w:color w:val="auto"/>
        </w:rPr>
      </w:pPr>
    </w:p>
    <w:p>
      <w:pPr>
        <w:jc w:val="both"/>
        <w:ind w:right="20" w:firstLine="233"/>
        <w:spacing w:after="0" w:line="313" w:lineRule="auto"/>
        <w:rPr>
          <w:sz w:val="20"/>
          <w:szCs w:val="20"/>
          <w:color w:val="auto"/>
        </w:rPr>
      </w:pPr>
      <w:r>
        <w:rPr>
          <w:rFonts w:ascii="Arial" w:cs="Arial" w:eastAsia="Arial" w:hAnsi="Arial"/>
          <w:sz w:val="12"/>
          <w:szCs w:val="12"/>
          <w:color w:val="auto"/>
        </w:rPr>
        <w:t>Many of our customers increase spending with us by adding users or integrating incremental data as they increase their use of our platform. Several of our largest customers have expanded the deployment of our platform across their organizations following their initial deployment. We believe there is a significant opportunity to add additional users and data integration within our existing customers.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54" w:name="page55"/>
    <w:bookmarkEnd w:id="5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233"/>
        <w:spacing w:after="0" w:line="256" w:lineRule="auto"/>
        <w:rPr>
          <w:sz w:val="20"/>
          <w:szCs w:val="20"/>
          <w:color w:val="auto"/>
        </w:rPr>
      </w:pPr>
      <w:r>
        <w:rPr>
          <w:rFonts w:ascii="Arial" w:cs="Arial" w:eastAsia="Arial" w:hAnsi="Arial"/>
          <w:sz w:val="13"/>
          <w:szCs w:val="13"/>
          <w:color w:val="auto"/>
        </w:rPr>
        <w:t>Our ability to expand relationships with existing customers and deliver additional high-value solutions is demonstrated by our net annual retention rate. We measure our retention rate on an annual basis and define annual net revenue retention as the total ACV generated by our customers and customers of Pre-Acquisition ZI at the end of the year divided by the ACV generated by the same group of customers at the end of the prior year. Our net annual retention rate for the year ended December 31, 2020 was 108%. We also measure our success in expanding relationships with existing customers by the number of customers that contract for more than $100,000 in ACV. As of June 30, 2021, we had more than 1,100 customers with over $100,000 in ACV.</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Non-GAAP Financial Measures</w:t>
      </w:r>
    </w:p>
    <w:p>
      <w:pPr>
        <w:spacing w:after="0" w:line="126" w:lineRule="exact"/>
        <w:rPr>
          <w:sz w:val="20"/>
          <w:szCs w:val="20"/>
          <w:color w:val="auto"/>
        </w:rPr>
      </w:pPr>
    </w:p>
    <w:p>
      <w:pPr>
        <w:jc w:val="both"/>
        <w:ind w:firstLine="233"/>
        <w:spacing w:after="0" w:line="254" w:lineRule="auto"/>
        <w:rPr>
          <w:sz w:val="20"/>
          <w:szCs w:val="20"/>
          <w:color w:val="auto"/>
        </w:rPr>
      </w:pPr>
      <w:r>
        <w:rPr>
          <w:rFonts w:ascii="Arial" w:cs="Arial" w:eastAsia="Arial" w:hAnsi="Arial"/>
          <w:sz w:val="13"/>
          <w:szCs w:val="13"/>
          <w:color w:val="auto"/>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Adjusted Net Income, and Adjusted Net Income per diluted share which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01" w:lineRule="exact"/>
        <w:rPr>
          <w:sz w:val="20"/>
          <w:szCs w:val="20"/>
          <w:color w:val="auto"/>
        </w:rPr>
      </w:pPr>
    </w:p>
    <w:p>
      <w:pPr>
        <w:jc w:val="both"/>
        <w:ind w:firstLine="233"/>
        <w:spacing w:after="0" w:line="284" w:lineRule="auto"/>
        <w:rPr>
          <w:sz w:val="20"/>
          <w:szCs w:val="20"/>
          <w:color w:val="auto"/>
        </w:rPr>
      </w:pPr>
      <w:r>
        <w:rPr>
          <w:rFonts w:ascii="Arial" w:cs="Arial" w:eastAsia="Arial" w:hAnsi="Arial"/>
          <w:sz w:val="12"/>
          <w:szCs w:val="12"/>
          <w:color w:val="auto"/>
        </w:rPr>
        <w:t>We view Adjusted Operating Income, Adjusted Operating Income Margin, Adjusted EBITDA, Adjusted Net Income and Adjusted Net Income per diluted share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 and the most directly comparable U.S. GAAP financial measure to Adjusted Net Income per diluted share is U.S. GAAP net earnings per diluted share.</w:t>
      </w:r>
    </w:p>
    <w:p>
      <w:pPr>
        <w:spacing w:after="0" w:line="84" w:lineRule="exact"/>
        <w:rPr>
          <w:sz w:val="20"/>
          <w:szCs w:val="20"/>
          <w:color w:val="auto"/>
        </w:rPr>
      </w:pPr>
    </w:p>
    <w:p>
      <w:pPr>
        <w:jc w:val="both"/>
        <w:ind w:firstLine="233"/>
        <w:spacing w:after="0" w:line="280" w:lineRule="auto"/>
        <w:rPr>
          <w:sz w:val="20"/>
          <w:szCs w:val="20"/>
          <w:color w:val="auto"/>
        </w:rPr>
      </w:pPr>
      <w:r>
        <w:rPr>
          <w:rFonts w:ascii="Arial" w:cs="Arial" w:eastAsia="Arial" w:hAnsi="Arial"/>
          <w:sz w:val="12"/>
          <w:szCs w:val="12"/>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Adjusted Operating Income, Adjusted Operating Income Margin, and Adjusted Net Income</w:t>
      </w:r>
    </w:p>
    <w:p>
      <w:pPr>
        <w:spacing w:after="0" w:line="122" w:lineRule="exact"/>
        <w:rPr>
          <w:sz w:val="20"/>
          <w:szCs w:val="20"/>
          <w:color w:val="auto"/>
        </w:rPr>
      </w:pPr>
    </w:p>
    <w:p>
      <w:pPr>
        <w:jc w:val="both"/>
        <w:ind w:firstLine="233"/>
        <w:spacing w:after="0" w:line="277" w:lineRule="auto"/>
        <w:rPr>
          <w:sz w:val="20"/>
          <w:szCs w:val="20"/>
          <w:color w:val="auto"/>
        </w:rPr>
      </w:pPr>
      <w:r>
        <w:rPr>
          <w:rFonts w:ascii="Arial" w:cs="Arial" w:eastAsia="Arial" w:hAnsi="Arial"/>
          <w:sz w:val="12"/>
          <w:szCs w:val="12"/>
          <w:color w:val="auto"/>
        </w:rPr>
        <w:t>We define Adjusted Operating Income as income from operations plus (i) impact of fair value adjustments to acquired unearned revenue, (ii) amortization of acquired technology and other acquired intangibles, (iii) equity-based compensation expense,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5" w:name="page56"/>
    <w:bookmarkEnd w:id="55"/>
    <w:p>
      <w:pPr>
        <w:ind w:left="2"/>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
        <w:spacing w:after="0"/>
        <w:rPr>
          <w:sz w:val="20"/>
          <w:szCs w:val="20"/>
          <w:color w:val="auto"/>
        </w:rPr>
      </w:pPr>
      <w:r>
        <w:rPr>
          <w:rFonts w:ascii="Arial" w:cs="Arial" w:eastAsia="Arial" w:hAnsi="Arial"/>
          <w:sz w:val="13"/>
          <w:szCs w:val="13"/>
          <w:color w:val="auto"/>
        </w:rPr>
        <w:t>performance. Adjusted Operating Income should not be considered as an alternative to operating income as an indicator of operating performance.</w:t>
      </w:r>
    </w:p>
    <w:p>
      <w:pPr>
        <w:spacing w:after="0" w:line="122" w:lineRule="exact"/>
        <w:rPr>
          <w:sz w:val="20"/>
          <w:szCs w:val="20"/>
          <w:color w:val="auto"/>
        </w:rPr>
      </w:pPr>
    </w:p>
    <w:p>
      <w:pPr>
        <w:jc w:val="both"/>
        <w:ind w:left="2" w:right="80" w:firstLine="233"/>
        <w:spacing w:after="0" w:line="254" w:lineRule="auto"/>
        <w:rPr>
          <w:sz w:val="20"/>
          <w:szCs w:val="20"/>
          <w:color w:val="auto"/>
        </w:rPr>
      </w:pPr>
      <w:r>
        <w:rPr>
          <w:rFonts w:ascii="Arial" w:cs="Arial" w:eastAsia="Arial" w:hAnsi="Arial"/>
          <w:sz w:val="13"/>
          <w:szCs w:val="13"/>
          <w:color w:val="auto"/>
        </w:rPr>
        <w:t>We define Adjusted Net Income as Adjusted Operating Income less (i) interest expense, net, (ii) other (income) expense, net, excluding TRA liability remeasurement expense (benefit), and (iii) income tax expense (benefit) including incremental tax effects of adjustments to arrive at Adjusted Operating Income and current tax benefits related to the TRA.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101" w:lineRule="exact"/>
        <w:rPr>
          <w:sz w:val="20"/>
          <w:szCs w:val="20"/>
          <w:color w:val="auto"/>
        </w:rPr>
      </w:pPr>
    </w:p>
    <w:p>
      <w:pPr>
        <w:ind w:left="242"/>
        <w:spacing w:after="0"/>
        <w:rPr>
          <w:sz w:val="20"/>
          <w:szCs w:val="20"/>
          <w:color w:val="auto"/>
        </w:rPr>
      </w:pPr>
      <w:r>
        <w:rPr>
          <w:rFonts w:ascii="Arial" w:cs="Arial" w:eastAsia="Arial" w:hAnsi="Arial"/>
          <w:sz w:val="13"/>
          <w:szCs w:val="13"/>
          <w:color w:val="auto"/>
        </w:rPr>
        <w:t xml:space="preserve">The following table presents a reconciliation of </w:t>
      </w:r>
      <w:r>
        <w:rPr>
          <w:rFonts w:ascii="Arial" w:cs="Arial" w:eastAsia="Arial" w:hAnsi="Arial"/>
          <w:sz w:val="13"/>
          <w:szCs w:val="13"/>
          <w:i w:val="1"/>
          <w:iCs w:val="1"/>
          <w:color w:val="auto"/>
        </w:rPr>
        <w:t>Net income (loss)</w:t>
      </w:r>
      <w:r>
        <w:rPr>
          <w:rFonts w:ascii="Arial" w:cs="Arial" w:eastAsia="Arial" w:hAnsi="Arial"/>
          <w:sz w:val="13"/>
          <w:szCs w:val="13"/>
          <w:color w:val="auto"/>
        </w:rPr>
        <w:t xml:space="preserve"> to Adjusted Net Income and </w:t>
      </w:r>
      <w:r>
        <w:rPr>
          <w:rFonts w:ascii="Arial" w:cs="Arial" w:eastAsia="Arial" w:hAnsi="Arial"/>
          <w:sz w:val="13"/>
          <w:szCs w:val="13"/>
          <w:i w:val="1"/>
          <w:iCs w:val="1"/>
          <w:color w:val="auto"/>
        </w:rPr>
        <w:t>Income (loss) from operations</w:t>
      </w:r>
      <w:r>
        <w:rPr>
          <w:rFonts w:ascii="Arial" w:cs="Arial" w:eastAsia="Arial" w:hAnsi="Arial"/>
          <w:sz w:val="13"/>
          <w:szCs w:val="13"/>
          <w:color w:val="auto"/>
        </w:rPr>
        <w:t xml:space="preserve"> to Adjusted Operating Income for the periods presented:</w:t>
      </w:r>
    </w:p>
    <w:p>
      <w:pPr>
        <w:spacing w:after="0" w:line="153" w:lineRule="exact"/>
        <w:rPr>
          <w:sz w:val="20"/>
          <w:szCs w:val="20"/>
          <w:color w:val="auto"/>
        </w:rPr>
      </w:pPr>
    </w:p>
    <w:tbl>
      <w:tblPr>
        <w:tblLayout w:type="fixed"/>
        <w:tblInd w:w="242" w:type="dxa"/>
        <w:tblCellMar>
          <w:top w:w="0" w:type="dxa"/>
          <w:left w:w="0" w:type="dxa"/>
          <w:bottom w:w="0" w:type="dxa"/>
          <w:right w:w="0" w:type="dxa"/>
        </w:tblCellMar>
      </w:tblPr>
      <w:tr>
        <w:trPr>
          <w:trHeight w:val="143"/>
        </w:trPr>
        <w:tc>
          <w:tcPr>
            <w:tcW w:w="448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0"/>
                <w:szCs w:val="10"/>
                <w:b w:val="1"/>
                <w:bCs w:val="1"/>
                <w:color w:val="auto"/>
                <w:w w:val="95"/>
              </w:rPr>
              <w:t>Three Months Ended June 30,</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0"/>
                <w:szCs w:val="10"/>
                <w:b w:val="1"/>
                <w:bCs w:val="1"/>
                <w:color w:val="auto"/>
                <w:w w:val="97"/>
              </w:rPr>
              <w:t>Six Months Ended June 30,</w:t>
            </w:r>
          </w:p>
        </w:tc>
        <w:tc>
          <w:tcPr>
            <w:tcW w:w="720" w:type="dxa"/>
            <w:vAlign w:val="bottom"/>
            <w:tcBorders>
              <w:bottom w:val="single" w:sz="8" w:color="auto"/>
            </w:tcBorders>
          </w:tcPr>
          <w:p>
            <w:pPr>
              <w:spacing w:after="0"/>
              <w:rPr>
                <w:sz w:val="12"/>
                <w:szCs w:val="12"/>
                <w:color w:val="auto"/>
              </w:rPr>
            </w:pPr>
          </w:p>
        </w:tc>
      </w:tr>
      <w:tr>
        <w:trPr>
          <w:trHeight w:val="145"/>
        </w:trPr>
        <w:tc>
          <w:tcPr>
            <w:tcW w:w="4480" w:type="dxa"/>
            <w:vAlign w:val="bottom"/>
            <w:tcBorders>
              <w:bottom w:val="single" w:sz="8" w:color="CCEEFF"/>
            </w:tcBorders>
          </w:tcPr>
          <w:p>
            <w:pPr>
              <w:ind w:left="240"/>
              <w:spacing w:after="0"/>
              <w:rPr>
                <w:sz w:val="20"/>
                <w:szCs w:val="20"/>
                <w:color w:val="auto"/>
              </w:rPr>
            </w:pPr>
            <w:r>
              <w:rPr>
                <w:rFonts w:ascii="Arial" w:cs="Arial" w:eastAsia="Arial" w:hAnsi="Arial"/>
                <w:sz w:val="10"/>
                <w:szCs w:val="10"/>
                <w:b w:val="1"/>
                <w:bCs w:val="1"/>
                <w:i w:val="1"/>
                <w:iCs w:val="1"/>
                <w:color w:val="auto"/>
              </w:rPr>
              <w:t>($ in millions)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2020</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76"/>
              <w:spacing w:after="0"/>
              <w:rPr>
                <w:sz w:val="20"/>
                <w:szCs w:val="20"/>
                <w:color w:val="auto"/>
              </w:rPr>
            </w:pPr>
            <w:r>
              <w:rPr>
                <w:rFonts w:ascii="Arial" w:cs="Arial" w:eastAsia="Arial" w:hAnsi="Arial"/>
                <w:sz w:val="10"/>
                <w:szCs w:val="10"/>
                <w:b w:val="1"/>
                <w:bCs w:val="1"/>
                <w:color w:val="auto"/>
              </w:rPr>
              <w:t>2020</w:t>
            </w:r>
          </w:p>
        </w:tc>
      </w:tr>
      <w:tr>
        <w:trPr>
          <w:trHeight w:val="173"/>
        </w:trPr>
        <w:tc>
          <w:tcPr>
            <w:tcW w:w="4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Net income (loss)</w:t>
            </w:r>
          </w:p>
        </w:tc>
        <w:tc>
          <w:tcPr>
            <w:tcW w:w="10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(77.9)</w:t>
            </w: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w:t>
            </w:r>
          </w:p>
        </w:tc>
      </w:tr>
      <w:tr>
        <w:trPr>
          <w:trHeight w:val="174"/>
        </w:trPr>
        <w:tc>
          <w:tcPr>
            <w:tcW w:w="4480" w:type="dxa"/>
            <w:vAlign w:val="bottom"/>
          </w:tcPr>
          <w:p>
            <w:pPr>
              <w:ind w:left="360"/>
              <w:spacing w:after="0"/>
              <w:rPr>
                <w:sz w:val="20"/>
                <w:szCs w:val="20"/>
                <w:color w:val="auto"/>
              </w:rPr>
            </w:pPr>
            <w:r>
              <w:rPr>
                <w:rFonts w:ascii="Arial" w:cs="Arial" w:eastAsia="Arial" w:hAnsi="Arial"/>
                <w:sz w:val="13"/>
                <w:szCs w:val="13"/>
                <w:color w:val="auto"/>
              </w:rPr>
              <w:t>Add (less): Expense (benefit) from income taxes</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55.9</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20"/>
        </w:trPr>
        <w:tc>
          <w:tcPr>
            <w:tcW w:w="4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4"/>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Add: Interest expense, net</w:t>
            </w:r>
          </w:p>
        </w:tc>
        <w:tc>
          <w:tcPr>
            <w:tcW w:w="10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74"/>
        </w:trPr>
        <w:tc>
          <w:tcPr>
            <w:tcW w:w="4480" w:type="dxa"/>
            <w:vAlign w:val="bottom"/>
          </w:tcPr>
          <w:p>
            <w:pPr>
              <w:ind w:left="360"/>
              <w:spacing w:after="0"/>
              <w:rPr>
                <w:sz w:val="20"/>
                <w:szCs w:val="20"/>
                <w:color w:val="auto"/>
              </w:rPr>
            </w:pPr>
            <w:r>
              <w:rPr>
                <w:rFonts w:ascii="Arial" w:cs="Arial" w:eastAsia="Arial" w:hAnsi="Arial"/>
                <w:sz w:val="13"/>
                <w:szCs w:val="13"/>
                <w:color w:val="auto"/>
              </w:rPr>
              <w:t>Add: Loss on debt extinguishment</w:t>
            </w:r>
          </w:p>
        </w:tc>
        <w:tc>
          <w:tcPr>
            <w:tcW w:w="10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12.7</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5.9</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20"/>
        </w:trPr>
        <w:tc>
          <w:tcPr>
            <w:tcW w:w="4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4"/>
        </w:trPr>
        <w:tc>
          <w:tcPr>
            <w:tcW w:w="44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Add (less): Other expense (income), net</w:t>
            </w:r>
            <w:r>
              <w:rPr>
                <w:rFonts w:ascii="Arial" w:cs="Arial" w:eastAsia="Arial" w:hAnsi="Arial"/>
                <w:sz w:val="16"/>
                <w:szCs w:val="16"/>
                <w:color w:val="auto"/>
                <w:vertAlign w:val="superscript"/>
              </w:rPr>
              <w:t>(a)</w:t>
            </w:r>
          </w:p>
        </w:tc>
        <w:tc>
          <w:tcPr>
            <w:tcW w:w="10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r>
      <w:tr>
        <w:trPr>
          <w:trHeight w:val="163"/>
        </w:trPr>
        <w:tc>
          <w:tcPr>
            <w:tcW w:w="4480" w:type="dxa"/>
            <w:vAlign w:val="bottom"/>
          </w:tcPr>
          <w:p>
            <w:pPr>
              <w:ind w:left="520"/>
              <w:spacing w:after="0"/>
              <w:rPr>
                <w:sz w:val="20"/>
                <w:szCs w:val="20"/>
                <w:color w:val="auto"/>
              </w:rPr>
            </w:pPr>
            <w:r>
              <w:rPr>
                <w:rFonts w:ascii="Arial" w:cs="Arial" w:eastAsia="Arial" w:hAnsi="Arial"/>
                <w:sz w:val="13"/>
                <w:szCs w:val="13"/>
                <w:b w:val="1"/>
                <w:bCs w:val="1"/>
                <w:color w:val="auto"/>
              </w:rPr>
              <w:t>Income (loss) from operations</w:t>
            </w:r>
          </w:p>
        </w:tc>
        <w:tc>
          <w:tcPr>
            <w:tcW w:w="10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40.9</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(31.2)</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68.9</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20"/>
        </w:trPr>
        <w:tc>
          <w:tcPr>
            <w:tcW w:w="4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4"/>
        </w:trPr>
        <w:tc>
          <w:tcPr>
            <w:tcW w:w="44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Add: Impact of fair value adjustments to acquired unearned revenue</w:t>
            </w:r>
            <w:r>
              <w:rPr>
                <w:rFonts w:ascii="Arial" w:cs="Arial" w:eastAsia="Arial" w:hAnsi="Arial"/>
                <w:sz w:val="16"/>
                <w:szCs w:val="16"/>
                <w:color w:val="auto"/>
                <w:vertAlign w:val="superscript"/>
              </w:rPr>
              <w:t>(b)</w:t>
            </w: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74"/>
        </w:trPr>
        <w:tc>
          <w:tcPr>
            <w:tcW w:w="4480" w:type="dxa"/>
            <w:vAlign w:val="bottom"/>
          </w:tcPr>
          <w:p>
            <w:pPr>
              <w:ind w:left="360"/>
              <w:spacing w:after="0"/>
              <w:rPr>
                <w:sz w:val="20"/>
                <w:szCs w:val="20"/>
                <w:color w:val="auto"/>
              </w:rPr>
            </w:pPr>
            <w:r>
              <w:rPr>
                <w:rFonts w:ascii="Arial" w:cs="Arial" w:eastAsia="Arial" w:hAnsi="Arial"/>
                <w:sz w:val="13"/>
                <w:szCs w:val="13"/>
                <w:color w:val="auto"/>
              </w:rPr>
              <w:t>Add: Amortization of acquired technology</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13.5</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20"/>
        </w:trPr>
        <w:tc>
          <w:tcPr>
            <w:tcW w:w="4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4"/>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Add: Amortization of other acquired intangibles</w:t>
            </w:r>
          </w:p>
        </w:tc>
        <w:tc>
          <w:tcPr>
            <w:tcW w:w="10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74"/>
        </w:trPr>
        <w:tc>
          <w:tcPr>
            <w:tcW w:w="4480" w:type="dxa"/>
            <w:vAlign w:val="bottom"/>
          </w:tcPr>
          <w:p>
            <w:pPr>
              <w:ind w:left="360"/>
              <w:spacing w:after="0"/>
              <w:rPr>
                <w:sz w:val="20"/>
                <w:szCs w:val="20"/>
                <w:color w:val="auto"/>
              </w:rPr>
            </w:pPr>
            <w:r>
              <w:rPr>
                <w:rFonts w:ascii="Arial" w:cs="Arial" w:eastAsia="Arial" w:hAnsi="Arial"/>
                <w:sz w:val="13"/>
                <w:szCs w:val="13"/>
                <w:color w:val="auto"/>
              </w:rPr>
              <w:t>Add: Equity-based compensation</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17.1</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64.5</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35.2</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20"/>
        </w:trPr>
        <w:tc>
          <w:tcPr>
            <w:tcW w:w="4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4"/>
        </w:trPr>
        <w:tc>
          <w:tcPr>
            <w:tcW w:w="44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Add: Restructuring and transaction-related expenses</w:t>
            </w:r>
            <w:r>
              <w:rPr>
                <w:rFonts w:ascii="Arial" w:cs="Arial" w:eastAsia="Arial" w:hAnsi="Arial"/>
                <w:sz w:val="16"/>
                <w:szCs w:val="16"/>
                <w:color w:val="auto"/>
                <w:vertAlign w:val="superscript"/>
              </w:rPr>
              <w:t>(c)</w:t>
            </w: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94"/>
        </w:trPr>
        <w:tc>
          <w:tcPr>
            <w:tcW w:w="44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Add: Integration costs and acquisition-related expenses</w:t>
            </w:r>
            <w:r>
              <w:rPr>
                <w:rFonts w:ascii="Arial" w:cs="Arial" w:eastAsia="Arial" w:hAnsi="Arial"/>
                <w:sz w:val="16"/>
                <w:szCs w:val="16"/>
                <w:color w:val="auto"/>
                <w:vertAlign w:val="superscript"/>
              </w:rPr>
              <w:t>(d)</w:t>
            </w: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184"/>
        </w:trPr>
        <w:tc>
          <w:tcPr>
            <w:tcW w:w="4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i w:val="1"/>
                <w:iCs w:val="1"/>
                <w:color w:val="auto"/>
              </w:rPr>
              <w:t>Adjusted Operating Income</w:t>
            </w:r>
          </w:p>
        </w:tc>
        <w:tc>
          <w:tcPr>
            <w:tcW w:w="10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141.9</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w:t>
            </w:r>
          </w:p>
        </w:tc>
      </w:tr>
      <w:tr>
        <w:trPr>
          <w:trHeight w:val="163"/>
        </w:trPr>
        <w:tc>
          <w:tcPr>
            <w:tcW w:w="4480" w:type="dxa"/>
            <w:vAlign w:val="bottom"/>
          </w:tcPr>
          <w:p>
            <w:pPr>
              <w:ind w:left="400"/>
              <w:spacing w:after="0"/>
              <w:rPr>
                <w:sz w:val="20"/>
                <w:szCs w:val="20"/>
                <w:color w:val="auto"/>
              </w:rPr>
            </w:pPr>
            <w:r>
              <w:rPr>
                <w:rFonts w:ascii="Arial" w:cs="Arial" w:eastAsia="Arial" w:hAnsi="Arial"/>
                <w:sz w:val="13"/>
                <w:szCs w:val="13"/>
                <w:color w:val="auto"/>
              </w:rPr>
              <w:t>Less: Interest expense, net</w:t>
            </w:r>
          </w:p>
        </w:tc>
        <w:tc>
          <w:tcPr>
            <w:tcW w:w="10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(25.1)</w:t>
            </w:r>
          </w:p>
        </w:tc>
        <w:tc>
          <w:tcPr>
            <w:tcW w:w="8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(16.6)</w:t>
            </w: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w:t>
            </w:r>
          </w:p>
        </w:tc>
      </w:tr>
      <w:tr>
        <w:trPr>
          <w:trHeight w:val="20"/>
        </w:trPr>
        <w:tc>
          <w:tcPr>
            <w:tcW w:w="4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66"/>
        </w:trPr>
        <w:tc>
          <w:tcPr>
            <w:tcW w:w="44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Less (add): Other expense (income), net, excluding TRA liability</w:t>
            </w: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3"/>
        </w:trPr>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remeasurement (benefit) expense</w:t>
            </w:r>
          </w:p>
        </w:tc>
        <w:tc>
          <w:tcPr>
            <w:tcW w:w="10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r>
      <w:tr>
        <w:trPr>
          <w:trHeight w:val="174"/>
        </w:trPr>
        <w:tc>
          <w:tcPr>
            <w:tcW w:w="4480" w:type="dxa"/>
            <w:vAlign w:val="bottom"/>
          </w:tcPr>
          <w:p>
            <w:pPr>
              <w:ind w:left="400"/>
              <w:spacing w:after="0"/>
              <w:rPr>
                <w:sz w:val="20"/>
                <w:szCs w:val="20"/>
                <w:color w:val="auto"/>
              </w:rPr>
            </w:pPr>
            <w:r>
              <w:rPr>
                <w:rFonts w:ascii="Arial" w:cs="Arial" w:eastAsia="Arial" w:hAnsi="Arial"/>
                <w:sz w:val="13"/>
                <w:szCs w:val="13"/>
                <w:color w:val="auto"/>
              </w:rPr>
              <w:t>Add (less): Benefit (expense) from income taxes</w:t>
            </w: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(55.9)</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20"/>
        </w:trPr>
        <w:tc>
          <w:tcPr>
            <w:tcW w:w="4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4"/>
        </w:trPr>
        <w:tc>
          <w:tcPr>
            <w:tcW w:w="44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Less: Tax impacts of adjustments to net income (loss)</w:t>
            </w:r>
          </w:p>
        </w:tc>
        <w:tc>
          <w:tcPr>
            <w:tcW w:w="10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83"/>
        </w:trPr>
        <w:tc>
          <w:tcPr>
            <w:tcW w:w="4480" w:type="dxa"/>
            <w:vAlign w:val="bottom"/>
          </w:tcPr>
          <w:p>
            <w:pPr>
              <w:ind w:left="240"/>
              <w:spacing w:after="0"/>
              <w:rPr>
                <w:sz w:val="20"/>
                <w:szCs w:val="20"/>
                <w:color w:val="auto"/>
              </w:rPr>
            </w:pPr>
            <w:r>
              <w:rPr>
                <w:rFonts w:ascii="Arial" w:cs="Arial" w:eastAsia="Arial" w:hAnsi="Arial"/>
                <w:sz w:val="13"/>
                <w:szCs w:val="13"/>
                <w:b w:val="1"/>
                <w:bCs w:val="1"/>
                <w:i w:val="1"/>
                <w:iCs w:val="1"/>
                <w:color w:val="auto"/>
              </w:rPr>
              <w:t>Adjusted Net Income</w:t>
            </w:r>
          </w:p>
        </w:tc>
        <w:tc>
          <w:tcPr>
            <w:tcW w:w="10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56.4</w:t>
            </w:r>
          </w:p>
        </w:tc>
        <w:tc>
          <w:tcPr>
            <w:tcW w:w="12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27.0</w:t>
            </w:r>
          </w:p>
        </w:tc>
        <w:tc>
          <w:tcPr>
            <w:tcW w:w="8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107.1</w:t>
            </w:r>
          </w:p>
        </w:tc>
        <w:tc>
          <w:tcPr>
            <w:tcW w:w="8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w:t>
            </w:r>
          </w:p>
        </w:tc>
      </w:tr>
      <w:tr>
        <w:trPr>
          <w:trHeight w:val="20"/>
        </w:trPr>
        <w:tc>
          <w:tcPr>
            <w:tcW w:w="4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2"/>
        <w:spacing w:after="0"/>
        <w:rPr>
          <w:sz w:val="20"/>
          <w:szCs w:val="20"/>
          <w:color w:val="auto"/>
        </w:rPr>
      </w:pPr>
      <w:r>
        <w:rPr>
          <w:rFonts w:ascii="Arial" w:cs="Arial" w:eastAsia="Arial" w:hAnsi="Arial"/>
          <w:sz w:val="10"/>
          <w:szCs w:val="10"/>
          <w:color w:val="auto"/>
        </w:rPr>
        <w:t>__________________</w:t>
      </w:r>
    </w:p>
    <w:p>
      <w:pPr>
        <w:spacing w:after="0" w:line="9" w:lineRule="exact"/>
        <w:rPr>
          <w:sz w:val="20"/>
          <w:szCs w:val="20"/>
          <w:color w:val="auto"/>
        </w:rPr>
      </w:pPr>
    </w:p>
    <w:p>
      <w:pPr>
        <w:ind w:left="222" w:hanging="222"/>
        <w:spacing w:after="0"/>
        <w:tabs>
          <w:tab w:leader="none" w:pos="222" w:val="left"/>
        </w:tabs>
        <w:numPr>
          <w:ilvl w:val="0"/>
          <w:numId w:val="15"/>
        </w:numPr>
        <w:rPr>
          <w:rFonts w:ascii="Arial" w:cs="Arial" w:eastAsia="Arial" w:hAnsi="Arial"/>
          <w:sz w:val="10"/>
          <w:szCs w:val="10"/>
          <w:color w:val="auto"/>
        </w:rPr>
      </w:pPr>
      <w:r>
        <w:rPr>
          <w:rFonts w:ascii="Arial" w:cs="Arial" w:eastAsia="Arial" w:hAnsi="Arial"/>
          <w:sz w:val="10"/>
          <w:szCs w:val="10"/>
          <w:color w:val="auto"/>
        </w:rPr>
        <w:t>Primarily represents revaluations on tax receivable agreement liability and foreign exchange remeasurement gains and losses.</w:t>
      </w:r>
    </w:p>
    <w:p>
      <w:pPr>
        <w:spacing w:after="0" w:line="1" w:lineRule="exact"/>
        <w:rPr>
          <w:rFonts w:ascii="Arial" w:cs="Arial" w:eastAsia="Arial" w:hAnsi="Arial"/>
          <w:sz w:val="10"/>
          <w:szCs w:val="10"/>
          <w:color w:val="auto"/>
        </w:rPr>
      </w:pPr>
    </w:p>
    <w:p>
      <w:pPr>
        <w:ind w:left="242" w:right="80" w:hanging="242"/>
        <w:spacing w:after="0" w:line="257" w:lineRule="auto"/>
        <w:tabs>
          <w:tab w:leader="none" w:pos="237" w:val="left"/>
        </w:tabs>
        <w:numPr>
          <w:ilvl w:val="0"/>
          <w:numId w:val="15"/>
        </w:numPr>
        <w:rPr>
          <w:rFonts w:ascii="Arial" w:cs="Arial" w:eastAsia="Arial" w:hAnsi="Arial"/>
          <w:sz w:val="10"/>
          <w:szCs w:val="10"/>
          <w:color w:val="auto"/>
        </w:rPr>
      </w:pPr>
      <w:r>
        <w:rPr>
          <w:rFonts w:ascii="Arial" w:cs="Arial" w:eastAsia="Arial" w:hAnsi="Arial"/>
          <w:sz w:val="10"/>
          <w:szCs w:val="10"/>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8"/>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119380</wp:posOffset>
            </wp:positionV>
            <wp:extent cx="719645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2"/>
          </w:cols>
          <w:pgMar w:left="298" w:top="125" w:right="239" w:bottom="1440" w:gutter="0" w:footer="0" w:header="0"/>
        </w:sectPr>
      </w:pPr>
    </w:p>
    <w:bookmarkStart w:id="56" w:name="page57"/>
    <w:bookmarkEnd w:id="56"/>
    <w:p>
      <w:pPr>
        <w:ind w:left="2"/>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242" w:right="80" w:hanging="242"/>
        <w:spacing w:after="0" w:line="248" w:lineRule="auto"/>
        <w:tabs>
          <w:tab w:leader="none" w:pos="241" w:val="left"/>
        </w:tabs>
        <w:numPr>
          <w:ilvl w:val="0"/>
          <w:numId w:val="16"/>
        </w:numPr>
        <w:rPr>
          <w:rFonts w:ascii="Arial" w:cs="Arial" w:eastAsia="Arial" w:hAnsi="Arial"/>
          <w:sz w:val="10"/>
          <w:szCs w:val="10"/>
          <w:i w:val="1"/>
          <w:iCs w:val="1"/>
          <w:color w:val="auto"/>
        </w:rPr>
      </w:pPr>
      <w:r>
        <w:rPr>
          <w:rFonts w:ascii="Arial" w:cs="Arial" w:eastAsia="Arial" w:hAnsi="Arial"/>
          <w:sz w:val="10"/>
          <w:szCs w:val="10"/>
          <w:color w:val="auto"/>
        </w:rPr>
        <w:t>Represents costs directly associated with acquisition or disposal activities, including employee severance and termination benefits, contract termination fees and penalties, and other exit or disposal costs. For the three and six months ended June 30, 2021, this expense related primarily to costs incurred related to 2021 acquisitions, as well as accelerated depreciation related to the Company’s anticipated Waltham office relocation. For the three and six months ended June 30, 2020, this expense related primarily to professional fees for the preparation for an initial public offering.</w:t>
      </w:r>
    </w:p>
    <w:p>
      <w:pPr>
        <w:jc w:val="both"/>
        <w:ind w:left="242" w:right="80" w:hanging="242"/>
        <w:spacing w:after="0" w:line="284" w:lineRule="auto"/>
        <w:tabs>
          <w:tab w:leader="none" w:pos="237" w:val="left"/>
        </w:tabs>
        <w:numPr>
          <w:ilvl w:val="0"/>
          <w:numId w:val="16"/>
        </w:numPr>
        <w:rPr>
          <w:rFonts w:ascii="Arial" w:cs="Arial" w:eastAsia="Arial" w:hAnsi="Arial"/>
          <w:sz w:val="9"/>
          <w:szCs w:val="9"/>
          <w:color w:val="auto"/>
        </w:rPr>
      </w:pPr>
      <w:r>
        <w:rPr>
          <w:rFonts w:ascii="Arial" w:cs="Arial" w:eastAsia="Arial" w:hAnsi="Arial"/>
          <w:sz w:val="9"/>
          <w:szCs w:val="9"/>
          <w:color w:val="auto"/>
        </w:rPr>
        <w:t>Represents costs directly associated with integration activities for acquisitions and acquisition-related compensation, which includes transaction bonuses and retention awards. For the three months ended June 30, 2021, this expense related to retention awards from the acquisitions of Clickagy and Everstring, as well as cash vesting payments from the acquisition of Pre-Acquisition ZI. For the three months ended June 30, 2020, this expense related primarily to cash vesting payments from the acquisition of Pre-Acquisition ZI. For the six months ended June 30, 2021, this expense related to retention awards from the acquisitions of Clickagy and Everstring, as well as cash vesting payments from the acquisition of Pre-Acquisition ZI. For the six months ended June 30, 2020, this expense related primarily to cash vesting payments from the acquisition of Pre-Acquisition ZI. This expense is included in cost of service, sales and marketing expense, research and development expense, and general and administrative expense as follows:</w:t>
      </w:r>
    </w:p>
    <w:p>
      <w:pPr>
        <w:spacing w:after="0" w:line="70" w:lineRule="exact"/>
        <w:rPr>
          <w:sz w:val="20"/>
          <w:szCs w:val="20"/>
          <w:color w:val="auto"/>
        </w:rPr>
      </w:pPr>
    </w:p>
    <w:tbl>
      <w:tblPr>
        <w:tblLayout w:type="fixed"/>
        <w:tblInd w:w="242" w:type="dxa"/>
        <w:tblCellMar>
          <w:top w:w="0" w:type="dxa"/>
          <w:left w:w="0" w:type="dxa"/>
          <w:bottom w:w="0" w:type="dxa"/>
          <w:right w:w="0" w:type="dxa"/>
        </w:tblCellMar>
      </w:tblPr>
      <w:tr>
        <w:trPr>
          <w:trHeight w:val="143"/>
        </w:trPr>
        <w:tc>
          <w:tcPr>
            <w:tcW w:w="46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June 30,</w:t>
            </w:r>
          </w:p>
        </w:tc>
        <w:tc>
          <w:tcPr>
            <w:tcW w:w="9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0"/>
                <w:szCs w:val="10"/>
                <w:b w:val="1"/>
                <w:bCs w:val="1"/>
                <w:color w:val="auto"/>
              </w:rPr>
              <w:t>Six Months Ended June 30,</w:t>
            </w:r>
          </w:p>
        </w:tc>
        <w:tc>
          <w:tcPr>
            <w:tcW w:w="940" w:type="dxa"/>
            <w:vAlign w:val="bottom"/>
            <w:tcBorders>
              <w:bottom w:val="single" w:sz="8" w:color="auto"/>
            </w:tcBorders>
          </w:tcPr>
          <w:p>
            <w:pPr>
              <w:spacing w:after="0"/>
              <w:rPr>
                <w:sz w:val="12"/>
                <w:szCs w:val="12"/>
                <w:color w:val="auto"/>
              </w:rPr>
            </w:pPr>
          </w:p>
        </w:tc>
      </w:tr>
      <w:tr>
        <w:trPr>
          <w:trHeight w:val="145"/>
        </w:trPr>
        <w:tc>
          <w:tcPr>
            <w:tcW w:w="46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28"/>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28"/>
              <w:spacing w:after="0"/>
              <w:rPr>
                <w:sz w:val="20"/>
                <w:szCs w:val="20"/>
                <w:color w:val="auto"/>
              </w:rPr>
            </w:pPr>
            <w:r>
              <w:rPr>
                <w:rFonts w:ascii="Arial" w:cs="Arial" w:eastAsia="Arial" w:hAnsi="Arial"/>
                <w:sz w:val="10"/>
                <w:szCs w:val="10"/>
                <w:b w:val="1"/>
                <w:bCs w:val="1"/>
                <w:color w:val="auto"/>
                <w:w w:val="89"/>
              </w:rPr>
              <w:t>2020</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08"/>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28"/>
              <w:spacing w:after="0"/>
              <w:rPr>
                <w:sz w:val="20"/>
                <w:szCs w:val="20"/>
                <w:color w:val="auto"/>
              </w:rPr>
            </w:pPr>
            <w:r>
              <w:rPr>
                <w:rFonts w:ascii="Arial" w:cs="Arial" w:eastAsia="Arial" w:hAnsi="Arial"/>
                <w:sz w:val="10"/>
                <w:szCs w:val="10"/>
                <w:b w:val="1"/>
                <w:bCs w:val="1"/>
                <w:color w:val="auto"/>
              </w:rPr>
              <w:t>2020</w:t>
            </w:r>
          </w:p>
        </w:tc>
      </w:tr>
      <w:tr>
        <w:trPr>
          <w:trHeight w:val="154"/>
        </w:trPr>
        <w:tc>
          <w:tcPr>
            <w:tcW w:w="4620" w:type="dxa"/>
            <w:vAlign w:val="bottom"/>
            <w:shd w:val="clear" w:color="auto" w:fill="CCEEFF"/>
          </w:tcPr>
          <w:p>
            <w:pPr>
              <w:spacing w:after="0"/>
              <w:rPr>
                <w:sz w:val="20"/>
                <w:szCs w:val="20"/>
                <w:color w:val="auto"/>
              </w:rPr>
            </w:pPr>
            <w:r>
              <w:rPr>
                <w:rFonts w:ascii="Arial" w:cs="Arial" w:eastAsia="Arial" w:hAnsi="Arial"/>
                <w:sz w:val="10"/>
                <w:szCs w:val="10"/>
                <w:color w:val="auto"/>
              </w:rPr>
              <w:t>Cost of service</w:t>
            </w:r>
          </w:p>
        </w:tc>
        <w:tc>
          <w:tcPr>
            <w:tcW w:w="360" w:type="dxa"/>
            <w:vAlign w:val="bottom"/>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0.6</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528"/>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0.1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88"/>
              <w:spacing w:after="0"/>
              <w:rPr>
                <w:sz w:val="20"/>
                <w:szCs w:val="20"/>
                <w:color w:val="auto"/>
              </w:rPr>
            </w:pPr>
            <w:r>
              <w:rPr>
                <w:rFonts w:ascii="Arial" w:cs="Arial" w:eastAsia="Arial" w:hAnsi="Arial"/>
                <w:sz w:val="10"/>
                <w:szCs w:val="10"/>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0.2</w:t>
            </w:r>
          </w:p>
        </w:tc>
      </w:tr>
      <w:tr>
        <w:trPr>
          <w:trHeight w:val="146"/>
        </w:trPr>
        <w:tc>
          <w:tcPr>
            <w:tcW w:w="4620" w:type="dxa"/>
            <w:vAlign w:val="bottom"/>
          </w:tcPr>
          <w:p>
            <w:pPr>
              <w:spacing w:after="0"/>
              <w:rPr>
                <w:sz w:val="20"/>
                <w:szCs w:val="20"/>
                <w:color w:val="auto"/>
              </w:rPr>
            </w:pPr>
            <w:r>
              <w:rPr>
                <w:rFonts w:ascii="Arial" w:cs="Arial" w:eastAsia="Arial" w:hAnsi="Arial"/>
                <w:sz w:val="10"/>
                <w:szCs w:val="10"/>
                <w:color w:val="auto"/>
              </w:rPr>
              <w:t>Sales and marketing</w:t>
            </w: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0.5</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jc w:val="right"/>
              <w:ind w:right="8"/>
              <w:spacing w:after="0"/>
              <w:rPr>
                <w:sz w:val="20"/>
                <w:szCs w:val="20"/>
                <w:color w:val="auto"/>
              </w:rPr>
            </w:pPr>
            <w:r>
              <w:rPr>
                <w:rFonts w:ascii="Arial" w:cs="Arial" w:eastAsia="Arial" w:hAnsi="Arial"/>
                <w:sz w:val="10"/>
                <w:szCs w:val="10"/>
                <w:color w:val="auto"/>
              </w:rPr>
              <w:t>0.8</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1.8</w:t>
            </w:r>
          </w:p>
        </w:tc>
      </w:tr>
      <w:tr>
        <w:trPr>
          <w:trHeight w:val="164"/>
        </w:trPr>
        <w:tc>
          <w:tcPr>
            <w:tcW w:w="4620" w:type="dxa"/>
            <w:vAlign w:val="bottom"/>
            <w:shd w:val="clear" w:color="auto" w:fill="CCEEFF"/>
          </w:tcPr>
          <w:p>
            <w:pPr>
              <w:spacing w:after="0"/>
              <w:rPr>
                <w:sz w:val="20"/>
                <w:szCs w:val="20"/>
                <w:color w:val="auto"/>
              </w:rPr>
            </w:pPr>
            <w:r>
              <w:rPr>
                <w:rFonts w:ascii="Arial" w:cs="Arial" w:eastAsia="Arial" w:hAnsi="Arial"/>
                <w:sz w:val="10"/>
                <w:szCs w:val="10"/>
                <w:color w:val="auto"/>
              </w:rPr>
              <w:t>Research and development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0.7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2.4</w:t>
            </w:r>
          </w:p>
        </w:tc>
      </w:tr>
      <w:tr>
        <w:trPr>
          <w:trHeight w:val="146"/>
        </w:trPr>
        <w:tc>
          <w:tcPr>
            <w:tcW w:w="4620" w:type="dxa"/>
            <w:vAlign w:val="bottom"/>
          </w:tcPr>
          <w:p>
            <w:pPr>
              <w:spacing w:after="0"/>
              <w:rPr>
                <w:sz w:val="20"/>
                <w:szCs w:val="20"/>
                <w:color w:val="auto"/>
              </w:rPr>
            </w:pPr>
            <w:r>
              <w:rPr>
                <w:rFonts w:ascii="Arial" w:cs="Arial" w:eastAsia="Arial" w:hAnsi="Arial"/>
                <w:sz w:val="10"/>
                <w:szCs w:val="10"/>
                <w:color w:val="auto"/>
              </w:rPr>
              <w:t>General and administrative</w:t>
            </w: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0.5</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ind w:right="8"/>
              <w:spacing w:after="0"/>
              <w:rPr>
                <w:sz w:val="20"/>
                <w:szCs w:val="20"/>
                <w:color w:val="auto"/>
              </w:rPr>
            </w:pPr>
            <w:r>
              <w:rPr>
                <w:rFonts w:ascii="Arial" w:cs="Arial" w:eastAsia="Arial" w:hAnsi="Arial"/>
                <w:sz w:val="10"/>
                <w:szCs w:val="10"/>
                <w:color w:val="auto"/>
              </w:rPr>
              <w:t>0.1</w:t>
            </w:r>
          </w:p>
        </w:tc>
      </w:tr>
      <w:tr>
        <w:trPr>
          <w:trHeight w:val="173"/>
        </w:trPr>
        <w:tc>
          <w:tcPr>
            <w:tcW w:w="46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Total integration costs and acquisition-related compensation</w:t>
            </w:r>
          </w:p>
        </w:tc>
        <w:tc>
          <w:tcPr>
            <w:tcW w:w="36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52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1.6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88"/>
              <w:spacing w:after="0"/>
              <w:rPr>
                <w:sz w:val="20"/>
                <w:szCs w:val="20"/>
                <w:color w:val="auto"/>
              </w:rPr>
            </w:pPr>
            <w:r>
              <w:rPr>
                <w:rFonts w:ascii="Arial" w:cs="Arial" w:eastAsia="Arial" w:hAnsi="Arial"/>
                <w:sz w:val="10"/>
                <w:szCs w:val="10"/>
                <w:color w:val="auto"/>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4.5</w:t>
            </w:r>
          </w:p>
        </w:tc>
      </w:tr>
    </w:tbl>
    <w:p>
      <w:pPr>
        <w:spacing w:after="0" w:line="185" w:lineRule="exact"/>
        <w:rPr>
          <w:sz w:val="20"/>
          <w:szCs w:val="20"/>
          <w:color w:val="auto"/>
        </w:rPr>
      </w:pPr>
    </w:p>
    <w:p>
      <w:pPr>
        <w:ind w:left="242"/>
        <w:spacing w:after="0"/>
        <w:rPr>
          <w:sz w:val="20"/>
          <w:szCs w:val="20"/>
          <w:color w:val="auto"/>
        </w:rPr>
      </w:pPr>
      <w:r>
        <w:rPr>
          <w:rFonts w:ascii="Arial" w:cs="Arial" w:eastAsia="Arial" w:hAnsi="Arial"/>
          <w:sz w:val="13"/>
          <w:szCs w:val="13"/>
          <w:color w:val="auto"/>
        </w:rPr>
        <w:t>We define Adjusted Operating Income Margin as Adjusted Operating Income divided by the sum of revenue and the impact of fair value adjustments to acquired unearned revenue.</w:t>
      </w:r>
    </w:p>
    <w:p>
      <w:pPr>
        <w:spacing w:after="0" w:line="153" w:lineRule="exact"/>
        <w:rPr>
          <w:sz w:val="20"/>
          <w:szCs w:val="20"/>
          <w:color w:val="auto"/>
        </w:rPr>
      </w:pPr>
    </w:p>
    <w:tbl>
      <w:tblPr>
        <w:tblLayout w:type="fixed"/>
        <w:tblInd w:w="242" w:type="dxa"/>
        <w:tblCellMar>
          <w:top w:w="0" w:type="dxa"/>
          <w:left w:w="0" w:type="dxa"/>
          <w:bottom w:w="0" w:type="dxa"/>
          <w:right w:w="0" w:type="dxa"/>
        </w:tblCellMar>
      </w:tblPr>
      <w:tr>
        <w:trPr>
          <w:trHeight w:val="143"/>
        </w:trPr>
        <w:tc>
          <w:tcPr>
            <w:tcW w:w="35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0"/>
                <w:szCs w:val="10"/>
                <w:b w:val="1"/>
                <w:bCs w:val="1"/>
                <w:color w:val="auto"/>
              </w:rPr>
              <w:t>Three Months Ended June 30,</w:t>
            </w: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0"/>
                <w:szCs w:val="10"/>
                <w:b w:val="1"/>
                <w:bCs w:val="1"/>
                <w:color w:val="auto"/>
              </w:rPr>
              <w:t>Six Months Ended June 30,</w:t>
            </w:r>
          </w:p>
        </w:tc>
        <w:tc>
          <w:tcPr>
            <w:tcW w:w="900" w:type="dxa"/>
            <w:vAlign w:val="bottom"/>
            <w:tcBorders>
              <w:bottom w:val="single" w:sz="8" w:color="auto"/>
            </w:tcBorders>
          </w:tcPr>
          <w:p>
            <w:pPr>
              <w:spacing w:after="0"/>
              <w:rPr>
                <w:sz w:val="12"/>
                <w:szCs w:val="12"/>
                <w:color w:val="auto"/>
              </w:rPr>
            </w:pPr>
          </w:p>
        </w:tc>
      </w:tr>
      <w:tr>
        <w:trPr>
          <w:trHeight w:val="145"/>
        </w:trPr>
        <w:tc>
          <w:tcPr>
            <w:tcW w:w="3560" w:type="dxa"/>
            <w:vAlign w:val="bottom"/>
            <w:tcBorders>
              <w:bottom w:val="single" w:sz="8" w:color="CCEEFF"/>
            </w:tcBorders>
          </w:tcPr>
          <w:p>
            <w:pPr>
              <w:ind w:left="240"/>
              <w:spacing w:after="0"/>
              <w:rPr>
                <w:sz w:val="20"/>
                <w:szCs w:val="20"/>
                <w:color w:val="auto"/>
              </w:rPr>
            </w:pPr>
            <w:r>
              <w:rPr>
                <w:rFonts w:ascii="Arial" w:cs="Arial" w:eastAsia="Arial" w:hAnsi="Arial"/>
                <w:sz w:val="10"/>
                <w:szCs w:val="10"/>
                <w:b w:val="1"/>
                <w:bCs w:val="1"/>
                <w:i w:val="1"/>
                <w:iCs w:val="1"/>
                <w:color w:val="auto"/>
              </w:rPr>
              <w:t>($ in millions)</w:t>
            </w:r>
          </w:p>
        </w:tc>
        <w:tc>
          <w:tcPr>
            <w:tcW w:w="6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0"/>
                <w:szCs w:val="10"/>
                <w:b w:val="1"/>
                <w:bCs w:val="1"/>
                <w:color w:val="auto"/>
              </w:rPr>
              <w:t>2021</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78"/>
              <w:spacing w:after="0"/>
              <w:rPr>
                <w:sz w:val="20"/>
                <w:szCs w:val="20"/>
                <w:color w:val="auto"/>
              </w:rPr>
            </w:pPr>
            <w:r>
              <w:rPr>
                <w:rFonts w:ascii="Arial" w:cs="Arial" w:eastAsia="Arial" w:hAnsi="Arial"/>
                <w:sz w:val="10"/>
                <w:szCs w:val="10"/>
                <w:b w:val="1"/>
                <w:bCs w:val="1"/>
                <w:color w:val="auto"/>
              </w:rPr>
              <w:t>2020</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0"/>
                <w:szCs w:val="10"/>
                <w:b w:val="1"/>
                <w:bCs w:val="1"/>
                <w:color w:val="auto"/>
              </w:rPr>
              <w:t>2021</w:t>
            </w: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8"/>
              <w:spacing w:after="0"/>
              <w:rPr>
                <w:sz w:val="20"/>
                <w:szCs w:val="20"/>
                <w:color w:val="auto"/>
              </w:rPr>
            </w:pPr>
            <w:r>
              <w:rPr>
                <w:rFonts w:ascii="Arial" w:cs="Arial" w:eastAsia="Arial" w:hAnsi="Arial"/>
                <w:sz w:val="10"/>
                <w:szCs w:val="10"/>
                <w:b w:val="1"/>
                <w:bCs w:val="1"/>
                <w:color w:val="auto"/>
              </w:rPr>
              <w:t>2020</w:t>
            </w:r>
          </w:p>
        </w:tc>
      </w:tr>
      <w:tr>
        <w:trPr>
          <w:trHeight w:val="173"/>
        </w:trPr>
        <w:tc>
          <w:tcPr>
            <w:tcW w:w="3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i w:val="1"/>
                <w:iCs w:val="1"/>
                <w:color w:val="auto"/>
              </w:rPr>
              <w:t>Adjusted Operating Income</w:t>
            </w:r>
          </w:p>
        </w:tc>
        <w:tc>
          <w:tcPr>
            <w:tcW w:w="62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75.8</w:t>
            </w:r>
          </w:p>
        </w:tc>
        <w:tc>
          <w:tcPr>
            <w:tcW w:w="120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55.0</w:t>
            </w:r>
          </w:p>
        </w:tc>
        <w:tc>
          <w:tcPr>
            <w:tcW w:w="9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141.9</w:t>
            </w:r>
          </w:p>
        </w:tc>
        <w:tc>
          <w:tcPr>
            <w:tcW w:w="120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3"/>
                <w:szCs w:val="13"/>
                <w:color w:val="auto"/>
              </w:rPr>
              <w:t>104.0</w:t>
            </w:r>
          </w:p>
        </w:tc>
      </w:tr>
      <w:tr>
        <w:trPr>
          <w:trHeight w:val="194"/>
        </w:trPr>
        <w:tc>
          <w:tcPr>
            <w:tcW w:w="3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74"/>
        </w:trPr>
        <w:tc>
          <w:tcPr>
            <w:tcW w:w="3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Revenue</w:t>
            </w:r>
          </w:p>
        </w:tc>
        <w:tc>
          <w:tcPr>
            <w:tcW w:w="6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174.0</w:t>
            </w:r>
          </w:p>
        </w:tc>
        <w:tc>
          <w:tcPr>
            <w:tcW w:w="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110.9</w:t>
            </w: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327.3</w:t>
            </w:r>
          </w:p>
        </w:tc>
        <w:tc>
          <w:tcPr>
            <w:tcW w:w="2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3"/>
                <w:szCs w:val="13"/>
                <w:color w:val="auto"/>
              </w:rPr>
              <w:t>213.1</w:t>
            </w:r>
          </w:p>
        </w:tc>
      </w:tr>
      <w:tr>
        <w:trPr>
          <w:trHeight w:val="174"/>
        </w:trPr>
        <w:tc>
          <w:tcPr>
            <w:tcW w:w="3560" w:type="dxa"/>
            <w:vAlign w:val="bottom"/>
          </w:tcPr>
          <w:p>
            <w:pPr>
              <w:ind w:left="140"/>
              <w:spacing w:after="0"/>
              <w:rPr>
                <w:sz w:val="20"/>
                <w:szCs w:val="20"/>
                <w:color w:val="auto"/>
              </w:rPr>
            </w:pPr>
            <w:r>
              <w:rPr>
                <w:rFonts w:ascii="Arial" w:cs="Arial" w:eastAsia="Arial" w:hAnsi="Arial"/>
                <w:sz w:val="13"/>
                <w:szCs w:val="13"/>
                <w:color w:val="auto"/>
                <w:w w:val="94"/>
              </w:rPr>
              <w:t>Impact of fair value adjustments to acquired unearned revenue</w:t>
            </w:r>
          </w:p>
        </w:tc>
        <w:tc>
          <w:tcPr>
            <w:tcW w:w="620" w:type="dxa"/>
            <w:vAlign w:val="bottom"/>
          </w:tcPr>
          <w:p>
            <w:pPr>
              <w:spacing w:after="0"/>
              <w:rPr>
                <w:sz w:val="15"/>
                <w:szCs w:val="15"/>
                <w:color w:val="auto"/>
              </w:rPr>
            </w:pPr>
          </w:p>
        </w:tc>
        <w:tc>
          <w:tcPr>
            <w:tcW w:w="960" w:type="dxa"/>
            <w:vAlign w:val="bottom"/>
          </w:tcPr>
          <w:p>
            <w:pPr>
              <w:jc w:val="right"/>
              <w:ind w:right="79"/>
              <w:spacing w:after="0"/>
              <w:rPr>
                <w:sz w:val="20"/>
                <w:szCs w:val="20"/>
                <w:color w:val="auto"/>
              </w:rPr>
            </w:pPr>
            <w:r>
              <w:rPr>
                <w:rFonts w:ascii="Arial" w:cs="Arial" w:eastAsia="Arial" w:hAnsi="Arial"/>
                <w:sz w:val="13"/>
                <w:szCs w:val="13"/>
                <w:color w:val="auto"/>
              </w:rPr>
              <w:t>0.4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0.3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jc w:val="right"/>
              <w:ind w:right="79"/>
              <w:spacing w:after="0"/>
              <w:rPr>
                <w:sz w:val="20"/>
                <w:szCs w:val="20"/>
                <w:color w:val="auto"/>
              </w:rPr>
            </w:pPr>
            <w:r>
              <w:rPr>
                <w:rFonts w:ascii="Arial" w:cs="Arial" w:eastAsia="Arial" w:hAnsi="Arial"/>
                <w:sz w:val="13"/>
                <w:szCs w:val="13"/>
                <w:color w:val="auto"/>
              </w:rPr>
              <w:t>1.1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jc w:val="right"/>
              <w:ind w:right="158"/>
              <w:spacing w:after="0"/>
              <w:rPr>
                <w:sz w:val="20"/>
                <w:szCs w:val="20"/>
                <w:color w:val="auto"/>
              </w:rPr>
            </w:pPr>
            <w:r>
              <w:rPr>
                <w:rFonts w:ascii="Arial" w:cs="Arial" w:eastAsia="Arial" w:hAnsi="Arial"/>
                <w:sz w:val="13"/>
                <w:szCs w:val="13"/>
                <w:color w:val="auto"/>
              </w:rPr>
              <w:t>1.7</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2"/>
        </w:trPr>
        <w:tc>
          <w:tcPr>
            <w:tcW w:w="3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Revenue for adjusted operating margin calculation</w:t>
            </w:r>
          </w:p>
        </w:tc>
        <w:tc>
          <w:tcPr>
            <w:tcW w:w="62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174.4</w:t>
            </w: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111.2</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328.4</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214.8</w:t>
            </w:r>
          </w:p>
        </w:tc>
      </w:tr>
      <w:tr>
        <w:trPr>
          <w:trHeight w:val="174"/>
        </w:trPr>
        <w:tc>
          <w:tcPr>
            <w:tcW w:w="3560" w:type="dxa"/>
            <w:vAlign w:val="bottom"/>
            <w:tcBorders>
              <w:top w:val="single" w:sz="8" w:color="CCEEFF"/>
            </w:tcBorders>
          </w:tcPr>
          <w:p>
            <w:pPr>
              <w:ind w:left="240"/>
              <w:spacing w:after="0"/>
              <w:rPr>
                <w:sz w:val="20"/>
                <w:szCs w:val="20"/>
                <w:color w:val="auto"/>
              </w:rPr>
            </w:pPr>
            <w:r>
              <w:rPr>
                <w:rFonts w:ascii="Arial" w:cs="Arial" w:eastAsia="Arial" w:hAnsi="Arial"/>
                <w:sz w:val="13"/>
                <w:szCs w:val="13"/>
                <w:b w:val="1"/>
                <w:bCs w:val="1"/>
                <w:i w:val="1"/>
                <w:iCs w:val="1"/>
                <w:color w:val="auto"/>
              </w:rPr>
              <w:t>Adjusted Operating Income Margin</w:t>
            </w:r>
          </w:p>
        </w:tc>
        <w:tc>
          <w:tcPr>
            <w:tcW w:w="6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3"/>
                <w:szCs w:val="13"/>
                <w:i w:val="1"/>
                <w:iCs w:val="1"/>
                <w:color w:val="auto"/>
              </w:rPr>
              <w:t>43</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78"/>
              <w:spacing w:after="0"/>
              <w:rPr>
                <w:sz w:val="20"/>
                <w:szCs w:val="20"/>
                <w:color w:val="auto"/>
              </w:rPr>
            </w:pPr>
            <w:r>
              <w:rPr>
                <w:rFonts w:ascii="Arial" w:cs="Arial" w:eastAsia="Arial" w:hAnsi="Arial"/>
                <w:sz w:val="13"/>
                <w:szCs w:val="13"/>
                <w:i w:val="1"/>
                <w:iCs w:val="1"/>
                <w:color w:val="auto"/>
              </w:rPr>
              <w:t>49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3"/>
                <w:szCs w:val="13"/>
                <w:i w:val="1"/>
                <w:iCs w:val="1"/>
                <w:color w:val="auto"/>
              </w:rPr>
              <w:t>%</w:t>
            </w:r>
          </w:p>
        </w:tc>
        <w:tc>
          <w:tcPr>
            <w:tcW w:w="8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3"/>
                <w:szCs w:val="13"/>
                <w:i w:val="1"/>
                <w:iCs w:val="1"/>
                <w:color w:val="auto"/>
              </w:rPr>
              <w:t>43</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3"/>
                <w:szCs w:val="13"/>
                <w:i w:val="1"/>
                <w:iCs w:val="1"/>
                <w:color w:val="auto"/>
              </w:rPr>
              <w:t>%</w:t>
            </w:r>
          </w:p>
        </w:tc>
        <w:tc>
          <w:tcPr>
            <w:tcW w:w="16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58"/>
              <w:spacing w:after="0"/>
              <w:rPr>
                <w:sz w:val="20"/>
                <w:szCs w:val="20"/>
                <w:color w:val="auto"/>
              </w:rPr>
            </w:pPr>
            <w:r>
              <w:rPr>
                <w:rFonts w:ascii="Arial" w:cs="Arial" w:eastAsia="Arial" w:hAnsi="Arial"/>
                <w:sz w:val="13"/>
                <w:szCs w:val="13"/>
                <w:i w:val="1"/>
                <w:iCs w:val="1"/>
                <w:color w:val="auto"/>
              </w:rPr>
              <w:t>48</w:t>
            </w:r>
          </w:p>
        </w:tc>
      </w:tr>
    </w:tbl>
    <w:p>
      <w:pPr>
        <w:spacing w:after="0" w:line="205" w:lineRule="exact"/>
        <w:rPr>
          <w:sz w:val="20"/>
          <w:szCs w:val="20"/>
          <w:color w:val="auto"/>
        </w:rPr>
      </w:pPr>
    </w:p>
    <w:p>
      <w:pPr>
        <w:jc w:val="both"/>
        <w:ind w:left="2" w:right="80" w:firstLine="233"/>
        <w:spacing w:after="0" w:line="317" w:lineRule="auto"/>
        <w:rPr>
          <w:sz w:val="20"/>
          <w:szCs w:val="20"/>
          <w:color w:val="auto"/>
        </w:rPr>
      </w:pPr>
      <w:r>
        <w:rPr>
          <w:rFonts w:ascii="Arial" w:cs="Arial" w:eastAsia="Arial" w:hAnsi="Arial"/>
          <w:sz w:val="11"/>
          <w:szCs w:val="11"/>
          <w:color w:val="auto"/>
        </w:rPr>
        <w:t>Adjusted Operating Income for the three months ended June 30, 2021 was $75.8 million and represented an Adjusted Operating Income Margin of 43%. Adjusted Operating Income for the three months ended June 30, 2020 was $55.0 million and represented an Adjusted Operating Income Margin of 49%. The increase of $20.8 million, or 38%, was driven primarily from the growth in revenue driven by additional customers and increasing revenue from existing customers. Adjusted Operating Income Margin decreased to 43% in the three months ended June 30, 2021 from 49% in the three months ended June 30, 2020 due to incremental sales and marketing expenses related to signing new customers and retaining and upselling existing customers, and general and administration costs to support incremental public company related requirements.</w:t>
      </w:r>
    </w:p>
    <w:p>
      <w:pPr>
        <w:spacing w:after="0" w:line="78" w:lineRule="exact"/>
        <w:rPr>
          <w:sz w:val="20"/>
          <w:szCs w:val="20"/>
          <w:color w:val="auto"/>
        </w:rPr>
      </w:pPr>
    </w:p>
    <w:p>
      <w:pPr>
        <w:jc w:val="both"/>
        <w:ind w:left="2" w:right="80" w:firstLine="233"/>
        <w:spacing w:after="0" w:line="317" w:lineRule="auto"/>
        <w:rPr>
          <w:sz w:val="20"/>
          <w:szCs w:val="20"/>
          <w:color w:val="auto"/>
        </w:rPr>
      </w:pPr>
      <w:r>
        <w:rPr>
          <w:rFonts w:ascii="Arial" w:cs="Arial" w:eastAsia="Arial" w:hAnsi="Arial"/>
          <w:sz w:val="11"/>
          <w:szCs w:val="11"/>
          <w:color w:val="auto"/>
        </w:rPr>
        <w:t>Adjusted Operating Income for the six months ended June 30, 2021 was $141.9 million and represented an Adjusted Operating Income Margin of 43%. Adjusted Operating Income for the six months ended June 30, 2020 was $104.0 million and represented an Adjusted Operating Income Margin of 48%. The increase of $37.9 million, or 36%, was driven primarily from the growth in revenue driven by additional customers and increasing revenue from existing customers. Adjusted Operating Income Margin decreased to 43% in the six months ended June 30, 2021 from 48% in the six months ended June 30, 2020 due to incremental sales and marketing expenses related to signing new customers and retaining and upselling existing customers, and general and administration costs to support incremental public company related requirements.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8"/>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119380</wp:posOffset>
            </wp:positionV>
            <wp:extent cx="719645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2"/>
          </w:cols>
          <w:pgMar w:left="298" w:top="126" w:right="239" w:bottom="1440" w:gutter="0" w:footer="0" w:header="0"/>
        </w:sectPr>
      </w:pPr>
    </w:p>
    <w:bookmarkStart w:id="57" w:name="page58"/>
    <w:bookmarkEnd w:id="57"/>
    <w:p>
      <w:pPr>
        <w:ind w:left="2"/>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Adjusted EBITDA</w:t>
      </w:r>
    </w:p>
    <w:p>
      <w:pPr>
        <w:spacing w:after="0" w:line="122" w:lineRule="exact"/>
        <w:rPr>
          <w:sz w:val="20"/>
          <w:szCs w:val="20"/>
          <w:color w:val="auto"/>
        </w:rPr>
      </w:pPr>
    </w:p>
    <w:p>
      <w:pPr>
        <w:jc w:val="both"/>
        <w:ind w:left="2" w:right="60" w:firstLine="233"/>
        <w:spacing w:after="0" w:line="277" w:lineRule="auto"/>
        <w:rPr>
          <w:sz w:val="20"/>
          <w:szCs w:val="20"/>
          <w:color w:val="auto"/>
        </w:rPr>
      </w:pPr>
      <w:r>
        <w:rPr>
          <w:rFonts w:ascii="Arial" w:cs="Arial" w:eastAsia="Arial" w:hAnsi="Arial"/>
          <w:sz w:val="12"/>
          <w:szCs w:val="12"/>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87" w:lineRule="exact"/>
        <w:rPr>
          <w:sz w:val="20"/>
          <w:szCs w:val="20"/>
          <w:color w:val="auto"/>
        </w:rPr>
      </w:pPr>
    </w:p>
    <w:p>
      <w:pPr>
        <w:ind w:left="242"/>
        <w:spacing w:after="0"/>
        <w:rPr>
          <w:sz w:val="20"/>
          <w:szCs w:val="20"/>
          <w:color w:val="auto"/>
        </w:rPr>
      </w:pPr>
      <w:r>
        <w:rPr>
          <w:rFonts w:ascii="Arial" w:cs="Arial" w:eastAsia="Arial" w:hAnsi="Arial"/>
          <w:sz w:val="13"/>
          <w:szCs w:val="13"/>
          <w:color w:val="auto"/>
        </w:rPr>
        <w:t>The following table presents a reconciliation of net income (loss) to Adjusted EBITDA for the periods presented:</w:t>
      </w:r>
    </w:p>
    <w:p>
      <w:pPr>
        <w:spacing w:after="0" w:line="153" w:lineRule="exact"/>
        <w:rPr>
          <w:sz w:val="20"/>
          <w:szCs w:val="20"/>
          <w:color w:val="auto"/>
        </w:rPr>
      </w:pPr>
    </w:p>
    <w:tbl>
      <w:tblPr>
        <w:tblLayout w:type="fixed"/>
        <w:tblInd w:w="242" w:type="dxa"/>
        <w:tblCellMar>
          <w:top w:w="0" w:type="dxa"/>
          <w:left w:w="0" w:type="dxa"/>
          <w:bottom w:w="0" w:type="dxa"/>
          <w:right w:w="0" w:type="dxa"/>
        </w:tblCellMar>
      </w:tblPr>
      <w:tr>
        <w:trPr>
          <w:trHeight w:val="143"/>
        </w:trPr>
        <w:tc>
          <w:tcPr>
            <w:tcW w:w="42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June 30,</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0"/>
                <w:szCs w:val="10"/>
                <w:b w:val="1"/>
                <w:bCs w:val="1"/>
                <w:color w:val="auto"/>
              </w:rPr>
              <w:t>Six Months Ended June 30,</w:t>
            </w:r>
          </w:p>
        </w:tc>
        <w:tc>
          <w:tcPr>
            <w:tcW w:w="760" w:type="dxa"/>
            <w:vAlign w:val="bottom"/>
            <w:tcBorders>
              <w:bottom w:val="single" w:sz="8" w:color="auto"/>
            </w:tcBorders>
          </w:tcPr>
          <w:p>
            <w:pPr>
              <w:spacing w:after="0"/>
              <w:rPr>
                <w:sz w:val="12"/>
                <w:szCs w:val="12"/>
                <w:color w:val="auto"/>
              </w:rPr>
            </w:pPr>
          </w:p>
        </w:tc>
      </w:tr>
      <w:tr>
        <w:trPr>
          <w:trHeight w:val="145"/>
        </w:trPr>
        <w:tc>
          <w:tcPr>
            <w:tcW w:w="4280" w:type="dxa"/>
            <w:vAlign w:val="bottom"/>
            <w:tcBorders>
              <w:bottom w:val="single" w:sz="8" w:color="CCEEFF"/>
            </w:tcBorders>
          </w:tcPr>
          <w:p>
            <w:pPr>
              <w:ind w:left="240"/>
              <w:spacing w:after="0"/>
              <w:rPr>
                <w:sz w:val="20"/>
                <w:szCs w:val="20"/>
                <w:color w:val="auto"/>
              </w:rPr>
            </w:pPr>
            <w:r>
              <w:rPr>
                <w:rFonts w:ascii="Arial" w:cs="Arial" w:eastAsia="Arial" w:hAnsi="Arial"/>
                <w:sz w:val="10"/>
                <w:szCs w:val="10"/>
                <w:b w:val="1"/>
                <w:bCs w:val="1"/>
                <w:i w:val="1"/>
                <w:iCs w:val="1"/>
                <w:color w:val="auto"/>
              </w:rPr>
              <w:t>($ in millions)</w:t>
            </w:r>
          </w:p>
        </w:tc>
        <w:tc>
          <w:tcPr>
            <w:tcW w:w="5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57"/>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36"/>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7"/>
              <w:spacing w:after="0"/>
              <w:rPr>
                <w:sz w:val="20"/>
                <w:szCs w:val="20"/>
                <w:color w:val="auto"/>
              </w:rPr>
            </w:pPr>
            <w:r>
              <w:rPr>
                <w:rFonts w:ascii="Arial" w:cs="Arial" w:eastAsia="Arial" w:hAnsi="Arial"/>
                <w:sz w:val="10"/>
                <w:szCs w:val="10"/>
                <w:b w:val="1"/>
                <w:bCs w:val="1"/>
                <w:color w:val="auto"/>
              </w:rPr>
              <w:t>2021</w:t>
            </w: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96"/>
              <w:spacing w:after="0"/>
              <w:rPr>
                <w:sz w:val="20"/>
                <w:szCs w:val="20"/>
                <w:color w:val="auto"/>
              </w:rPr>
            </w:pPr>
            <w:r>
              <w:rPr>
                <w:rFonts w:ascii="Arial" w:cs="Arial" w:eastAsia="Arial" w:hAnsi="Arial"/>
                <w:sz w:val="10"/>
                <w:szCs w:val="10"/>
                <w:b w:val="1"/>
                <w:bCs w:val="1"/>
                <w:color w:val="auto"/>
              </w:rPr>
              <w:t>2020</w:t>
            </w:r>
          </w:p>
        </w:tc>
      </w:tr>
      <w:tr>
        <w:trPr>
          <w:trHeight w:val="173"/>
        </w:trPr>
        <w:tc>
          <w:tcPr>
            <w:tcW w:w="4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Net income (loss)</w:t>
            </w:r>
          </w:p>
        </w:tc>
        <w:tc>
          <w:tcPr>
            <w:tcW w:w="5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(77.9)</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w:t>
            </w:r>
          </w:p>
        </w:tc>
      </w:tr>
      <w:tr>
        <w:trPr>
          <w:trHeight w:val="174"/>
        </w:trPr>
        <w:tc>
          <w:tcPr>
            <w:tcW w:w="4280" w:type="dxa"/>
            <w:vAlign w:val="bottom"/>
          </w:tcPr>
          <w:p>
            <w:pPr>
              <w:ind w:left="380"/>
              <w:spacing w:after="0"/>
              <w:rPr>
                <w:sz w:val="20"/>
                <w:szCs w:val="20"/>
                <w:color w:val="auto"/>
              </w:rPr>
            </w:pPr>
            <w:r>
              <w:rPr>
                <w:rFonts w:ascii="Arial" w:cs="Arial" w:eastAsia="Arial" w:hAnsi="Arial"/>
                <w:sz w:val="13"/>
                <w:szCs w:val="13"/>
                <w:color w:val="auto"/>
              </w:rPr>
              <w:t>Add (less): Expense (benefit) from income taxes</w:t>
            </w:r>
          </w:p>
        </w:tc>
        <w:tc>
          <w:tcPr>
            <w:tcW w:w="5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55.9</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20"/>
        </w:trPr>
        <w:tc>
          <w:tcPr>
            <w:tcW w:w="4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4"/>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Add: Interest expense, net</w:t>
            </w:r>
          </w:p>
        </w:tc>
        <w:tc>
          <w:tcPr>
            <w:tcW w:w="5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74"/>
        </w:trPr>
        <w:tc>
          <w:tcPr>
            <w:tcW w:w="4280" w:type="dxa"/>
            <w:vAlign w:val="bottom"/>
          </w:tcPr>
          <w:p>
            <w:pPr>
              <w:ind w:left="380"/>
              <w:spacing w:after="0"/>
              <w:rPr>
                <w:sz w:val="20"/>
                <w:szCs w:val="20"/>
                <w:color w:val="auto"/>
              </w:rPr>
            </w:pPr>
            <w:r>
              <w:rPr>
                <w:rFonts w:ascii="Arial" w:cs="Arial" w:eastAsia="Arial" w:hAnsi="Arial"/>
                <w:sz w:val="13"/>
                <w:szCs w:val="13"/>
                <w:color w:val="auto"/>
              </w:rPr>
              <w:t>Add: Loss on debt extinguishment</w:t>
            </w:r>
          </w:p>
        </w:tc>
        <w:tc>
          <w:tcPr>
            <w:tcW w:w="5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20"/>
        </w:trPr>
        <w:tc>
          <w:tcPr>
            <w:tcW w:w="4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4"/>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Add: Depreciation</w:t>
            </w:r>
          </w:p>
        </w:tc>
        <w:tc>
          <w:tcPr>
            <w:tcW w:w="5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74"/>
        </w:trPr>
        <w:tc>
          <w:tcPr>
            <w:tcW w:w="4280" w:type="dxa"/>
            <w:vAlign w:val="bottom"/>
          </w:tcPr>
          <w:p>
            <w:pPr>
              <w:ind w:left="380"/>
              <w:spacing w:after="0"/>
              <w:rPr>
                <w:sz w:val="20"/>
                <w:szCs w:val="20"/>
                <w:color w:val="auto"/>
              </w:rPr>
            </w:pPr>
            <w:r>
              <w:rPr>
                <w:rFonts w:ascii="Arial" w:cs="Arial" w:eastAsia="Arial" w:hAnsi="Arial"/>
                <w:sz w:val="13"/>
                <w:szCs w:val="13"/>
                <w:color w:val="auto"/>
              </w:rPr>
              <w:t>Add: Amortization of acquired technology</w:t>
            </w:r>
          </w:p>
        </w:tc>
        <w:tc>
          <w:tcPr>
            <w:tcW w:w="5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20"/>
        </w:trPr>
        <w:tc>
          <w:tcPr>
            <w:tcW w:w="4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4"/>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Add: Amortization of other acquired intangibles</w:t>
            </w:r>
          </w:p>
        </w:tc>
        <w:tc>
          <w:tcPr>
            <w:tcW w:w="5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3"/>
        </w:trPr>
        <w:tc>
          <w:tcPr>
            <w:tcW w:w="4280" w:type="dxa"/>
            <w:vAlign w:val="bottom"/>
          </w:tcPr>
          <w:p>
            <w:pPr>
              <w:ind w:left="240"/>
              <w:spacing w:after="0"/>
              <w:rPr>
                <w:sz w:val="20"/>
                <w:szCs w:val="20"/>
                <w:color w:val="auto"/>
              </w:rPr>
            </w:pPr>
            <w:r>
              <w:rPr>
                <w:rFonts w:ascii="Arial" w:cs="Arial" w:eastAsia="Arial" w:hAnsi="Arial"/>
                <w:sz w:val="13"/>
                <w:szCs w:val="13"/>
                <w:b w:val="1"/>
                <w:bCs w:val="1"/>
                <w:i w:val="1"/>
                <w:iCs w:val="1"/>
                <w:color w:val="auto"/>
              </w:rPr>
              <w:t>EBITDA</w:t>
            </w:r>
          </w:p>
        </w:tc>
        <w:tc>
          <w:tcPr>
            <w:tcW w:w="5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55.9</w:t>
            </w: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99.6</w:t>
            </w:r>
          </w:p>
        </w:tc>
        <w:tc>
          <w:tcPr>
            <w:tcW w:w="1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4"/>
        </w:trPr>
        <w:tc>
          <w:tcPr>
            <w:tcW w:w="42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Add (less): Other expense (income), net</w:t>
            </w:r>
            <w:r>
              <w:rPr>
                <w:rFonts w:ascii="Arial" w:cs="Arial" w:eastAsia="Arial" w:hAnsi="Arial"/>
                <w:sz w:val="16"/>
                <w:szCs w:val="16"/>
                <w:color w:val="auto"/>
                <w:vertAlign w:val="superscript"/>
              </w:rPr>
              <w:t>(a)</w:t>
            </w: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4"/>
        </w:trPr>
        <w:tc>
          <w:tcPr>
            <w:tcW w:w="4280" w:type="dxa"/>
            <w:vAlign w:val="bottom"/>
          </w:tcPr>
          <w:p>
            <w:pPr>
              <w:ind w:left="400"/>
              <w:spacing w:after="0"/>
              <w:rPr>
                <w:sz w:val="20"/>
                <w:szCs w:val="20"/>
                <w:color w:val="auto"/>
              </w:rPr>
            </w:pPr>
            <w:r>
              <w:rPr>
                <w:rFonts w:ascii="Arial" w:cs="Arial" w:eastAsia="Arial" w:hAnsi="Arial"/>
                <w:sz w:val="13"/>
                <w:szCs w:val="13"/>
                <w:color w:val="auto"/>
                <w:w w:val="95"/>
              </w:rPr>
              <w:t>Add: Impact of fair value adjustments to acquired unearned revenue</w:t>
            </w:r>
            <w:r>
              <w:rPr>
                <w:rFonts w:ascii="Arial" w:cs="Arial" w:eastAsia="Arial" w:hAnsi="Arial"/>
                <w:sz w:val="16"/>
                <w:szCs w:val="16"/>
                <w:color w:val="auto"/>
                <w:w w:val="95"/>
                <w:vertAlign w:val="superscript"/>
              </w:rPr>
              <w:t>(b)</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4"/>
        </w:trPr>
        <w:tc>
          <w:tcPr>
            <w:tcW w:w="4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Add: Equity-based compensation expense</w:t>
            </w:r>
          </w:p>
        </w:tc>
        <w:tc>
          <w:tcPr>
            <w:tcW w:w="5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64.5</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w:t>
            </w:r>
          </w:p>
        </w:tc>
      </w:tr>
      <w:tr>
        <w:trPr>
          <w:trHeight w:val="162"/>
        </w:trPr>
        <w:tc>
          <w:tcPr>
            <w:tcW w:w="4280" w:type="dxa"/>
            <w:vAlign w:val="bottom"/>
          </w:tcPr>
          <w:p>
            <w:pPr>
              <w:ind w:left="400"/>
              <w:spacing w:after="0"/>
              <w:rPr>
                <w:sz w:val="20"/>
                <w:szCs w:val="20"/>
                <w:color w:val="auto"/>
              </w:rPr>
            </w:pPr>
            <w:r>
              <w:rPr>
                <w:rFonts w:ascii="Arial" w:cs="Arial" w:eastAsia="Arial" w:hAnsi="Arial"/>
                <w:sz w:val="13"/>
                <w:szCs w:val="13"/>
                <w:color w:val="auto"/>
              </w:rPr>
              <w:t>Add: Restructuring and transaction related expenses (excluding</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7"/>
        </w:trPr>
        <w:tc>
          <w:tcPr>
            <w:tcW w:w="4280" w:type="dxa"/>
            <w:vAlign w:val="bottom"/>
          </w:tcPr>
          <w:p>
            <w:pPr>
              <w:ind w:left="160"/>
              <w:spacing w:after="0"/>
              <w:rPr>
                <w:sz w:val="20"/>
                <w:szCs w:val="20"/>
                <w:color w:val="auto"/>
              </w:rPr>
            </w:pPr>
            <w:r>
              <w:rPr>
                <w:rFonts w:ascii="Arial" w:cs="Arial" w:eastAsia="Arial" w:hAnsi="Arial"/>
                <w:sz w:val="13"/>
                <w:szCs w:val="13"/>
                <w:color w:val="auto"/>
              </w:rPr>
              <w:t>depreciation)</w:t>
            </w:r>
            <w:r>
              <w:rPr>
                <w:rFonts w:ascii="Arial" w:cs="Arial" w:eastAsia="Arial" w:hAnsi="Arial"/>
                <w:sz w:val="16"/>
                <w:szCs w:val="16"/>
                <w:color w:val="auto"/>
                <w:vertAlign w:val="superscript"/>
              </w:rPr>
              <w:t>(c)</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94"/>
        </w:trPr>
        <w:tc>
          <w:tcPr>
            <w:tcW w:w="42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Add: Integration costs and acquisition-related expenses</w:t>
            </w:r>
            <w:r>
              <w:rPr>
                <w:rFonts w:ascii="Arial" w:cs="Arial" w:eastAsia="Arial" w:hAnsi="Arial"/>
                <w:sz w:val="16"/>
                <w:szCs w:val="16"/>
                <w:color w:val="auto"/>
                <w:vertAlign w:val="superscript"/>
              </w:rPr>
              <w:t>(d)</w:t>
            </w:r>
          </w:p>
        </w:tc>
        <w:tc>
          <w:tcPr>
            <w:tcW w:w="5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83"/>
        </w:trPr>
        <w:tc>
          <w:tcPr>
            <w:tcW w:w="4280" w:type="dxa"/>
            <w:vAlign w:val="bottom"/>
          </w:tcPr>
          <w:p>
            <w:pPr>
              <w:ind w:left="240"/>
              <w:spacing w:after="0"/>
              <w:rPr>
                <w:sz w:val="20"/>
                <w:szCs w:val="20"/>
                <w:color w:val="auto"/>
              </w:rPr>
            </w:pPr>
            <w:r>
              <w:rPr>
                <w:rFonts w:ascii="Arial" w:cs="Arial" w:eastAsia="Arial" w:hAnsi="Arial"/>
                <w:sz w:val="13"/>
                <w:szCs w:val="13"/>
                <w:b w:val="1"/>
                <w:bCs w:val="1"/>
                <w:i w:val="1"/>
                <w:iCs w:val="1"/>
                <w:color w:val="auto"/>
              </w:rPr>
              <w:t>Adjusted EBITDA</w:t>
            </w:r>
          </w:p>
        </w:tc>
        <w:tc>
          <w:tcPr>
            <w:tcW w:w="58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78.5</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w:t>
            </w: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147.3</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w:t>
            </w:r>
          </w:p>
        </w:tc>
      </w:tr>
      <w:tr>
        <w:trPr>
          <w:trHeight w:val="20"/>
        </w:trPr>
        <w:tc>
          <w:tcPr>
            <w:tcW w:w="4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2"/>
        <w:spacing w:after="0"/>
        <w:rPr>
          <w:sz w:val="20"/>
          <w:szCs w:val="20"/>
          <w:color w:val="auto"/>
        </w:rPr>
      </w:pPr>
      <w:r>
        <w:rPr>
          <w:rFonts w:ascii="Arial" w:cs="Arial" w:eastAsia="Arial" w:hAnsi="Arial"/>
          <w:sz w:val="10"/>
          <w:szCs w:val="10"/>
          <w:color w:val="auto"/>
        </w:rPr>
        <w:t>__________________</w:t>
      </w:r>
    </w:p>
    <w:p>
      <w:pPr>
        <w:spacing w:after="0" w:line="9" w:lineRule="exact"/>
        <w:rPr>
          <w:sz w:val="20"/>
          <w:szCs w:val="20"/>
          <w:color w:val="auto"/>
        </w:rPr>
      </w:pPr>
    </w:p>
    <w:p>
      <w:pPr>
        <w:ind w:left="222" w:hanging="222"/>
        <w:spacing w:after="0"/>
        <w:tabs>
          <w:tab w:leader="none" w:pos="222" w:val="left"/>
        </w:tabs>
        <w:numPr>
          <w:ilvl w:val="0"/>
          <w:numId w:val="17"/>
        </w:numPr>
        <w:rPr>
          <w:rFonts w:ascii="Arial" w:cs="Arial" w:eastAsia="Arial" w:hAnsi="Arial"/>
          <w:sz w:val="10"/>
          <w:szCs w:val="10"/>
          <w:color w:val="auto"/>
        </w:rPr>
      </w:pPr>
      <w:r>
        <w:rPr>
          <w:rFonts w:ascii="Arial" w:cs="Arial" w:eastAsia="Arial" w:hAnsi="Arial"/>
          <w:sz w:val="10"/>
          <w:szCs w:val="10"/>
          <w:color w:val="auto"/>
        </w:rPr>
        <w:t>Primarily represents revaluations on tax receivable agreement liability and foreign exchange remeasurement gains and losses.</w:t>
      </w:r>
    </w:p>
    <w:p>
      <w:pPr>
        <w:spacing w:after="0" w:line="1" w:lineRule="exact"/>
        <w:rPr>
          <w:rFonts w:ascii="Arial" w:cs="Arial" w:eastAsia="Arial" w:hAnsi="Arial"/>
          <w:sz w:val="10"/>
          <w:szCs w:val="10"/>
          <w:color w:val="auto"/>
        </w:rPr>
      </w:pPr>
    </w:p>
    <w:p>
      <w:pPr>
        <w:ind w:left="242" w:right="80" w:hanging="242"/>
        <w:spacing w:after="0" w:line="242" w:lineRule="auto"/>
        <w:tabs>
          <w:tab w:leader="none" w:pos="237" w:val="left"/>
        </w:tabs>
        <w:numPr>
          <w:ilvl w:val="0"/>
          <w:numId w:val="17"/>
        </w:numPr>
        <w:rPr>
          <w:rFonts w:ascii="Arial" w:cs="Arial" w:eastAsia="Arial" w:hAnsi="Arial"/>
          <w:sz w:val="10"/>
          <w:szCs w:val="10"/>
          <w:color w:val="auto"/>
        </w:rPr>
      </w:pPr>
      <w:r>
        <w:rPr>
          <w:rFonts w:ascii="Arial" w:cs="Arial" w:eastAsia="Arial" w:hAnsi="Arial"/>
          <w:sz w:val="10"/>
          <w:szCs w:val="10"/>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242" w:right="80" w:hanging="242"/>
        <w:spacing w:after="0" w:line="250" w:lineRule="auto"/>
        <w:tabs>
          <w:tab w:leader="none" w:pos="241" w:val="left"/>
        </w:tabs>
        <w:numPr>
          <w:ilvl w:val="0"/>
          <w:numId w:val="17"/>
        </w:numPr>
        <w:rPr>
          <w:rFonts w:ascii="Arial" w:cs="Arial" w:eastAsia="Arial" w:hAnsi="Arial"/>
          <w:sz w:val="10"/>
          <w:szCs w:val="10"/>
          <w:i w:val="1"/>
          <w:iCs w:val="1"/>
          <w:color w:val="auto"/>
        </w:rPr>
      </w:pPr>
      <w:r>
        <w:rPr>
          <w:rFonts w:ascii="Arial" w:cs="Arial" w:eastAsia="Arial" w:hAnsi="Arial"/>
          <w:sz w:val="10"/>
          <w:szCs w:val="10"/>
          <w:color w:val="auto"/>
        </w:rPr>
        <w:t>Represents costs directly associated with acquisition or disposal activities, including employee severance and termination benefits, contract termination fees and penalties, and other exit or disposal costs. For the three and six months ended June 30, 2021, this expense related primarily to costs incurred related to 2021 acquisitions, and impairment charges related to the Company’s anticipated Waltham office relocation. For the three and six months ended June 30, 2020, this expense related primarily to professional fees for the preparation for an initial public offering.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8"/>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119380</wp:posOffset>
            </wp:positionV>
            <wp:extent cx="719645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2"/>
          </w:cols>
          <w:pgMar w:left="298" w:top="126" w:right="239" w:bottom="1440" w:gutter="0" w:footer="0" w:header="0"/>
        </w:sectPr>
      </w:pPr>
    </w:p>
    <w:bookmarkStart w:id="58" w:name="page59"/>
    <w:bookmarkEnd w:id="58"/>
    <w:p>
      <w:pPr>
        <w:ind w:left="2"/>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242" w:right="20" w:hanging="242"/>
        <w:spacing w:after="0" w:line="290" w:lineRule="auto"/>
        <w:tabs>
          <w:tab w:leader="none" w:pos="237" w:val="left"/>
        </w:tabs>
        <w:numPr>
          <w:ilvl w:val="0"/>
          <w:numId w:val="18"/>
        </w:numPr>
        <w:rPr>
          <w:rFonts w:ascii="Arial" w:cs="Arial" w:eastAsia="Arial" w:hAnsi="Arial"/>
          <w:sz w:val="9"/>
          <w:szCs w:val="9"/>
          <w:color w:val="auto"/>
        </w:rPr>
      </w:pPr>
      <w:r>
        <w:rPr>
          <w:rFonts w:ascii="Arial" w:cs="Arial" w:eastAsia="Arial" w:hAnsi="Arial"/>
          <w:sz w:val="9"/>
          <w:szCs w:val="9"/>
          <w:color w:val="auto"/>
        </w:rPr>
        <w:t>Represents costs directly associated with integration activities for acquisitions and acquisition-related compensation, which includes transaction bonuses and retention awards. For the three months ended June 30, 2021, this expense related to retention awards from the acquisitions of Clickagy and Everstring, as well as cash vesting payments from the acquisition of Pre-Acquisition ZI. For the three months ended June 30, 2020, this expense related primarily to cash vesting payments from the acquisition of Pre-Acquisition ZI. For the six months ended June 30, 2021, this expense related to retention awards from the acquisitions of Clickagy and Everstring, as well as cash vesting payments from the acquisition of Pre-Acquisition ZI. For the six months ended June 30, 2020, this expense related primarily to cash vesting payments from the acquisition of Pre-Acquisition ZI. This expense is included in cost of service, sales and marketing expense, research and development expense, and general and administrative expense as follows:</w:t>
      </w:r>
    </w:p>
    <w:p>
      <w:pPr>
        <w:spacing w:after="0" w:line="116" w:lineRule="exact"/>
        <w:rPr>
          <w:sz w:val="20"/>
          <w:szCs w:val="20"/>
          <w:color w:val="auto"/>
        </w:rPr>
      </w:pPr>
    </w:p>
    <w:tbl>
      <w:tblPr>
        <w:tblLayout w:type="fixed"/>
        <w:tblInd w:w="242" w:type="dxa"/>
        <w:tblCellMar>
          <w:top w:w="0" w:type="dxa"/>
          <w:left w:w="0" w:type="dxa"/>
          <w:bottom w:w="0" w:type="dxa"/>
          <w:right w:w="0" w:type="dxa"/>
        </w:tblCellMar>
      </w:tblPr>
      <w:tr>
        <w:trPr>
          <w:trHeight w:val="143"/>
        </w:trPr>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ind w:left="40"/>
              <w:spacing w:after="0"/>
              <w:rPr>
                <w:sz w:val="20"/>
                <w:szCs w:val="20"/>
                <w:color w:val="auto"/>
              </w:rPr>
            </w:pPr>
            <w:r>
              <w:rPr>
                <w:rFonts w:ascii="Arial" w:cs="Arial" w:eastAsia="Arial" w:hAnsi="Arial"/>
                <w:sz w:val="10"/>
                <w:szCs w:val="10"/>
                <w:b w:val="1"/>
                <w:bCs w:val="1"/>
                <w:color w:val="auto"/>
              </w:rPr>
              <w:t>Three Months Ended June 30,</w:t>
            </w:r>
          </w:p>
        </w:tc>
        <w:tc>
          <w:tcPr>
            <w:tcW w:w="140" w:type="dxa"/>
            <w:vAlign w:val="bottom"/>
          </w:tcPr>
          <w:p>
            <w:pPr>
              <w:spacing w:after="0"/>
              <w:rPr>
                <w:sz w:val="12"/>
                <w:szCs w:val="12"/>
                <w:color w:val="auto"/>
              </w:rPr>
            </w:pPr>
          </w:p>
        </w:tc>
        <w:tc>
          <w:tcPr>
            <w:tcW w:w="1480" w:type="dxa"/>
            <w:vAlign w:val="bottom"/>
            <w:gridSpan w:val="4"/>
          </w:tcPr>
          <w:p>
            <w:pPr>
              <w:jc w:val="right"/>
              <w:ind w:right="148"/>
              <w:spacing w:after="0"/>
              <w:rPr>
                <w:sz w:val="20"/>
                <w:szCs w:val="20"/>
                <w:color w:val="auto"/>
              </w:rPr>
            </w:pPr>
            <w:r>
              <w:rPr>
                <w:rFonts w:ascii="Arial" w:cs="Arial" w:eastAsia="Arial" w:hAnsi="Arial"/>
                <w:sz w:val="10"/>
                <w:szCs w:val="10"/>
                <w:b w:val="1"/>
                <w:bCs w:val="1"/>
                <w:color w:val="auto"/>
                <w:w w:val="97"/>
              </w:rPr>
              <w:t>Six Months Ended June 30,</w:t>
            </w:r>
          </w:p>
        </w:tc>
      </w:tr>
      <w:tr>
        <w:trPr>
          <w:trHeight w:val="164"/>
        </w:trPr>
        <w:tc>
          <w:tcPr>
            <w:tcW w:w="2740" w:type="dxa"/>
            <w:vAlign w:val="bottom"/>
            <w:tcBorders>
              <w:bottom w:val="single" w:sz="8" w:color="CCEEFF"/>
            </w:tcBorders>
          </w:tcPr>
          <w:p>
            <w:pPr>
              <w:spacing w:after="0"/>
              <w:rPr>
                <w:sz w:val="20"/>
                <w:szCs w:val="20"/>
                <w:color w:val="auto"/>
              </w:rPr>
            </w:pPr>
            <w:r>
              <w:rPr>
                <w:rFonts w:ascii="Arial" w:cs="Arial" w:eastAsia="Arial" w:hAnsi="Arial"/>
                <w:sz w:val="10"/>
                <w:szCs w:val="10"/>
                <w:i w:val="1"/>
                <w:iCs w:val="1"/>
                <w:color w:val="auto"/>
              </w:rPr>
              <w:t>($ in millions)</w:t>
            </w: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0"/>
                <w:szCs w:val="10"/>
                <w:b w:val="1"/>
                <w:bCs w:val="1"/>
                <w:color w:val="auto"/>
              </w:rPr>
              <w:t>2020</w:t>
            </w:r>
          </w:p>
        </w:tc>
      </w:tr>
      <w:tr>
        <w:trPr>
          <w:trHeight w:val="154"/>
        </w:trPr>
        <w:tc>
          <w:tcPr>
            <w:tcW w:w="2740" w:type="dxa"/>
            <w:vAlign w:val="bottom"/>
            <w:shd w:val="clear" w:color="auto" w:fill="CCEEFF"/>
          </w:tcPr>
          <w:p>
            <w:pPr>
              <w:spacing w:after="0"/>
              <w:rPr>
                <w:sz w:val="20"/>
                <w:szCs w:val="20"/>
                <w:color w:val="auto"/>
              </w:rPr>
            </w:pPr>
            <w:r>
              <w:rPr>
                <w:rFonts w:ascii="Arial" w:cs="Arial" w:eastAsia="Arial" w:hAnsi="Arial"/>
                <w:sz w:val="10"/>
                <w:szCs w:val="10"/>
                <w:color w:val="auto"/>
              </w:rPr>
              <w:t>Cost of service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0.1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0.2</w:t>
            </w:r>
          </w:p>
        </w:tc>
      </w:tr>
      <w:tr>
        <w:trPr>
          <w:trHeight w:val="146"/>
        </w:trPr>
        <w:tc>
          <w:tcPr>
            <w:tcW w:w="2740" w:type="dxa"/>
            <w:vAlign w:val="bottom"/>
          </w:tcPr>
          <w:p>
            <w:pPr>
              <w:spacing w:after="0"/>
              <w:rPr>
                <w:sz w:val="20"/>
                <w:szCs w:val="20"/>
                <w:color w:val="auto"/>
              </w:rPr>
            </w:pPr>
            <w:r>
              <w:rPr>
                <w:rFonts w:ascii="Arial" w:cs="Arial" w:eastAsia="Arial" w:hAnsi="Arial"/>
                <w:sz w:val="10"/>
                <w:szCs w:val="10"/>
                <w:color w:val="auto"/>
              </w:rPr>
              <w:t>Sales and marketing</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0.5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0.8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1.8</w:t>
            </w:r>
          </w:p>
        </w:tc>
      </w:tr>
      <w:tr>
        <w:trPr>
          <w:trHeight w:val="164"/>
        </w:trPr>
        <w:tc>
          <w:tcPr>
            <w:tcW w:w="2740" w:type="dxa"/>
            <w:vAlign w:val="bottom"/>
            <w:shd w:val="clear" w:color="auto" w:fill="CCEEFF"/>
          </w:tcPr>
          <w:p>
            <w:pPr>
              <w:spacing w:after="0"/>
              <w:rPr>
                <w:sz w:val="20"/>
                <w:szCs w:val="20"/>
                <w:color w:val="auto"/>
              </w:rPr>
            </w:pPr>
            <w:r>
              <w:rPr>
                <w:rFonts w:ascii="Arial" w:cs="Arial" w:eastAsia="Arial" w:hAnsi="Arial"/>
                <w:sz w:val="10"/>
                <w:szCs w:val="10"/>
                <w:color w:val="auto"/>
              </w:rPr>
              <w:t>Research and development</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0.7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2.4</w:t>
            </w:r>
          </w:p>
        </w:tc>
      </w:tr>
      <w:tr>
        <w:trPr>
          <w:trHeight w:val="146"/>
        </w:trPr>
        <w:tc>
          <w:tcPr>
            <w:tcW w:w="2740" w:type="dxa"/>
            <w:vAlign w:val="bottom"/>
          </w:tcPr>
          <w:p>
            <w:pPr>
              <w:spacing w:after="0"/>
              <w:rPr>
                <w:sz w:val="20"/>
                <w:szCs w:val="20"/>
                <w:color w:val="auto"/>
              </w:rPr>
            </w:pPr>
            <w:r>
              <w:rPr>
                <w:rFonts w:ascii="Arial" w:cs="Arial" w:eastAsia="Arial" w:hAnsi="Arial"/>
                <w:sz w:val="10"/>
                <w:szCs w:val="10"/>
                <w:color w:val="auto"/>
              </w:rPr>
              <w:t>General and administrative</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0.5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0.1</w:t>
            </w:r>
          </w:p>
        </w:tc>
      </w:tr>
      <w:tr>
        <w:trPr>
          <w:trHeight w:val="173"/>
        </w:trPr>
        <w:tc>
          <w:tcPr>
            <w:tcW w:w="27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0"/>
                <w:szCs w:val="10"/>
                <w:color w:val="auto"/>
                <w:w w:val="94"/>
              </w:rPr>
              <w:t>Total integration costs and acquisition-related compensation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1.6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rPr>
              <w:t>4.5</w:t>
            </w:r>
          </w:p>
        </w:tc>
      </w:tr>
    </w:tbl>
    <w:p>
      <w:pPr>
        <w:spacing w:after="0" w:line="185" w:lineRule="exact"/>
        <w:rPr>
          <w:sz w:val="20"/>
          <w:szCs w:val="20"/>
          <w:color w:val="auto"/>
        </w:rPr>
      </w:pPr>
    </w:p>
    <w:p>
      <w:pPr>
        <w:jc w:val="both"/>
        <w:ind w:left="2" w:right="20" w:firstLine="233"/>
        <w:spacing w:after="0" w:line="270" w:lineRule="auto"/>
        <w:rPr>
          <w:sz w:val="20"/>
          <w:szCs w:val="20"/>
          <w:color w:val="auto"/>
        </w:rPr>
      </w:pPr>
      <w:r>
        <w:rPr>
          <w:rFonts w:ascii="Arial" w:cs="Arial" w:eastAsia="Arial" w:hAnsi="Arial"/>
          <w:sz w:val="13"/>
          <w:szCs w:val="13"/>
          <w:color w:val="auto"/>
        </w:rPr>
        <w:t>Adjusted EBITDA for the three months ended June 30, 2021 was $78.5 million, an increase of $21.4 million, or 37%, relative to the three months ended June 30, 2020. This increase was driven primarily from the growth in revenue and additional customers in 2021 and 2020.</w:t>
      </w:r>
    </w:p>
    <w:p>
      <w:pPr>
        <w:spacing w:after="0" w:line="100" w:lineRule="exact"/>
        <w:rPr>
          <w:sz w:val="20"/>
          <w:szCs w:val="20"/>
          <w:color w:val="auto"/>
        </w:rPr>
      </w:pPr>
    </w:p>
    <w:p>
      <w:pPr>
        <w:jc w:val="both"/>
        <w:ind w:left="2" w:right="20" w:firstLine="233"/>
        <w:spacing w:after="0" w:line="270" w:lineRule="auto"/>
        <w:rPr>
          <w:sz w:val="20"/>
          <w:szCs w:val="20"/>
          <w:color w:val="auto"/>
        </w:rPr>
      </w:pPr>
      <w:r>
        <w:rPr>
          <w:rFonts w:ascii="Arial" w:cs="Arial" w:eastAsia="Arial" w:hAnsi="Arial"/>
          <w:sz w:val="13"/>
          <w:szCs w:val="13"/>
          <w:color w:val="auto"/>
        </w:rPr>
        <w:t>Adjusted EBITDA for the six months ended June 30, 2021 was $147.3 million, an increase of $39.3 million, or 36%, relative to the six months ended June 30, 2020. This increase was driven primarily from the growth in revenue and additional customers in 2021 and 2020.</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Factors Affecting the Comparability of Our Results of Operations</w:t>
      </w:r>
    </w:p>
    <w:p>
      <w:pPr>
        <w:spacing w:after="0" w:line="126" w:lineRule="exact"/>
        <w:rPr>
          <w:sz w:val="20"/>
          <w:szCs w:val="20"/>
          <w:color w:val="auto"/>
        </w:rPr>
      </w:pPr>
    </w:p>
    <w:p>
      <w:pPr>
        <w:jc w:val="both"/>
        <w:ind w:left="2" w:right="20" w:firstLine="233"/>
        <w:spacing w:after="0" w:line="270" w:lineRule="auto"/>
        <w:rPr>
          <w:sz w:val="20"/>
          <w:szCs w:val="20"/>
          <w:color w:val="auto"/>
        </w:rPr>
      </w:pPr>
      <w:r>
        <w:rPr>
          <w:rFonts w:ascii="Arial" w:cs="Arial" w:eastAsia="Arial" w:hAnsi="Arial"/>
          <w:sz w:val="13"/>
          <w:szCs w:val="13"/>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90"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Impact of the Reorganization Transactions</w:t>
      </w:r>
    </w:p>
    <w:p>
      <w:pPr>
        <w:spacing w:after="0" w:line="122" w:lineRule="exact"/>
        <w:rPr>
          <w:sz w:val="20"/>
          <w:szCs w:val="20"/>
          <w:color w:val="auto"/>
        </w:rPr>
      </w:pPr>
    </w:p>
    <w:p>
      <w:pPr>
        <w:jc w:val="both"/>
        <w:ind w:left="2" w:firstLine="233"/>
        <w:spacing w:after="0" w:line="254" w:lineRule="auto"/>
        <w:rPr>
          <w:sz w:val="20"/>
          <w:szCs w:val="20"/>
          <w:color w:val="auto"/>
        </w:rPr>
      </w:pPr>
      <w:r>
        <w:rPr>
          <w:rFonts w:ascii="Arial" w:cs="Arial" w:eastAsia="Arial" w:hAnsi="Arial"/>
          <w:sz w:val="13"/>
          <w:szCs w:val="13"/>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Form 10-Q only include a provision for U.S. federal income tax for income allocated to those subsidiaries that were organized as corporations for U.S. federal income tax purposes. Following the completion of the Reorganization Transactions, ZoomInfo Technologies Inc. pays U.S. federal and state income taxes as a corporation on its share of our taxable income.</w:t>
      </w:r>
    </w:p>
    <w:p>
      <w:pPr>
        <w:spacing w:after="0" w:line="101" w:lineRule="exact"/>
        <w:rPr>
          <w:sz w:val="20"/>
          <w:szCs w:val="20"/>
          <w:color w:val="auto"/>
        </w:rPr>
      </w:pPr>
    </w:p>
    <w:p>
      <w:pPr>
        <w:jc w:val="both"/>
        <w:ind w:left="2" w:firstLine="233"/>
        <w:spacing w:after="0" w:line="313" w:lineRule="auto"/>
        <w:rPr>
          <w:sz w:val="20"/>
          <w:szCs w:val="20"/>
          <w:color w:val="auto"/>
        </w:rPr>
      </w:pPr>
      <w:r>
        <w:rPr>
          <w:rFonts w:ascii="Arial" w:cs="Arial" w:eastAsia="Arial" w:hAnsi="Arial"/>
          <w:sz w:val="12"/>
          <w:szCs w:val="12"/>
          <w:color w:val="auto"/>
        </w:rPr>
        <w:t>ZoomInfo OpCo is the predecessor of ZoomInfo Technologies Inc. for financial reporting purposes. As a result, the consolidated financial statements of ZoomInfo Technologies Inc. recognize the assets and liabilities received in the reorganization at their historical carrying amounts, as reflected in the historical consolidated financial statements of ZoomInfo OpCo, the accounting predecessor.</w:t>
      </w:r>
    </w:p>
    <w:p>
      <w:pPr>
        <w:spacing w:after="0" w:line="67" w:lineRule="exact"/>
        <w:rPr>
          <w:sz w:val="20"/>
          <w:szCs w:val="20"/>
          <w:color w:val="auto"/>
        </w:rPr>
      </w:pPr>
    </w:p>
    <w:p>
      <w:pPr>
        <w:jc w:val="both"/>
        <w:ind w:left="2" w:firstLine="233"/>
        <w:spacing w:after="0" w:line="270" w:lineRule="auto"/>
        <w:rPr>
          <w:sz w:val="20"/>
          <w:szCs w:val="20"/>
          <w:color w:val="auto"/>
        </w:rPr>
      </w:pPr>
      <w:r>
        <w:rPr>
          <w:rFonts w:ascii="Arial" w:cs="Arial" w:eastAsia="Arial" w:hAnsi="Arial"/>
          <w:sz w:val="13"/>
          <w:szCs w:val="13"/>
          <w:color w:val="auto"/>
        </w:rPr>
        <w:t>In addition, in connection with the Reorganization Transactions and the IPO, we entered into the tax receivable agreements described in Note 17 to our unaudited consolidated financial statements included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119380</wp:posOffset>
            </wp:positionV>
            <wp:extent cx="719645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2"/>
          </w:cols>
          <w:pgMar w:left="298" w:top="125" w:right="299" w:bottom="1440" w:gutter="0" w:footer="0" w:header="0"/>
        </w:sectPr>
      </w:pPr>
    </w:p>
    <w:bookmarkStart w:id="59" w:name="page60"/>
    <w:bookmarkEnd w:id="59"/>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Initial Public Offering</w:t>
      </w:r>
    </w:p>
    <w:p>
      <w:pPr>
        <w:spacing w:after="0" w:line="122" w:lineRule="exact"/>
        <w:rPr>
          <w:sz w:val="20"/>
          <w:szCs w:val="20"/>
          <w:color w:val="auto"/>
        </w:rPr>
      </w:pPr>
    </w:p>
    <w:p>
      <w:pPr>
        <w:jc w:val="both"/>
        <w:ind w:right="20" w:firstLine="233"/>
        <w:spacing w:after="0" w:line="305" w:lineRule="auto"/>
        <w:rPr>
          <w:sz w:val="20"/>
          <w:szCs w:val="20"/>
          <w:color w:val="auto"/>
        </w:rPr>
      </w:pPr>
      <w:r>
        <w:rPr>
          <w:rFonts w:ascii="Arial" w:cs="Arial" w:eastAsia="Arial" w:hAnsi="Arial"/>
          <w:sz w:val="11"/>
          <w:szCs w:val="11"/>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To date, ZoomInfo OpCo has used the proceeds it received through ZoomInfo HoldCo from the IPO to (i) redeem and cancel all outstanding Series A Preferred Units of ZoomInfo OpCo for approximately $274.2 million, including accumulated but unpaid distributions and related prepayment premiums; (ii) repay in full all outstanding indebtedness under our second lien credit agreement, for approximately $380.6 million, including related prepayment premiums and accrued interest; (iii) repay $35.0 million of outstanding borrowings under the Company’s first lien revolving credit facility; (iv) pay certain expenses related to the IPO; and (v) prepay $100.0 million aggregate principal amount of the first lien term loans outstanding under our First Lien Credit Agreement, including accrued interest thereon, using approximately $101.2 million of the proceeds; with the remaining proceeds intended to be used for general corporate purposes. We expect these debt repayments to drive future reductions in our interest expense compared to historical results.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Impact of Acquisitions</w:t>
      </w:r>
    </w:p>
    <w:p>
      <w:pPr>
        <w:spacing w:after="0" w:line="122" w:lineRule="exact"/>
        <w:rPr>
          <w:sz w:val="20"/>
          <w:szCs w:val="20"/>
          <w:color w:val="auto"/>
        </w:rPr>
      </w:pPr>
    </w:p>
    <w:p>
      <w:pPr>
        <w:jc w:val="both"/>
        <w:ind w:firstLine="233"/>
        <w:spacing w:after="0" w:line="256" w:lineRule="auto"/>
        <w:rPr>
          <w:sz w:val="20"/>
          <w:szCs w:val="20"/>
          <w:color w:val="auto"/>
        </w:rPr>
      </w:pPr>
      <w:r>
        <w:rPr>
          <w:rFonts w:ascii="Arial" w:cs="Arial" w:eastAsia="Arial" w:hAnsi="Arial"/>
          <w:sz w:val="13"/>
          <w:szCs w:val="13"/>
          <w:color w:val="auto"/>
        </w:rPr>
        <w:t>We seek to grow through both internal development and the acquisition of businesses that broaden and strengthen our platform. Our recent acquisitions include Clickagy in October 2020, EverString in November 2020, and Insent, Inc. in June 2021.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Equity-Based Compensation</w:t>
      </w:r>
    </w:p>
    <w:p>
      <w:pPr>
        <w:spacing w:after="0" w:line="122" w:lineRule="exact"/>
        <w:rPr>
          <w:sz w:val="20"/>
          <w:szCs w:val="20"/>
          <w:color w:val="auto"/>
        </w:rPr>
      </w:pPr>
    </w:p>
    <w:p>
      <w:pPr>
        <w:jc w:val="both"/>
        <w:ind w:right="20" w:firstLine="233"/>
        <w:spacing w:after="0" w:line="270" w:lineRule="auto"/>
        <w:rPr>
          <w:sz w:val="20"/>
          <w:szCs w:val="20"/>
          <w:color w:val="auto"/>
        </w:rPr>
      </w:pPr>
      <w:r>
        <w:rPr>
          <w:rFonts w:ascii="Arial" w:cs="Arial" w:eastAsia="Arial" w:hAnsi="Arial"/>
          <w:sz w:val="13"/>
          <w:szCs w:val="13"/>
          <w:color w:val="auto"/>
        </w:rPr>
        <w:t>New awards and modifications that took place as part of the Reorganization Transactions and the IPO contributed to elevated equity-based compensation expense in 2020 relative to 2019 and expected equity-based compensation expense for 2021. See Note 15 for unamortized equity-based compensation costs related to each type of equity-based incentive award.</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Impact of Changes to Long-term Debt</w:t>
      </w:r>
    </w:p>
    <w:p>
      <w:pPr>
        <w:spacing w:after="0" w:line="122" w:lineRule="exact"/>
        <w:rPr>
          <w:sz w:val="20"/>
          <w:szCs w:val="20"/>
          <w:color w:val="auto"/>
        </w:rPr>
      </w:pPr>
    </w:p>
    <w:p>
      <w:pPr>
        <w:jc w:val="both"/>
        <w:ind w:right="20" w:firstLine="233"/>
        <w:spacing w:after="0" w:line="278" w:lineRule="auto"/>
        <w:rPr>
          <w:sz w:val="20"/>
          <w:szCs w:val="20"/>
          <w:color w:val="auto"/>
        </w:rPr>
      </w:pPr>
      <w:r>
        <w:rPr>
          <w:rFonts w:ascii="Arial" w:cs="Arial" w:eastAsia="Arial" w:hAnsi="Arial"/>
          <w:sz w:val="12"/>
          <w:szCs w:val="12"/>
          <w:color w:val="auto"/>
        </w:rPr>
        <w:t>In February 2021, ZoomInfo Technologies LLC and ZoomInfo Finance Corp., indirect subsidiaries of ZoomInfo Technologies Inc., completed an offering of $350.0 million in aggregate principal amount of 3.875% senior notes due 2029. We used all of the net proceeds, along with cash on hand, to make the Debt Prepayment. Following the Debt Prepayment, as of February 2, 2021, $400.0 million aggregate principal amount of first lien term loans were outstanding under our First Lien Credit Agreement. In February 2021, ZoomInfo LLC entered into an amendment to our First Lien Credit Agreement, pursuant to which, among other things, there will be (i) an increase in the aggregate commitments to $250.0 million under our first lien revolving credit facility, (ii) the addition of the ZoomInfo Technologies LLC as a co-borrower, (iii) the repricing of our first lien term loan facility maturing in February 2026 and first lien revolving credit facility, and (iv) an extension of the maturity date of our first lien revolving credit facility to November 2025. We expect the Debt Prepayment, repricing, and issuance of Senior Notes to drive future reductions in our interest expense compared to historical results.</w:t>
      </w:r>
    </w:p>
    <w:p>
      <w:pPr>
        <w:spacing w:after="0" w:line="88" w:lineRule="exact"/>
        <w:rPr>
          <w:sz w:val="20"/>
          <w:szCs w:val="20"/>
          <w:color w:val="auto"/>
        </w:rPr>
      </w:pPr>
    </w:p>
    <w:p>
      <w:pPr>
        <w:jc w:val="both"/>
        <w:ind w:right="20" w:firstLine="233"/>
        <w:spacing w:after="0" w:line="270" w:lineRule="auto"/>
        <w:rPr>
          <w:sz w:val="20"/>
          <w:szCs w:val="20"/>
          <w:color w:val="auto"/>
        </w:rPr>
      </w:pPr>
      <w:r>
        <w:rPr>
          <w:rFonts w:ascii="Arial" w:cs="Arial" w:eastAsia="Arial" w:hAnsi="Arial"/>
          <w:sz w:val="13"/>
          <w:szCs w:val="13"/>
          <w:color w:val="auto"/>
        </w:rPr>
        <w:t>In connection with the debt repricing, ZoomInfo Technologies LLC replaced ZoomInfo LLC as the tax borrower on the 1st Lien Credit Agreements. To facilitate the change in tax borrower, the Company executed a series of internal equity transactions resulting in the recognition of $45.0 million of non-cash tax expense, substantially all of which is allocable to the noncontrolling interest.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60" w:name="page61"/>
    <w:bookmarkEnd w:id="60"/>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Components of Our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w:t>
      </w:r>
    </w:p>
    <w:p>
      <w:pPr>
        <w:spacing w:after="0" w:line="122" w:lineRule="exact"/>
        <w:rPr>
          <w:sz w:val="20"/>
          <w:szCs w:val="20"/>
          <w:color w:val="auto"/>
        </w:rPr>
      </w:pPr>
    </w:p>
    <w:p>
      <w:pPr>
        <w:jc w:val="both"/>
        <w:ind w:firstLine="233"/>
        <w:spacing w:after="0" w:line="256" w:lineRule="auto"/>
        <w:rPr>
          <w:sz w:val="20"/>
          <w:szCs w:val="20"/>
          <w:color w:val="auto"/>
        </w:rPr>
      </w:pPr>
      <w:r>
        <w:rPr>
          <w:rFonts w:ascii="Arial" w:cs="Arial" w:eastAsia="Arial" w:hAnsi="Arial"/>
          <w:sz w:val="13"/>
          <w:szCs w:val="13"/>
          <w:color w:val="auto"/>
        </w:rPr>
        <w:t>We derive 99% of our revenue from subscription services and the remainder from recurring usage-based services. Our subscription services consist of our SaaS applications. Pricing of our subscription contracts are generally based on the functionality provided, the number of users that access our applications,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spacing w:after="0" w:line="99"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3"/>
          <w:szCs w:val="13"/>
          <w:color w:val="auto"/>
        </w:rPr>
        <w:t>Subscription revenue is generally recognized ratably over the contract term starting with when our service is made available to the customer. Recurring usage-based revenue is recognized in the period services are utilized by our customers. The amount of revenue recognized reflects the consideration we expect to be entitled to receive in exchange for these services. We record a contract asset when revenue recognized on a contract exceeds the billings to date for that contract.</w:t>
      </w:r>
    </w:p>
    <w:p>
      <w:pPr>
        <w:spacing w:after="0" w:line="98"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3"/>
          <w:szCs w:val="13"/>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non-cancelable subscription agreements.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Service</w:t>
      </w:r>
    </w:p>
    <w:p>
      <w:pPr>
        <w:spacing w:after="0" w:line="122"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3"/>
          <w:szCs w:val="13"/>
          <w:i w:val="1"/>
          <w:iCs w:val="1"/>
          <w:color w:val="auto"/>
        </w:rPr>
        <w:t xml:space="preserve">Cost of Service, excluding amortization of acquired technology. </w:t>
      </w:r>
      <w:r>
        <w:rPr>
          <w:rFonts w:ascii="Arial" w:cs="Arial" w:eastAsia="Arial" w:hAnsi="Arial"/>
          <w:sz w:val="13"/>
          <w:szCs w:val="13"/>
          <w:color w:val="auto"/>
        </w:rPr>
        <w:t>Cost of service, excluding amortization of acquired technology includes direct expenses related to the support and operations of our SaaS services</w:t>
      </w:r>
      <w:r>
        <w:rPr>
          <w:rFonts w:ascii="Arial" w:cs="Arial" w:eastAsia="Arial" w:hAnsi="Arial"/>
          <w:sz w:val="13"/>
          <w:szCs w:val="13"/>
          <w:i w:val="1"/>
          <w:iCs w:val="1"/>
          <w:color w:val="auto"/>
        </w:rPr>
        <w:t xml:space="preserve"> </w:t>
      </w:r>
      <w:r>
        <w:rPr>
          <w:rFonts w:ascii="Arial" w:cs="Arial" w:eastAsia="Arial" w:hAnsi="Arial"/>
          <w:sz w:val="13"/>
          <w:szCs w:val="13"/>
          <w:color w:val="auto"/>
        </w:rPr>
        <w:t>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anticipate that we will continue to invest in costs of service and that costs of service as a percentage of revenue will stay consistent or modestly decrease as we realize operating leverage in the business.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 xml:space="preserve">Amortization of acquired technology. </w:t>
      </w:r>
      <w:r>
        <w:rPr>
          <w:rFonts w:ascii="Arial" w:cs="Arial" w:eastAsia="Arial" w:hAnsi="Arial"/>
          <w:sz w:val="13"/>
          <w:szCs w:val="13"/>
          <w:color w:val="auto"/>
        </w:rPr>
        <w:t>Amortization of acquired technology includes amortization expense for technology acquired in business combinations.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anticipate that amortization of acquired technology will increase if we make additional acquisitions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Gross Profit and Gross Margin</w:t>
      </w:r>
    </w:p>
    <w:p>
      <w:pPr>
        <w:spacing w:after="0" w:line="122"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3"/>
          <w:szCs w:val="13"/>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122"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3"/>
          <w:szCs w:val="13"/>
          <w:color w:val="auto"/>
        </w:rPr>
        <w:t>Our operating expenses consist of sales and marketing, research and development, general and administrative, restructuring and transaction expenses, and amortization of acquired intangibles.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and marketing.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20" w:firstLine="233"/>
        <w:spacing w:after="0" w:line="259" w:lineRule="auto"/>
        <w:rPr>
          <w:sz w:val="20"/>
          <w:szCs w:val="20"/>
          <w:color w:val="auto"/>
        </w:rPr>
      </w:pPr>
      <w:r>
        <w:rPr>
          <w:rFonts w:ascii="Arial" w:cs="Arial" w:eastAsia="Arial" w:hAnsi="Arial"/>
          <w:sz w:val="13"/>
          <w:szCs w:val="13"/>
          <w:i w:val="1"/>
          <w:iCs w:val="1"/>
          <w:color w:val="auto"/>
        </w:rPr>
        <w:t>Sales and marketing</w:t>
      </w:r>
      <w:r>
        <w:rPr>
          <w:rFonts w:ascii="Arial" w:cs="Arial" w:eastAsia="Arial" w:hAnsi="Arial"/>
          <w:sz w:val="13"/>
          <w:szCs w:val="13"/>
          <w:color w:val="auto"/>
        </w:rPr>
        <w:t>. Sales and marketing expenses primarily consist of employee compensation such as salaries, bonuses, sales commissions, equity-based compensation, and other employee-related benefits for</w:t>
      </w:r>
      <w:r>
        <w:rPr>
          <w:rFonts w:ascii="Arial" w:cs="Arial" w:eastAsia="Arial" w:hAnsi="Arial"/>
          <w:sz w:val="13"/>
          <w:szCs w:val="13"/>
          <w:i w:val="1"/>
          <w:iCs w:val="1"/>
          <w:color w:val="auto"/>
        </w:rPr>
        <w:t xml:space="preserve"> </w:t>
      </w:r>
      <w:r>
        <w:rPr>
          <w:rFonts w:ascii="Arial" w:cs="Arial" w:eastAsia="Arial" w:hAnsi="Arial"/>
          <w:sz w:val="13"/>
          <w:szCs w:val="13"/>
          <w:color w:val="auto"/>
        </w:rPr>
        <w:t>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98" w:lineRule="exact"/>
        <w:rPr>
          <w:sz w:val="20"/>
          <w:szCs w:val="20"/>
          <w:color w:val="auto"/>
        </w:rPr>
      </w:pPr>
    </w:p>
    <w:p>
      <w:pPr>
        <w:jc w:val="both"/>
        <w:ind w:right="20" w:firstLine="233"/>
        <w:spacing w:after="0" w:line="256" w:lineRule="auto"/>
        <w:rPr>
          <w:sz w:val="20"/>
          <w:szCs w:val="20"/>
          <w:color w:val="auto"/>
        </w:rPr>
      </w:pPr>
      <w:r>
        <w:rPr>
          <w:rFonts w:ascii="Arial" w:cs="Arial" w:eastAsia="Arial" w:hAnsi="Arial"/>
          <w:sz w:val="13"/>
          <w:szCs w:val="13"/>
          <w:color w:val="auto"/>
        </w:rPr>
        <w:t>We anticipate that we will continue to invest in sales and marketing capacity to enable future growth, but that sales and marketing expense as a percentage of revenue will decrease as equity-based compensation expense related to the modification of HSKB awards and triggered by the IPO become a less significant component of overall sales and marketing expense. We anticipate that sales and marketing expense excluding equity-based compensation will fluctuate from period to period depending on the interplay of our growing investments in sales and marketing capacity excluding equity-based compensation, the recognition of revenue, and the amortization of contract acquisition costs.</w:t>
      </w:r>
    </w:p>
    <w:p>
      <w:pPr>
        <w:spacing w:after="0" w:line="99" w:lineRule="exact"/>
        <w:rPr>
          <w:sz w:val="20"/>
          <w:szCs w:val="20"/>
          <w:color w:val="auto"/>
        </w:rPr>
      </w:pPr>
    </w:p>
    <w:p>
      <w:pPr>
        <w:jc w:val="both"/>
        <w:ind w:right="20" w:firstLine="233"/>
        <w:spacing w:after="0" w:line="284" w:lineRule="auto"/>
        <w:rPr>
          <w:sz w:val="20"/>
          <w:szCs w:val="20"/>
          <w:color w:val="auto"/>
        </w:rPr>
      </w:pPr>
      <w:r>
        <w:rPr>
          <w:rFonts w:ascii="Arial" w:cs="Arial" w:eastAsia="Arial" w:hAnsi="Arial"/>
          <w:sz w:val="12"/>
          <w:szCs w:val="12"/>
          <w:i w:val="1"/>
          <w:iCs w:val="1"/>
          <w:color w:val="auto"/>
        </w:rPr>
        <w:t xml:space="preserve">Research and development. </w:t>
      </w:r>
      <w:r>
        <w:rPr>
          <w:rFonts w:ascii="Arial" w:cs="Arial" w:eastAsia="Arial" w:hAnsi="Arial"/>
          <w:sz w:val="12"/>
          <w:szCs w:val="12"/>
          <w:color w:val="auto"/>
        </w:rPr>
        <w:t>Research and development expenses support our efforts to enhance our existing platform and develop new software products. Research and development expenses primarily consist of</w:t>
      </w:r>
      <w:r>
        <w:rPr>
          <w:rFonts w:ascii="Arial" w:cs="Arial" w:eastAsia="Arial" w:hAnsi="Arial"/>
          <w:sz w:val="12"/>
          <w:szCs w:val="12"/>
          <w:i w:val="1"/>
          <w:iCs w:val="1"/>
          <w:color w:val="auto"/>
        </w:rPr>
        <w:t xml:space="preserve"> </w:t>
      </w:r>
      <w:r>
        <w:rPr>
          <w:rFonts w:ascii="Arial" w:cs="Arial" w:eastAsia="Arial" w:hAnsi="Arial"/>
          <w:sz w:val="12"/>
          <w:szCs w:val="12"/>
          <w:color w:val="auto"/>
        </w:rPr>
        <w:t>employee compensation such as salaries, bonuses, equity-based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84" w:lineRule="exact"/>
        <w:rPr>
          <w:sz w:val="20"/>
          <w:szCs w:val="20"/>
          <w:color w:val="auto"/>
        </w:rPr>
      </w:pPr>
    </w:p>
    <w:p>
      <w:pPr>
        <w:jc w:val="both"/>
        <w:ind w:right="20" w:firstLine="233"/>
        <w:spacing w:after="0" w:line="270" w:lineRule="auto"/>
        <w:rPr>
          <w:sz w:val="20"/>
          <w:szCs w:val="20"/>
          <w:color w:val="auto"/>
        </w:rPr>
      </w:pPr>
      <w:r>
        <w:rPr>
          <w:rFonts w:ascii="Arial" w:cs="Arial" w:eastAsia="Arial" w:hAnsi="Arial"/>
          <w:sz w:val="13"/>
          <w:szCs w:val="13"/>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long term.</w:t>
      </w:r>
    </w:p>
    <w:p>
      <w:pPr>
        <w:spacing w:after="0" w:line="90" w:lineRule="exact"/>
        <w:rPr>
          <w:sz w:val="20"/>
          <w:szCs w:val="20"/>
          <w:color w:val="auto"/>
        </w:rPr>
      </w:pPr>
    </w:p>
    <w:p>
      <w:pPr>
        <w:jc w:val="both"/>
        <w:ind w:right="20" w:firstLine="233"/>
        <w:spacing w:after="0" w:line="259" w:lineRule="auto"/>
        <w:rPr>
          <w:sz w:val="20"/>
          <w:szCs w:val="20"/>
          <w:color w:val="auto"/>
        </w:rPr>
      </w:pPr>
      <w:r>
        <w:rPr>
          <w:rFonts w:ascii="Arial" w:cs="Arial" w:eastAsia="Arial" w:hAnsi="Arial"/>
          <w:sz w:val="13"/>
          <w:szCs w:val="13"/>
          <w:i w:val="1"/>
          <w:iCs w:val="1"/>
          <w:color w:val="auto"/>
        </w:rPr>
        <w:t xml:space="preserve">General and administrative. </w:t>
      </w:r>
      <w:r>
        <w:rPr>
          <w:rFonts w:ascii="Arial" w:cs="Arial" w:eastAsia="Arial" w:hAnsi="Arial"/>
          <w:sz w:val="13"/>
          <w:szCs w:val="13"/>
          <w:color w:val="auto"/>
        </w:rPr>
        <w:t>General and administrative expenses primarily consist of employee-related costs such as salaries, bonuses, equity-based compensation, and other employee related benefits for our</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finance, legal, human resources, IT, and business operations and administrative teams, as well as overhead costs. Additionally, we incur expenses for professional fees including legal services, accounting, and other consulting services, including those associated with operating as a public company.</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expect general and administrative expenses as a percentage of revenue to stay consistent or modestly decrease from 2020, as we realize operating leverage in the business.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Amortization of other acquired intangibles</w:t>
      </w:r>
      <w:r>
        <w:rPr>
          <w:rFonts w:ascii="Arial" w:cs="Arial" w:eastAsia="Arial" w:hAnsi="Arial"/>
          <w:sz w:val="13"/>
          <w:szCs w:val="13"/>
          <w:color w:val="auto"/>
        </w:rPr>
        <w:t>. Amortization of acquired intangibles primarily consists of amortization of customer relationships, trade names, and brand portfolios.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anticipate that amortization of other acquired intangibles will increase if we make additional acquisitions in the future.</w:t>
      </w:r>
    </w:p>
    <w:p>
      <w:pPr>
        <w:spacing w:after="0" w:line="122"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3"/>
          <w:szCs w:val="13"/>
          <w:i w:val="1"/>
          <w:iCs w:val="1"/>
          <w:color w:val="auto"/>
        </w:rPr>
        <w:t xml:space="preserve">Restructuring and transaction expenses. </w:t>
      </w:r>
      <w:r>
        <w:rPr>
          <w:rFonts w:ascii="Arial" w:cs="Arial" w:eastAsia="Arial" w:hAnsi="Arial"/>
          <w:sz w:val="13"/>
          <w:szCs w:val="13"/>
          <w:color w:val="auto"/>
        </w:rPr>
        <w:t>Restructuring and transaction expenses primarily consist of various restructuring and acquisition activities we have undertaken to achieve strategic or financial objectives.</w:t>
      </w:r>
      <w:r>
        <w:rPr>
          <w:rFonts w:ascii="Arial" w:cs="Arial" w:eastAsia="Arial" w:hAnsi="Arial"/>
          <w:sz w:val="13"/>
          <w:szCs w:val="13"/>
          <w:i w:val="1"/>
          <w:iCs w:val="1"/>
          <w:color w:val="auto"/>
        </w:rPr>
        <w:t xml:space="preserve"> </w:t>
      </w:r>
      <w:r>
        <w:rPr>
          <w:rFonts w:ascii="Arial" w:cs="Arial" w:eastAsia="Arial" w:hAnsi="Arial"/>
          <w:sz w:val="13"/>
          <w:szCs w:val="13"/>
          <w:color w:val="auto"/>
        </w:rPr>
        <w:t>Restructuring and acquisition activities include, but are not limited to, consolidation of offices and responsibilities, office relocation, administrative cost structure realignment, and acquisition-related professional services fees.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anticipate that restructuring and transaction expenses will be correlated with future acquisition activity or strategic restructuring activities, which could be greater than or less than our historic levels.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Expense, Net</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Interest expense represents the interest payable on our debt obligations and the amortization of debt discounts and debt issuance costs, less interest income.</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We anticipate that interest expense will increase in the future driven by our incremental debt raise in July 2021, and could further be impacted by changes in variable interest rates or the issuance of additional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62" w:name="page63"/>
    <w:bookmarkEnd w:id="6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Loss on Debt Extinguishment</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Loss on debt extinguishment consists of prepayment penalties and impairment of deferred financing costs associated with the extinguishment of debt.</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anticipate that losses related to debt extinguishment will only occur if we extinguish indebtedness before the contractual repayment dates.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(Income) Expense, Net</w:t>
      </w:r>
    </w:p>
    <w:p>
      <w:pPr>
        <w:spacing w:after="0" w:line="122" w:lineRule="exact"/>
        <w:rPr>
          <w:sz w:val="20"/>
          <w:szCs w:val="20"/>
          <w:color w:val="auto"/>
        </w:rPr>
      </w:pPr>
    </w:p>
    <w:p>
      <w:pPr>
        <w:jc w:val="both"/>
        <w:ind w:firstLine="233"/>
        <w:spacing w:after="0" w:line="270" w:lineRule="auto"/>
        <w:rPr>
          <w:sz w:val="20"/>
          <w:szCs w:val="20"/>
          <w:color w:val="auto"/>
        </w:rPr>
      </w:pPr>
      <w:r>
        <w:rPr>
          <w:rFonts w:ascii="Arial" w:cs="Arial" w:eastAsia="Arial" w:hAnsi="Arial"/>
          <w:sz w:val="13"/>
          <w:szCs w:val="13"/>
          <w:color w:val="auto"/>
        </w:rPr>
        <w:t>Other (income) expense, net consists primarily of the revaluation of tax receivable agreement liabilities and foreign currency realized and unrealized gains and losses related to the impact of transactions denominated in a foreign currency.</w:t>
      </w:r>
    </w:p>
    <w:p>
      <w:pPr>
        <w:spacing w:after="0" w:line="90" w:lineRule="exact"/>
        <w:rPr>
          <w:sz w:val="20"/>
          <w:szCs w:val="20"/>
          <w:color w:val="auto"/>
        </w:rPr>
      </w:pPr>
    </w:p>
    <w:p>
      <w:pPr>
        <w:ind w:right="540" w:firstLine="233"/>
        <w:spacing w:after="0" w:line="435" w:lineRule="auto"/>
        <w:rPr>
          <w:sz w:val="20"/>
          <w:szCs w:val="20"/>
          <w:color w:val="auto"/>
        </w:rPr>
      </w:pPr>
      <w:r>
        <w:rPr>
          <w:rFonts w:ascii="Arial" w:cs="Arial" w:eastAsia="Arial" w:hAnsi="Arial"/>
          <w:sz w:val="13"/>
          <w:szCs w:val="13"/>
          <w:color w:val="auto"/>
        </w:rPr>
        <w:t xml:space="preserve">We anticipate that the magnitude of other income and expenses may increase as tax receivable agreement liabilities increase, or we expand operations internationally and add complexity to our operations. </w:t>
      </w:r>
      <w:r>
        <w:rPr>
          <w:rFonts w:ascii="Arial" w:cs="Arial" w:eastAsia="Arial" w:hAnsi="Arial"/>
          <w:sz w:val="13"/>
          <w:szCs w:val="13"/>
          <w:b w:val="1"/>
          <w:bCs w:val="1"/>
          <w:i w:val="1"/>
          <w:iCs w:val="1"/>
          <w:color w:val="auto"/>
        </w:rPr>
        <w:t>Income Tax Expense (Benefit)</w:t>
      </w:r>
    </w:p>
    <w:p>
      <w:pPr>
        <w:spacing w:after="0" w:line="1" w:lineRule="exact"/>
        <w:rPr>
          <w:sz w:val="20"/>
          <w:szCs w:val="20"/>
          <w:color w:val="auto"/>
        </w:rPr>
      </w:pPr>
    </w:p>
    <w:p>
      <w:pPr>
        <w:jc w:val="both"/>
        <w:ind w:firstLine="233"/>
        <w:spacing w:after="0" w:line="275" w:lineRule="auto"/>
        <w:rPr>
          <w:sz w:val="20"/>
          <w:szCs w:val="20"/>
          <w:color w:val="auto"/>
        </w:rPr>
      </w:pPr>
      <w:r>
        <w:rPr>
          <w:rFonts w:ascii="Arial" w:cs="Arial" w:eastAsia="Arial" w:hAnsi="Arial"/>
          <w:sz w:val="12"/>
          <w:szCs w:val="12"/>
          <w:color w:val="auto"/>
        </w:rPr>
        <w:t xml:space="preserve">ZoomInfo OpCo is currently treated as a pass-through entity for U.S. federal income tax purposes and most applicable state and local income tax purposes. </w:t>
      </w:r>
      <w:r>
        <w:rPr>
          <w:rFonts w:ascii="Arial" w:cs="Arial" w:eastAsia="Arial" w:hAnsi="Arial"/>
          <w:sz w:val="12"/>
          <w:szCs w:val="12"/>
          <w:i w:val="1"/>
          <w:iCs w:val="1"/>
          <w:color w:val="auto"/>
        </w:rPr>
        <w:t>Income tax expense (benefit)</w:t>
      </w:r>
      <w:r>
        <w:rPr>
          <w:rFonts w:ascii="Arial" w:cs="Arial" w:eastAsia="Arial" w:hAnsi="Arial"/>
          <w:sz w:val="12"/>
          <w:szCs w:val="12"/>
          <w:color w:val="auto"/>
        </w:rPr>
        <w:t xml:space="preserve">, </w:t>
      </w:r>
      <w:r>
        <w:rPr>
          <w:rFonts w:ascii="Arial" w:cs="Arial" w:eastAsia="Arial" w:hAnsi="Arial"/>
          <w:sz w:val="12"/>
          <w:szCs w:val="12"/>
          <w:i w:val="1"/>
          <w:iCs w:val="1"/>
          <w:color w:val="auto"/>
        </w:rPr>
        <w:t>Deferred tax assets</w:t>
      </w:r>
      <w:r>
        <w:rPr>
          <w:rFonts w:ascii="Arial" w:cs="Arial" w:eastAsia="Arial" w:hAnsi="Arial"/>
          <w:sz w:val="12"/>
          <w:szCs w:val="12"/>
          <w:color w:val="auto"/>
        </w:rPr>
        <w:t xml:space="preserve">, </w:t>
      </w:r>
      <w:r>
        <w:rPr>
          <w:rFonts w:ascii="Arial" w:cs="Arial" w:eastAsia="Arial" w:hAnsi="Arial"/>
          <w:sz w:val="12"/>
          <w:szCs w:val="12"/>
          <w:i w:val="1"/>
          <w:iCs w:val="1"/>
          <w:color w:val="auto"/>
        </w:rPr>
        <w:t>Deferred tax liabilities</w:t>
      </w:r>
      <w:r>
        <w:rPr>
          <w:rFonts w:ascii="Arial" w:cs="Arial" w:eastAsia="Arial" w:hAnsi="Arial"/>
          <w:sz w:val="12"/>
          <w:szCs w:val="12"/>
          <w:color w:val="auto"/>
        </w:rPr>
        <w:t>, and liabilities for unrecognized tax benefits reflect management’s best assessment of estimated current and future taxes to be paid by our corporate subsidiaries and, to the extent paid directly by</w:t>
      </w:r>
      <w:r>
        <w:rPr>
          <w:rFonts w:ascii="Arial" w:cs="Arial" w:eastAsia="Arial" w:hAnsi="Arial"/>
          <w:sz w:val="12"/>
          <w:szCs w:val="12"/>
          <w:i w:val="1"/>
          <w:iCs w:val="1"/>
          <w:color w:val="auto"/>
        </w:rPr>
        <w:t xml:space="preserve"> </w:t>
      </w:r>
      <w:r>
        <w:rPr>
          <w:rFonts w:ascii="Arial" w:cs="Arial" w:eastAsia="Arial" w:hAnsi="Arial"/>
          <w:sz w:val="12"/>
          <w:szCs w:val="12"/>
          <w:color w:val="auto"/>
        </w:rPr>
        <w:t>our limited liability companies and partnerships that are treated as partnerships for tax purposes, our partnerships. Our corporate subsidiary, RKSI Acquisition Corporation, is subject to income taxes in the United States and holds noncontrolling interests in our subsidiary, ZoomInfo Technologies LLC. ZoomInfo Technologies LLC is treated as a partnership for U.S. federal and most applicable state and local income tax purposes. Any taxable income or loss generated by ZoomInfo Technologies LLC is passed through to and included in the taxable income or loss of its partners, including ZoomInfo LLC and RKSI Acquisition Corporation. However, because RKSI Acquisition Corporation is subject to income taxes in both the United States, income allocated to such corporate subsidiaries for tax purposes reduces the taxable income allocated to and distributions made to ZoomInfo OpCo. Significant judgments and estimates are required in determining our consolidated income tax expense. See Note 2 to our unaudited consolidated financial statements included in Part I, Item 1 of this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presents our results of operations for the three and six months ended June 30, 2021 and 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6"/>
          </w:tcPr>
          <w:p>
            <w:pPr>
              <w:jc w:val="right"/>
              <w:ind w:right="408"/>
              <w:spacing w:after="0"/>
              <w:rPr>
                <w:sz w:val="20"/>
                <w:szCs w:val="20"/>
                <w:color w:val="auto"/>
              </w:rPr>
            </w:pPr>
            <w:r>
              <w:rPr>
                <w:rFonts w:ascii="Arial" w:cs="Arial" w:eastAsia="Arial" w:hAnsi="Arial"/>
                <w:sz w:val="10"/>
                <w:szCs w:val="10"/>
                <w:b w:val="1"/>
                <w:bCs w:val="1"/>
                <w:color w:val="auto"/>
              </w:rPr>
              <w:t>Three Months Ended June 30,</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w w:val="94"/>
              </w:rPr>
              <w:t>Six Months Ended June 30,</w:t>
            </w:r>
          </w:p>
        </w:tc>
        <w:tc>
          <w:tcPr>
            <w:tcW w:w="880" w:type="dxa"/>
            <w:vAlign w:val="bottom"/>
            <w:tcBorders>
              <w:bottom w:val="single" w:sz="8" w:color="auto"/>
            </w:tcBorders>
          </w:tcPr>
          <w:p>
            <w:pPr>
              <w:spacing w:after="0"/>
              <w:rPr>
                <w:sz w:val="12"/>
                <w:szCs w:val="12"/>
                <w:color w:val="auto"/>
              </w:rPr>
            </w:pPr>
          </w:p>
        </w:tc>
      </w:tr>
      <w:tr>
        <w:trPr>
          <w:trHeight w:val="145"/>
        </w:trPr>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b w:val="1"/>
                <w:bCs w:val="1"/>
                <w:i w:val="1"/>
                <w:iCs w:val="1"/>
                <w:color w:val="auto"/>
              </w:rPr>
              <w:t>($ in millions)</w:t>
            </w:r>
          </w:p>
        </w:tc>
        <w:tc>
          <w:tcPr>
            <w:tcW w:w="36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2020</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76"/>
              <w:spacing w:after="0"/>
              <w:rPr>
                <w:sz w:val="20"/>
                <w:szCs w:val="20"/>
                <w:color w:val="auto"/>
              </w:rPr>
            </w:pPr>
            <w:r>
              <w:rPr>
                <w:rFonts w:ascii="Arial" w:cs="Arial" w:eastAsia="Arial" w:hAnsi="Arial"/>
                <w:sz w:val="10"/>
                <w:szCs w:val="10"/>
                <w:b w:val="1"/>
                <w:bCs w:val="1"/>
                <w:color w:val="auto"/>
                <w:w w:val="98"/>
              </w:rPr>
              <w:t>2020</w:t>
            </w:r>
          </w:p>
        </w:tc>
      </w:tr>
      <w:tr>
        <w:trPr>
          <w:trHeight w:val="173"/>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174.0</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8"/>
              </w:rPr>
              <w:t>110.9</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327.3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213.1</w:t>
            </w:r>
          </w:p>
        </w:tc>
      </w:tr>
      <w:tr>
        <w:trPr>
          <w:trHeight w:val="194"/>
        </w:trPr>
        <w:tc>
          <w:tcPr>
            <w:tcW w:w="2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4"/>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Cost of service:</w:t>
            </w: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94"/>
        </w:trPr>
        <w:tc>
          <w:tcPr>
            <w:tcW w:w="3660" w:type="dxa"/>
            <w:vAlign w:val="bottom"/>
            <w:gridSpan w:val="2"/>
          </w:tcPr>
          <w:p>
            <w:pPr>
              <w:ind w:left="100"/>
              <w:spacing w:after="0"/>
              <w:rPr>
                <w:sz w:val="20"/>
                <w:szCs w:val="20"/>
                <w:color w:val="auto"/>
              </w:rPr>
            </w:pPr>
            <w:r>
              <w:rPr>
                <w:rFonts w:ascii="Arial" w:cs="Arial" w:eastAsia="Arial" w:hAnsi="Arial"/>
                <w:sz w:val="13"/>
                <w:szCs w:val="13"/>
                <w:color w:val="auto"/>
              </w:rPr>
              <w:t>Cost of service</w:t>
            </w:r>
            <w:r>
              <w:rPr>
                <w:rFonts w:ascii="Arial" w:cs="Arial" w:eastAsia="Arial" w:hAnsi="Arial"/>
                <w:sz w:val="16"/>
                <w:szCs w:val="16"/>
                <w:color w:val="auto"/>
                <w:vertAlign w:val="superscript"/>
              </w:rPr>
              <w:t>(1)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43.0</w:t>
            </w:r>
          </w:p>
        </w:tc>
      </w:tr>
      <w:tr>
        <w:trPr>
          <w:trHeight w:val="194"/>
        </w:trPr>
        <w:tc>
          <w:tcPr>
            <w:tcW w:w="36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Amortization of acquired technology</w:t>
            </w: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11.2</w:t>
            </w:r>
          </w:p>
        </w:tc>
      </w:tr>
      <w:tr>
        <w:trPr>
          <w:trHeight w:val="163"/>
        </w:trPr>
        <w:tc>
          <w:tcPr>
            <w:tcW w:w="3660" w:type="dxa"/>
            <w:vAlign w:val="bottom"/>
            <w:gridSpan w:val="2"/>
          </w:tcPr>
          <w:p>
            <w:pPr>
              <w:ind w:left="20"/>
              <w:spacing w:after="0"/>
              <w:rPr>
                <w:sz w:val="20"/>
                <w:szCs w:val="20"/>
                <w:color w:val="auto"/>
              </w:rPr>
            </w:pPr>
            <w:r>
              <w:rPr>
                <w:rFonts w:ascii="Arial" w:cs="Arial" w:eastAsia="Arial" w:hAnsi="Arial"/>
                <w:sz w:val="13"/>
                <w:szCs w:val="13"/>
                <w:color w:val="auto"/>
              </w:rPr>
              <w:t>Gross profit</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143.7</w:t>
            </w:r>
          </w:p>
        </w:tc>
        <w:tc>
          <w:tcPr>
            <w:tcW w:w="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77.1</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268.9</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158.9</w:t>
            </w:r>
          </w:p>
        </w:tc>
      </w:tr>
      <w:tr>
        <w:trPr>
          <w:trHeight w:val="20"/>
        </w:trPr>
        <w:tc>
          <w:tcPr>
            <w:tcW w:w="24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4"/>
        </w:trPr>
        <w:tc>
          <w:tcPr>
            <w:tcW w:w="24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74"/>
        </w:trPr>
        <w:tc>
          <w:tcPr>
            <w:tcW w:w="3660" w:type="dxa"/>
            <w:vAlign w:val="bottom"/>
            <w:gridSpan w:val="2"/>
          </w:tcPr>
          <w:p>
            <w:pPr>
              <w:ind w:left="20"/>
              <w:spacing w:after="0"/>
              <w:rPr>
                <w:sz w:val="20"/>
                <w:szCs w:val="20"/>
                <w:color w:val="auto"/>
              </w:rPr>
            </w:pPr>
            <w:r>
              <w:rPr>
                <w:rFonts w:ascii="Arial" w:cs="Arial" w:eastAsia="Arial" w:hAnsi="Arial"/>
                <w:sz w:val="13"/>
                <w:szCs w:val="13"/>
                <w:color w:val="auto"/>
              </w:rPr>
              <w:t>Operating expenses: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4"/>
        </w:trPr>
        <w:tc>
          <w:tcPr>
            <w:tcW w:w="36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Sales and marketing</w:t>
            </w:r>
            <w:r>
              <w:rPr>
                <w:rFonts w:ascii="Arial" w:cs="Arial" w:eastAsia="Arial" w:hAnsi="Arial"/>
                <w:sz w:val="16"/>
                <w:szCs w:val="16"/>
                <w:color w:val="auto"/>
                <w:vertAlign w:val="superscript"/>
              </w:rPr>
              <w:t>(1)</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w:t>
            </w:r>
          </w:p>
        </w:tc>
      </w:tr>
      <w:tr>
        <w:trPr>
          <w:trHeight w:val="194"/>
        </w:trPr>
        <w:tc>
          <w:tcPr>
            <w:tcW w:w="3660" w:type="dxa"/>
            <w:vAlign w:val="bottom"/>
            <w:gridSpan w:val="2"/>
          </w:tcPr>
          <w:p>
            <w:pPr>
              <w:ind w:left="100"/>
              <w:spacing w:after="0"/>
              <w:rPr>
                <w:sz w:val="20"/>
                <w:szCs w:val="20"/>
                <w:color w:val="auto"/>
              </w:rPr>
            </w:pPr>
            <w:r>
              <w:rPr>
                <w:rFonts w:ascii="Arial" w:cs="Arial" w:eastAsia="Arial" w:hAnsi="Arial"/>
                <w:sz w:val="13"/>
                <w:szCs w:val="13"/>
                <w:color w:val="auto"/>
              </w:rPr>
              <w:t>Research and development</w:t>
            </w:r>
            <w:r>
              <w:rPr>
                <w:rFonts w:ascii="Arial" w:cs="Arial" w:eastAsia="Arial" w:hAnsi="Arial"/>
                <w:sz w:val="16"/>
                <w:szCs w:val="16"/>
                <w:color w:val="auto"/>
                <w:vertAlign w:val="superscript"/>
              </w:rPr>
              <w:t>(1)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26.3</w:t>
            </w:r>
          </w:p>
        </w:tc>
      </w:tr>
      <w:tr>
        <w:trPr>
          <w:trHeight w:val="194"/>
        </w:trPr>
        <w:tc>
          <w:tcPr>
            <w:tcW w:w="36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General and administrative</w:t>
            </w:r>
            <w:r>
              <w:rPr>
                <w:rFonts w:ascii="Arial" w:cs="Arial" w:eastAsia="Arial" w:hAnsi="Arial"/>
                <w:sz w:val="16"/>
                <w:szCs w:val="16"/>
                <w:color w:val="auto"/>
                <w:vertAlign w:val="superscript"/>
              </w:rPr>
              <w:t>(1)</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r>
      <w:tr>
        <w:trPr>
          <w:trHeight w:val="174"/>
        </w:trPr>
        <w:tc>
          <w:tcPr>
            <w:tcW w:w="3660" w:type="dxa"/>
            <w:vAlign w:val="bottom"/>
            <w:gridSpan w:val="2"/>
          </w:tcPr>
          <w:p>
            <w:pPr>
              <w:ind w:left="100"/>
              <w:spacing w:after="0"/>
              <w:rPr>
                <w:sz w:val="20"/>
                <w:szCs w:val="20"/>
                <w:color w:val="auto"/>
              </w:rPr>
            </w:pPr>
            <w:r>
              <w:rPr>
                <w:rFonts w:ascii="Arial" w:cs="Arial" w:eastAsia="Arial" w:hAnsi="Arial"/>
                <w:sz w:val="13"/>
                <w:szCs w:val="13"/>
                <w:color w:val="auto"/>
              </w:rPr>
              <w:t>Amortization of other acquired intangibles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9.3</w:t>
            </w:r>
          </w:p>
        </w:tc>
      </w:tr>
      <w:tr>
        <w:trPr>
          <w:trHeight w:val="20"/>
        </w:trPr>
        <w:tc>
          <w:tcPr>
            <w:tcW w:w="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4"/>
        </w:trPr>
        <w:tc>
          <w:tcPr>
            <w:tcW w:w="36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Restructuring and transaction related expenses</w:t>
            </w: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w:t>
            </w:r>
          </w:p>
        </w:tc>
      </w:tr>
      <w:tr>
        <w:trPr>
          <w:trHeight w:val="163"/>
        </w:trPr>
        <w:tc>
          <w:tcPr>
            <w:tcW w:w="240" w:type="dxa"/>
            <w:vAlign w:val="bottom"/>
          </w:tcPr>
          <w:p>
            <w:pPr>
              <w:spacing w:after="0"/>
              <w:rPr>
                <w:sz w:val="14"/>
                <w:szCs w:val="14"/>
                <w:color w:val="auto"/>
              </w:rPr>
            </w:pPr>
          </w:p>
        </w:tc>
        <w:tc>
          <w:tcPr>
            <w:tcW w:w="3420" w:type="dxa"/>
            <w:vAlign w:val="bottom"/>
          </w:tcPr>
          <w:p>
            <w:pPr>
              <w:ind w:left="20"/>
              <w:spacing w:after="0"/>
              <w:rPr>
                <w:sz w:val="20"/>
                <w:szCs w:val="20"/>
                <w:color w:val="auto"/>
              </w:rPr>
            </w:pPr>
            <w:r>
              <w:rPr>
                <w:rFonts w:ascii="Arial" w:cs="Arial" w:eastAsia="Arial" w:hAnsi="Arial"/>
                <w:sz w:val="13"/>
                <w:szCs w:val="13"/>
                <w:color w:val="auto"/>
              </w:rPr>
              <w:t>Total operating expenses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102.8</w:t>
            </w:r>
          </w:p>
        </w:tc>
        <w:tc>
          <w:tcPr>
            <w:tcW w:w="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8"/>
              </w:rPr>
              <w:t>108.3</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200.0</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169.8</w:t>
            </w:r>
          </w:p>
        </w:tc>
      </w:tr>
      <w:tr>
        <w:trPr>
          <w:trHeight w:val="20"/>
        </w:trPr>
        <w:tc>
          <w:tcPr>
            <w:tcW w:w="24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4"/>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40.9</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(31.2)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w:t>
            </w:r>
          </w:p>
        </w:tc>
      </w:tr>
      <w:tr>
        <w:trPr>
          <w:trHeight w:val="174"/>
        </w:trPr>
        <w:tc>
          <w:tcPr>
            <w:tcW w:w="2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174"/>
        </w:trPr>
        <w:tc>
          <w:tcPr>
            <w:tcW w:w="36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Interest expense, net</w:t>
            </w:r>
          </w:p>
        </w:tc>
        <w:tc>
          <w:tcPr>
            <w:tcW w:w="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49.6</w:t>
            </w:r>
          </w:p>
        </w:tc>
      </w:tr>
      <w:tr>
        <w:trPr>
          <w:trHeight w:val="174"/>
        </w:trPr>
        <w:tc>
          <w:tcPr>
            <w:tcW w:w="3660" w:type="dxa"/>
            <w:vAlign w:val="bottom"/>
            <w:gridSpan w:val="2"/>
          </w:tcPr>
          <w:p>
            <w:pPr>
              <w:ind w:left="100"/>
              <w:spacing w:after="0"/>
              <w:rPr>
                <w:sz w:val="20"/>
                <w:szCs w:val="20"/>
                <w:color w:val="auto"/>
              </w:rPr>
            </w:pPr>
            <w:r>
              <w:rPr>
                <w:rFonts w:ascii="Arial" w:cs="Arial" w:eastAsia="Arial" w:hAnsi="Arial"/>
                <w:sz w:val="13"/>
                <w:szCs w:val="13"/>
                <w:color w:val="auto"/>
              </w:rPr>
              <w:t>Loss on debt extinguishment</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14.9</w:t>
            </w:r>
          </w:p>
        </w:tc>
      </w:tr>
      <w:tr>
        <w:trPr>
          <w:trHeight w:val="20"/>
        </w:trPr>
        <w:tc>
          <w:tcPr>
            <w:tcW w:w="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4"/>
        </w:trPr>
        <w:tc>
          <w:tcPr>
            <w:tcW w:w="36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Other (income) expense, net</w:t>
            </w: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3660" w:type="dxa"/>
            <w:vAlign w:val="bottom"/>
            <w:gridSpan w:val="2"/>
          </w:tcPr>
          <w:p>
            <w:pPr>
              <w:ind w:left="20"/>
              <w:spacing w:after="0"/>
              <w:rPr>
                <w:sz w:val="20"/>
                <w:szCs w:val="20"/>
                <w:color w:val="auto"/>
              </w:rPr>
            </w:pPr>
            <w:r>
              <w:rPr>
                <w:rFonts w:ascii="Arial" w:cs="Arial" w:eastAsia="Arial" w:hAnsi="Arial"/>
                <w:sz w:val="13"/>
                <w:szCs w:val="13"/>
                <w:color w:val="auto"/>
              </w:rPr>
              <w:t>Income (loss) before income taxes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30.7</w:t>
            </w:r>
          </w:p>
        </w:tc>
        <w:tc>
          <w:tcPr>
            <w:tcW w:w="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9"/>
              </w:rPr>
              <w:t>(69.1)</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46.5</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(75.4)</w:t>
            </w:r>
          </w:p>
        </w:tc>
      </w:tr>
      <w:tr>
        <w:trPr>
          <w:trHeight w:val="20"/>
        </w:trPr>
        <w:tc>
          <w:tcPr>
            <w:tcW w:w="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4"/>
        </w:trPr>
        <w:tc>
          <w:tcPr>
            <w:tcW w:w="36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Income tax expense (benefit)</w:t>
            </w: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8.4</w:t>
            </w:r>
          </w:p>
        </w:tc>
      </w:tr>
      <w:tr>
        <w:trPr>
          <w:trHeight w:val="163"/>
        </w:trPr>
        <w:tc>
          <w:tcPr>
            <w:tcW w:w="24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3"/>
                <w:szCs w:val="13"/>
                <w:b w:val="1"/>
                <w:bCs w:val="1"/>
                <w:color w:val="auto"/>
              </w:rPr>
              <w:t>Net income (loss)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24.5</w:t>
            </w:r>
          </w:p>
        </w:tc>
        <w:tc>
          <w:tcPr>
            <w:tcW w:w="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9"/>
              </w:rPr>
              <w:t>(77.9)</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(83.8)</w:t>
            </w:r>
          </w:p>
        </w:tc>
      </w:tr>
      <w:tr>
        <w:trPr>
          <w:trHeight w:val="20"/>
        </w:trPr>
        <w:tc>
          <w:tcPr>
            <w:tcW w:w="24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4"/>
        </w:trPr>
        <w:tc>
          <w:tcPr>
            <w:tcW w:w="518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3"/>
                <w:szCs w:val="13"/>
                <w:color w:val="auto"/>
                <w:w w:val="92"/>
              </w:rPr>
              <w:t>Less: Net income (loss) attributable to ZoomInfo OpCo prior to the Reorganization Transactions</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w:t>
            </w:r>
          </w:p>
        </w:tc>
      </w:tr>
      <w:tr>
        <w:trPr>
          <w:trHeight w:val="174"/>
        </w:trPr>
        <w:tc>
          <w:tcPr>
            <w:tcW w:w="3660" w:type="dxa"/>
            <w:vAlign w:val="bottom"/>
            <w:gridSpan w:val="2"/>
          </w:tcPr>
          <w:p>
            <w:pPr>
              <w:ind w:left="80"/>
              <w:spacing w:after="0"/>
              <w:rPr>
                <w:sz w:val="20"/>
                <w:szCs w:val="20"/>
                <w:color w:val="auto"/>
              </w:rPr>
            </w:pPr>
            <w:r>
              <w:rPr>
                <w:rFonts w:ascii="Arial" w:cs="Arial" w:eastAsia="Arial" w:hAnsi="Arial"/>
                <w:sz w:val="13"/>
                <w:szCs w:val="13"/>
                <w:color w:val="auto"/>
              </w:rPr>
              <w:t>Less: Net income (loss) attributable to noncontrolling interests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9"/>
              </w:rPr>
              <w:t>(44.3)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(44.3)</w:t>
            </w:r>
          </w:p>
        </w:tc>
      </w:tr>
      <w:tr>
        <w:trPr>
          <w:trHeight w:val="20"/>
        </w:trPr>
        <w:tc>
          <w:tcPr>
            <w:tcW w:w="24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3"/>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w w:val="96"/>
              </w:rPr>
              <w:t>Net income (loss) attributable to ZoomInfo Technologies Inc.</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(34.4)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r>
      <w:tr>
        <w:trPr>
          <w:trHeight w:val="287"/>
        </w:trPr>
        <w:tc>
          <w:tcPr>
            <w:tcW w:w="3660" w:type="dxa"/>
            <w:vAlign w:val="bottom"/>
            <w:tcBorders>
              <w:top w:val="single" w:sz="8" w:color="CCEEFF"/>
            </w:tcBorders>
            <w:gridSpan w:val="2"/>
          </w:tcPr>
          <w:p>
            <w:pPr>
              <w:spacing w:after="0"/>
              <w:rPr>
                <w:sz w:val="20"/>
                <w:szCs w:val="20"/>
                <w:color w:val="auto"/>
              </w:rPr>
            </w:pPr>
            <w:r>
              <w:rPr>
                <w:rFonts w:ascii="Arial" w:cs="Arial" w:eastAsia="Arial" w:hAnsi="Arial"/>
                <w:sz w:val="10"/>
                <w:szCs w:val="10"/>
                <w:color w:val="auto"/>
              </w:rPr>
              <w:t>__________________</w:t>
            </w:r>
          </w:p>
        </w:tc>
        <w:tc>
          <w:tcPr>
            <w:tcW w:w="36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130"/>
        </w:trPr>
        <w:tc>
          <w:tcPr>
            <w:tcW w:w="3660" w:type="dxa"/>
            <w:vAlign w:val="bottom"/>
            <w:gridSpan w:val="2"/>
          </w:tcPr>
          <w:p>
            <w:pPr>
              <w:spacing w:after="0"/>
              <w:rPr>
                <w:sz w:val="20"/>
                <w:szCs w:val="20"/>
                <w:color w:val="auto"/>
              </w:rPr>
            </w:pPr>
            <w:r>
              <w:rPr>
                <w:rFonts w:ascii="Arial" w:cs="Arial" w:eastAsia="Arial" w:hAnsi="Arial"/>
                <w:sz w:val="10"/>
                <w:szCs w:val="10"/>
                <w:color w:val="auto"/>
              </w:rPr>
              <w:t>(1)  Includes equity-based compensation expense as follows:</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22"/>
        </w:trPr>
        <w:tc>
          <w:tcPr>
            <w:tcW w:w="2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5"/>
          </w:tcPr>
          <w:p>
            <w:pPr>
              <w:jc w:val="right"/>
              <w:ind w:right="617"/>
              <w:spacing w:after="0"/>
              <w:rPr>
                <w:sz w:val="20"/>
                <w:szCs w:val="20"/>
                <w:color w:val="auto"/>
              </w:rPr>
            </w:pPr>
            <w:r>
              <w:rPr>
                <w:rFonts w:ascii="Arial" w:cs="Arial" w:eastAsia="Arial" w:hAnsi="Arial"/>
                <w:sz w:val="10"/>
                <w:szCs w:val="10"/>
                <w:b w:val="1"/>
                <w:bCs w:val="1"/>
                <w:color w:val="auto"/>
              </w:rPr>
              <w:t>Three Months Ended June 30,</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0"/>
                <w:szCs w:val="10"/>
                <w:b w:val="1"/>
                <w:bCs w:val="1"/>
                <w:color w:val="auto"/>
                <w:w w:val="97"/>
              </w:rPr>
              <w:t>Six Months Ended June 30,</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45"/>
        </w:trPr>
        <w:tc>
          <w:tcPr>
            <w:tcW w:w="240" w:type="dxa"/>
            <w:vAlign w:val="bottom"/>
          </w:tcPr>
          <w:p>
            <w:pPr>
              <w:spacing w:after="0"/>
              <w:rPr>
                <w:sz w:val="12"/>
                <w:szCs w:val="12"/>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i w:val="1"/>
                <w:iCs w:val="1"/>
                <w:color w:val="auto"/>
              </w:rPr>
              <w:t>($ in millions)</w:t>
            </w: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0"/>
                <w:szCs w:val="10"/>
                <w:b w:val="1"/>
                <w:bCs w:val="1"/>
                <w:color w:val="auto"/>
              </w:rPr>
              <w:t>2021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0"/>
                <w:szCs w:val="10"/>
                <w:b w:val="1"/>
                <w:bCs w:val="1"/>
                <w:color w:val="auto"/>
              </w:rPr>
              <w:t>2020</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54"/>
        </w:trPr>
        <w:tc>
          <w:tcPr>
            <w:tcW w:w="24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0"/>
                <w:szCs w:val="10"/>
                <w:color w:val="auto"/>
              </w:rPr>
              <w:t>Cost of service</w:t>
            </w:r>
          </w:p>
        </w:tc>
        <w:tc>
          <w:tcPr>
            <w:tcW w:w="360" w:type="dxa"/>
            <w:vAlign w:val="bottom"/>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w:t>
            </w:r>
          </w:p>
        </w:tc>
        <w:tc>
          <w:tcPr>
            <w:tcW w:w="400" w:type="dxa"/>
            <w:vAlign w:val="bottom"/>
            <w:gridSpan w:val="3"/>
            <w:shd w:val="clear" w:color="auto" w:fill="CCEEFF"/>
          </w:tcPr>
          <w:p>
            <w:pPr>
              <w:jc w:val="right"/>
              <w:ind w:right="188"/>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EFF"/>
          </w:tcPr>
          <w:p>
            <w:pPr>
              <w:spacing w:after="0"/>
              <w:rPr>
                <w:sz w:val="13"/>
                <w:szCs w:val="13"/>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w w:val="81"/>
              </w:rPr>
              <w:t>15.3</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6.7</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17.0</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6"/>
        </w:trPr>
        <w:tc>
          <w:tcPr>
            <w:tcW w:w="24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0"/>
                <w:szCs w:val="10"/>
                <w:color w:val="auto"/>
              </w:rPr>
              <w:t>Sales and marketing</w:t>
            </w: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7.2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0"/>
                <w:szCs w:val="10"/>
                <w:color w:val="auto"/>
                <w:w w:val="81"/>
              </w:rPr>
              <w:t>32.0</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0"/>
                <w:szCs w:val="10"/>
                <w:color w:val="auto"/>
                <w:w w:val="92"/>
              </w:rPr>
              <w:t>15.6</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ind w:left="20"/>
              <w:spacing w:after="0"/>
              <w:rPr>
                <w:sz w:val="20"/>
                <w:szCs w:val="20"/>
                <w:color w:val="auto"/>
              </w:rPr>
            </w:pPr>
            <w:r>
              <w:rPr>
                <w:rFonts w:ascii="Arial" w:cs="Arial" w:eastAsia="Arial" w:hAnsi="Arial"/>
                <w:sz w:val="10"/>
                <w:szCs w:val="10"/>
                <w:color w:val="auto"/>
              </w:rPr>
              <w:t>38.4</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4"/>
        </w:trPr>
        <w:tc>
          <w:tcPr>
            <w:tcW w:w="24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0"/>
                <w:szCs w:val="10"/>
                <w:color w:val="auto"/>
              </w:rPr>
              <w:t>Research and development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8.5</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5.8</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10.1</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6"/>
        </w:trPr>
        <w:tc>
          <w:tcPr>
            <w:tcW w:w="240" w:type="dxa"/>
            <w:vAlign w:val="bottom"/>
          </w:tcPr>
          <w:p>
            <w:pPr>
              <w:spacing w:after="0"/>
              <w:rPr>
                <w:sz w:val="12"/>
                <w:szCs w:val="12"/>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General and administrative</w:t>
            </w: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color w:val="auto"/>
              </w:rPr>
              <w:t>8.7</w:t>
            </w: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rPr>
              <w:t>7.1</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10.3</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3"/>
        </w:trPr>
        <w:tc>
          <w:tcPr>
            <w:tcW w:w="240" w:type="dxa"/>
            <w:vAlign w:val="bottom"/>
          </w:tcPr>
          <w:p>
            <w:pPr>
              <w:spacing w:after="0"/>
              <w:rPr>
                <w:sz w:val="15"/>
                <w:szCs w:val="15"/>
                <w:color w:val="auto"/>
              </w:rPr>
            </w:pPr>
          </w:p>
        </w:tc>
        <w:tc>
          <w:tcPr>
            <w:tcW w:w="3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Total equity-based compensation expense</w:t>
            </w:r>
          </w:p>
        </w:tc>
        <w:tc>
          <w:tcPr>
            <w:tcW w:w="3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17.1</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0"/>
                <w:szCs w:val="10"/>
                <w:color w:val="auto"/>
                <w:w w:val="81"/>
              </w:rPr>
              <w:t>64.5</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92"/>
              </w:rPr>
              <w:t>35.2</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75.8</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64" w:name="page65"/>
    <w:bookmarkEnd w:id="6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Three Months Ended June 30, 2021 and Three Months Ended June 30, 2020</w:t>
      </w:r>
    </w:p>
    <w:p>
      <w:pPr>
        <w:spacing w:after="0" w:line="122"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3"/>
          <w:szCs w:val="13"/>
          <w:i w:val="1"/>
          <w:iCs w:val="1"/>
          <w:color w:val="auto"/>
        </w:rPr>
        <w:t>Revenue</w:t>
      </w:r>
      <w:r>
        <w:rPr>
          <w:rFonts w:ascii="Arial" w:cs="Arial" w:eastAsia="Arial" w:hAnsi="Arial"/>
          <w:sz w:val="13"/>
          <w:szCs w:val="13"/>
          <w:color w:val="auto"/>
        </w:rPr>
        <w:t>. Revenue was $174.0 million for the three months ended June 30, 2021, an increase of $63.1 million, or 57%, as compared to $110.9 million for the three months ended June 30, 2020. This increase was</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due to the addition of new customers over the past 12 months and net expansion with existing customers. Products acquired within the last 12 months contributed $3.6 million for the three months ended June 30, 2021.</w:t>
      </w:r>
    </w:p>
    <w:p>
      <w:pPr>
        <w:spacing w:after="0" w:line="98" w:lineRule="exact"/>
        <w:rPr>
          <w:sz w:val="20"/>
          <w:szCs w:val="20"/>
          <w:color w:val="auto"/>
        </w:rPr>
      </w:pPr>
    </w:p>
    <w:p>
      <w:pPr>
        <w:jc w:val="both"/>
        <w:ind w:firstLine="233"/>
        <w:spacing w:after="0" w:line="291" w:lineRule="auto"/>
        <w:rPr>
          <w:sz w:val="20"/>
          <w:szCs w:val="20"/>
          <w:color w:val="auto"/>
        </w:rPr>
      </w:pPr>
      <w:r>
        <w:rPr>
          <w:rFonts w:ascii="Arial" w:cs="Arial" w:eastAsia="Arial" w:hAnsi="Arial"/>
          <w:sz w:val="12"/>
          <w:szCs w:val="12"/>
          <w:i w:val="1"/>
          <w:iCs w:val="1"/>
          <w:color w:val="auto"/>
        </w:rPr>
        <w:t xml:space="preserve">Cost of Service. </w:t>
      </w:r>
      <w:r>
        <w:rPr>
          <w:rFonts w:ascii="Arial" w:cs="Arial" w:eastAsia="Arial" w:hAnsi="Arial"/>
          <w:sz w:val="12"/>
          <w:szCs w:val="12"/>
          <w:color w:val="auto"/>
        </w:rPr>
        <w:t>Cost of service was $30.3 million for the three months ended June 30, 2021, a decrease of $3.5 million, or 10%, as compared to $33.8 million for the three months ended June 30, 2020. The</w:t>
      </w:r>
      <w:r>
        <w:rPr>
          <w:rFonts w:ascii="Arial" w:cs="Arial" w:eastAsia="Arial" w:hAnsi="Arial"/>
          <w:sz w:val="12"/>
          <w:szCs w:val="12"/>
          <w:i w:val="1"/>
          <w:iCs w:val="1"/>
          <w:color w:val="auto"/>
        </w:rPr>
        <w:t xml:space="preserve"> </w:t>
      </w:r>
      <w:r>
        <w:rPr>
          <w:rFonts w:ascii="Arial" w:cs="Arial" w:eastAsia="Arial" w:hAnsi="Arial"/>
          <w:sz w:val="12"/>
          <w:szCs w:val="12"/>
          <w:color w:val="auto"/>
        </w:rPr>
        <w:t>decrease was primarily due to non-recurring equity-based compensation expense in the prior year triggered by the IPO, offset by current year increased payroll and equity-based compensation costs associated with additional headcount, increased hosting expense to support new and growing customers, and increased amortization of acquired technology related to acquisitions.</w:t>
      </w:r>
    </w:p>
    <w:p>
      <w:pPr>
        <w:spacing w:after="0" w:line="80"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3"/>
          <w:szCs w:val="13"/>
          <w:i w:val="1"/>
          <w:iCs w:val="1"/>
          <w:color w:val="auto"/>
        </w:rPr>
        <w:t xml:space="preserve">Operating Expenses. </w:t>
      </w:r>
      <w:r>
        <w:rPr>
          <w:rFonts w:ascii="Arial" w:cs="Arial" w:eastAsia="Arial" w:hAnsi="Arial"/>
          <w:sz w:val="13"/>
          <w:szCs w:val="13"/>
          <w:color w:val="auto"/>
        </w:rPr>
        <w:t>Operating expenses were $102.8 million for the three months ended June 30, 2021, a decrease of $5.5 million, or 5%, as compared to $108.3 million for the three months ended June 30, 2020.</w:t>
      </w:r>
      <w:r>
        <w:rPr>
          <w:rFonts w:ascii="Arial" w:cs="Arial" w:eastAsia="Arial" w:hAnsi="Arial"/>
          <w:sz w:val="13"/>
          <w:szCs w:val="13"/>
          <w:i w:val="1"/>
          <w:iCs w:val="1"/>
          <w:color w:val="auto"/>
        </w:rPr>
        <w:t xml:space="preserve"> </w:t>
      </w:r>
      <w:r>
        <w:rPr>
          <w:rFonts w:ascii="Arial" w:cs="Arial" w:eastAsia="Arial" w:hAnsi="Arial"/>
          <w:sz w:val="13"/>
          <w:szCs w:val="13"/>
          <w:color w:val="auto"/>
        </w:rPr>
        <w:t>Excluding equity-based compensation expenses, operating expenses were $88.9 million for the three months ended June 30, 2021, an increase of $29.8 million, or 50%, as compared to $59.1 million for the three months ended June 30, 2020. The increase excluding equity-based compensation was primarily due to:</w:t>
      </w:r>
    </w:p>
    <w:p>
      <w:pPr>
        <w:spacing w:after="0" w:line="98" w:lineRule="exact"/>
        <w:rPr>
          <w:sz w:val="20"/>
          <w:szCs w:val="20"/>
          <w:color w:val="auto"/>
        </w:rPr>
      </w:pPr>
    </w:p>
    <w:p>
      <w:pPr>
        <w:jc w:val="both"/>
        <w:ind w:left="460" w:hanging="230"/>
        <w:spacing w:after="0" w:line="259" w:lineRule="auto"/>
        <w:tabs>
          <w:tab w:leader="none" w:pos="457"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 increase in sales and marketing expense (excluding equity-based compensation) of $15.2 million, or 55%, to $42.7 million for the three months ended June 30, 2021, due primarily to additional headcount and related salaries and benefits expenses added to drive continued incremental sales, as well as additional commission expense and amortization of deferred commissions related to obtaining contracts with customers;</w:t>
      </w:r>
    </w:p>
    <w:p>
      <w:pPr>
        <w:spacing w:after="0" w:line="97" w:lineRule="exact"/>
        <w:rPr>
          <w:rFonts w:ascii="Arial" w:cs="Arial" w:eastAsia="Arial" w:hAnsi="Arial"/>
          <w:sz w:val="13"/>
          <w:szCs w:val="13"/>
          <w:color w:val="auto"/>
        </w:rPr>
      </w:pPr>
    </w:p>
    <w:p>
      <w:pPr>
        <w:ind w:left="460" w:hanging="230"/>
        <w:spacing w:after="0" w:line="270" w:lineRule="auto"/>
        <w:tabs>
          <w:tab w:leader="none" w:pos="457"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 increase in research and development expense (excluding equity-based compensation) of $12.9 million, or 163%, to $20.8 million for the three months ended June 30, 2021, due primarily to additional headcount and related salaries and benefits expenses added to support continued innovation of our services;</w:t>
      </w:r>
    </w:p>
    <w:p>
      <w:pPr>
        <w:spacing w:after="0" w:line="90" w:lineRule="exact"/>
        <w:rPr>
          <w:rFonts w:ascii="Arial" w:cs="Arial" w:eastAsia="Arial" w:hAnsi="Arial"/>
          <w:sz w:val="13"/>
          <w:szCs w:val="13"/>
          <w:color w:val="auto"/>
        </w:rPr>
      </w:pPr>
    </w:p>
    <w:p>
      <w:pPr>
        <w:ind w:left="460" w:hanging="230"/>
        <w:spacing w:after="0" w:line="363" w:lineRule="auto"/>
        <w:tabs>
          <w:tab w:leader="none" w:pos="457" w:val="left"/>
        </w:tabs>
        <w:numPr>
          <w:ilvl w:val="0"/>
          <w:numId w:val="19"/>
        </w:numPr>
        <w:rPr>
          <w:rFonts w:ascii="Arial" w:cs="Arial" w:eastAsia="Arial" w:hAnsi="Arial"/>
          <w:sz w:val="11"/>
          <w:szCs w:val="11"/>
          <w:color w:val="auto"/>
        </w:rPr>
      </w:pPr>
      <w:r>
        <w:rPr>
          <w:rFonts w:ascii="Arial" w:cs="Arial" w:eastAsia="Arial" w:hAnsi="Arial"/>
          <w:sz w:val="11"/>
          <w:szCs w:val="11"/>
          <w:color w:val="auto"/>
        </w:rPr>
        <w:t>an increase in general and administrative expense (excluding equity-based compensation) of $8.9 million, or 94%, to $18.4 million for the three months ended June 30, 2021, due primarily to additional professional services and corporate insurance costs related to operating as a public company, as well as additional headcount and related salaries and benefits expenses to support the larger organization; and</w:t>
      </w:r>
    </w:p>
    <w:p>
      <w:pPr>
        <w:spacing w:after="0" w:line="43" w:lineRule="exact"/>
        <w:rPr>
          <w:rFonts w:ascii="Arial" w:cs="Arial" w:eastAsia="Arial" w:hAnsi="Arial"/>
          <w:sz w:val="11"/>
          <w:szCs w:val="11"/>
          <w:color w:val="auto"/>
        </w:rPr>
      </w:pPr>
    </w:p>
    <w:p>
      <w:pPr>
        <w:jc w:val="both"/>
        <w:ind w:left="460" w:hanging="230"/>
        <w:spacing w:after="0" w:line="259" w:lineRule="auto"/>
        <w:tabs>
          <w:tab w:leader="none" w:pos="457" w:val="left"/>
        </w:tabs>
        <w:numPr>
          <w:ilvl w:val="0"/>
          <w:numId w:val="19"/>
        </w:numPr>
        <w:rPr>
          <w:rFonts w:ascii="Arial" w:cs="Arial" w:eastAsia="Arial" w:hAnsi="Arial"/>
          <w:sz w:val="13"/>
          <w:szCs w:val="13"/>
          <w:i w:val="1"/>
          <w:iCs w:val="1"/>
          <w:color w:val="auto"/>
        </w:rPr>
      </w:pPr>
      <w:r>
        <w:rPr>
          <w:rFonts w:ascii="Arial" w:cs="Arial" w:eastAsia="Arial" w:hAnsi="Arial"/>
          <w:sz w:val="13"/>
          <w:szCs w:val="13"/>
          <w:color w:val="auto"/>
        </w:rPr>
        <w:t>restructuring and transaction-related expense of $2.2 million for the three months ended June 30, 2021, primarily due to costs incurred related to 2021 acquisitions, as well as accelerated depreciation related to the Company’s anticipated Waltham office relocation. This represented a decrease of $7.3 million, or 77%, as compared to expense of $9.5 million for the three months ended June 30, 2020, which largely represented IPO-related expenses.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1"/>
          <w:szCs w:val="11"/>
          <w:i w:val="1"/>
          <w:iCs w:val="1"/>
          <w:color w:val="auto"/>
        </w:rPr>
        <w:t>Interest Expense, Net</w:t>
      </w:r>
      <w:r>
        <w:rPr>
          <w:rFonts w:ascii="Arial" w:cs="Arial" w:eastAsia="Arial" w:hAnsi="Arial"/>
          <w:sz w:val="11"/>
          <w:szCs w:val="11"/>
          <w:color w:val="auto"/>
        </w:rPr>
        <w:t>. Interest expense, net was $10.1 million for the three months ended June 30, 2021, a decrease of $15.0 million, or 60%, as compared to $25.1 million for the three months ended June 30, 2020.</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The decrease was primarily due to interest savings as a result of repayment of the second lien debt and $100.0 million first lien debt principal repayment in June 2020, and the debt repricing in February 2021.</w:t>
      </w:r>
    </w:p>
    <w:p>
      <w:pPr>
        <w:spacing w:after="0" w:line="125"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3"/>
          <w:szCs w:val="13"/>
          <w:i w:val="1"/>
          <w:iCs w:val="1"/>
          <w:color w:val="auto"/>
        </w:rPr>
        <w:t>Income Tax Expense (Benefit)</w:t>
      </w:r>
      <w:r>
        <w:rPr>
          <w:rFonts w:ascii="Arial" w:cs="Arial" w:eastAsia="Arial" w:hAnsi="Arial"/>
          <w:sz w:val="13"/>
          <w:szCs w:val="13"/>
          <w:color w:val="auto"/>
        </w:rPr>
        <w:t>. Expense from income taxes for the three months ended June 30, 2021 was $6.2 million, representing an effective tax rate of 20.2%, as compared to expense from income taxes of</w:t>
      </w:r>
      <w:r>
        <w:rPr>
          <w:rFonts w:ascii="Arial" w:cs="Arial" w:eastAsia="Arial" w:hAnsi="Arial"/>
          <w:sz w:val="13"/>
          <w:szCs w:val="13"/>
          <w:i w:val="1"/>
          <w:iCs w:val="1"/>
          <w:color w:val="auto"/>
        </w:rPr>
        <w:t xml:space="preserve"> </w:t>
      </w:r>
      <w:r>
        <w:rPr>
          <w:rFonts w:ascii="Arial" w:cs="Arial" w:eastAsia="Arial" w:hAnsi="Arial"/>
          <w:sz w:val="13"/>
          <w:szCs w:val="13"/>
          <w:color w:val="auto"/>
        </w:rPr>
        <w:t>$8.8 million for the three months ended June 30, 2020, representing an effective tax rate of (12.7)%. The increase in the effective tax rate was primarily due to the ratio of non-deductible stock compensation expense to pre-tax book income.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5" w:name="page66"/>
    <w:bookmarkEnd w:id="6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Six Months Ended June 30, 2021 and Six Months Ended June 30, 2020</w:t>
      </w:r>
    </w:p>
    <w:p>
      <w:pPr>
        <w:spacing w:after="0" w:line="122" w:lineRule="exact"/>
        <w:rPr>
          <w:sz w:val="20"/>
          <w:szCs w:val="20"/>
          <w:color w:val="auto"/>
        </w:rPr>
      </w:pPr>
    </w:p>
    <w:p>
      <w:pPr>
        <w:jc w:val="both"/>
        <w:ind w:right="20" w:firstLine="233"/>
        <w:spacing w:after="0" w:line="259" w:lineRule="auto"/>
        <w:rPr>
          <w:sz w:val="20"/>
          <w:szCs w:val="20"/>
          <w:color w:val="auto"/>
        </w:rPr>
      </w:pPr>
      <w:r>
        <w:rPr>
          <w:rFonts w:ascii="Arial" w:cs="Arial" w:eastAsia="Arial" w:hAnsi="Arial"/>
          <w:sz w:val="13"/>
          <w:szCs w:val="13"/>
          <w:i w:val="1"/>
          <w:iCs w:val="1"/>
          <w:color w:val="auto"/>
        </w:rPr>
        <w:t>Revenue</w:t>
      </w:r>
      <w:r>
        <w:rPr>
          <w:rFonts w:ascii="Arial" w:cs="Arial" w:eastAsia="Arial" w:hAnsi="Arial"/>
          <w:sz w:val="13"/>
          <w:szCs w:val="13"/>
          <w:color w:val="auto"/>
        </w:rPr>
        <w:t>. Revenue was $327.3 million for the six months ended June 30, 2021, an increase of $114.2 million, or 54%, as compared to $213.1 million for the six months ended June 30, 2020. This increase was</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due to the addition of new customers over the past 12 months and net expansion with existing customers. Products acquired within the last 12 months contributed $7.0 million for the six months ended June 30, 2021.</w:t>
      </w:r>
    </w:p>
    <w:p>
      <w:pPr>
        <w:spacing w:after="0" w:line="98" w:lineRule="exact"/>
        <w:rPr>
          <w:sz w:val="20"/>
          <w:szCs w:val="20"/>
          <w:color w:val="auto"/>
        </w:rPr>
      </w:pPr>
    </w:p>
    <w:p>
      <w:pPr>
        <w:jc w:val="both"/>
        <w:ind w:right="20" w:firstLine="233"/>
        <w:spacing w:after="0" w:line="291" w:lineRule="auto"/>
        <w:rPr>
          <w:sz w:val="20"/>
          <w:szCs w:val="20"/>
          <w:color w:val="auto"/>
        </w:rPr>
      </w:pPr>
      <w:r>
        <w:rPr>
          <w:rFonts w:ascii="Arial" w:cs="Arial" w:eastAsia="Arial" w:hAnsi="Arial"/>
          <w:sz w:val="12"/>
          <w:szCs w:val="12"/>
          <w:i w:val="1"/>
          <w:iCs w:val="1"/>
          <w:color w:val="auto"/>
        </w:rPr>
        <w:t xml:space="preserve">Cost of Service. </w:t>
      </w:r>
      <w:r>
        <w:rPr>
          <w:rFonts w:ascii="Arial" w:cs="Arial" w:eastAsia="Arial" w:hAnsi="Arial"/>
          <w:sz w:val="12"/>
          <w:szCs w:val="12"/>
          <w:color w:val="auto"/>
        </w:rPr>
        <w:t>Cost of service was $58.4 million for the six months ended June 30, 2021, an increase of $4.2 million, or 8%, as compared to $54.2 million for the six months ended June 30, 2020. The increase</w:t>
      </w:r>
      <w:r>
        <w:rPr>
          <w:rFonts w:ascii="Arial" w:cs="Arial" w:eastAsia="Arial" w:hAnsi="Arial"/>
          <w:sz w:val="12"/>
          <w:szCs w:val="12"/>
          <w:i w:val="1"/>
          <w:iCs w:val="1"/>
          <w:color w:val="auto"/>
        </w:rPr>
        <w:t xml:space="preserve"> </w:t>
      </w:r>
      <w:r>
        <w:rPr>
          <w:rFonts w:ascii="Arial" w:cs="Arial" w:eastAsia="Arial" w:hAnsi="Arial"/>
          <w:sz w:val="12"/>
          <w:szCs w:val="12"/>
          <w:color w:val="auto"/>
        </w:rPr>
        <w:t>was primarily due to increased payroll and equity-based compensation costs associated with additional headcount, increased amortization of acquired technology related to prior year acquisitions, and increased hosting expense to support new and growing customers, partially offset by non-recurring equity-based compensation expense in the prior year triggered by the IPO.</w:t>
      </w:r>
    </w:p>
    <w:p>
      <w:pPr>
        <w:spacing w:after="0" w:line="80" w:lineRule="exact"/>
        <w:rPr>
          <w:sz w:val="20"/>
          <w:szCs w:val="20"/>
          <w:color w:val="auto"/>
        </w:rPr>
      </w:pPr>
    </w:p>
    <w:p>
      <w:pPr>
        <w:jc w:val="both"/>
        <w:ind w:right="20" w:firstLine="233"/>
        <w:spacing w:after="0" w:line="259" w:lineRule="auto"/>
        <w:rPr>
          <w:sz w:val="20"/>
          <w:szCs w:val="20"/>
          <w:color w:val="auto"/>
        </w:rPr>
      </w:pPr>
      <w:r>
        <w:rPr>
          <w:rFonts w:ascii="Arial" w:cs="Arial" w:eastAsia="Arial" w:hAnsi="Arial"/>
          <w:sz w:val="13"/>
          <w:szCs w:val="13"/>
          <w:i w:val="1"/>
          <w:iCs w:val="1"/>
          <w:color w:val="auto"/>
        </w:rPr>
        <w:t xml:space="preserve">Operating Expenses. </w:t>
      </w:r>
      <w:r>
        <w:rPr>
          <w:rFonts w:ascii="Arial" w:cs="Arial" w:eastAsia="Arial" w:hAnsi="Arial"/>
          <w:sz w:val="13"/>
          <w:szCs w:val="13"/>
          <w:color w:val="auto"/>
        </w:rPr>
        <w:t>Operating expenses were $200.0 million for the six months ended June 30, 2021, an increase of $30.2 million, or 18%, as compared to $169.8 million for the six months ended June 30, 2020.</w:t>
      </w:r>
      <w:r>
        <w:rPr>
          <w:rFonts w:ascii="Arial" w:cs="Arial" w:eastAsia="Arial" w:hAnsi="Arial"/>
          <w:sz w:val="13"/>
          <w:szCs w:val="13"/>
          <w:i w:val="1"/>
          <w:iCs w:val="1"/>
          <w:color w:val="auto"/>
        </w:rPr>
        <w:t xml:space="preserve"> </w:t>
      </w:r>
      <w:r>
        <w:rPr>
          <w:rFonts w:ascii="Arial" w:cs="Arial" w:eastAsia="Arial" w:hAnsi="Arial"/>
          <w:sz w:val="13"/>
          <w:szCs w:val="13"/>
          <w:color w:val="auto"/>
        </w:rPr>
        <w:t>Excluding equity-based compensation expenses, operating expenses were $171.5 million for the six months ended June 30, 2021, an increase of $60.5 million, or 55%, as compared to $111.0 million for the six months ended June 30, 2020. The increase excluding equity-based compensation was primarily due to:</w:t>
      </w:r>
    </w:p>
    <w:p>
      <w:pPr>
        <w:spacing w:after="0" w:line="98" w:lineRule="exact"/>
        <w:rPr>
          <w:sz w:val="20"/>
          <w:szCs w:val="20"/>
          <w:color w:val="auto"/>
        </w:rPr>
      </w:pPr>
    </w:p>
    <w:p>
      <w:pPr>
        <w:jc w:val="both"/>
        <w:ind w:left="460" w:hanging="230"/>
        <w:spacing w:after="0" w:line="259" w:lineRule="auto"/>
        <w:tabs>
          <w:tab w:leader="none" w:pos="457" w:val="left"/>
        </w:tabs>
        <w:numPr>
          <w:ilvl w:val="0"/>
          <w:numId w:val="20"/>
        </w:numPr>
        <w:rPr>
          <w:rFonts w:ascii="Arial" w:cs="Arial" w:eastAsia="Arial" w:hAnsi="Arial"/>
          <w:sz w:val="13"/>
          <w:szCs w:val="13"/>
          <w:i w:val="1"/>
          <w:iCs w:val="1"/>
          <w:color w:val="auto"/>
        </w:rPr>
      </w:pPr>
      <w:r>
        <w:rPr>
          <w:rFonts w:ascii="Arial" w:cs="Arial" w:eastAsia="Arial" w:hAnsi="Arial"/>
          <w:sz w:val="13"/>
          <w:szCs w:val="13"/>
          <w:color w:val="auto"/>
        </w:rPr>
        <w:t>an increase in sales and marketing expense (excluding equity-based compensation) of $27.9 million, or 51%, to $83.1 million for the six months ended June 30, 2021, due primarily to additional headcount and related salaries and benefits expenses added to drive continued incremental sales, as well as additional commission expense and amortization of deferred commissions related to obtaining contracts with customers;</w:t>
      </w:r>
    </w:p>
    <w:p>
      <w:pPr>
        <w:spacing w:after="0" w:line="97" w:lineRule="exact"/>
        <w:rPr>
          <w:rFonts w:ascii="Arial" w:cs="Arial" w:eastAsia="Arial" w:hAnsi="Arial"/>
          <w:sz w:val="13"/>
          <w:szCs w:val="13"/>
          <w:i w:val="1"/>
          <w:iCs w:val="1"/>
          <w:color w:val="auto"/>
        </w:rPr>
      </w:pPr>
    </w:p>
    <w:p>
      <w:pPr>
        <w:ind w:left="460" w:right="20" w:hanging="230"/>
        <w:spacing w:after="0" w:line="270" w:lineRule="auto"/>
        <w:tabs>
          <w:tab w:leader="none" w:pos="457" w:val="left"/>
        </w:tabs>
        <w:numPr>
          <w:ilvl w:val="0"/>
          <w:numId w:val="20"/>
        </w:numPr>
        <w:rPr>
          <w:rFonts w:ascii="Arial" w:cs="Arial" w:eastAsia="Arial" w:hAnsi="Arial"/>
          <w:sz w:val="13"/>
          <w:szCs w:val="13"/>
          <w:color w:val="auto"/>
        </w:rPr>
      </w:pPr>
      <w:r>
        <w:rPr>
          <w:rFonts w:ascii="Arial" w:cs="Arial" w:eastAsia="Arial" w:hAnsi="Arial"/>
          <w:sz w:val="13"/>
          <w:szCs w:val="13"/>
          <w:color w:val="auto"/>
        </w:rPr>
        <w:t>an increase in research and development expense (excluding equity-based compensation) of $22.4 million, or 138%, to $38.6 million for the six months ended June 30, 2021, due primarily to additional headcount and related salaries and benefits expenses added to support continued innovation of our services;</w:t>
      </w:r>
    </w:p>
    <w:p>
      <w:pPr>
        <w:spacing w:after="0" w:line="90" w:lineRule="exact"/>
        <w:rPr>
          <w:rFonts w:ascii="Arial" w:cs="Arial" w:eastAsia="Arial" w:hAnsi="Arial"/>
          <w:sz w:val="13"/>
          <w:szCs w:val="13"/>
          <w:color w:val="auto"/>
        </w:rPr>
      </w:pPr>
    </w:p>
    <w:p>
      <w:pPr>
        <w:ind w:left="460" w:right="20" w:hanging="230"/>
        <w:spacing w:after="0" w:line="363" w:lineRule="auto"/>
        <w:tabs>
          <w:tab w:leader="none" w:pos="457" w:val="left"/>
        </w:tabs>
        <w:numPr>
          <w:ilvl w:val="0"/>
          <w:numId w:val="20"/>
        </w:numPr>
        <w:rPr>
          <w:rFonts w:ascii="Arial" w:cs="Arial" w:eastAsia="Arial" w:hAnsi="Arial"/>
          <w:sz w:val="11"/>
          <w:szCs w:val="11"/>
          <w:i w:val="1"/>
          <w:iCs w:val="1"/>
          <w:color w:val="auto"/>
        </w:rPr>
      </w:pPr>
      <w:r>
        <w:rPr>
          <w:rFonts w:ascii="Arial" w:cs="Arial" w:eastAsia="Arial" w:hAnsi="Arial"/>
          <w:sz w:val="11"/>
          <w:szCs w:val="11"/>
          <w:color w:val="auto"/>
        </w:rPr>
        <w:t>an increase in general and administrative expense (excluding equity-based compensation) of $15.7 million, or 88%, to $33.6 million for the six months ended June 30, 2021, due primarily to additional professional services and corporate insurance costs related to operating as a public company, as well as additional headcount and related salaries and benefits expenses to support the larger organization; and</w:t>
      </w:r>
    </w:p>
    <w:p>
      <w:pPr>
        <w:spacing w:after="0" w:line="43" w:lineRule="exact"/>
        <w:rPr>
          <w:rFonts w:ascii="Arial" w:cs="Arial" w:eastAsia="Arial" w:hAnsi="Arial"/>
          <w:sz w:val="11"/>
          <w:szCs w:val="11"/>
          <w:i w:val="1"/>
          <w:iCs w:val="1"/>
          <w:color w:val="auto"/>
        </w:rPr>
      </w:pPr>
    </w:p>
    <w:p>
      <w:pPr>
        <w:jc w:val="both"/>
        <w:ind w:left="460" w:right="20" w:hanging="230"/>
        <w:spacing w:after="0" w:line="259" w:lineRule="auto"/>
        <w:tabs>
          <w:tab w:leader="none" w:pos="457" w:val="left"/>
        </w:tabs>
        <w:numPr>
          <w:ilvl w:val="0"/>
          <w:numId w:val="20"/>
        </w:numPr>
        <w:rPr>
          <w:rFonts w:ascii="Arial" w:cs="Arial" w:eastAsia="Arial" w:hAnsi="Arial"/>
          <w:sz w:val="13"/>
          <w:szCs w:val="13"/>
          <w:i w:val="1"/>
          <w:iCs w:val="1"/>
          <w:color w:val="auto"/>
        </w:rPr>
      </w:pPr>
      <w:r>
        <w:rPr>
          <w:rFonts w:ascii="Arial" w:cs="Arial" w:eastAsia="Arial" w:hAnsi="Arial"/>
          <w:sz w:val="13"/>
          <w:szCs w:val="13"/>
          <w:color w:val="auto"/>
        </w:rPr>
        <w:t>restructuring and transaction-related expense of $6.6 million for the six months ended June 30, 2021, primarily due to impairment and accelerated depreciation related to the Company’s anticipated Waltham office relocation, and costs incurred related to 2021 acquisitions. This represented a decrease of $5.8 million, or 47%, as compared to expense of $12.4 million for the six months ended June 30, 2020, which largely represented IPO costs and Komiko contingent consideration remeasurement.</w:t>
      </w:r>
    </w:p>
    <w:p>
      <w:pPr>
        <w:spacing w:after="0" w:line="98" w:lineRule="exact"/>
        <w:rPr>
          <w:sz w:val="20"/>
          <w:szCs w:val="20"/>
          <w:color w:val="auto"/>
        </w:rPr>
      </w:pPr>
    </w:p>
    <w:p>
      <w:pPr>
        <w:jc w:val="both"/>
        <w:ind w:right="20" w:firstLine="233"/>
        <w:spacing w:after="0" w:line="363" w:lineRule="auto"/>
        <w:rPr>
          <w:sz w:val="20"/>
          <w:szCs w:val="20"/>
          <w:color w:val="auto"/>
        </w:rPr>
      </w:pPr>
      <w:r>
        <w:rPr>
          <w:rFonts w:ascii="Arial" w:cs="Arial" w:eastAsia="Arial" w:hAnsi="Arial"/>
          <w:sz w:val="11"/>
          <w:szCs w:val="11"/>
          <w:i w:val="1"/>
          <w:iCs w:val="1"/>
          <w:color w:val="auto"/>
        </w:rPr>
        <w:t>Interest Expense, Net</w:t>
      </w:r>
      <w:r>
        <w:rPr>
          <w:rFonts w:ascii="Arial" w:cs="Arial" w:eastAsia="Arial" w:hAnsi="Arial"/>
          <w:sz w:val="11"/>
          <w:szCs w:val="11"/>
          <w:color w:val="auto"/>
        </w:rPr>
        <w:t>. Interest expense, net was $16.6 million for the six months ended June 30, 2021, a decrease of $33.0 million, or 67%, as compared to $49.6 million for the six months ended June 30, 2020. The</w:t>
      </w:r>
      <w:r>
        <w:rPr>
          <w:rFonts w:ascii="Arial" w:cs="Arial" w:eastAsia="Arial" w:hAnsi="Arial"/>
          <w:sz w:val="11"/>
          <w:szCs w:val="11"/>
          <w:i w:val="1"/>
          <w:iCs w:val="1"/>
          <w:color w:val="auto"/>
        </w:rPr>
        <w:t xml:space="preserve"> </w:t>
      </w:r>
      <w:r>
        <w:rPr>
          <w:rFonts w:ascii="Arial" w:cs="Arial" w:eastAsia="Arial" w:hAnsi="Arial"/>
          <w:sz w:val="11"/>
          <w:szCs w:val="11"/>
          <w:color w:val="auto"/>
        </w:rPr>
        <w:t>decrease was primarily due to interest savings as a result of repayment of the second lien debt and $100.0 million first lien debt principal repayment in June 2020, and the debt repricing in February 2021.</w:t>
      </w:r>
    </w:p>
    <w:p>
      <w:pPr>
        <w:spacing w:after="0" w:line="44" w:lineRule="exact"/>
        <w:rPr>
          <w:sz w:val="20"/>
          <w:szCs w:val="20"/>
          <w:color w:val="auto"/>
        </w:rPr>
      </w:pPr>
    </w:p>
    <w:p>
      <w:pPr>
        <w:jc w:val="both"/>
        <w:ind w:right="20" w:firstLine="233"/>
        <w:spacing w:after="0" w:line="259" w:lineRule="auto"/>
        <w:rPr>
          <w:sz w:val="20"/>
          <w:szCs w:val="20"/>
          <w:color w:val="auto"/>
        </w:rPr>
      </w:pPr>
      <w:r>
        <w:rPr>
          <w:rFonts w:ascii="Arial" w:cs="Arial" w:eastAsia="Arial" w:hAnsi="Arial"/>
          <w:sz w:val="13"/>
          <w:szCs w:val="13"/>
          <w:i w:val="1"/>
          <w:iCs w:val="1"/>
          <w:color w:val="auto"/>
        </w:rPr>
        <w:t>Income Tax Expense (Benefit)</w:t>
      </w:r>
      <w:r>
        <w:rPr>
          <w:rFonts w:ascii="Arial" w:cs="Arial" w:eastAsia="Arial" w:hAnsi="Arial"/>
          <w:sz w:val="13"/>
          <w:szCs w:val="13"/>
          <w:color w:val="auto"/>
        </w:rPr>
        <w:t>. Expense from income taxes for the six months ended June 30, 2021 was $55.9 million, representing an effective tax rate of 120.2%, as compared to expense from income taxes of</w:t>
      </w:r>
      <w:r>
        <w:rPr>
          <w:rFonts w:ascii="Arial" w:cs="Arial" w:eastAsia="Arial" w:hAnsi="Arial"/>
          <w:sz w:val="13"/>
          <w:szCs w:val="13"/>
          <w:i w:val="1"/>
          <w:iCs w:val="1"/>
          <w:color w:val="auto"/>
        </w:rPr>
        <w:t xml:space="preserve"> </w:t>
      </w:r>
      <w:r>
        <w:rPr>
          <w:rFonts w:ascii="Arial" w:cs="Arial" w:eastAsia="Arial" w:hAnsi="Arial"/>
          <w:sz w:val="13"/>
          <w:szCs w:val="13"/>
          <w:color w:val="auto"/>
        </w:rPr>
        <w:t>$8.4 million for the six months ended June 30, 2020, representing an effective tax rate of (11.1)%. The increase in the effective tax rate was primarily due to the recognition of non-cash tax expense in Q1 2021 primarily allocable to non-controlling interests resulting from a shift in GAAP basis from a non-taxable entity to a taxable entity.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66" w:name="page67"/>
    <w:bookmarkEnd w:id="6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26" w:lineRule="exact"/>
        <w:rPr>
          <w:sz w:val="20"/>
          <w:szCs w:val="20"/>
          <w:color w:val="auto"/>
        </w:rPr>
      </w:pPr>
    </w:p>
    <w:p>
      <w:pPr>
        <w:jc w:val="both"/>
        <w:ind w:right="20" w:firstLine="233"/>
        <w:spacing w:after="0" w:line="313" w:lineRule="auto"/>
        <w:rPr>
          <w:sz w:val="20"/>
          <w:szCs w:val="20"/>
          <w:color w:val="auto"/>
        </w:rPr>
      </w:pPr>
      <w:r>
        <w:rPr>
          <w:rFonts w:ascii="Arial" w:cs="Arial" w:eastAsia="Arial" w:hAnsi="Arial"/>
          <w:sz w:val="12"/>
          <w:szCs w:val="12"/>
          <w:color w:val="auto"/>
        </w:rPr>
        <w:t>As of June 30, 2021, we had $332.9 million of cash and cash equivalents, $66.8 million of short-term investments, and $250.0 million available under our undrawn first lien revolving credit facility. We have financed our operations primarily through cash generated from operations and financed various acquisitions through cash generated from operations supplemented with debt offerings.</w:t>
      </w:r>
    </w:p>
    <w:p>
      <w:pPr>
        <w:spacing w:after="0" w:line="67" w:lineRule="exact"/>
        <w:rPr>
          <w:sz w:val="20"/>
          <w:szCs w:val="20"/>
          <w:color w:val="auto"/>
        </w:rPr>
      </w:pPr>
    </w:p>
    <w:p>
      <w:pPr>
        <w:jc w:val="both"/>
        <w:ind w:right="20" w:firstLine="233"/>
        <w:spacing w:after="0" w:line="363" w:lineRule="auto"/>
        <w:rPr>
          <w:sz w:val="20"/>
          <w:szCs w:val="20"/>
          <w:color w:val="auto"/>
        </w:rPr>
      </w:pPr>
      <w:r>
        <w:rPr>
          <w:rFonts w:ascii="Arial" w:cs="Arial" w:eastAsia="Arial" w:hAnsi="Arial"/>
          <w:sz w:val="11"/>
          <w:szCs w:val="11"/>
          <w:color w:val="auto"/>
        </w:rPr>
        <w:t>We believe that our cash flows from operations and existing available cash and cash equivalents, together with our other available external financing sources, will be adequate to fund our operating and capital needs for at least the next 12 months. We are currently in compliance with the covenants under the credit agreements governing our secured credit facilities and we expect to remain in compliance with our covenants.</w:t>
      </w:r>
    </w:p>
    <w:p>
      <w:pPr>
        <w:spacing w:after="0" w:line="44" w:lineRule="exact"/>
        <w:rPr>
          <w:sz w:val="20"/>
          <w:szCs w:val="20"/>
          <w:color w:val="auto"/>
        </w:rPr>
      </w:pPr>
    </w:p>
    <w:p>
      <w:pPr>
        <w:jc w:val="both"/>
        <w:ind w:firstLine="233"/>
        <w:spacing w:after="0" w:line="256" w:lineRule="auto"/>
        <w:rPr>
          <w:sz w:val="20"/>
          <w:szCs w:val="20"/>
          <w:color w:val="auto"/>
        </w:rPr>
      </w:pPr>
      <w:r>
        <w:rPr>
          <w:rFonts w:ascii="Arial" w:cs="Arial" w:eastAsia="Arial" w:hAnsi="Arial"/>
          <w:sz w:val="13"/>
          <w:szCs w:val="13"/>
          <w:color w:val="auto"/>
        </w:rPr>
        <w:t>We generally invoice our subscription customers annually, semi-annually, or quarterly in advance of our subscription services. Therefore, a substantial source of our cash is from such prepayments, which are included in the Condensed Consolidated Balance Sheets as unearned revenue. Unearned revenue consists of billed fees for our subscriptions, prior to satisfying the criteria for revenue recognition, which are subsequently recognized as revenue in accordance with our revenue recognition policy. As of June 30, 2021, we had unearned revenue of $276.0 million, of which $274.1 million was recorded as a current liability and is expected to be recorded as revenue in the next 12 months, provided all other revenue recognition criteria have been met.</w:t>
      </w:r>
    </w:p>
    <w:p>
      <w:pPr>
        <w:spacing w:after="0" w:line="99" w:lineRule="exact"/>
        <w:rPr>
          <w:sz w:val="20"/>
          <w:szCs w:val="20"/>
          <w:color w:val="auto"/>
        </w:rPr>
      </w:pPr>
    </w:p>
    <w:p>
      <w:pPr>
        <w:jc w:val="both"/>
        <w:ind w:right="20" w:firstLine="233"/>
        <w:spacing w:after="0" w:line="274" w:lineRule="auto"/>
        <w:rPr>
          <w:sz w:val="20"/>
          <w:szCs w:val="20"/>
          <w:color w:val="auto"/>
        </w:rPr>
      </w:pPr>
      <w:r>
        <w:rPr>
          <w:rFonts w:ascii="Arial" w:cs="Arial" w:eastAsia="Arial" w:hAnsi="Arial"/>
          <w:sz w:val="12"/>
          <w:szCs w:val="12"/>
          <w:color w:val="auto"/>
        </w:rPr>
        <w:t>After the consummation of the Reorganization Transactions, ZoomInfo Technologies Inc. became a holding company with no material assets other than its ownership of HoldCo Units, and ZoomInfo HoldCo became a holding company with no material assets other than its ownership of ZoomInfo OpCo Units. ZoomInfo Technologies Inc. has no independent means of generating revenue. The limited liability company agreement of ZoomInfo OpCo provides that certain distributions to cover the taxes of the ZoomInfo Tax Group and ZoomInfo Technologies Inc.’s obligations under the tax receivable agreements will be made.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In addition, the terms of our financing arrangements contain covenants that may restrict ZoomInfo OpCo and its subsidiaries from paying such distributions, subject to certain exceptions. Further, ZoomInfo HoldCo and ZoomInfo OpCo are generally prohibited under Delaware law from making a distribution to a member to the extent that, at the time of the distribution, after giving effect to the distribution, liabilities of ZoomInfo HoldCo or ZoomInfo OpCo (with certain exceptions), as applicable, exceed the fair value of its assets. Subsidiaries of ZoomInfo OpCo are generally subject to similar legal limitations on their ability to make distributions to ZoomInfo OpCo. See “Risk Factors - Risks Related to Our Organizational Structure” in Part I, Item 1A of our 2020 Form 10-K.</w:t>
      </w:r>
    </w:p>
    <w:p>
      <w:pPr>
        <w:spacing w:after="0" w:line="92" w:lineRule="exact"/>
        <w:rPr>
          <w:sz w:val="20"/>
          <w:szCs w:val="20"/>
          <w:color w:val="auto"/>
        </w:rPr>
      </w:pPr>
    </w:p>
    <w:p>
      <w:pPr>
        <w:jc w:val="both"/>
        <w:ind w:right="20" w:firstLine="233"/>
        <w:spacing w:after="0" w:line="254" w:lineRule="auto"/>
        <w:rPr>
          <w:sz w:val="20"/>
          <w:szCs w:val="20"/>
          <w:color w:val="auto"/>
        </w:rPr>
      </w:pPr>
      <w:r>
        <w:rPr>
          <w:rFonts w:ascii="Arial" w:cs="Arial" w:eastAsia="Arial" w:hAnsi="Arial"/>
          <w:sz w:val="13"/>
          <w:szCs w:val="13"/>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our 2020 Form 10-K.</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67" w:name="page68"/>
    <w:bookmarkEnd w:id="67"/>
    <w:p>
      <w:pPr>
        <w:ind w:left="2"/>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Historical Cash Flows</w:t>
      </w:r>
    </w:p>
    <w:p>
      <w:pPr>
        <w:spacing w:after="0" w:line="122" w:lineRule="exact"/>
        <w:rPr>
          <w:sz w:val="20"/>
          <w:szCs w:val="20"/>
          <w:color w:val="auto"/>
        </w:rPr>
      </w:pPr>
    </w:p>
    <w:p>
      <w:pPr>
        <w:ind w:left="242"/>
        <w:spacing w:after="0"/>
        <w:rPr>
          <w:sz w:val="20"/>
          <w:szCs w:val="20"/>
          <w:color w:val="auto"/>
        </w:rPr>
      </w:pPr>
      <w:r>
        <w:rPr>
          <w:rFonts w:ascii="Arial" w:cs="Arial" w:eastAsia="Arial" w:hAnsi="Arial"/>
          <w:sz w:val="13"/>
          <w:szCs w:val="13"/>
          <w:color w:val="auto"/>
        </w:rPr>
        <w:t>The following table summarizes our cash flows for the periods presented:</w:t>
      </w:r>
    </w:p>
    <w:p>
      <w:pPr>
        <w:spacing w:after="0" w:line="153" w:lineRule="exact"/>
        <w:rPr>
          <w:sz w:val="20"/>
          <w:szCs w:val="20"/>
          <w:color w:val="auto"/>
        </w:rPr>
      </w:pPr>
    </w:p>
    <w:tbl>
      <w:tblPr>
        <w:tblLayout w:type="fixed"/>
        <w:tblInd w:w="2" w:type="dxa"/>
        <w:tblCellMar>
          <w:top w:w="0" w:type="dxa"/>
          <w:left w:w="0" w:type="dxa"/>
          <w:bottom w:w="0" w:type="dxa"/>
          <w:right w:w="0" w:type="dxa"/>
        </w:tblCellMar>
      </w:tblPr>
      <w:tr>
        <w:trPr>
          <w:trHeight w:val="143"/>
        </w:trPr>
        <w:tc>
          <w:tcPr>
            <w:tcW w:w="80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960" w:type="dxa"/>
            <w:vAlign w:val="bottom"/>
            <w:tcBorders>
              <w:bottom w:val="single" w:sz="8" w:color="auto"/>
            </w:tcBorders>
          </w:tcPr>
          <w:p>
            <w:pPr>
              <w:spacing w:after="0"/>
              <w:rPr>
                <w:sz w:val="12"/>
                <w:szCs w:val="12"/>
                <w:color w:val="auto"/>
              </w:rPr>
            </w:pPr>
          </w:p>
        </w:tc>
      </w:tr>
      <w:tr>
        <w:trPr>
          <w:trHeight w:val="14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i w:val="1"/>
                <w:iCs w:val="1"/>
                <w:color w:val="auto"/>
              </w:rPr>
              <w:t>($ in millions)</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20"/>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638"/>
              <w:spacing w:after="0"/>
              <w:rPr>
                <w:sz w:val="20"/>
                <w:szCs w:val="20"/>
                <w:color w:val="auto"/>
              </w:rPr>
            </w:pPr>
            <w:r>
              <w:rPr>
                <w:rFonts w:ascii="Arial" w:cs="Arial" w:eastAsia="Arial" w:hAnsi="Arial"/>
                <w:sz w:val="10"/>
                <w:szCs w:val="10"/>
                <w:b w:val="1"/>
                <w:bCs w:val="1"/>
                <w:color w:val="auto"/>
              </w:rPr>
              <w:t>2020</w:t>
            </w:r>
          </w:p>
        </w:tc>
      </w:tr>
      <w:tr>
        <w:trPr>
          <w:trHeight w:val="17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3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181.6</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53.6</w:t>
            </w:r>
          </w:p>
        </w:tc>
      </w:tr>
      <w:tr>
        <w:trPr>
          <w:trHeight w:val="174"/>
        </w:trPr>
        <w:tc>
          <w:tcPr>
            <w:tcW w:w="8040" w:type="dxa"/>
            <w:vAlign w:val="bottom"/>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(79.0)</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20"/>
        </w:trPr>
        <w:tc>
          <w:tcPr>
            <w:tcW w:w="8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172.3</w:t>
            </w:r>
          </w:p>
        </w:tc>
      </w:tr>
      <w:tr>
        <w:trPr>
          <w:trHeight w:val="183"/>
        </w:trPr>
        <w:tc>
          <w:tcPr>
            <w:tcW w:w="8040" w:type="dxa"/>
            <w:vAlign w:val="bottom"/>
          </w:tcPr>
          <w:p>
            <w:pPr>
              <w:ind w:left="20"/>
              <w:spacing w:after="0"/>
              <w:rPr>
                <w:sz w:val="20"/>
                <w:szCs w:val="20"/>
                <w:color w:val="auto"/>
              </w:rPr>
            </w:pPr>
            <w:r>
              <w:rPr>
                <w:rFonts w:ascii="Arial" w:cs="Arial" w:eastAsia="Arial" w:hAnsi="Arial"/>
                <w:sz w:val="13"/>
                <w:szCs w:val="13"/>
                <w:color w:val="auto"/>
              </w:rPr>
              <w:t>Net increase (decrease) in cash and cash equivalents and restricted cash</w:t>
            </w:r>
          </w:p>
        </w:tc>
        <w:tc>
          <w:tcPr>
            <w:tcW w:w="38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63.6</w:t>
            </w:r>
          </w:p>
        </w:tc>
        <w:tc>
          <w:tcPr>
            <w:tcW w:w="8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217.7</w:t>
            </w:r>
          </w:p>
        </w:tc>
      </w:tr>
      <w:tr>
        <w:trPr>
          <w:trHeight w:val="20"/>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2"/>
        <w:spacing w:after="0"/>
        <w:rPr>
          <w:sz w:val="20"/>
          <w:szCs w:val="20"/>
          <w:color w:val="auto"/>
        </w:rPr>
      </w:pPr>
      <w:r>
        <w:rPr>
          <w:rFonts w:ascii="Arial" w:cs="Arial" w:eastAsia="Arial" w:hAnsi="Arial"/>
          <w:sz w:val="13"/>
          <w:szCs w:val="13"/>
          <w:i w:val="1"/>
          <w:iCs w:val="1"/>
          <w:color w:val="auto"/>
        </w:rPr>
        <w:t>Cash Flows from (used in) Operating Activities</w:t>
      </w:r>
    </w:p>
    <w:p>
      <w:pPr>
        <w:spacing w:after="0" w:line="122" w:lineRule="exact"/>
        <w:rPr>
          <w:sz w:val="20"/>
          <w:szCs w:val="20"/>
          <w:color w:val="auto"/>
        </w:rPr>
      </w:pPr>
    </w:p>
    <w:p>
      <w:pPr>
        <w:jc w:val="both"/>
        <w:ind w:left="2" w:right="80" w:firstLine="233"/>
        <w:spacing w:after="0" w:line="254" w:lineRule="auto"/>
        <w:rPr>
          <w:sz w:val="20"/>
          <w:szCs w:val="20"/>
          <w:color w:val="auto"/>
        </w:rPr>
      </w:pPr>
      <w:r>
        <w:rPr>
          <w:rFonts w:ascii="Arial" w:cs="Arial" w:eastAsia="Arial" w:hAnsi="Arial"/>
          <w:sz w:val="13"/>
          <w:szCs w:val="13"/>
          <w:color w:val="auto"/>
        </w:rPr>
        <w:t>Net cash provided by operations was $181.6 million for the six months ended June 30, 2021 as a result of a net loss of $9.4 million, adjusted by non-cash charges of $144.3 million and the change in our operating assets net of operating liabilities of $46.7 million. The non-cash charges are primarily comprised of a decrease in deferred tax assets net of deferred tax liabilities of $48.1 million, equity-based compensation of $35.2 million, depreciation and amortization of $30.6 million, and amortization of deferred commission costs of $18.5 million. The change in operating assets net of operating liabilities was primarily the result of an increase in unearned revenue of $53.3 million, an increase in accounts payable of $12.1 million, and a decrease in accounts receivable of $7.8 million, partially offset by an increase in deferred costs and other assets of $22.1 million.</w:t>
      </w:r>
    </w:p>
    <w:p>
      <w:pPr>
        <w:spacing w:after="0" w:line="101" w:lineRule="exact"/>
        <w:rPr>
          <w:sz w:val="20"/>
          <w:szCs w:val="20"/>
          <w:color w:val="auto"/>
        </w:rPr>
      </w:pPr>
    </w:p>
    <w:p>
      <w:pPr>
        <w:jc w:val="both"/>
        <w:ind w:left="2" w:right="60" w:firstLine="233"/>
        <w:spacing w:after="0" w:line="254" w:lineRule="auto"/>
        <w:rPr>
          <w:sz w:val="20"/>
          <w:szCs w:val="20"/>
          <w:color w:val="auto"/>
        </w:rPr>
      </w:pPr>
      <w:r>
        <w:rPr>
          <w:rFonts w:ascii="Arial" w:cs="Arial" w:eastAsia="Arial" w:hAnsi="Arial"/>
          <w:sz w:val="13"/>
          <w:szCs w:val="13"/>
          <w:color w:val="auto"/>
        </w:rPr>
        <w:t>Net cash provided by operations was $53.6 million for the six months ended June 30, 2020 as a result of a net loss of $83.8 million, adjusted by non-cash charges of $134.3 million and the change in our operating assets net of operating liabilities of $3.1 million. The non-cash charges were primarily comprised of depreciation and amortization of $24.5 million, equity-based compensation of $75.8 million, loss on early extinguishment of debt of $14.9 million, and amortization of deferred commission costs of $11.1 million, and a decrease in deferred tax assets net of deferred tax liabilities of $3.2 million. The change in operating assets net of operating liabilities was primarily the result of an increase in unearned revenue of $12.9 million and an increase in accrued expenses and other liabilities of $3.4 million, partially offset by an increase in deferred costs and other assets of $14.5 million.</w:t>
      </w:r>
    </w:p>
    <w:p>
      <w:pPr>
        <w:spacing w:after="0" w:line="101" w:lineRule="exact"/>
        <w:rPr>
          <w:sz w:val="20"/>
          <w:szCs w:val="20"/>
          <w:color w:val="auto"/>
        </w:rPr>
      </w:pPr>
    </w:p>
    <w:p>
      <w:pPr>
        <w:jc w:val="both"/>
        <w:ind w:left="2" w:right="80" w:firstLine="233"/>
        <w:spacing w:after="0" w:line="291" w:lineRule="auto"/>
        <w:rPr>
          <w:sz w:val="20"/>
          <w:szCs w:val="20"/>
          <w:color w:val="auto"/>
        </w:rPr>
      </w:pPr>
      <w:r>
        <w:rPr>
          <w:rFonts w:ascii="Arial" w:cs="Arial" w:eastAsia="Arial" w:hAnsi="Arial"/>
          <w:sz w:val="12"/>
          <w:szCs w:val="12"/>
          <w:color w:val="auto"/>
        </w:rPr>
        <w:t>Restructuring and transaction-related cash costs for the six months ended June 30, 2021 primarily related to the settlement of accrued accretion on the Pre-Acquisition ZI deferred consideration balance, which is not expected to recur. However, we may continue to make future acquisitions as part of our business strategy which may require the use of capital resources and drive additional future restructuring and transaction-related cash expenditures as well as integration and acquisition-related compensation cash costs. During the six months ended June 30, 2021, and 2020, we incurred the following cash expenditures:</w:t>
      </w:r>
    </w:p>
    <w:p>
      <w:pPr>
        <w:spacing w:after="0" w:line="343" w:lineRule="exact"/>
        <w:rPr>
          <w:sz w:val="20"/>
          <w:szCs w:val="20"/>
          <w:color w:val="auto"/>
        </w:rPr>
      </w:pPr>
    </w:p>
    <w:tbl>
      <w:tblPr>
        <w:tblLayout w:type="fixed"/>
        <w:tblInd w:w="242" w:type="dxa"/>
        <w:tblCellMar>
          <w:top w:w="0" w:type="dxa"/>
          <w:left w:w="0" w:type="dxa"/>
          <w:bottom w:w="0" w:type="dxa"/>
          <w:right w:w="0" w:type="dxa"/>
        </w:tblCellMar>
      </w:tblPr>
      <w:tr>
        <w:trPr>
          <w:trHeight w:val="143"/>
        </w:trPr>
        <w:tc>
          <w:tcPr>
            <w:tcW w:w="772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0"/>
                <w:szCs w:val="10"/>
                <w:b w:val="1"/>
                <w:bCs w:val="1"/>
                <w:color w:val="auto"/>
                <w:w w:val="98"/>
              </w:rPr>
              <w:t>Six Months Ended June 30,</w:t>
            </w:r>
          </w:p>
        </w:tc>
        <w:tc>
          <w:tcPr>
            <w:tcW w:w="800" w:type="dxa"/>
            <w:vAlign w:val="bottom"/>
            <w:tcBorders>
              <w:bottom w:val="single" w:sz="8" w:color="auto"/>
            </w:tcBorders>
          </w:tcPr>
          <w:p>
            <w:pPr>
              <w:spacing w:after="0"/>
              <w:rPr>
                <w:sz w:val="12"/>
                <w:szCs w:val="12"/>
                <w:color w:val="auto"/>
              </w:rPr>
            </w:pPr>
          </w:p>
        </w:tc>
      </w:tr>
      <w:tr>
        <w:trPr>
          <w:trHeight w:val="145"/>
        </w:trPr>
        <w:tc>
          <w:tcPr>
            <w:tcW w:w="7720" w:type="dxa"/>
            <w:vAlign w:val="bottom"/>
            <w:tcBorders>
              <w:bottom w:val="single" w:sz="8" w:color="CCEEFF"/>
            </w:tcBorders>
          </w:tcPr>
          <w:p>
            <w:pPr>
              <w:ind w:left="240"/>
              <w:spacing w:after="0"/>
              <w:rPr>
                <w:sz w:val="20"/>
                <w:szCs w:val="20"/>
                <w:color w:val="auto"/>
              </w:rPr>
            </w:pPr>
            <w:r>
              <w:rPr>
                <w:rFonts w:ascii="Arial" w:cs="Arial" w:eastAsia="Arial" w:hAnsi="Arial"/>
                <w:sz w:val="10"/>
                <w:szCs w:val="10"/>
                <w:b w:val="1"/>
                <w:bCs w:val="1"/>
                <w:i w:val="1"/>
                <w:iCs w:val="1"/>
                <w:color w:val="auto"/>
              </w:rPr>
              <w:t>($ in millions)</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19"/>
              <w:spacing w:after="0"/>
              <w:rPr>
                <w:sz w:val="20"/>
                <w:szCs w:val="20"/>
                <w:color w:val="auto"/>
              </w:rPr>
            </w:pPr>
            <w:r>
              <w:rPr>
                <w:rFonts w:ascii="Arial" w:cs="Arial" w:eastAsia="Arial" w:hAnsi="Arial"/>
                <w:sz w:val="10"/>
                <w:szCs w:val="10"/>
                <w:b w:val="1"/>
                <w:bCs w:val="1"/>
                <w:color w:val="auto"/>
              </w:rPr>
              <w:t>2020</w:t>
            </w:r>
          </w:p>
        </w:tc>
      </w:tr>
      <w:tr>
        <w:trPr>
          <w:trHeight w:val="17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Cash interest expense</w:t>
            </w:r>
          </w:p>
        </w:tc>
        <w:tc>
          <w:tcPr>
            <w:tcW w:w="12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w:t>
            </w:r>
          </w:p>
        </w:tc>
      </w:tr>
      <w:tr>
        <w:trPr>
          <w:trHeight w:val="194"/>
        </w:trPr>
        <w:tc>
          <w:tcPr>
            <w:tcW w:w="7720" w:type="dxa"/>
            <w:vAlign w:val="bottom"/>
          </w:tcPr>
          <w:p>
            <w:pPr>
              <w:spacing w:after="0"/>
              <w:rPr>
                <w:sz w:val="20"/>
                <w:szCs w:val="20"/>
                <w:color w:val="auto"/>
              </w:rPr>
            </w:pPr>
            <w:r>
              <w:rPr>
                <w:rFonts w:ascii="Arial" w:cs="Arial" w:eastAsia="Arial" w:hAnsi="Arial"/>
                <w:sz w:val="13"/>
                <w:szCs w:val="13"/>
                <w:color w:val="auto"/>
              </w:rPr>
              <w:t>Restructuring and transaction-related expenses paid in cash</w:t>
            </w:r>
            <w:r>
              <w:rPr>
                <w:rFonts w:ascii="Arial" w:cs="Arial" w:eastAsia="Arial" w:hAnsi="Arial"/>
                <w:sz w:val="16"/>
                <w:szCs w:val="16"/>
                <w:color w:val="auto"/>
                <w:vertAlign w:val="superscript"/>
              </w:rPr>
              <w:t>(a)</w:t>
            </w:r>
          </w:p>
        </w:tc>
        <w:tc>
          <w:tcPr>
            <w:tcW w:w="1200" w:type="dxa"/>
            <w:vAlign w:val="bottom"/>
          </w:tcPr>
          <w:p>
            <w:pPr>
              <w:jc w:val="right"/>
              <w:ind w:right="819"/>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6"/>
                <w:szCs w:val="16"/>
                <w:color w:val="auto"/>
              </w:rPr>
            </w:pPr>
          </w:p>
        </w:tc>
        <w:tc>
          <w:tcPr>
            <w:tcW w:w="780" w:type="dxa"/>
            <w:vAlign w:val="bottom"/>
          </w:tcPr>
          <w:p>
            <w:pPr>
              <w:jc w:val="right"/>
              <w:ind w:right="395"/>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94"/>
        </w:trPr>
        <w:tc>
          <w:tcPr>
            <w:tcW w:w="7720" w:type="dxa"/>
            <w:vAlign w:val="bottom"/>
            <w:shd w:val="clear" w:color="auto" w:fill="CCEEFF"/>
          </w:tcPr>
          <w:p>
            <w:pPr>
              <w:spacing w:after="0"/>
              <w:rPr>
                <w:sz w:val="20"/>
                <w:szCs w:val="20"/>
                <w:color w:val="auto"/>
              </w:rPr>
            </w:pPr>
            <w:r>
              <w:rPr>
                <w:rFonts w:ascii="Arial" w:cs="Arial" w:eastAsia="Arial" w:hAnsi="Arial"/>
                <w:sz w:val="13"/>
                <w:szCs w:val="13"/>
                <w:color w:val="auto"/>
              </w:rPr>
              <w:t>Integration costs and acquisition-related compensation paid in cash</w:t>
            </w:r>
            <w:r>
              <w:rPr>
                <w:rFonts w:ascii="Arial" w:cs="Arial" w:eastAsia="Arial" w:hAnsi="Arial"/>
                <w:sz w:val="16"/>
                <w:szCs w:val="16"/>
                <w:color w:val="auto"/>
                <w:vertAlign w:val="superscript"/>
              </w:rPr>
              <w:t>(b)</w:t>
            </w:r>
          </w:p>
        </w:tc>
        <w:tc>
          <w:tcPr>
            <w:tcW w:w="120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bl>
    <w:p>
      <w:pPr>
        <w:spacing w:after="0" w:line="181" w:lineRule="exact"/>
        <w:rPr>
          <w:sz w:val="20"/>
          <w:szCs w:val="20"/>
          <w:color w:val="auto"/>
        </w:rPr>
      </w:pPr>
    </w:p>
    <w:p>
      <w:pPr>
        <w:jc w:val="both"/>
        <w:ind w:left="242" w:right="80" w:hanging="242"/>
        <w:spacing w:after="0" w:line="248" w:lineRule="auto"/>
        <w:tabs>
          <w:tab w:leader="none" w:pos="241" w:val="left"/>
        </w:tabs>
        <w:numPr>
          <w:ilvl w:val="0"/>
          <w:numId w:val="21"/>
        </w:numPr>
        <w:rPr>
          <w:rFonts w:ascii="Arial" w:cs="Arial" w:eastAsia="Arial" w:hAnsi="Arial"/>
          <w:sz w:val="10"/>
          <w:szCs w:val="10"/>
          <w:color w:val="auto"/>
        </w:rPr>
      </w:pPr>
      <w:r>
        <w:rPr>
          <w:rFonts w:ascii="Arial" w:cs="Arial" w:eastAsia="Arial" w:hAnsi="Arial"/>
          <w:sz w:val="10"/>
          <w:szCs w:val="10"/>
          <w:color w:val="auto"/>
        </w:rPr>
        <w:t>Represents cash payments directly associated with acquisition or disposal activities, including employee severance and termination benefits, contract termination fees and penalties, and other exit or disposal costs. For the six months ended June 30, 2021, these payments related primarily to settlement of accrued accretion on the Pre-Acquisition ZI deferred consideration balance. For the six months ended June 30, 2020, these payments related primarily to the IPO, including professional fees, severance and acceleration of payments for terminated employees, and deferred consideration.</w:t>
      </w:r>
    </w:p>
    <w:p>
      <w:pPr>
        <w:ind w:left="242" w:right="80" w:hanging="242"/>
        <w:spacing w:after="0" w:line="257" w:lineRule="auto"/>
        <w:tabs>
          <w:tab w:leader="none" w:pos="237" w:val="left"/>
        </w:tabs>
        <w:numPr>
          <w:ilvl w:val="0"/>
          <w:numId w:val="21"/>
        </w:numPr>
        <w:rPr>
          <w:rFonts w:ascii="Arial" w:cs="Arial" w:eastAsia="Arial" w:hAnsi="Arial"/>
          <w:sz w:val="10"/>
          <w:szCs w:val="10"/>
          <w:color w:val="auto"/>
        </w:rPr>
      </w:pPr>
      <w:r>
        <w:rPr>
          <w:rFonts w:ascii="Arial" w:cs="Arial" w:eastAsia="Arial" w:hAnsi="Arial"/>
          <w:sz w:val="10"/>
          <w:szCs w:val="10"/>
          <w:color w:val="auto"/>
        </w:rPr>
        <w:t>Represents cash payments directly associated with integration activities for acquisitions and acquisition-related compensation, which includes transaction bonuses and retention awards. For the six months ended June 30, 2021, these payments related primarily to cash vesting payments from the acquisition of Pre-Acquisition ZI. For the six months ended June 30, 2020, these payments related primarily to cash vesting payments from the acquisition of Pre-Acquisition ZI.</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8"/>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119380</wp:posOffset>
            </wp:positionV>
            <wp:extent cx="719645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2"/>
          </w:cols>
          <w:pgMar w:left="298" w:top="125" w:right="239" w:bottom="1440" w:gutter="0" w:footer="0" w:header="0"/>
        </w:sectPr>
      </w:pPr>
    </w:p>
    <w:bookmarkStart w:id="68" w:name="page69"/>
    <w:bookmarkEnd w:id="6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233"/>
        <w:spacing w:after="0" w:line="284" w:lineRule="auto"/>
        <w:rPr>
          <w:sz w:val="20"/>
          <w:szCs w:val="20"/>
          <w:color w:val="auto"/>
        </w:rPr>
      </w:pPr>
      <w:r>
        <w:rPr>
          <w:rFonts w:ascii="Arial" w:cs="Arial" w:eastAsia="Arial" w:hAnsi="Arial"/>
          <w:sz w:val="12"/>
          <w:szCs w:val="12"/>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Flows from (used in) Investing Activities</w:t>
      </w:r>
    </w:p>
    <w:p>
      <w:pPr>
        <w:spacing w:after="0" w:line="122" w:lineRule="exact"/>
        <w:rPr>
          <w:sz w:val="20"/>
          <w:szCs w:val="20"/>
          <w:color w:val="auto"/>
        </w:rPr>
      </w:pPr>
    </w:p>
    <w:p>
      <w:pPr>
        <w:jc w:val="both"/>
        <w:ind w:firstLine="233"/>
        <w:spacing w:after="0" w:line="313" w:lineRule="auto"/>
        <w:rPr>
          <w:sz w:val="20"/>
          <w:szCs w:val="20"/>
          <w:color w:val="auto"/>
        </w:rPr>
      </w:pPr>
      <w:r>
        <w:rPr>
          <w:rFonts w:ascii="Arial" w:cs="Arial" w:eastAsia="Arial" w:hAnsi="Arial"/>
          <w:sz w:val="12"/>
          <w:szCs w:val="12"/>
          <w:color w:val="auto"/>
        </w:rPr>
        <w:t>Cash used in investing activities for the six months ended June 30, 2021 was $79.0 million, consisting of purchases of short-term investments of $119.8 million, cash paid for acquisitions of $31.8 million, and purchases of property and equipment and other assets of $11.0 million, partially offset by maturities of short-term investments of $41.5 million and proceeds from sales of short-term investments of $42.1 million.</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Cash used in investing activities for the six months ended June 30, 2020 was $8.2 million, consisting of purchases of property and equipment and other assets.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As we continue to grow and invest in our business, we expect to continue to invest in property and equipment and opportunistically pursue acquisitions.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Flows from (used in) Financing Activities</w:t>
      </w:r>
    </w:p>
    <w:p>
      <w:pPr>
        <w:spacing w:after="0" w:line="122" w:lineRule="exact"/>
        <w:rPr>
          <w:sz w:val="20"/>
          <w:szCs w:val="20"/>
          <w:color w:val="auto"/>
        </w:rPr>
      </w:pPr>
    </w:p>
    <w:p>
      <w:pPr>
        <w:jc w:val="both"/>
        <w:ind w:firstLine="233"/>
        <w:spacing w:after="0" w:line="313" w:lineRule="auto"/>
        <w:rPr>
          <w:sz w:val="20"/>
          <w:szCs w:val="20"/>
          <w:color w:val="auto"/>
        </w:rPr>
      </w:pPr>
      <w:r>
        <w:rPr>
          <w:rFonts w:ascii="Arial" w:cs="Arial" w:eastAsia="Arial" w:hAnsi="Arial"/>
          <w:sz w:val="12"/>
          <w:szCs w:val="12"/>
          <w:color w:val="auto"/>
        </w:rPr>
        <w:t>Cash used in financing activities for the six months ended June 30, 2021 was $39.0 million, primarily comprised of payments on long-term debt of $356.4 million, tax distributions to equity partners of $15.3 million, payments of deferred consideration of $9.4 million, and payments of debt issuance and modification costs of $5.8 million, partially offset by proceeds from debt of $350.0 million.</w:t>
      </w:r>
    </w:p>
    <w:p>
      <w:pPr>
        <w:spacing w:after="0" w:line="67"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3"/>
          <w:szCs w:val="13"/>
          <w:color w:val="auto"/>
        </w:rPr>
        <w:t>Cash provided by financing activities for the six months ended June 30, 2020 was $172.3 million, consisting of the IPO proceeds, net of underwriter discount, of $1,019.6 million, partially offset by the redemption of Series A Preferred Units of $274.2 million, payments on long-term debt of $510.9 million, purchase of OpCo Units from Pre-IPO Unitholders for $47.2 million, payments of deferred consideration of $24.0 million, the payment of debt issuance costs of $7.2 million, and distributions to equity partners of $6.8 million.</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Refer to Note 8 of our consolidated financial statements for additional information related to each of our borrowings.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Debt Obligations</w:t>
      </w:r>
    </w:p>
    <w:p>
      <w:pPr>
        <w:spacing w:after="0" w:line="122" w:lineRule="exact"/>
        <w:rPr>
          <w:sz w:val="20"/>
          <w:szCs w:val="20"/>
          <w:color w:val="auto"/>
        </w:rPr>
      </w:pPr>
    </w:p>
    <w:p>
      <w:pPr>
        <w:jc w:val="both"/>
        <w:ind w:firstLine="233"/>
        <w:spacing w:after="0" w:line="259" w:lineRule="auto"/>
        <w:rPr>
          <w:sz w:val="20"/>
          <w:szCs w:val="20"/>
          <w:color w:val="auto"/>
        </w:rPr>
      </w:pPr>
      <w:r>
        <w:rPr>
          <w:rFonts w:ascii="Arial" w:cs="Arial" w:eastAsia="Arial" w:hAnsi="Arial"/>
          <w:sz w:val="13"/>
          <w:szCs w:val="13"/>
          <w:color w:val="auto"/>
        </w:rPr>
        <w:t>As of June 30, 2021, the aggregate remaining balance of $400.0 million of first lien term loans is due, in its entirety, at the contractual maturity date of February 1, 2026. As of June 30, 2021, the aggregate remaining balance of $350.0 million of 3.875% Senior Notes is due, in its entirety, at the contractual maturity date of February 1, 2029. Interest on the Senior Notes is payable semi-annually in arrears beginning on August 1, 2021. The foregoing represent the only existing required future debt principal repayment obligations that will require future uses of the Company’s cash.</w:t>
      </w:r>
    </w:p>
    <w:p>
      <w:pPr>
        <w:spacing w:after="0" w:line="98" w:lineRule="exact"/>
        <w:rPr>
          <w:sz w:val="20"/>
          <w:szCs w:val="20"/>
          <w:color w:val="auto"/>
        </w:rPr>
      </w:pPr>
    </w:p>
    <w:p>
      <w:pPr>
        <w:jc w:val="both"/>
        <w:ind w:firstLine="233"/>
        <w:spacing w:after="0" w:line="256" w:lineRule="auto"/>
        <w:rPr>
          <w:sz w:val="20"/>
          <w:szCs w:val="20"/>
          <w:color w:val="auto"/>
        </w:rPr>
      </w:pPr>
      <w:r>
        <w:rPr>
          <w:rFonts w:ascii="Arial" w:cs="Arial" w:eastAsia="Arial" w:hAnsi="Arial"/>
          <w:sz w:val="13"/>
          <w:szCs w:val="13"/>
          <w:color w:val="auto"/>
        </w:rPr>
        <w:t>The first lien term debt has a variable interest rate whereby the Company can elect to use a Base Rate or the London Interbank Offer Rate (“LIBOR”) plus an applicable rate. The applicable rate is 2.00% for Base Rate loans or 3.00% for LIBOR Based Loans. The first lien revolving debt has a variable interest rate whereby the Company can elect to use a Base Rate or the London Interbank Offer Rate (“LIBOR”) plus an applicable rate. The applicable margin is 1.00% to 1.25% for Base Rate loans or 2.00% to 2.25% for LIBOR Based Loans, depending on the Company’s leverage. The effective interest rate on the first lien debt was 3.5% and 4.3% as of June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ind w:left="2"/>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2" w:right="80" w:firstLine="233"/>
        <w:spacing w:after="0" w:line="270" w:lineRule="auto"/>
        <w:rPr>
          <w:sz w:val="20"/>
          <w:szCs w:val="20"/>
          <w:color w:val="auto"/>
        </w:rPr>
      </w:pPr>
      <w:r>
        <w:rPr>
          <w:rFonts w:ascii="Arial" w:cs="Arial" w:eastAsia="Arial" w:hAnsi="Arial"/>
          <w:sz w:val="13"/>
          <w:szCs w:val="13"/>
          <w:color w:val="auto"/>
        </w:rPr>
        <w:t>Our total net leverage ratio is defined as total contractual maturity of outstanding indebtedness less cash and cash equivalents, restricted cash, and short-term investments, divided by trailing twelve months Adjusted EBITDA. Adjusted EBITDA for the 12 months ended June 30, 2021 was $274.0 million. Our total net leverage ratio as of June 30, 2021 was 1.3x.</w:t>
      </w:r>
    </w:p>
    <w:p>
      <w:pPr>
        <w:spacing w:after="0" w:line="90" w:lineRule="exact"/>
        <w:rPr>
          <w:sz w:val="20"/>
          <w:szCs w:val="20"/>
          <w:color w:val="auto"/>
        </w:rPr>
      </w:pPr>
    </w:p>
    <w:p>
      <w:pPr>
        <w:jc w:val="both"/>
        <w:ind w:left="2" w:right="60" w:firstLine="233"/>
        <w:spacing w:after="0" w:line="256" w:lineRule="auto"/>
        <w:rPr>
          <w:sz w:val="20"/>
          <w:szCs w:val="20"/>
          <w:color w:val="auto"/>
        </w:rPr>
      </w:pPr>
      <w:r>
        <w:rPr>
          <w:rFonts w:ascii="Arial" w:cs="Arial" w:eastAsia="Arial" w:hAnsi="Arial"/>
          <w:sz w:val="13"/>
          <w:szCs w:val="13"/>
          <w:color w:val="auto"/>
        </w:rPr>
        <w:t>Our consolidated first lien net leverage ratio is defined in our First Lien Credit Agreement as total contractual maturity of outstanding First Lien indebtedness less cash and cash equivalents and short-term investments,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12 months ended June 30, 2021 was $372.3 million. Our consolidated first lien net leverage ratio as of June 30, 2021 was 0.0x.</w:t>
      </w:r>
    </w:p>
    <w:p>
      <w:pPr>
        <w:spacing w:after="0" w:line="130" w:lineRule="exact"/>
        <w:rPr>
          <w:sz w:val="20"/>
          <w:szCs w:val="20"/>
          <w:color w:val="auto"/>
        </w:rPr>
      </w:pPr>
    </w:p>
    <w:tbl>
      <w:tblPr>
        <w:tblLayout w:type="fixed"/>
        <w:tblInd w:w="242" w:type="dxa"/>
        <w:tblCellMar>
          <w:top w:w="0" w:type="dxa"/>
          <w:left w:w="0" w:type="dxa"/>
          <w:bottom w:w="0" w:type="dxa"/>
          <w:right w:w="0" w:type="dxa"/>
        </w:tblCellMar>
      </w:tblPr>
      <w:tr>
        <w:trPr>
          <w:trHeight w:val="134"/>
        </w:trPr>
        <w:tc>
          <w:tcPr>
            <w:tcW w:w="8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0" w:type="dxa"/>
            <w:vAlign w:val="bottom"/>
          </w:tcPr>
          <w:p>
            <w:pPr>
              <w:jc w:val="right"/>
              <w:ind w:right="517"/>
              <w:spacing w:after="0"/>
              <w:rPr>
                <w:sz w:val="20"/>
                <w:szCs w:val="20"/>
                <w:color w:val="auto"/>
              </w:rPr>
            </w:pPr>
            <w:r>
              <w:rPr>
                <w:rFonts w:ascii="Arial" w:cs="Arial" w:eastAsia="Arial" w:hAnsi="Arial"/>
                <w:sz w:val="10"/>
                <w:szCs w:val="10"/>
                <w:b w:val="1"/>
                <w:bCs w:val="1"/>
                <w:color w:val="auto"/>
              </w:rPr>
              <w:t>Trailing Twelve Months as of</w:t>
            </w:r>
          </w:p>
        </w:tc>
      </w:tr>
      <w:tr>
        <w:trPr>
          <w:trHeight w:val="164"/>
        </w:trPr>
        <w:tc>
          <w:tcPr>
            <w:tcW w:w="8280" w:type="dxa"/>
            <w:vAlign w:val="bottom"/>
            <w:tcBorders>
              <w:bottom w:val="single" w:sz="8" w:color="CCEEFF"/>
            </w:tcBorders>
          </w:tcPr>
          <w:p>
            <w:pPr>
              <w:ind w:left="240"/>
              <w:spacing w:after="0"/>
              <w:rPr>
                <w:sz w:val="20"/>
                <w:szCs w:val="20"/>
                <w:color w:val="auto"/>
              </w:rPr>
            </w:pPr>
            <w:r>
              <w:rPr>
                <w:rFonts w:ascii="Arial" w:cs="Arial" w:eastAsia="Arial" w:hAnsi="Arial"/>
                <w:sz w:val="10"/>
                <w:szCs w:val="10"/>
                <w:b w:val="1"/>
                <w:bCs w:val="1"/>
                <w:i w:val="1"/>
                <w:iCs w:val="1"/>
                <w:color w:val="auto"/>
              </w:rPr>
              <w:t>(in millions)</w:t>
            </w:r>
          </w:p>
        </w:tc>
        <w:tc>
          <w:tcPr>
            <w:tcW w:w="6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ind w:right="857"/>
              <w:spacing w:after="0"/>
              <w:rPr>
                <w:sz w:val="20"/>
                <w:szCs w:val="20"/>
                <w:color w:val="auto"/>
              </w:rPr>
            </w:pPr>
            <w:r>
              <w:rPr>
                <w:rFonts w:ascii="Arial" w:cs="Arial" w:eastAsia="Arial" w:hAnsi="Arial"/>
                <w:sz w:val="10"/>
                <w:szCs w:val="10"/>
                <w:b w:val="1"/>
                <w:bCs w:val="1"/>
                <w:color w:val="auto"/>
              </w:rPr>
              <w:t>June 30, 2021</w:t>
            </w:r>
          </w:p>
        </w:tc>
      </w:tr>
      <w:tr>
        <w:trPr>
          <w:trHeight w:val="173"/>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Net income (loss)</w:t>
            </w:r>
          </w:p>
        </w:tc>
        <w:tc>
          <w:tcPr>
            <w:tcW w:w="64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74"/>
        </w:trPr>
        <w:tc>
          <w:tcPr>
            <w:tcW w:w="8280" w:type="dxa"/>
            <w:vAlign w:val="bottom"/>
          </w:tcPr>
          <w:p>
            <w:pPr>
              <w:ind w:left="320"/>
              <w:spacing w:after="0"/>
              <w:rPr>
                <w:sz w:val="20"/>
                <w:szCs w:val="20"/>
                <w:color w:val="auto"/>
              </w:rPr>
            </w:pPr>
            <w:r>
              <w:rPr>
                <w:rFonts w:ascii="Arial" w:cs="Arial" w:eastAsia="Arial" w:hAnsi="Arial"/>
                <w:sz w:val="13"/>
                <w:szCs w:val="13"/>
                <w:color w:val="auto"/>
              </w:rPr>
              <w:t>Add (less): Expense (benefit) from income taxes</w:t>
            </w:r>
          </w:p>
        </w:tc>
        <w:tc>
          <w:tcPr>
            <w:tcW w:w="64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20"/>
        </w:trPr>
        <w:tc>
          <w:tcPr>
            <w:tcW w:w="8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8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Add: Interest expense, net</w:t>
            </w:r>
          </w:p>
        </w:tc>
        <w:tc>
          <w:tcPr>
            <w:tcW w:w="64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74"/>
        </w:trPr>
        <w:tc>
          <w:tcPr>
            <w:tcW w:w="8280" w:type="dxa"/>
            <w:vAlign w:val="bottom"/>
          </w:tcPr>
          <w:p>
            <w:pPr>
              <w:ind w:left="320"/>
              <w:spacing w:after="0"/>
              <w:rPr>
                <w:sz w:val="20"/>
                <w:szCs w:val="20"/>
                <w:color w:val="auto"/>
              </w:rPr>
            </w:pPr>
            <w:r>
              <w:rPr>
                <w:rFonts w:ascii="Arial" w:cs="Arial" w:eastAsia="Arial" w:hAnsi="Arial"/>
                <w:sz w:val="13"/>
                <w:szCs w:val="13"/>
                <w:color w:val="auto"/>
              </w:rPr>
              <w:t>Add: Loss on debt extinguishment</w:t>
            </w:r>
          </w:p>
        </w:tc>
        <w:tc>
          <w:tcPr>
            <w:tcW w:w="64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0"/>
        </w:trPr>
        <w:tc>
          <w:tcPr>
            <w:tcW w:w="8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8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Add: Depreciation</w:t>
            </w:r>
          </w:p>
        </w:tc>
        <w:tc>
          <w:tcPr>
            <w:tcW w:w="64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74"/>
        </w:trPr>
        <w:tc>
          <w:tcPr>
            <w:tcW w:w="8280" w:type="dxa"/>
            <w:vAlign w:val="bottom"/>
          </w:tcPr>
          <w:p>
            <w:pPr>
              <w:ind w:left="320"/>
              <w:spacing w:after="0"/>
              <w:rPr>
                <w:sz w:val="20"/>
                <w:szCs w:val="20"/>
                <w:color w:val="auto"/>
              </w:rPr>
            </w:pPr>
            <w:r>
              <w:rPr>
                <w:rFonts w:ascii="Arial" w:cs="Arial" w:eastAsia="Arial" w:hAnsi="Arial"/>
                <w:sz w:val="13"/>
                <w:szCs w:val="13"/>
                <w:color w:val="auto"/>
              </w:rPr>
              <w:t>Add: Amortization of acquired technology</w:t>
            </w:r>
          </w:p>
        </w:tc>
        <w:tc>
          <w:tcPr>
            <w:tcW w:w="64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20"/>
        </w:trPr>
        <w:tc>
          <w:tcPr>
            <w:tcW w:w="8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4"/>
        </w:trPr>
        <w:tc>
          <w:tcPr>
            <w:tcW w:w="8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Add: Amortization of other acquired intangibles</w:t>
            </w:r>
          </w:p>
        </w:tc>
        <w:tc>
          <w:tcPr>
            <w:tcW w:w="64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63"/>
        </w:trPr>
        <w:tc>
          <w:tcPr>
            <w:tcW w:w="8280" w:type="dxa"/>
            <w:vAlign w:val="bottom"/>
          </w:tcPr>
          <w:p>
            <w:pPr>
              <w:ind w:left="240"/>
              <w:spacing w:after="0"/>
              <w:rPr>
                <w:sz w:val="20"/>
                <w:szCs w:val="20"/>
                <w:color w:val="auto"/>
              </w:rPr>
            </w:pPr>
            <w:r>
              <w:rPr>
                <w:rFonts w:ascii="Arial" w:cs="Arial" w:eastAsia="Arial" w:hAnsi="Arial"/>
                <w:sz w:val="13"/>
                <w:szCs w:val="13"/>
                <w:b w:val="1"/>
                <w:bCs w:val="1"/>
                <w:color w:val="auto"/>
              </w:rPr>
              <w:t>EBITDA</w:t>
            </w:r>
          </w:p>
        </w:tc>
        <w:tc>
          <w:tcPr>
            <w:tcW w:w="640" w:type="dxa"/>
            <w:vAlign w:val="bottom"/>
            <w:tcBorders>
              <w:top w:val="single" w:sz="8" w:color="auto"/>
            </w:tcBorders>
          </w:tcPr>
          <w:p>
            <w:pPr>
              <w:spacing w:after="0"/>
              <w:rPr>
                <w:sz w:val="14"/>
                <w:szCs w:val="14"/>
                <w:color w:val="auto"/>
              </w:rPr>
            </w:pP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189</w:t>
            </w:r>
          </w:p>
        </w:tc>
      </w:tr>
      <w:tr>
        <w:trPr>
          <w:trHeight w:val="20"/>
        </w:trPr>
        <w:tc>
          <w:tcPr>
            <w:tcW w:w="8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4"/>
        </w:trPr>
        <w:tc>
          <w:tcPr>
            <w:tcW w:w="82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Add (less): Other expense (income), net</w:t>
            </w:r>
            <w:r>
              <w:rPr>
                <w:rFonts w:ascii="Arial" w:cs="Arial" w:eastAsia="Arial" w:hAnsi="Arial"/>
                <w:sz w:val="16"/>
                <w:szCs w:val="16"/>
                <w:color w:val="auto"/>
                <w:vertAlign w:val="superscript"/>
              </w:rPr>
              <w:t>(a)</w:t>
            </w:r>
          </w:p>
        </w:tc>
        <w:tc>
          <w:tcPr>
            <w:tcW w:w="640" w:type="dxa"/>
            <w:vAlign w:val="bottom"/>
            <w:shd w:val="clear" w:color="auto" w:fill="CCEEFF"/>
          </w:tcPr>
          <w:p>
            <w:pPr>
              <w:spacing w:after="0"/>
              <w:rPr>
                <w:sz w:val="16"/>
                <w:szCs w:val="16"/>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94"/>
        </w:trPr>
        <w:tc>
          <w:tcPr>
            <w:tcW w:w="8280" w:type="dxa"/>
            <w:vAlign w:val="bottom"/>
          </w:tcPr>
          <w:p>
            <w:pPr>
              <w:ind w:left="320"/>
              <w:spacing w:after="0"/>
              <w:rPr>
                <w:sz w:val="20"/>
                <w:szCs w:val="20"/>
                <w:color w:val="auto"/>
              </w:rPr>
            </w:pPr>
            <w:r>
              <w:rPr>
                <w:rFonts w:ascii="Arial" w:cs="Arial" w:eastAsia="Arial" w:hAnsi="Arial"/>
                <w:sz w:val="13"/>
                <w:szCs w:val="13"/>
                <w:color w:val="auto"/>
              </w:rPr>
              <w:t>Add: Impact of fair value adjustments to acquired unearned revenue</w:t>
            </w:r>
            <w:r>
              <w:rPr>
                <w:rFonts w:ascii="Arial" w:cs="Arial" w:eastAsia="Arial" w:hAnsi="Arial"/>
                <w:sz w:val="16"/>
                <w:szCs w:val="16"/>
                <w:color w:val="auto"/>
                <w:vertAlign w:val="superscript"/>
              </w:rPr>
              <w:t>(b)</w:t>
            </w:r>
          </w:p>
        </w:tc>
        <w:tc>
          <w:tcPr>
            <w:tcW w:w="64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4"/>
        </w:trPr>
        <w:tc>
          <w:tcPr>
            <w:tcW w:w="8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Add: Equity-based compensation expense</w:t>
            </w:r>
          </w:p>
        </w:tc>
        <w:tc>
          <w:tcPr>
            <w:tcW w:w="64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w:t>
            </w:r>
          </w:p>
        </w:tc>
      </w:tr>
      <w:tr>
        <w:trPr>
          <w:trHeight w:val="194"/>
        </w:trPr>
        <w:tc>
          <w:tcPr>
            <w:tcW w:w="8280" w:type="dxa"/>
            <w:vAlign w:val="bottom"/>
          </w:tcPr>
          <w:p>
            <w:pPr>
              <w:ind w:left="320"/>
              <w:spacing w:after="0"/>
              <w:rPr>
                <w:sz w:val="20"/>
                <w:szCs w:val="20"/>
                <w:color w:val="auto"/>
              </w:rPr>
            </w:pPr>
            <w:r>
              <w:rPr>
                <w:rFonts w:ascii="Arial" w:cs="Arial" w:eastAsia="Arial" w:hAnsi="Arial"/>
                <w:sz w:val="13"/>
                <w:szCs w:val="13"/>
                <w:color w:val="auto"/>
              </w:rPr>
              <w:t>Add: Restructuring and transaction related expenses (excluding depreciation)</w:t>
            </w:r>
            <w:r>
              <w:rPr>
                <w:rFonts w:ascii="Arial" w:cs="Arial" w:eastAsia="Arial" w:hAnsi="Arial"/>
                <w:sz w:val="16"/>
                <w:szCs w:val="16"/>
                <w:color w:val="auto"/>
                <w:vertAlign w:val="superscript"/>
              </w:rPr>
              <w:t>(c)</w:t>
            </w:r>
          </w:p>
        </w:tc>
        <w:tc>
          <w:tcPr>
            <w:tcW w:w="64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94"/>
        </w:trPr>
        <w:tc>
          <w:tcPr>
            <w:tcW w:w="82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Add: Integration costs and acquisition-related expenses</w:t>
            </w:r>
            <w:r>
              <w:rPr>
                <w:rFonts w:ascii="Arial" w:cs="Arial" w:eastAsia="Arial" w:hAnsi="Arial"/>
                <w:sz w:val="16"/>
                <w:szCs w:val="16"/>
                <w:color w:val="auto"/>
                <w:vertAlign w:val="superscript"/>
              </w:rPr>
              <w:t>(d)</w:t>
            </w:r>
          </w:p>
        </w:tc>
        <w:tc>
          <w:tcPr>
            <w:tcW w:w="640" w:type="dxa"/>
            <w:vAlign w:val="bottom"/>
            <w:tcBorders>
              <w:bottom w:val="single" w:sz="8" w:color="auto"/>
            </w:tcBorders>
            <w:shd w:val="clear" w:color="auto" w:fill="CCEEFF"/>
          </w:tcPr>
          <w:p>
            <w:pPr>
              <w:spacing w:after="0"/>
              <w:rPr>
                <w:sz w:val="16"/>
                <w:szCs w:val="16"/>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3"/>
        </w:trPr>
        <w:tc>
          <w:tcPr>
            <w:tcW w:w="8280" w:type="dxa"/>
            <w:vAlign w:val="bottom"/>
          </w:tcPr>
          <w:p>
            <w:pPr>
              <w:ind w:left="240"/>
              <w:spacing w:after="0"/>
              <w:rPr>
                <w:sz w:val="20"/>
                <w:szCs w:val="20"/>
                <w:color w:val="auto"/>
              </w:rPr>
            </w:pPr>
            <w:r>
              <w:rPr>
                <w:rFonts w:ascii="Arial" w:cs="Arial" w:eastAsia="Arial" w:hAnsi="Arial"/>
                <w:sz w:val="13"/>
                <w:szCs w:val="13"/>
                <w:b w:val="1"/>
                <w:bCs w:val="1"/>
                <w:color w:val="auto"/>
              </w:rPr>
              <w:t>Adjusted EBITDA</w:t>
            </w:r>
          </w:p>
        </w:tc>
        <w:tc>
          <w:tcPr>
            <w:tcW w:w="64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3"/>
                <w:szCs w:val="13"/>
                <w:color w:val="auto"/>
              </w:rPr>
              <w:t>274</w:t>
            </w:r>
          </w:p>
        </w:tc>
      </w:tr>
      <w:tr>
        <w:trPr>
          <w:trHeight w:val="20"/>
        </w:trPr>
        <w:tc>
          <w:tcPr>
            <w:tcW w:w="8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8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Add: Unearned revenue adjustment</w:t>
            </w:r>
          </w:p>
        </w:tc>
        <w:tc>
          <w:tcPr>
            <w:tcW w:w="64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r>
      <w:tr>
        <w:trPr>
          <w:trHeight w:val="174"/>
        </w:trPr>
        <w:tc>
          <w:tcPr>
            <w:tcW w:w="8280" w:type="dxa"/>
            <w:vAlign w:val="bottom"/>
          </w:tcPr>
          <w:p>
            <w:pPr>
              <w:ind w:left="320"/>
              <w:spacing w:after="0"/>
              <w:rPr>
                <w:sz w:val="20"/>
                <w:szCs w:val="20"/>
                <w:color w:val="auto"/>
              </w:rPr>
            </w:pPr>
            <w:r>
              <w:rPr>
                <w:rFonts w:ascii="Arial" w:cs="Arial" w:eastAsia="Arial" w:hAnsi="Arial"/>
                <w:sz w:val="13"/>
                <w:szCs w:val="13"/>
                <w:color w:val="auto"/>
              </w:rPr>
              <w:t>Add: Pro forma cost savings</w:t>
            </w:r>
          </w:p>
        </w:tc>
        <w:tc>
          <w:tcPr>
            <w:tcW w:w="64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0"/>
        </w:trPr>
        <w:tc>
          <w:tcPr>
            <w:tcW w:w="8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8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Add (less): Cash rent adjustment</w:t>
            </w:r>
          </w:p>
        </w:tc>
        <w:tc>
          <w:tcPr>
            <w:tcW w:w="64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74"/>
        </w:trPr>
        <w:tc>
          <w:tcPr>
            <w:tcW w:w="8280" w:type="dxa"/>
            <w:vAlign w:val="bottom"/>
          </w:tcPr>
          <w:p>
            <w:pPr>
              <w:ind w:left="320"/>
              <w:spacing w:after="0"/>
              <w:rPr>
                <w:sz w:val="20"/>
                <w:szCs w:val="20"/>
                <w:color w:val="auto"/>
              </w:rPr>
            </w:pPr>
            <w:r>
              <w:rPr>
                <w:rFonts w:ascii="Arial" w:cs="Arial" w:eastAsia="Arial" w:hAnsi="Arial"/>
                <w:sz w:val="13"/>
                <w:szCs w:val="13"/>
                <w:color w:val="auto"/>
              </w:rPr>
              <w:t>Add (less): Other lender adjustments</w:t>
            </w:r>
          </w:p>
        </w:tc>
        <w:tc>
          <w:tcPr>
            <w:tcW w:w="64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202"/>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Cash EBITDA</w:t>
            </w:r>
          </w:p>
        </w:tc>
        <w:tc>
          <w:tcPr>
            <w:tcW w:w="64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3"/>
                <w:szCs w:val="13"/>
                <w:color w:val="auto"/>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372</w:t>
            </w:r>
          </w:p>
        </w:tc>
      </w:tr>
    </w:tbl>
    <w:p>
      <w:pPr>
        <w:spacing w:after="0" w:line="171" w:lineRule="exact"/>
        <w:rPr>
          <w:sz w:val="20"/>
          <w:szCs w:val="20"/>
          <w:color w:val="auto"/>
        </w:rPr>
      </w:pPr>
    </w:p>
    <w:p>
      <w:pPr>
        <w:ind w:left="2"/>
        <w:spacing w:after="0"/>
        <w:rPr>
          <w:sz w:val="20"/>
          <w:szCs w:val="20"/>
          <w:color w:val="auto"/>
        </w:rPr>
      </w:pPr>
      <w:r>
        <w:rPr>
          <w:rFonts w:ascii="Arial" w:cs="Arial" w:eastAsia="Arial" w:hAnsi="Arial"/>
          <w:sz w:val="10"/>
          <w:szCs w:val="10"/>
          <w:color w:val="auto"/>
        </w:rPr>
        <w:t>__________________</w:t>
      </w:r>
    </w:p>
    <w:p>
      <w:pPr>
        <w:spacing w:after="0" w:line="9" w:lineRule="exact"/>
        <w:rPr>
          <w:sz w:val="20"/>
          <w:szCs w:val="20"/>
          <w:color w:val="auto"/>
        </w:rPr>
      </w:pPr>
    </w:p>
    <w:p>
      <w:pPr>
        <w:ind w:left="222" w:hanging="222"/>
        <w:spacing w:after="0"/>
        <w:tabs>
          <w:tab w:leader="none" w:pos="222" w:val="left"/>
        </w:tabs>
        <w:numPr>
          <w:ilvl w:val="0"/>
          <w:numId w:val="22"/>
        </w:numPr>
        <w:rPr>
          <w:rFonts w:ascii="Arial" w:cs="Arial" w:eastAsia="Arial" w:hAnsi="Arial"/>
          <w:sz w:val="10"/>
          <w:szCs w:val="10"/>
          <w:color w:val="auto"/>
        </w:rPr>
      </w:pPr>
      <w:r>
        <w:rPr>
          <w:rFonts w:ascii="Arial" w:cs="Arial" w:eastAsia="Arial" w:hAnsi="Arial"/>
          <w:sz w:val="10"/>
          <w:szCs w:val="10"/>
          <w:color w:val="auto"/>
        </w:rPr>
        <w:t>Primarily represents revaluations on tax receivable agreement liability and foreign exchange remeasurement gains and losses.</w:t>
      </w:r>
    </w:p>
    <w:p>
      <w:pPr>
        <w:spacing w:after="0" w:line="1" w:lineRule="exact"/>
        <w:rPr>
          <w:rFonts w:ascii="Arial" w:cs="Arial" w:eastAsia="Arial" w:hAnsi="Arial"/>
          <w:sz w:val="10"/>
          <w:szCs w:val="10"/>
          <w:color w:val="auto"/>
        </w:rPr>
      </w:pPr>
    </w:p>
    <w:p>
      <w:pPr>
        <w:ind w:left="242" w:right="80" w:hanging="242"/>
        <w:spacing w:after="0" w:line="242" w:lineRule="auto"/>
        <w:tabs>
          <w:tab w:leader="none" w:pos="237" w:val="left"/>
        </w:tabs>
        <w:numPr>
          <w:ilvl w:val="0"/>
          <w:numId w:val="22"/>
        </w:numPr>
        <w:rPr>
          <w:rFonts w:ascii="Arial" w:cs="Arial" w:eastAsia="Arial" w:hAnsi="Arial"/>
          <w:sz w:val="10"/>
          <w:szCs w:val="10"/>
          <w:color w:val="auto"/>
        </w:rPr>
      </w:pPr>
      <w:r>
        <w:rPr>
          <w:rFonts w:ascii="Arial" w:cs="Arial" w:eastAsia="Arial" w:hAnsi="Arial"/>
          <w:sz w:val="10"/>
          <w:szCs w:val="10"/>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242" w:right="80" w:hanging="242"/>
        <w:spacing w:after="0" w:line="257" w:lineRule="auto"/>
        <w:tabs>
          <w:tab w:leader="none" w:pos="241" w:val="left"/>
        </w:tabs>
        <w:numPr>
          <w:ilvl w:val="0"/>
          <w:numId w:val="22"/>
        </w:numPr>
        <w:rPr>
          <w:rFonts w:ascii="Arial" w:cs="Arial" w:eastAsia="Arial" w:hAnsi="Arial"/>
          <w:sz w:val="10"/>
          <w:szCs w:val="10"/>
          <w:color w:val="auto"/>
        </w:rPr>
      </w:pPr>
      <w:r>
        <w:rPr>
          <w:rFonts w:ascii="Arial" w:cs="Arial" w:eastAsia="Arial" w:hAnsi="Arial"/>
          <w:sz w:val="10"/>
          <w:szCs w:val="10"/>
          <w:color w:val="auto"/>
        </w:rPr>
        <w:t>Represents costs directly associated with acquisition or disposal activities, including employee severance and termination benefits, contract termination fees and penalties, and other exit or disposal costs. For the trailing twelve months ended June 30, 2021, this expense related primarily to deferred acquisition cost revaluations.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8"/>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119380</wp:posOffset>
            </wp:positionV>
            <wp:extent cx="719645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62"/>
          </w:cols>
          <w:pgMar w:left="298" w:top="125" w:right="239" w:bottom="1440" w:gutter="0" w:footer="0" w:header="0"/>
        </w:sectPr>
      </w:pPr>
    </w:p>
    <w:bookmarkStart w:id="70" w:name="page71"/>
    <w:bookmarkEnd w:id="70"/>
    <w:p>
      <w:pPr>
        <w:ind w:left="80"/>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right="20" w:hanging="242"/>
        <w:spacing w:after="0" w:line="274" w:lineRule="auto"/>
        <w:tabs>
          <w:tab w:leader="none" w:pos="314" w:val="left"/>
        </w:tabs>
        <w:numPr>
          <w:ilvl w:val="0"/>
          <w:numId w:val="23"/>
        </w:numPr>
        <w:rPr>
          <w:rFonts w:ascii="Arial" w:cs="Arial" w:eastAsia="Arial" w:hAnsi="Arial"/>
          <w:sz w:val="10"/>
          <w:szCs w:val="10"/>
          <w:color w:val="auto"/>
        </w:rPr>
      </w:pPr>
      <w:r>
        <w:rPr>
          <w:rFonts w:ascii="Arial" w:cs="Arial" w:eastAsia="Arial" w:hAnsi="Arial"/>
          <w:sz w:val="10"/>
          <w:szCs w:val="10"/>
          <w:color w:val="auto"/>
        </w:rPr>
        <w:t>Represents costs directly associated with integration activities for acquisitions and acquisition-related compensation, which includes transaction bonuses and retention awards. For the trailing twelve months ended June 30, 2021, this expense related primarily to cash vesting payments from the acquisition of Pre-Acquisition ZI. This expense is included in cost of service, sales and marketing expense, research and development expense, and general and administrative expense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540" w:type="dxa"/>
            <w:vAlign w:val="bottom"/>
          </w:tcPr>
          <w:p>
            <w:pPr>
              <w:jc w:val="right"/>
              <w:ind w:right="188"/>
              <w:spacing w:after="0"/>
              <w:rPr>
                <w:sz w:val="20"/>
                <w:szCs w:val="20"/>
                <w:color w:val="auto"/>
              </w:rPr>
            </w:pPr>
            <w:r>
              <w:rPr>
                <w:rFonts w:ascii="Arial" w:cs="Arial" w:eastAsia="Arial" w:hAnsi="Arial"/>
                <w:sz w:val="10"/>
                <w:szCs w:val="10"/>
                <w:b w:val="1"/>
                <w:bCs w:val="1"/>
                <w:color w:val="auto"/>
                <w:w w:val="93"/>
              </w:rPr>
              <w:t>Trailing Twelve Months as of</w:t>
            </w:r>
          </w:p>
        </w:tc>
      </w:tr>
      <w:tr>
        <w:trPr>
          <w:trHeight w:val="164"/>
        </w:trPr>
        <w:tc>
          <w:tcPr>
            <w:tcW w:w="4400" w:type="dxa"/>
            <w:vAlign w:val="bottom"/>
            <w:gridSpan w:val="2"/>
          </w:tcPr>
          <w:p>
            <w:pPr>
              <w:spacing w:after="0"/>
              <w:rPr>
                <w:sz w:val="20"/>
                <w:szCs w:val="20"/>
                <w:color w:val="auto"/>
              </w:rPr>
            </w:pPr>
            <w:r>
              <w:rPr>
                <w:rFonts w:ascii="Arial" w:cs="Arial" w:eastAsia="Arial" w:hAnsi="Arial"/>
                <w:sz w:val="10"/>
                <w:szCs w:val="10"/>
                <w:b w:val="1"/>
                <w:bCs w:val="1"/>
                <w:i w:val="1"/>
                <w:iCs w:val="1"/>
                <w:color w:val="auto"/>
              </w:rPr>
              <w:t>millions)</w:t>
            </w:r>
          </w:p>
        </w:tc>
        <w:tc>
          <w:tcPr>
            <w:tcW w:w="196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Arial" w:cs="Arial" w:eastAsia="Arial" w:hAnsi="Arial"/>
                <w:sz w:val="10"/>
                <w:szCs w:val="10"/>
                <w:b w:val="1"/>
                <w:bCs w:val="1"/>
                <w:color w:val="auto"/>
              </w:rPr>
              <w:t>June 30, 2021</w:t>
            </w:r>
          </w:p>
        </w:tc>
      </w:tr>
      <w:tr>
        <w:trPr>
          <w:trHeight w:val="154"/>
        </w:trPr>
        <w:tc>
          <w:tcPr>
            <w:tcW w:w="80" w:type="dxa"/>
            <w:vAlign w:val="bottom"/>
          </w:tcPr>
          <w:p>
            <w:pPr>
              <w:ind w:left="20"/>
              <w:spacing w:after="0"/>
              <w:rPr>
                <w:sz w:val="20"/>
                <w:szCs w:val="20"/>
                <w:color w:val="auto"/>
              </w:rPr>
            </w:pPr>
            <w:r>
              <w:rPr>
                <w:rFonts w:ascii="Arial" w:cs="Arial" w:eastAsia="Arial" w:hAnsi="Arial"/>
                <w:sz w:val="10"/>
                <w:szCs w:val="10"/>
                <w:color w:val="auto"/>
              </w:rPr>
              <w:t>t</w:t>
            </w: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color w:val="auto"/>
              </w:rPr>
              <w:t>of service</w:t>
            </w:r>
          </w:p>
        </w:tc>
        <w:tc>
          <w:tcPr>
            <w:tcW w:w="196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0"/>
                <w:szCs w:val="10"/>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w:t>
            </w:r>
          </w:p>
        </w:tc>
      </w:tr>
      <w:tr>
        <w:trPr>
          <w:trHeight w:val="137"/>
        </w:trPr>
        <w:tc>
          <w:tcPr>
            <w:tcW w:w="4400" w:type="dxa"/>
            <w:vAlign w:val="bottom"/>
            <w:gridSpan w:val="2"/>
          </w:tcPr>
          <w:p>
            <w:pPr>
              <w:spacing w:after="0"/>
              <w:rPr>
                <w:sz w:val="20"/>
                <w:szCs w:val="20"/>
                <w:color w:val="auto"/>
              </w:rPr>
            </w:pPr>
            <w:r>
              <w:rPr>
                <w:rFonts w:ascii="Arial" w:cs="Arial" w:eastAsia="Arial" w:hAnsi="Arial"/>
                <w:sz w:val="10"/>
                <w:szCs w:val="10"/>
                <w:color w:val="auto"/>
              </w:rPr>
              <w:t>es and marketing</w:t>
            </w:r>
          </w:p>
        </w:tc>
        <w:tc>
          <w:tcPr>
            <w:tcW w:w="196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2.7</w:t>
            </w:r>
          </w:p>
        </w:tc>
      </w:tr>
      <w:tr>
        <w:trPr>
          <w:trHeight w:val="155"/>
        </w:trPr>
        <w:tc>
          <w:tcPr>
            <w:tcW w:w="4400" w:type="dxa"/>
            <w:vAlign w:val="bottom"/>
            <w:gridSpan w:val="2"/>
          </w:tcPr>
          <w:p>
            <w:pPr>
              <w:ind w:left="20"/>
              <w:spacing w:after="0"/>
              <w:rPr>
                <w:sz w:val="20"/>
                <w:szCs w:val="20"/>
                <w:color w:val="auto"/>
              </w:rPr>
            </w:pPr>
            <w:r>
              <w:rPr>
                <w:rFonts w:ascii="Arial" w:cs="Arial" w:eastAsia="Arial" w:hAnsi="Arial"/>
                <w:sz w:val="10"/>
                <w:szCs w:val="10"/>
                <w:color w:val="auto"/>
              </w:rPr>
              <w:t>earch and development</w:t>
            </w:r>
          </w:p>
        </w:tc>
        <w:tc>
          <w:tcPr>
            <w:tcW w:w="19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5.4</w:t>
            </w:r>
          </w:p>
        </w:tc>
      </w:tr>
      <w:tr>
        <w:trPr>
          <w:trHeight w:val="164"/>
        </w:trPr>
        <w:tc>
          <w:tcPr>
            <w:tcW w:w="4400" w:type="dxa"/>
            <w:vAlign w:val="bottom"/>
            <w:gridSpan w:val="2"/>
          </w:tcPr>
          <w:p>
            <w:pPr>
              <w:spacing w:after="0"/>
              <w:rPr>
                <w:sz w:val="20"/>
                <w:szCs w:val="20"/>
                <w:color w:val="auto"/>
              </w:rPr>
            </w:pPr>
            <w:r>
              <w:rPr>
                <w:rFonts w:ascii="Arial" w:cs="Arial" w:eastAsia="Arial" w:hAnsi="Arial"/>
                <w:sz w:val="10"/>
                <w:szCs w:val="10"/>
                <w:color w:val="auto"/>
              </w:rPr>
              <w:t>neral and administrative</w:t>
            </w:r>
          </w:p>
        </w:tc>
        <w:tc>
          <w:tcPr>
            <w:tcW w:w="19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1.9</w:t>
            </w:r>
          </w:p>
        </w:tc>
      </w:tr>
      <w:tr>
        <w:trPr>
          <w:trHeight w:val="173"/>
        </w:trPr>
        <w:tc>
          <w:tcPr>
            <w:tcW w:w="80" w:type="dxa"/>
            <w:vAlign w:val="bottom"/>
          </w:tcPr>
          <w:p>
            <w:pPr>
              <w:spacing w:after="0"/>
              <w:rPr>
                <w:sz w:val="15"/>
                <w:szCs w:val="15"/>
                <w:color w:val="auto"/>
              </w:rPr>
            </w:pPr>
          </w:p>
        </w:tc>
        <w:tc>
          <w:tcPr>
            <w:tcW w:w="43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Total integration costs and acquisition-related compensation</w:t>
            </w:r>
          </w:p>
        </w:tc>
        <w:tc>
          <w:tcPr>
            <w:tcW w:w="1960" w:type="dxa"/>
            <w:vAlign w:val="bottom"/>
            <w:tcBorders>
              <w:top w:val="single" w:sz="8" w:color="CCEEFF"/>
              <w:bottom w:val="single" w:sz="8" w:color="CCEEFF"/>
            </w:tcBorders>
            <w:shd w:val="clear" w:color="auto" w:fill="CCEEFF"/>
          </w:tcPr>
          <w:p>
            <w:pPr>
              <w:jc w:val="right"/>
              <w:ind w:right="108"/>
              <w:spacing w:after="0"/>
              <w:rPr>
                <w:sz w:val="20"/>
                <w:szCs w:val="20"/>
                <w:color w:val="auto"/>
              </w:rPr>
            </w:pPr>
            <w:r>
              <w:rPr>
                <w:rFonts w:ascii="Arial" w:cs="Arial" w:eastAsia="Arial" w:hAnsi="Arial"/>
                <w:sz w:val="10"/>
                <w:szCs w:val="10"/>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-325755</wp:posOffset>
            </wp:positionV>
            <wp:extent cx="4973320" cy="984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73320" cy="98425"/>
                    </a:xfrm>
                    <a:prstGeom prst="rect">
                      <a:avLst/>
                    </a:prstGeom>
                    <a:noFill/>
                  </pic:spPr>
                </pic:pic>
              </a:graphicData>
            </a:graphic>
          </wp:anchor>
        </w:drawing>
      </w:r>
    </w:p>
    <w:p>
      <w:pPr>
        <w:spacing w:after="0" w:line="146" w:lineRule="exact"/>
        <w:rPr>
          <w:sz w:val="20"/>
          <w:szCs w:val="20"/>
          <w:color w:val="auto"/>
        </w:rPr>
      </w:pPr>
    </w:p>
    <w:p>
      <w:pPr>
        <w:jc w:val="both"/>
        <w:ind w:left="80" w:right="20" w:firstLine="233"/>
        <w:spacing w:after="0" w:line="278" w:lineRule="auto"/>
        <w:rPr>
          <w:sz w:val="20"/>
          <w:szCs w:val="20"/>
          <w:color w:val="auto"/>
        </w:rPr>
      </w:pPr>
      <w:r>
        <w:rPr>
          <w:rFonts w:ascii="Arial" w:cs="Arial" w:eastAsia="Arial" w:hAnsi="Arial"/>
          <w:sz w:val="12"/>
          <w:szCs w:val="12"/>
          <w:color w:val="auto"/>
        </w:rPr>
        <w:t>In addition, our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Tax Receivable Agreements</w:t>
      </w:r>
    </w:p>
    <w:p>
      <w:pPr>
        <w:spacing w:after="0" w:line="126" w:lineRule="exact"/>
        <w:rPr>
          <w:sz w:val="20"/>
          <w:szCs w:val="20"/>
          <w:color w:val="auto"/>
        </w:rPr>
      </w:pPr>
    </w:p>
    <w:p>
      <w:pPr>
        <w:jc w:val="both"/>
        <w:ind w:left="80" w:right="20" w:firstLine="233"/>
        <w:spacing w:after="0" w:line="291" w:lineRule="auto"/>
        <w:rPr>
          <w:sz w:val="20"/>
          <w:szCs w:val="20"/>
          <w:color w:val="auto"/>
        </w:rPr>
      </w:pPr>
      <w:r>
        <w:rPr>
          <w:rFonts w:ascii="Arial" w:cs="Arial" w:eastAsia="Arial" w:hAnsi="Arial"/>
          <w:sz w:val="12"/>
          <w:szCs w:val="12"/>
          <w:color w:val="auto"/>
        </w:rPr>
        <w:t>We have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w:t>
      </w:r>
    </w:p>
    <w:p>
      <w:pPr>
        <w:spacing w:after="0" w:line="80" w:lineRule="exact"/>
        <w:rPr>
          <w:sz w:val="20"/>
          <w:szCs w:val="20"/>
          <w:color w:val="auto"/>
        </w:rPr>
      </w:pPr>
    </w:p>
    <w:p>
      <w:pPr>
        <w:jc w:val="both"/>
        <w:ind w:left="80" w:firstLine="233"/>
        <w:spacing w:after="0" w:line="273" w:lineRule="auto"/>
        <w:rPr>
          <w:sz w:val="20"/>
          <w:szCs w:val="20"/>
          <w:color w:val="auto"/>
        </w:rPr>
      </w:pPr>
      <w:r>
        <w:rPr>
          <w:rFonts w:ascii="Arial" w:cs="Arial" w:eastAsia="Arial" w:hAnsi="Arial"/>
          <w:sz w:val="12"/>
          <w:szCs w:val="12"/>
          <w:color w:val="auto"/>
        </w:rPr>
        <w:t>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The payment obligations under the tax receivable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119380</wp:posOffset>
            </wp:positionV>
            <wp:extent cx="719645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80"/>
          </w:cols>
          <w:pgMar w:left="220" w:top="125" w:right="299" w:bottom="1440" w:gutter="0" w:footer="0" w:header="0"/>
        </w:sectPr>
      </w:pPr>
    </w:p>
    <w:bookmarkStart w:id="71" w:name="page72"/>
    <w:bookmarkEnd w:id="71"/>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color w:val="auto"/>
        </w:rPr>
        <w:t>agreements are an obligation of members of the ZoomInfo Tax group, but not of ZoomInfo OpCo. The ZoomInfo Tax Group expects to benefit from the remaining 15% of realized cash tax benefits.</w:t>
      </w:r>
    </w:p>
    <w:p>
      <w:pPr>
        <w:spacing w:after="0" w:line="122" w:lineRule="exact"/>
        <w:rPr>
          <w:sz w:val="20"/>
          <w:szCs w:val="20"/>
          <w:color w:val="auto"/>
        </w:rPr>
      </w:pPr>
    </w:p>
    <w:p>
      <w:pPr>
        <w:jc w:val="both"/>
        <w:ind w:firstLine="233"/>
        <w:spacing w:after="0" w:line="274" w:lineRule="auto"/>
        <w:rPr>
          <w:sz w:val="20"/>
          <w:szCs w:val="20"/>
          <w:color w:val="auto"/>
        </w:rPr>
      </w:pPr>
      <w:r>
        <w:rPr>
          <w:rFonts w:ascii="Arial" w:cs="Arial" w:eastAsia="Arial" w:hAnsi="Arial"/>
          <w:sz w:val="12"/>
          <w:szCs w:val="12"/>
          <w:color w:val="auto"/>
        </w:rPr>
        <w:t>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term of each tax receivable agreement will continue until all such tax benefits have been utilized or expired, unless (i) ZoomInfo Technologies Inc. exercises its right to terminate one or both tax receivable agreements for an amount based on the agreed payments remaining to be made under the agreement, (ii) 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w:t>
      </w:r>
    </w:p>
    <w:p>
      <w:pPr>
        <w:spacing w:after="0" w:line="89" w:lineRule="exact"/>
        <w:rPr>
          <w:sz w:val="20"/>
          <w:szCs w:val="20"/>
          <w:color w:val="auto"/>
        </w:rPr>
      </w:pPr>
    </w:p>
    <w:p>
      <w:pPr>
        <w:jc w:val="both"/>
        <w:ind w:right="20" w:firstLine="233"/>
        <w:spacing w:after="0" w:line="280" w:lineRule="auto"/>
        <w:rPr>
          <w:sz w:val="20"/>
          <w:szCs w:val="20"/>
          <w:color w:val="auto"/>
        </w:rPr>
      </w:pPr>
      <w:r>
        <w:rPr>
          <w:rFonts w:ascii="Arial" w:cs="Arial" w:eastAsia="Arial" w:hAnsi="Arial"/>
          <w:sz w:val="12"/>
          <w:szCs w:val="12"/>
          <w:color w:val="auto"/>
        </w:rPr>
        <w:t>We expect that as a result of the size of the ZoomInfo Tax Group’s allocable share of existing tax basis acquired in the IPO,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ZoomInfo Technologies Inc. may make under the tax receivable agreements will be substantial. As of June 30, 2021, the Company had a liability of $551.4 million related to its projected obligations under the Tax Receivable Agreements in connection with the Reorganization Transactions and OpCo units exchanged. The payments under the tax receivable agreements are not conditioned upon continued ownership of us by the exchanging holders of OpCo Units. See Note 16 in our unaudited consolidated financial statements included in Part I, Item 1 of this Form 10-Q.</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Contractual Obligations and Commitments</w:t>
      </w:r>
    </w:p>
    <w:p>
      <w:pPr>
        <w:spacing w:after="0" w:line="126" w:lineRule="exact"/>
        <w:rPr>
          <w:sz w:val="20"/>
          <w:szCs w:val="20"/>
          <w:color w:val="auto"/>
        </w:rPr>
      </w:pPr>
    </w:p>
    <w:p>
      <w:pPr>
        <w:jc w:val="both"/>
        <w:ind w:right="20" w:firstLine="233"/>
        <w:spacing w:after="0" w:line="270" w:lineRule="auto"/>
        <w:rPr>
          <w:sz w:val="20"/>
          <w:szCs w:val="20"/>
          <w:color w:val="auto"/>
        </w:rPr>
      </w:pPr>
      <w:r>
        <w:rPr>
          <w:rFonts w:ascii="Arial" w:cs="Arial" w:eastAsia="Arial" w:hAnsi="Arial"/>
          <w:sz w:val="13"/>
          <w:szCs w:val="13"/>
          <w:color w:val="auto"/>
        </w:rPr>
        <w:t>As of June 30, 2021, we had additional operating leases for office space that have not yet commenced with anticipated undiscounted future lease payments of $60.1 million. Refer to Note 14 - Leases of the notes to our unaudited consolidated financial statements included elsewhere in this Quarterly Report on Form 10-Q for further details.</w:t>
      </w:r>
    </w:p>
    <w:p>
      <w:pPr>
        <w:spacing w:after="0" w:line="90" w:lineRule="exact"/>
        <w:rPr>
          <w:sz w:val="20"/>
          <w:szCs w:val="20"/>
          <w:color w:val="auto"/>
        </w:rPr>
      </w:pPr>
    </w:p>
    <w:p>
      <w:pPr>
        <w:jc w:val="both"/>
        <w:ind w:right="20" w:firstLine="233"/>
        <w:spacing w:after="0" w:line="313" w:lineRule="auto"/>
        <w:rPr>
          <w:sz w:val="20"/>
          <w:szCs w:val="20"/>
          <w:color w:val="auto"/>
        </w:rPr>
      </w:pPr>
      <w:r>
        <w:rPr>
          <w:rFonts w:ascii="Arial" w:cs="Arial" w:eastAsia="Arial" w:hAnsi="Arial"/>
          <w:sz w:val="12"/>
          <w:szCs w:val="12"/>
          <w:color w:val="auto"/>
        </w:rPr>
        <w:t>Except as set forth above and in Note 11 - Commitments and Contingencies of the notes to our unaudited consolidated financial statements included elsewhere in this Quarterly Report on Form 10-Q, there have been no material changes outside of the ordinary course of business in the contractual obligations and commitments disclosed in our Annual Report on 10-K for the year ended December 31, 2020.</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As of June 30, 2021, there were no “off-balance sheet arrangements,” as defined in Item 303(a)(4)(ii) of Regulation S-K.</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26" w:lineRule="exact"/>
        <w:rPr>
          <w:sz w:val="20"/>
          <w:szCs w:val="20"/>
          <w:color w:val="auto"/>
        </w:rPr>
      </w:pPr>
    </w:p>
    <w:p>
      <w:pPr>
        <w:jc w:val="both"/>
        <w:ind w:right="20" w:firstLine="233"/>
        <w:spacing w:after="0" w:line="270" w:lineRule="auto"/>
        <w:rPr>
          <w:sz w:val="20"/>
          <w:szCs w:val="20"/>
          <w:color w:val="auto"/>
        </w:rPr>
      </w:pPr>
      <w:r>
        <w:rPr>
          <w:rFonts w:ascii="Arial" w:cs="Arial" w:eastAsia="Arial" w:hAnsi="Arial"/>
          <w:sz w:val="13"/>
          <w:szCs w:val="13"/>
          <w:color w:val="auto"/>
        </w:rPr>
        <w:t>Critical accounting policies and estimates are those accounting policies and estimates that are both the most important to the portrayal of our net assets and results of operations and require the most difficult, subjective or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72" w:name="page73"/>
    <w:bookmarkEnd w:id="7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91" w:lineRule="auto"/>
        <w:rPr>
          <w:sz w:val="20"/>
          <w:szCs w:val="20"/>
          <w:color w:val="auto"/>
        </w:rPr>
      </w:pPr>
      <w:r>
        <w:rPr>
          <w:rFonts w:ascii="Arial" w:cs="Arial" w:eastAsia="Arial" w:hAnsi="Arial"/>
          <w:sz w:val="12"/>
          <w:szCs w:val="12"/>
          <w:color w:val="auto"/>
        </w:rPr>
        <w:t>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80" w:lineRule="exact"/>
        <w:rPr>
          <w:sz w:val="20"/>
          <w:szCs w:val="20"/>
          <w:color w:val="auto"/>
        </w:rPr>
      </w:pPr>
    </w:p>
    <w:p>
      <w:pPr>
        <w:jc w:val="both"/>
        <w:ind w:firstLine="233"/>
        <w:spacing w:after="0" w:line="270" w:lineRule="auto"/>
        <w:rPr>
          <w:sz w:val="20"/>
          <w:szCs w:val="20"/>
          <w:color w:val="auto"/>
        </w:rPr>
      </w:pPr>
      <w:r>
        <w:rPr>
          <w:rFonts w:ascii="Arial" w:cs="Arial" w:eastAsia="Arial" w:hAnsi="Arial"/>
          <w:sz w:val="13"/>
          <w:szCs w:val="13"/>
          <w:color w:val="auto"/>
        </w:rPr>
        <w:t>There have been no material changes to our critical accounting policies and estimates as compared to the critical accounting policies and estimates described under “Management's Discussion and Analysis of Financial Condition and Results of Operations” in Part II, Item 7 of our 2020 Form 10-K.</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JOBS Act Accounting Election</w:t>
      </w:r>
    </w:p>
    <w:p>
      <w:pPr>
        <w:spacing w:after="0" w:line="126" w:lineRule="exact"/>
        <w:rPr>
          <w:sz w:val="20"/>
          <w:szCs w:val="20"/>
          <w:color w:val="auto"/>
        </w:rPr>
      </w:pPr>
    </w:p>
    <w:p>
      <w:pPr>
        <w:jc w:val="both"/>
        <w:ind w:firstLine="233"/>
        <w:spacing w:after="0" w:line="284" w:lineRule="auto"/>
        <w:rPr>
          <w:sz w:val="20"/>
          <w:szCs w:val="20"/>
          <w:color w:val="auto"/>
        </w:rPr>
      </w:pPr>
      <w:r>
        <w:rPr>
          <w:rFonts w:ascii="Arial" w:cs="Arial" w:eastAsia="Arial" w:hAnsi="Arial"/>
          <w:sz w:val="12"/>
          <w:szCs w:val="12"/>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Issued Accounting Pronouncements</w:t>
      </w:r>
    </w:p>
    <w:p>
      <w:pPr>
        <w:spacing w:after="0" w:line="126" w:lineRule="exact"/>
        <w:rPr>
          <w:sz w:val="20"/>
          <w:szCs w:val="20"/>
          <w:color w:val="auto"/>
        </w:rPr>
      </w:pPr>
    </w:p>
    <w:p>
      <w:pPr>
        <w:jc w:val="both"/>
        <w:ind w:firstLine="233"/>
        <w:spacing w:after="0" w:line="270" w:lineRule="auto"/>
        <w:rPr>
          <w:sz w:val="20"/>
          <w:szCs w:val="20"/>
          <w:color w:val="auto"/>
        </w:rPr>
      </w:pPr>
      <w:r>
        <w:rPr>
          <w:rFonts w:ascii="Arial" w:cs="Arial" w:eastAsia="Arial" w:hAnsi="Arial"/>
          <w:sz w:val="13"/>
          <w:szCs w:val="13"/>
          <w:color w:val="auto"/>
        </w:rPr>
        <w:t>Refer to Note 2 - Basis of Presentation and Summary of Significant Accounting Policies of our consolidated financial statements included in Part I, Item 1 of this Form 10-Q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3" w:name="page74"/>
    <w:bookmarkEnd w:id="7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have operations in the United States and internationally, and we are exposed to market risk in the ordinary course of business.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Inflation</w:t>
      </w:r>
    </w:p>
    <w:p>
      <w:pPr>
        <w:spacing w:after="0" w:line="122" w:lineRule="exact"/>
        <w:rPr>
          <w:sz w:val="20"/>
          <w:szCs w:val="20"/>
          <w:color w:val="auto"/>
        </w:rPr>
      </w:pPr>
    </w:p>
    <w:p>
      <w:pPr>
        <w:jc w:val="both"/>
        <w:ind w:firstLine="233"/>
        <w:spacing w:after="0" w:line="313" w:lineRule="auto"/>
        <w:rPr>
          <w:sz w:val="20"/>
          <w:szCs w:val="20"/>
          <w:color w:val="auto"/>
        </w:rPr>
      </w:pPr>
      <w:r>
        <w:rPr>
          <w:rFonts w:ascii="Arial" w:cs="Arial" w:eastAsia="Arial" w:hAnsi="Arial"/>
          <w:sz w:val="12"/>
          <w:szCs w:val="12"/>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Rate Risk</w:t>
      </w:r>
    </w:p>
    <w:p>
      <w:pPr>
        <w:spacing w:after="0" w:line="122" w:lineRule="exact"/>
        <w:rPr>
          <w:sz w:val="20"/>
          <w:szCs w:val="20"/>
          <w:color w:val="auto"/>
        </w:rPr>
      </w:pPr>
    </w:p>
    <w:p>
      <w:pPr>
        <w:jc w:val="both"/>
        <w:ind w:firstLine="233"/>
        <w:spacing w:after="0" w:line="280" w:lineRule="auto"/>
        <w:rPr>
          <w:sz w:val="20"/>
          <w:szCs w:val="20"/>
          <w:color w:val="auto"/>
        </w:rPr>
      </w:pPr>
      <w:r>
        <w:rPr>
          <w:rFonts w:ascii="Arial" w:cs="Arial" w:eastAsia="Arial" w:hAnsi="Arial"/>
          <w:sz w:val="12"/>
          <w:szCs w:val="12"/>
          <w:color w:val="auto"/>
        </w:rPr>
        <w:t>Our operating results are subject to market risk from interest rate fluctuations on our First Lien Term Loan, which bears a variable interest rate based on LIBOR. As of June 30, 2021, the total principal balance outstanding was $400.0 million. We have implemented a hedging strategy to mitigate the interest rate risk by entering into certain derivative instruments (refer to Note 8 of our consolidated financial statements included in Part I, Item 1 of this Form 10-Q). We have interest rate exposure with respect to $50.0 million of variable-rate debt through April of 2022, representing the nominal portion of the First Lien Term Loan that is not currently designated in a hedging relationship. Based on the outstanding balances and interest rates of our First Lien Term Loan as of June 30, 2021, a hypothetical 1% relative increase or decrease in our effective interest rate would cause a corresponding increase and decrease in interest expense of approximately $0.4 million and $0.1 million over the next 12 months.</w:t>
      </w:r>
    </w:p>
    <w:p>
      <w:pPr>
        <w:spacing w:after="0" w:line="87" w:lineRule="exact"/>
        <w:rPr>
          <w:sz w:val="20"/>
          <w:szCs w:val="20"/>
          <w:color w:val="auto"/>
        </w:rPr>
      </w:pPr>
    </w:p>
    <w:p>
      <w:pPr>
        <w:jc w:val="both"/>
        <w:ind w:firstLine="233"/>
        <w:spacing w:after="0" w:line="317" w:lineRule="auto"/>
        <w:rPr>
          <w:sz w:val="20"/>
          <w:szCs w:val="20"/>
          <w:color w:val="auto"/>
        </w:rPr>
      </w:pPr>
      <w:r>
        <w:rPr>
          <w:rFonts w:ascii="Arial" w:cs="Arial" w:eastAsia="Arial" w:hAnsi="Arial"/>
          <w:sz w:val="11"/>
          <w:szCs w:val="11"/>
          <w:color w:val="auto"/>
        </w:rPr>
        <w:t xml:space="preserve">Additionally, from time to time, we have dedesignated certain cash flow hedging relationships due to repricing of the terms and partial prepayment of the outstanding principal of our First Lien Term Loan since loan inception. As of June 30, 2021, $500.0 million of the notional amount of the interest rate cap contract and $100.0 million of the notional amount of one of the forward-starting interest rate swap contracts are not designated as accounting hedges. Future fair value adjustments on these dedesignated instruments are recorded in </w:t>
      </w:r>
      <w:r>
        <w:rPr>
          <w:rFonts w:ascii="Arial" w:cs="Arial" w:eastAsia="Arial" w:hAnsi="Arial"/>
          <w:sz w:val="11"/>
          <w:szCs w:val="11"/>
          <w:i w:val="1"/>
          <w:iCs w:val="1"/>
          <w:color w:val="auto"/>
        </w:rPr>
        <w:t>Interest expense, net</w:t>
      </w:r>
      <w:r>
        <w:rPr>
          <w:rFonts w:ascii="Arial" w:cs="Arial" w:eastAsia="Arial" w:hAnsi="Arial"/>
          <w:sz w:val="11"/>
          <w:szCs w:val="11"/>
          <w:color w:val="auto"/>
        </w:rPr>
        <w:t xml:space="preserve"> in the Consolidated Statement of Operations. A hypothetical 1% relative increase or decrease in interest rates would cause a corresponding decrease and increase in interest expense of $6.6 million and $3.9 million, respectively, due to changes in the fair value of these instruments.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Currency Exchange Rate Risk</w:t>
      </w:r>
    </w:p>
    <w:p>
      <w:pPr>
        <w:spacing w:after="0" w:line="122" w:lineRule="exact"/>
        <w:rPr>
          <w:sz w:val="20"/>
          <w:szCs w:val="20"/>
          <w:color w:val="auto"/>
        </w:rPr>
      </w:pPr>
    </w:p>
    <w:p>
      <w:pPr>
        <w:jc w:val="both"/>
        <w:ind w:firstLine="233"/>
        <w:spacing w:after="0" w:line="254" w:lineRule="auto"/>
        <w:rPr>
          <w:sz w:val="20"/>
          <w:szCs w:val="20"/>
          <w:color w:val="auto"/>
        </w:rPr>
      </w:pPr>
      <w:r>
        <w:rPr>
          <w:rFonts w:ascii="Arial" w:cs="Arial" w:eastAsia="Arial" w:hAnsi="Arial"/>
          <w:sz w:val="13"/>
          <w:szCs w:val="13"/>
          <w:color w:val="auto"/>
        </w:rPr>
        <w:t>To date, our sales contracts have primarily been denominated in U.S. dollars. We have one foreign entity established in Israel. The functional currency of this foreign subsidiary is the U.S. dollar.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Credit Risk</w:t>
      </w:r>
    </w:p>
    <w:p>
      <w:pPr>
        <w:spacing w:after="0" w:line="122" w:lineRule="exact"/>
        <w:rPr>
          <w:sz w:val="20"/>
          <w:szCs w:val="20"/>
          <w:color w:val="auto"/>
        </w:rPr>
      </w:pPr>
    </w:p>
    <w:p>
      <w:pPr>
        <w:jc w:val="both"/>
        <w:ind w:firstLine="233"/>
        <w:spacing w:after="0" w:line="256" w:lineRule="auto"/>
        <w:rPr>
          <w:sz w:val="20"/>
          <w:szCs w:val="20"/>
          <w:color w:val="auto"/>
        </w:rPr>
      </w:pPr>
      <w:r>
        <w:rPr>
          <w:rFonts w:ascii="Arial" w:cs="Arial" w:eastAsia="Arial" w:hAnsi="Arial"/>
          <w:sz w:val="13"/>
          <w:szCs w:val="13"/>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4" w:name="page75"/>
    <w:bookmarkEnd w:id="7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122" w:lineRule="exact"/>
        <w:rPr>
          <w:sz w:val="20"/>
          <w:szCs w:val="20"/>
          <w:color w:val="auto"/>
        </w:rPr>
      </w:pPr>
    </w:p>
    <w:p>
      <w:pPr>
        <w:jc w:val="both"/>
        <w:ind w:right="20" w:firstLine="233"/>
        <w:spacing w:after="0" w:line="275" w:lineRule="auto"/>
        <w:rPr>
          <w:sz w:val="20"/>
          <w:szCs w:val="20"/>
          <w:color w:val="auto"/>
        </w:rPr>
      </w:pPr>
      <w:r>
        <w:rPr>
          <w:rFonts w:ascii="Arial" w:cs="Arial" w:eastAsia="Arial" w:hAnsi="Arial"/>
          <w:sz w:val="12"/>
          <w:szCs w:val="12"/>
          <w:color w:val="auto"/>
        </w:rPr>
        <w:t>As of the end of the period covered by this Quarterly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June 30, 2021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122" w:lineRule="exact"/>
        <w:rPr>
          <w:sz w:val="20"/>
          <w:szCs w:val="20"/>
          <w:color w:val="auto"/>
        </w:rPr>
      </w:pPr>
    </w:p>
    <w:p>
      <w:pPr>
        <w:jc w:val="both"/>
        <w:ind w:right="20" w:firstLine="233"/>
        <w:spacing w:after="0" w:line="270" w:lineRule="auto"/>
        <w:rPr>
          <w:sz w:val="20"/>
          <w:szCs w:val="20"/>
          <w:color w:val="auto"/>
        </w:rPr>
      </w:pPr>
      <w:r>
        <w:rPr>
          <w:rFonts w:ascii="Arial" w:cs="Arial" w:eastAsia="Arial" w:hAnsi="Arial"/>
          <w:sz w:val="13"/>
          <w:szCs w:val="13"/>
          <w:color w:val="auto"/>
        </w:rPr>
        <w:t>During the quarter ended June 30, 2021, no change in our internal control over financial reporting (as defined in Rules 13a-15(f) and 15d-15(f) under the Exchange Act) occurred that has materially affected, or is reasonably likely to materially affect, our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Inherent Limitations on Effectiveness of Controls</w:t>
      </w:r>
    </w:p>
    <w:p>
      <w:pPr>
        <w:spacing w:after="0" w:line="122" w:lineRule="exact"/>
        <w:rPr>
          <w:sz w:val="20"/>
          <w:szCs w:val="20"/>
          <w:color w:val="auto"/>
        </w:rPr>
      </w:pPr>
    </w:p>
    <w:p>
      <w:pPr>
        <w:jc w:val="both"/>
        <w:ind w:firstLine="233"/>
        <w:spacing w:after="0" w:line="275" w:lineRule="auto"/>
        <w:rPr>
          <w:sz w:val="20"/>
          <w:szCs w:val="20"/>
          <w:color w:val="auto"/>
        </w:rPr>
      </w:pPr>
      <w:r>
        <w:rPr>
          <w:rFonts w:ascii="Arial" w:cs="Arial" w:eastAsia="Arial" w:hAnsi="Arial"/>
          <w:sz w:val="12"/>
          <w:szCs w:val="12"/>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75" w:name="page76"/>
    <w:bookmarkEnd w:id="7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II - OTHER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126" w:lineRule="exact"/>
        <w:rPr>
          <w:sz w:val="20"/>
          <w:szCs w:val="20"/>
          <w:color w:val="auto"/>
        </w:rPr>
      </w:pPr>
    </w:p>
    <w:p>
      <w:pPr>
        <w:jc w:val="both"/>
        <w:ind w:firstLine="233"/>
        <w:spacing w:after="0" w:line="270" w:lineRule="auto"/>
        <w:rPr>
          <w:sz w:val="20"/>
          <w:szCs w:val="20"/>
          <w:color w:val="auto"/>
        </w:rPr>
      </w:pPr>
      <w:r>
        <w:rPr>
          <w:rFonts w:ascii="Arial" w:cs="Arial" w:eastAsia="Arial" w:hAnsi="Arial"/>
          <w:sz w:val="13"/>
          <w:szCs w:val="13"/>
          <w:color w:val="auto"/>
        </w:rPr>
        <w:t>For a description of certain legal and regulatory proceedings, please read “Legal Matters” in Note 11 (Commitments and Contingencies) to our unaudited consolidated financial statements included in Part I, Item 1 of this Form 10-Q, which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126" w:lineRule="exact"/>
        <w:rPr>
          <w:sz w:val="20"/>
          <w:szCs w:val="20"/>
          <w:color w:val="auto"/>
        </w:rPr>
      </w:pPr>
    </w:p>
    <w:p>
      <w:pPr>
        <w:jc w:val="both"/>
        <w:ind w:firstLine="233"/>
        <w:spacing w:after="0" w:line="329" w:lineRule="auto"/>
        <w:rPr>
          <w:sz w:val="20"/>
          <w:szCs w:val="20"/>
          <w:color w:val="auto"/>
        </w:rPr>
      </w:pPr>
      <w:r>
        <w:rPr>
          <w:rFonts w:ascii="Arial" w:cs="Arial" w:eastAsia="Arial" w:hAnsi="Arial"/>
          <w:sz w:val="11"/>
          <w:szCs w:val="11"/>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Part I, Item 1A of our 2020 Form 10-K. Additional risks and uncertainties not currently known to us or that we currently deem to be immaterial may also materially adversely affect our financial position, results of operations or cash flows. There have been no material changes to the risk factors included in our 2020 Form 10-K.</w:t>
      </w: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DEFAULTS UPON SENIOR SECURITIES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OTHER INFORMATION</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9645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ind w:left="2"/>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51" w:lineRule="exact"/>
        <w:rPr>
          <w:sz w:val="20"/>
          <w:szCs w:val="20"/>
          <w:color w:val="auto"/>
        </w:rPr>
      </w:pPr>
    </w:p>
    <w:p>
      <w:pPr>
        <w:ind w:left="242"/>
        <w:spacing w:after="0"/>
        <w:rPr>
          <w:sz w:val="20"/>
          <w:szCs w:val="20"/>
          <w:color w:val="auto"/>
        </w:rPr>
      </w:pPr>
      <w:r>
        <w:rPr>
          <w:rFonts w:ascii="Arial" w:cs="Arial" w:eastAsia="Arial" w:hAnsi="Arial"/>
          <w:sz w:val="13"/>
          <w:szCs w:val="13"/>
          <w:b w:val="1"/>
          <w:bCs w:val="1"/>
          <w:color w:val="auto"/>
        </w:rPr>
        <w:t>ITEM 6. EXHIBITS</w:t>
      </w:r>
    </w:p>
    <w:p>
      <w:pPr>
        <w:spacing w:after="0" w:line="126" w:lineRule="exact"/>
        <w:rPr>
          <w:sz w:val="20"/>
          <w:szCs w:val="20"/>
          <w:color w:val="auto"/>
        </w:rPr>
      </w:pPr>
    </w:p>
    <w:p>
      <w:pPr>
        <w:jc w:val="both"/>
        <w:ind w:left="242" w:firstLine="465"/>
        <w:spacing w:after="0" w:line="256" w:lineRule="auto"/>
        <w:rPr>
          <w:sz w:val="20"/>
          <w:szCs w:val="20"/>
          <w:color w:val="auto"/>
        </w:rPr>
      </w:pPr>
      <w:r>
        <w:rPr>
          <w:rFonts w:ascii="Arial" w:cs="Arial" w:eastAsia="Arial" w:hAnsi="Arial"/>
          <w:sz w:val="13"/>
          <w:szCs w:val="13"/>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134" w:lineRule="exact"/>
        <w:rPr>
          <w:sz w:val="20"/>
          <w:szCs w:val="20"/>
          <w:color w:val="auto"/>
        </w:rPr>
      </w:pPr>
    </w:p>
    <w:tbl>
      <w:tblPr>
        <w:tblLayout w:type="fixed"/>
        <w:tblInd w:w="22" w:type="dxa"/>
        <w:tblCellMar>
          <w:top w:w="0" w:type="dxa"/>
          <w:left w:w="0" w:type="dxa"/>
          <w:bottom w:w="0" w:type="dxa"/>
          <w:right w:w="0" w:type="dxa"/>
        </w:tblCellMar>
      </w:tblPr>
      <w:tr>
        <w:trPr>
          <w:trHeight w:val="155"/>
        </w:trPr>
        <w:tc>
          <w:tcPr>
            <w:tcW w:w="960" w:type="dxa"/>
            <w:vAlign w:val="bottom"/>
          </w:tcPr>
          <w:p>
            <w:pPr>
              <w:jc w:val="center"/>
              <w:ind w:right="7"/>
              <w:spacing w:after="0"/>
              <w:rPr>
                <w:sz w:val="20"/>
                <w:szCs w:val="20"/>
                <w:color w:val="auto"/>
              </w:rPr>
            </w:pPr>
            <w:r>
              <w:rPr>
                <w:rFonts w:ascii="Arial" w:cs="Arial" w:eastAsia="Arial" w:hAnsi="Arial"/>
                <w:sz w:val="13"/>
                <w:szCs w:val="13"/>
                <w:b w:val="1"/>
                <w:bCs w:val="1"/>
                <w:color w:val="auto"/>
                <w:w w:val="93"/>
              </w:rPr>
              <w:t>Exhibit Number</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jc w:val="center"/>
              <w:ind w:right="4"/>
              <w:spacing w:after="0"/>
              <w:rPr>
                <w:sz w:val="20"/>
                <w:szCs w:val="20"/>
                <w:color w:val="auto"/>
              </w:rPr>
            </w:pPr>
            <w:r>
              <w:rPr>
                <w:rFonts w:ascii="Arial" w:cs="Arial" w:eastAsia="Arial" w:hAnsi="Arial"/>
                <w:sz w:val="13"/>
                <w:szCs w:val="13"/>
                <w:b w:val="1"/>
                <w:bCs w:val="1"/>
                <w:color w:val="auto"/>
                <w:w w:val="90"/>
              </w:rPr>
              <w:t>Report or Registration Statement</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SEC File or</w:t>
            </w:r>
          </w:p>
        </w:tc>
        <w:tc>
          <w:tcPr>
            <w:tcW w:w="1080" w:type="dxa"/>
            <w:vAlign w:val="bottom"/>
          </w:tcPr>
          <w:p>
            <w:pPr>
              <w:jc w:val="center"/>
              <w:ind w:left="44"/>
              <w:spacing w:after="0"/>
              <w:rPr>
                <w:sz w:val="20"/>
                <w:szCs w:val="20"/>
                <w:color w:val="auto"/>
              </w:rPr>
            </w:pPr>
            <w:r>
              <w:rPr>
                <w:rFonts w:ascii="Arial" w:cs="Arial" w:eastAsia="Arial" w:hAnsi="Arial"/>
                <w:sz w:val="13"/>
                <w:szCs w:val="13"/>
                <w:b w:val="1"/>
                <w:bCs w:val="1"/>
                <w:color w:val="auto"/>
                <w:w w:val="89"/>
              </w:rPr>
              <w:t>Exhibit Reference</w:t>
            </w:r>
          </w:p>
        </w:tc>
        <w:tc>
          <w:tcPr>
            <w:tcW w:w="0" w:type="dxa"/>
            <w:vAlign w:val="bottom"/>
          </w:tcPr>
          <w:p>
            <w:pPr>
              <w:spacing w:after="0"/>
              <w:rPr>
                <w:sz w:val="1"/>
                <w:szCs w:val="1"/>
                <w:color w:val="auto"/>
              </w:rPr>
            </w:pPr>
          </w:p>
        </w:tc>
      </w:tr>
      <w:tr>
        <w:trPr>
          <w:trHeight w:val="167"/>
        </w:trPr>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gridSpan w:val="6"/>
            <w:vMerge w:val="restart"/>
          </w:tcPr>
          <w:p>
            <w:pPr>
              <w:ind w:left="580"/>
              <w:spacing w:after="0"/>
              <w:rPr>
                <w:sz w:val="20"/>
                <w:szCs w:val="20"/>
                <w:color w:val="auto"/>
              </w:rPr>
            </w:pPr>
            <w:r>
              <w:rPr>
                <w:rFonts w:ascii="Arial" w:cs="Arial" w:eastAsia="Arial" w:hAnsi="Arial"/>
                <w:sz w:val="13"/>
                <w:szCs w:val="13"/>
                <w:b w:val="1"/>
                <w:bCs w:val="1"/>
                <w:color w:val="auto"/>
              </w:rPr>
              <w:t>Description</w:t>
            </w:r>
          </w:p>
        </w:tc>
        <w:tc>
          <w:tcPr>
            <w:tcW w:w="20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0"/>
              </w:rPr>
              <w:t>Registration Number</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20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960" w:type="dxa"/>
            <w:vAlign w:val="bottom"/>
          </w:tcPr>
          <w:p>
            <w:pPr>
              <w:jc w:val="center"/>
              <w:spacing w:after="0"/>
              <w:rPr>
                <w:sz w:val="20"/>
                <w:szCs w:val="20"/>
                <w:color w:val="auto"/>
              </w:rPr>
            </w:pPr>
            <w:r>
              <w:rPr>
                <w:rFonts w:ascii="Arial" w:cs="Arial" w:eastAsia="Arial" w:hAnsi="Arial"/>
                <w:sz w:val="10"/>
                <w:szCs w:val="10"/>
                <w:color w:val="auto"/>
                <w:w w:val="85"/>
              </w:rPr>
              <w:t>3.1</w:t>
            </w:r>
          </w:p>
        </w:tc>
        <w:tc>
          <w:tcPr>
            <w:tcW w:w="5820" w:type="dxa"/>
            <w:vAlign w:val="bottom"/>
            <w:gridSpan w:val="9"/>
          </w:tcPr>
          <w:p>
            <w:pPr>
              <w:spacing w:after="0"/>
              <w:rPr>
                <w:rFonts w:ascii="Arial" w:cs="Arial" w:eastAsia="Arial" w:hAnsi="Arial"/>
                <w:sz w:val="10"/>
                <w:szCs w:val="10"/>
                <w:color w:val="0000FF"/>
              </w:rPr>
            </w:pPr>
            <w:hyperlink r:id="rId98">
              <w:r>
                <w:rPr>
                  <w:rFonts w:ascii="Arial" w:cs="Arial" w:eastAsia="Arial" w:hAnsi="Arial"/>
                  <w:sz w:val="10"/>
                  <w:szCs w:val="10"/>
                  <w:color w:val="0000FF"/>
                </w:rPr>
                <w:t>Amended and Restated Certificate of Incorporation of ZoomInfo Technologies Inc.</w:t>
              </w:r>
            </w:hyperlink>
          </w:p>
        </w:tc>
        <w:tc>
          <w:tcPr>
            <w:tcW w:w="2000" w:type="dxa"/>
            <w:vAlign w:val="bottom"/>
          </w:tcPr>
          <w:p>
            <w:pPr>
              <w:jc w:val="center"/>
              <w:ind w:right="4"/>
              <w:spacing w:after="0"/>
              <w:rPr>
                <w:sz w:val="20"/>
                <w:szCs w:val="20"/>
                <w:color w:val="auto"/>
              </w:rPr>
            </w:pPr>
            <w:r>
              <w:rPr>
                <w:rFonts w:ascii="Arial" w:cs="Arial" w:eastAsia="Arial" w:hAnsi="Arial"/>
                <w:sz w:val="10"/>
                <w:szCs w:val="10"/>
                <w:color w:val="auto"/>
                <w:w w:val="96"/>
              </w:rPr>
              <w:t>8-K filed June 8, 2020</w:t>
            </w:r>
          </w:p>
        </w:tc>
        <w:tc>
          <w:tcPr>
            <w:tcW w:w="1340" w:type="dxa"/>
            <w:vAlign w:val="bottom"/>
          </w:tcPr>
          <w:p>
            <w:pPr>
              <w:jc w:val="center"/>
              <w:spacing w:after="0"/>
              <w:rPr>
                <w:sz w:val="20"/>
                <w:szCs w:val="20"/>
                <w:color w:val="auto"/>
              </w:rPr>
            </w:pPr>
            <w:r>
              <w:rPr>
                <w:rFonts w:ascii="Arial" w:cs="Arial" w:eastAsia="Arial" w:hAnsi="Arial"/>
                <w:sz w:val="10"/>
                <w:szCs w:val="10"/>
                <w:color w:val="auto"/>
                <w:w w:val="91"/>
              </w:rPr>
              <w:t>001-39310</w:t>
            </w:r>
          </w:p>
        </w:tc>
        <w:tc>
          <w:tcPr>
            <w:tcW w:w="1080" w:type="dxa"/>
            <w:vAlign w:val="bottom"/>
          </w:tcPr>
          <w:p>
            <w:pPr>
              <w:jc w:val="center"/>
              <w:ind w:left="44"/>
              <w:spacing w:after="0"/>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135"/>
        </w:trPr>
        <w:tc>
          <w:tcPr>
            <w:tcW w:w="960" w:type="dxa"/>
            <w:vAlign w:val="bottom"/>
          </w:tcPr>
          <w:p>
            <w:pPr>
              <w:jc w:val="center"/>
              <w:spacing w:after="0"/>
              <w:rPr>
                <w:sz w:val="20"/>
                <w:szCs w:val="20"/>
                <w:color w:val="auto"/>
              </w:rPr>
            </w:pPr>
            <w:r>
              <w:rPr>
                <w:rFonts w:ascii="Arial" w:cs="Arial" w:eastAsia="Arial" w:hAnsi="Arial"/>
                <w:sz w:val="10"/>
                <w:szCs w:val="10"/>
                <w:color w:val="auto"/>
                <w:w w:val="85"/>
              </w:rPr>
              <w:t>3.2</w:t>
            </w:r>
          </w:p>
        </w:tc>
        <w:tc>
          <w:tcPr>
            <w:tcW w:w="2600" w:type="dxa"/>
            <w:vAlign w:val="bottom"/>
            <w:tcBorders>
              <w:top w:val="single" w:sz="8" w:color="0000FF"/>
              <w:bottom w:val="single" w:sz="8" w:color="0000FF"/>
            </w:tcBorders>
            <w:gridSpan w:val="4"/>
          </w:tcPr>
          <w:p>
            <w:pPr>
              <w:spacing w:after="0"/>
              <w:rPr>
                <w:rFonts w:ascii="Arial" w:cs="Arial" w:eastAsia="Arial" w:hAnsi="Arial"/>
                <w:sz w:val="10"/>
                <w:szCs w:val="10"/>
                <w:color w:val="0000FF"/>
                <w:w w:val="93"/>
              </w:rPr>
            </w:pPr>
            <w:hyperlink r:id="rId99">
              <w:r>
                <w:rPr>
                  <w:rFonts w:ascii="Arial" w:cs="Arial" w:eastAsia="Arial" w:hAnsi="Arial"/>
                  <w:sz w:val="10"/>
                  <w:szCs w:val="10"/>
                  <w:color w:val="0000FF"/>
                  <w:w w:val="93"/>
                </w:rPr>
                <w:t>Amended and Restated Bylaws of ZoomInfo Technologies Inc.</w:t>
              </w:r>
            </w:hyperlink>
          </w:p>
        </w:tc>
        <w:tc>
          <w:tcPr>
            <w:tcW w:w="820" w:type="dxa"/>
            <w:vAlign w:val="bottom"/>
            <w:tcBorders>
              <w:top w:val="single" w:sz="8" w:color="0000FF"/>
            </w:tcBorders>
          </w:tcPr>
          <w:p>
            <w:pPr>
              <w:spacing w:after="0"/>
              <w:rPr>
                <w:sz w:val="11"/>
                <w:szCs w:val="11"/>
                <w:color w:val="auto"/>
              </w:rPr>
            </w:pPr>
          </w:p>
        </w:tc>
        <w:tc>
          <w:tcPr>
            <w:tcW w:w="2400" w:type="dxa"/>
            <w:vAlign w:val="bottom"/>
            <w:gridSpan w:val="4"/>
          </w:tcPr>
          <w:p>
            <w:pPr>
              <w:spacing w:after="0"/>
              <w:rPr>
                <w:sz w:val="11"/>
                <w:szCs w:val="11"/>
                <w:color w:val="auto"/>
              </w:rPr>
            </w:pPr>
          </w:p>
        </w:tc>
        <w:tc>
          <w:tcPr>
            <w:tcW w:w="2000" w:type="dxa"/>
            <w:vAlign w:val="bottom"/>
          </w:tcPr>
          <w:p>
            <w:pPr>
              <w:jc w:val="center"/>
              <w:ind w:right="4"/>
              <w:spacing w:after="0"/>
              <w:rPr>
                <w:sz w:val="20"/>
                <w:szCs w:val="20"/>
                <w:color w:val="auto"/>
              </w:rPr>
            </w:pPr>
            <w:r>
              <w:rPr>
                <w:rFonts w:ascii="Arial" w:cs="Arial" w:eastAsia="Arial" w:hAnsi="Arial"/>
                <w:sz w:val="10"/>
                <w:szCs w:val="10"/>
                <w:color w:val="auto"/>
                <w:w w:val="96"/>
              </w:rPr>
              <w:t>8-K filed June 8, 2020</w:t>
            </w:r>
          </w:p>
        </w:tc>
        <w:tc>
          <w:tcPr>
            <w:tcW w:w="1340" w:type="dxa"/>
            <w:vAlign w:val="bottom"/>
          </w:tcPr>
          <w:p>
            <w:pPr>
              <w:jc w:val="center"/>
              <w:spacing w:after="0"/>
              <w:rPr>
                <w:sz w:val="20"/>
                <w:szCs w:val="20"/>
                <w:color w:val="auto"/>
              </w:rPr>
            </w:pPr>
            <w:r>
              <w:rPr>
                <w:rFonts w:ascii="Arial" w:cs="Arial" w:eastAsia="Arial" w:hAnsi="Arial"/>
                <w:sz w:val="10"/>
                <w:szCs w:val="10"/>
                <w:color w:val="auto"/>
                <w:w w:val="91"/>
              </w:rPr>
              <w:t>001-39310</w:t>
            </w:r>
          </w:p>
        </w:tc>
        <w:tc>
          <w:tcPr>
            <w:tcW w:w="1080" w:type="dxa"/>
            <w:vAlign w:val="bottom"/>
          </w:tcPr>
          <w:p>
            <w:pPr>
              <w:jc w:val="center"/>
              <w:ind w:left="44"/>
              <w:spacing w:after="0"/>
              <w:rPr>
                <w:sz w:val="20"/>
                <w:szCs w:val="20"/>
                <w:color w:val="auto"/>
              </w:rPr>
            </w:pPr>
            <w:r>
              <w:rPr>
                <w:rFonts w:ascii="Arial" w:cs="Arial" w:eastAsia="Arial" w:hAnsi="Arial"/>
                <w:sz w:val="10"/>
                <w:szCs w:val="10"/>
                <w:color w:val="auto"/>
              </w:rPr>
              <w:t>3.2</w:t>
            </w:r>
          </w:p>
        </w:tc>
        <w:tc>
          <w:tcPr>
            <w:tcW w:w="0" w:type="dxa"/>
            <w:vAlign w:val="bottom"/>
          </w:tcPr>
          <w:p>
            <w:pPr>
              <w:spacing w:after="0"/>
              <w:rPr>
                <w:sz w:val="1"/>
                <w:szCs w:val="1"/>
                <w:color w:val="auto"/>
              </w:rPr>
            </w:pPr>
          </w:p>
        </w:tc>
      </w:tr>
      <w:tr>
        <w:trPr>
          <w:trHeight w:val="135"/>
        </w:trPr>
        <w:tc>
          <w:tcPr>
            <w:tcW w:w="960" w:type="dxa"/>
            <w:vAlign w:val="bottom"/>
          </w:tcPr>
          <w:p>
            <w:pPr>
              <w:jc w:val="center"/>
              <w:spacing w:after="0"/>
              <w:rPr>
                <w:sz w:val="20"/>
                <w:szCs w:val="20"/>
                <w:color w:val="auto"/>
              </w:rPr>
            </w:pPr>
            <w:r>
              <w:rPr>
                <w:rFonts w:ascii="Arial" w:cs="Arial" w:eastAsia="Arial" w:hAnsi="Arial"/>
                <w:sz w:val="10"/>
                <w:szCs w:val="10"/>
                <w:color w:val="auto"/>
                <w:w w:val="94"/>
              </w:rPr>
              <w:t>+31.1</w:t>
            </w:r>
          </w:p>
        </w:tc>
        <w:tc>
          <w:tcPr>
            <w:tcW w:w="5820" w:type="dxa"/>
            <w:vAlign w:val="bottom"/>
            <w:gridSpan w:val="9"/>
          </w:tcPr>
          <w:p>
            <w:pPr>
              <w:spacing w:after="0"/>
              <w:rPr>
                <w:rFonts w:ascii="Arial" w:cs="Arial" w:eastAsia="Arial" w:hAnsi="Arial"/>
                <w:sz w:val="10"/>
                <w:szCs w:val="10"/>
                <w:color w:val="0000FF"/>
                <w:w w:val="95"/>
              </w:rPr>
            </w:pPr>
            <w:hyperlink w:anchor="page79">
              <w:r>
                <w:rPr>
                  <w:rFonts w:ascii="Arial" w:cs="Arial" w:eastAsia="Arial" w:hAnsi="Arial"/>
                  <w:sz w:val="10"/>
                  <w:szCs w:val="10"/>
                  <w:color w:val="0000FF"/>
                  <w:w w:val="95"/>
                </w:rPr>
                <w:t>Certification of Principal Executive Officer pursuant to Exchange Act Rules 13a-14(a) and 15d-14(a), as adopted pursuant to Section 302</w:t>
              </w:r>
            </w:hyperlink>
          </w:p>
        </w:tc>
        <w:tc>
          <w:tcPr>
            <w:tcW w:w="20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960" w:type="dxa"/>
            <w:vAlign w:val="bottom"/>
          </w:tcPr>
          <w:p>
            <w:pPr>
              <w:spacing w:after="0"/>
              <w:rPr>
                <w:sz w:val="8"/>
                <w:szCs w:val="8"/>
                <w:color w:val="auto"/>
              </w:rPr>
            </w:pPr>
          </w:p>
        </w:tc>
        <w:tc>
          <w:tcPr>
            <w:tcW w:w="1460" w:type="dxa"/>
            <w:vAlign w:val="bottom"/>
            <w:tcBorders>
              <w:top w:val="single" w:sz="8" w:color="0000FF"/>
              <w:bottom w:val="single" w:sz="8" w:color="0000FF"/>
            </w:tcBorders>
            <w:gridSpan w:val="2"/>
          </w:tcPr>
          <w:p>
            <w:pPr>
              <w:spacing w:after="0" w:line="97" w:lineRule="exact"/>
              <w:rPr>
                <w:rFonts w:ascii="Arial" w:cs="Arial" w:eastAsia="Arial" w:hAnsi="Arial"/>
                <w:sz w:val="10"/>
                <w:szCs w:val="10"/>
                <w:color w:val="0000FF"/>
                <w:w w:val="92"/>
              </w:rPr>
            </w:pPr>
            <w:hyperlink w:anchor="page79">
              <w:r>
                <w:rPr>
                  <w:rFonts w:ascii="Arial" w:cs="Arial" w:eastAsia="Arial" w:hAnsi="Arial"/>
                  <w:sz w:val="10"/>
                  <w:szCs w:val="10"/>
                  <w:color w:val="0000FF"/>
                  <w:w w:val="92"/>
                </w:rPr>
                <w:t>of the Sarbanes-Oxley Act of 2002.</w:t>
              </w:r>
            </w:hyperlink>
          </w:p>
        </w:tc>
        <w:tc>
          <w:tcPr>
            <w:tcW w:w="4220" w:type="dxa"/>
            <w:vAlign w:val="bottom"/>
            <w:tcBorders>
              <w:top w:val="single" w:sz="8" w:color="0000FF"/>
            </w:tcBorders>
            <w:gridSpan w:val="5"/>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960" w:type="dxa"/>
            <w:vAlign w:val="bottom"/>
          </w:tcPr>
          <w:p>
            <w:pPr>
              <w:jc w:val="center"/>
              <w:spacing w:after="0"/>
              <w:rPr>
                <w:sz w:val="20"/>
                <w:szCs w:val="20"/>
                <w:color w:val="auto"/>
              </w:rPr>
            </w:pPr>
            <w:r>
              <w:rPr>
                <w:rFonts w:ascii="Arial" w:cs="Arial" w:eastAsia="Arial" w:hAnsi="Arial"/>
                <w:sz w:val="10"/>
                <w:szCs w:val="10"/>
                <w:color w:val="auto"/>
                <w:w w:val="94"/>
              </w:rPr>
              <w:t>+31.2</w:t>
            </w:r>
          </w:p>
        </w:tc>
        <w:tc>
          <w:tcPr>
            <w:tcW w:w="5820" w:type="dxa"/>
            <w:vAlign w:val="bottom"/>
            <w:gridSpan w:val="9"/>
          </w:tcPr>
          <w:p>
            <w:pPr>
              <w:spacing w:after="0"/>
              <w:rPr>
                <w:rFonts w:ascii="Arial" w:cs="Arial" w:eastAsia="Arial" w:hAnsi="Arial"/>
                <w:sz w:val="10"/>
                <w:szCs w:val="10"/>
                <w:color w:val="0000FF"/>
                <w:w w:val="94"/>
              </w:rPr>
            </w:pPr>
            <w:hyperlink w:anchor="page81">
              <w:r>
                <w:rPr>
                  <w:rFonts w:ascii="Arial" w:cs="Arial" w:eastAsia="Arial" w:hAnsi="Arial"/>
                  <w:sz w:val="10"/>
                  <w:szCs w:val="10"/>
                  <w:color w:val="0000FF"/>
                  <w:w w:val="94"/>
                </w:rPr>
                <w:t>Certification of Principal Financial Officer pursuant to Exchange Act Rules 13a-14(a) and 15d-14(a), as adopted pursuant to Section 302 of</w:t>
              </w:r>
            </w:hyperlink>
          </w:p>
        </w:tc>
        <w:tc>
          <w:tcPr>
            <w:tcW w:w="20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960" w:type="dxa"/>
            <w:vAlign w:val="bottom"/>
          </w:tcPr>
          <w:p>
            <w:pPr>
              <w:spacing w:after="0"/>
              <w:rPr>
                <w:sz w:val="8"/>
                <w:szCs w:val="8"/>
                <w:color w:val="auto"/>
              </w:rPr>
            </w:pPr>
          </w:p>
        </w:tc>
        <w:tc>
          <w:tcPr>
            <w:tcW w:w="5760" w:type="dxa"/>
            <w:vAlign w:val="bottom"/>
            <w:tcBorders>
              <w:top w:val="single" w:sz="8" w:color="0000FF"/>
            </w:tcBorders>
            <w:gridSpan w:val="8"/>
          </w:tcPr>
          <w:p>
            <w:pPr>
              <w:spacing w:after="0" w:line="97" w:lineRule="exact"/>
              <w:rPr>
                <w:rFonts w:ascii="Arial" w:cs="Arial" w:eastAsia="Arial" w:hAnsi="Arial"/>
                <w:sz w:val="10"/>
                <w:szCs w:val="10"/>
                <w:color w:val="0000FF"/>
              </w:rPr>
            </w:pPr>
            <w:hyperlink w:anchor="page81">
              <w:r>
                <w:rPr>
                  <w:rFonts w:ascii="Arial" w:cs="Arial" w:eastAsia="Arial" w:hAnsi="Arial"/>
                  <w:sz w:val="10"/>
                  <w:szCs w:val="10"/>
                  <w:color w:val="0000FF"/>
                </w:rPr>
                <w:t>the Sarbanes-Oxley Act of 2002.</w:t>
              </w:r>
            </w:hyperlink>
          </w:p>
        </w:tc>
        <w:tc>
          <w:tcPr>
            <w:tcW w:w="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960" w:type="dxa"/>
            <w:vAlign w:val="bottom"/>
          </w:tcPr>
          <w:p>
            <w:pPr>
              <w:jc w:val="center"/>
              <w:spacing w:after="0"/>
              <w:rPr>
                <w:sz w:val="20"/>
                <w:szCs w:val="20"/>
                <w:color w:val="auto"/>
              </w:rPr>
            </w:pPr>
            <w:r>
              <w:rPr>
                <w:rFonts w:ascii="Arial" w:cs="Arial" w:eastAsia="Arial" w:hAnsi="Arial"/>
                <w:sz w:val="10"/>
                <w:szCs w:val="10"/>
                <w:color w:val="auto"/>
                <w:w w:val="95"/>
              </w:rPr>
              <w:t>+32.1*</w:t>
            </w:r>
          </w:p>
        </w:tc>
        <w:tc>
          <w:tcPr>
            <w:tcW w:w="5820" w:type="dxa"/>
            <w:vAlign w:val="bottom"/>
            <w:gridSpan w:val="9"/>
          </w:tcPr>
          <w:p>
            <w:pPr>
              <w:spacing w:after="0"/>
              <w:rPr>
                <w:rFonts w:ascii="Arial" w:cs="Arial" w:eastAsia="Arial" w:hAnsi="Arial"/>
                <w:sz w:val="10"/>
                <w:szCs w:val="10"/>
                <w:color w:val="0000FF"/>
                <w:w w:val="97"/>
              </w:rPr>
            </w:pPr>
            <w:hyperlink w:anchor="page83">
              <w:r>
                <w:rPr>
                  <w:rFonts w:ascii="Arial" w:cs="Arial" w:eastAsia="Arial" w:hAnsi="Arial"/>
                  <w:sz w:val="10"/>
                  <w:szCs w:val="10"/>
                  <w:color w:val="0000FF"/>
                  <w:w w:val="97"/>
                </w:rPr>
                <w:t>Certifications of Principal Executive Officer and Principal Financial Officer pursuant to 18 U.S.C. Section 1350, as adopted pursuant to</w:t>
              </w:r>
            </w:hyperlink>
          </w:p>
        </w:tc>
        <w:tc>
          <w:tcPr>
            <w:tcW w:w="20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960" w:type="dxa"/>
            <w:vAlign w:val="bottom"/>
          </w:tcPr>
          <w:p>
            <w:pPr>
              <w:spacing w:after="0"/>
              <w:rPr>
                <w:sz w:val="8"/>
                <w:szCs w:val="8"/>
                <w:color w:val="auto"/>
              </w:rPr>
            </w:pPr>
          </w:p>
        </w:tc>
        <w:tc>
          <w:tcPr>
            <w:tcW w:w="1980" w:type="dxa"/>
            <w:vAlign w:val="bottom"/>
            <w:tcBorders>
              <w:top w:val="single" w:sz="8" w:color="0000FF"/>
              <w:bottom w:val="single" w:sz="8" w:color="0000FF"/>
            </w:tcBorders>
            <w:gridSpan w:val="3"/>
          </w:tcPr>
          <w:p>
            <w:pPr>
              <w:spacing w:after="0" w:line="97" w:lineRule="exact"/>
              <w:rPr>
                <w:rFonts w:ascii="Arial" w:cs="Arial" w:eastAsia="Arial" w:hAnsi="Arial"/>
                <w:sz w:val="10"/>
                <w:szCs w:val="10"/>
                <w:color w:val="0000FF"/>
                <w:w w:val="92"/>
              </w:rPr>
            </w:pPr>
            <w:hyperlink w:anchor="page83">
              <w:r>
                <w:rPr>
                  <w:rFonts w:ascii="Arial" w:cs="Arial" w:eastAsia="Arial" w:hAnsi="Arial"/>
                  <w:sz w:val="10"/>
                  <w:szCs w:val="10"/>
                  <w:color w:val="0000FF"/>
                  <w:w w:val="92"/>
                </w:rPr>
                <w:t>Section 906 of the Sarbanes-Oxley Act of 2002.</w:t>
              </w:r>
            </w:hyperlink>
          </w:p>
        </w:tc>
        <w:tc>
          <w:tcPr>
            <w:tcW w:w="3620" w:type="dxa"/>
            <w:vAlign w:val="bottom"/>
            <w:tcBorders>
              <w:top w:val="single" w:sz="8" w:color="0000FF"/>
            </w:tcBorders>
            <w:gridSpan w:val="3"/>
          </w:tcPr>
          <w:p>
            <w:pPr>
              <w:spacing w:after="0"/>
              <w:rPr>
                <w:sz w:val="8"/>
                <w:szCs w:val="8"/>
                <w:color w:val="auto"/>
              </w:rPr>
            </w:pPr>
          </w:p>
        </w:tc>
        <w:tc>
          <w:tcPr>
            <w:tcW w:w="220" w:type="dxa"/>
            <w:vAlign w:val="bottom"/>
            <w:gridSpan w:val="3"/>
          </w:tcPr>
          <w:p>
            <w:pPr>
              <w:spacing w:after="0"/>
              <w:rPr>
                <w:sz w:val="8"/>
                <w:szCs w:val="8"/>
                <w:color w:val="auto"/>
              </w:rPr>
            </w:pPr>
          </w:p>
        </w:tc>
        <w:tc>
          <w:tcPr>
            <w:tcW w:w="20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960" w:type="dxa"/>
            <w:vAlign w:val="bottom"/>
          </w:tcPr>
          <w:p>
            <w:pPr>
              <w:jc w:val="center"/>
              <w:spacing w:after="0"/>
              <w:rPr>
                <w:sz w:val="20"/>
                <w:szCs w:val="20"/>
                <w:color w:val="auto"/>
              </w:rPr>
            </w:pPr>
            <w:r>
              <w:rPr>
                <w:rFonts w:ascii="Arial" w:cs="Arial" w:eastAsia="Arial" w:hAnsi="Arial"/>
                <w:sz w:val="10"/>
                <w:szCs w:val="10"/>
                <w:color w:val="auto"/>
                <w:w w:val="95"/>
              </w:rPr>
              <w:t>+101.INS</w:t>
            </w:r>
          </w:p>
        </w:tc>
        <w:tc>
          <w:tcPr>
            <w:tcW w:w="5820" w:type="dxa"/>
            <w:vAlign w:val="bottom"/>
            <w:gridSpan w:val="9"/>
          </w:tcPr>
          <w:p>
            <w:pPr>
              <w:spacing w:after="0"/>
              <w:rPr>
                <w:sz w:val="20"/>
                <w:szCs w:val="20"/>
                <w:color w:val="auto"/>
              </w:rPr>
            </w:pPr>
            <w:r>
              <w:rPr>
                <w:rFonts w:ascii="Arial" w:cs="Arial" w:eastAsia="Arial" w:hAnsi="Arial"/>
                <w:sz w:val="10"/>
                <w:szCs w:val="10"/>
                <w:color w:val="auto"/>
              </w:rPr>
              <w:t>Inline XBRL Instance Document</w:t>
            </w:r>
          </w:p>
        </w:tc>
        <w:tc>
          <w:tcPr>
            <w:tcW w:w="2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jc w:val="center"/>
              <w:spacing w:after="0"/>
              <w:rPr>
                <w:sz w:val="20"/>
                <w:szCs w:val="20"/>
                <w:color w:val="auto"/>
              </w:rPr>
            </w:pPr>
            <w:r>
              <w:rPr>
                <w:rFonts w:ascii="Arial" w:cs="Arial" w:eastAsia="Arial" w:hAnsi="Arial"/>
                <w:sz w:val="10"/>
                <w:szCs w:val="10"/>
                <w:color w:val="auto"/>
                <w:w w:val="94"/>
              </w:rPr>
              <w:t>+101.SCH</w:t>
            </w:r>
          </w:p>
        </w:tc>
        <w:tc>
          <w:tcPr>
            <w:tcW w:w="5820" w:type="dxa"/>
            <w:vAlign w:val="bottom"/>
            <w:gridSpan w:val="9"/>
          </w:tcPr>
          <w:p>
            <w:pPr>
              <w:spacing w:after="0"/>
              <w:rPr>
                <w:sz w:val="20"/>
                <w:szCs w:val="20"/>
                <w:color w:val="auto"/>
              </w:rPr>
            </w:pPr>
            <w:r>
              <w:rPr>
                <w:rFonts w:ascii="Arial" w:cs="Arial" w:eastAsia="Arial" w:hAnsi="Arial"/>
                <w:sz w:val="10"/>
                <w:szCs w:val="10"/>
                <w:color w:val="auto"/>
              </w:rPr>
              <w:t>Inline XBRL Taxonomy Extension Schema Document</w:t>
            </w:r>
          </w:p>
        </w:tc>
        <w:tc>
          <w:tcPr>
            <w:tcW w:w="2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jc w:val="center"/>
              <w:spacing w:after="0"/>
              <w:rPr>
                <w:sz w:val="20"/>
                <w:szCs w:val="20"/>
                <w:color w:val="auto"/>
              </w:rPr>
            </w:pPr>
            <w:r>
              <w:rPr>
                <w:rFonts w:ascii="Arial" w:cs="Arial" w:eastAsia="Arial" w:hAnsi="Arial"/>
                <w:sz w:val="10"/>
                <w:szCs w:val="10"/>
                <w:color w:val="auto"/>
                <w:w w:val="98"/>
              </w:rPr>
              <w:t>+101.CAL</w:t>
            </w:r>
          </w:p>
        </w:tc>
        <w:tc>
          <w:tcPr>
            <w:tcW w:w="5820" w:type="dxa"/>
            <w:vAlign w:val="bottom"/>
            <w:gridSpan w:val="9"/>
          </w:tcPr>
          <w:p>
            <w:pPr>
              <w:spacing w:after="0"/>
              <w:rPr>
                <w:sz w:val="20"/>
                <w:szCs w:val="20"/>
                <w:color w:val="auto"/>
              </w:rPr>
            </w:pPr>
            <w:r>
              <w:rPr>
                <w:rFonts w:ascii="Arial" w:cs="Arial" w:eastAsia="Arial" w:hAnsi="Arial"/>
                <w:sz w:val="10"/>
                <w:szCs w:val="10"/>
                <w:color w:val="auto"/>
              </w:rPr>
              <w:t>Inline XBRL Taxonomy Extension Calculation Linkbase Document</w:t>
            </w:r>
          </w:p>
        </w:tc>
        <w:tc>
          <w:tcPr>
            <w:tcW w:w="2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jc w:val="center"/>
              <w:spacing w:after="0"/>
              <w:rPr>
                <w:sz w:val="20"/>
                <w:szCs w:val="20"/>
                <w:color w:val="auto"/>
              </w:rPr>
            </w:pPr>
            <w:r>
              <w:rPr>
                <w:rFonts w:ascii="Arial" w:cs="Arial" w:eastAsia="Arial" w:hAnsi="Arial"/>
                <w:sz w:val="10"/>
                <w:szCs w:val="10"/>
                <w:color w:val="auto"/>
                <w:w w:val="97"/>
              </w:rPr>
              <w:t>+101.DEF</w:t>
            </w:r>
          </w:p>
        </w:tc>
        <w:tc>
          <w:tcPr>
            <w:tcW w:w="5820" w:type="dxa"/>
            <w:vAlign w:val="bottom"/>
            <w:gridSpan w:val="9"/>
          </w:tcPr>
          <w:p>
            <w:pPr>
              <w:spacing w:after="0"/>
              <w:rPr>
                <w:sz w:val="20"/>
                <w:szCs w:val="20"/>
                <w:color w:val="auto"/>
              </w:rPr>
            </w:pPr>
            <w:r>
              <w:rPr>
                <w:rFonts w:ascii="Arial" w:cs="Arial" w:eastAsia="Arial" w:hAnsi="Arial"/>
                <w:sz w:val="10"/>
                <w:szCs w:val="10"/>
                <w:color w:val="auto"/>
              </w:rPr>
              <w:t>Inline XBRL Taxonomy Extension Definition Linkbase Document</w:t>
            </w:r>
          </w:p>
        </w:tc>
        <w:tc>
          <w:tcPr>
            <w:tcW w:w="2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jc w:val="center"/>
              <w:spacing w:after="0"/>
              <w:rPr>
                <w:sz w:val="20"/>
                <w:szCs w:val="20"/>
                <w:color w:val="auto"/>
              </w:rPr>
            </w:pPr>
            <w:r>
              <w:rPr>
                <w:rFonts w:ascii="Arial" w:cs="Arial" w:eastAsia="Arial" w:hAnsi="Arial"/>
                <w:sz w:val="10"/>
                <w:szCs w:val="10"/>
                <w:color w:val="auto"/>
                <w:w w:val="99"/>
              </w:rPr>
              <w:t>+101.LAB</w:t>
            </w:r>
          </w:p>
        </w:tc>
        <w:tc>
          <w:tcPr>
            <w:tcW w:w="5820" w:type="dxa"/>
            <w:vAlign w:val="bottom"/>
            <w:gridSpan w:val="9"/>
          </w:tcPr>
          <w:p>
            <w:pPr>
              <w:spacing w:after="0"/>
              <w:rPr>
                <w:sz w:val="20"/>
                <w:szCs w:val="20"/>
                <w:color w:val="auto"/>
              </w:rPr>
            </w:pPr>
            <w:r>
              <w:rPr>
                <w:rFonts w:ascii="Arial" w:cs="Arial" w:eastAsia="Arial" w:hAnsi="Arial"/>
                <w:sz w:val="10"/>
                <w:szCs w:val="10"/>
                <w:color w:val="auto"/>
              </w:rPr>
              <w:t>Inline XBRL Taxonomy Extension Label Linkbase Document</w:t>
            </w:r>
          </w:p>
        </w:tc>
        <w:tc>
          <w:tcPr>
            <w:tcW w:w="2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jc w:val="center"/>
              <w:spacing w:after="0"/>
              <w:rPr>
                <w:sz w:val="20"/>
                <w:szCs w:val="20"/>
                <w:color w:val="auto"/>
              </w:rPr>
            </w:pPr>
            <w:r>
              <w:rPr>
                <w:rFonts w:ascii="Arial" w:cs="Arial" w:eastAsia="Arial" w:hAnsi="Arial"/>
                <w:sz w:val="10"/>
                <w:szCs w:val="10"/>
                <w:color w:val="auto"/>
                <w:w w:val="95"/>
              </w:rPr>
              <w:t>+101.PRE</w:t>
            </w:r>
          </w:p>
        </w:tc>
        <w:tc>
          <w:tcPr>
            <w:tcW w:w="5820" w:type="dxa"/>
            <w:vAlign w:val="bottom"/>
            <w:gridSpan w:val="9"/>
          </w:tcPr>
          <w:p>
            <w:pPr>
              <w:spacing w:after="0"/>
              <w:rPr>
                <w:sz w:val="20"/>
                <w:szCs w:val="20"/>
                <w:color w:val="auto"/>
              </w:rPr>
            </w:pPr>
            <w:r>
              <w:rPr>
                <w:rFonts w:ascii="Arial" w:cs="Arial" w:eastAsia="Arial" w:hAnsi="Arial"/>
                <w:sz w:val="10"/>
                <w:szCs w:val="10"/>
                <w:color w:val="auto"/>
              </w:rPr>
              <w:t>Inline XBRL Taxonomy Extension Presentation Linkbase Document</w:t>
            </w:r>
          </w:p>
        </w:tc>
        <w:tc>
          <w:tcPr>
            <w:tcW w:w="2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982" w:hanging="580"/>
        <w:spacing w:after="0"/>
        <w:tabs>
          <w:tab w:leader="none" w:pos="982" w:val="left"/>
        </w:tabs>
        <w:numPr>
          <w:ilvl w:val="1"/>
          <w:numId w:val="24"/>
        </w:numPr>
        <w:rPr>
          <w:rFonts w:ascii="Arial" w:cs="Arial" w:eastAsia="Arial" w:hAnsi="Arial"/>
          <w:sz w:val="10"/>
          <w:szCs w:val="10"/>
          <w:color w:val="auto"/>
        </w:rPr>
      </w:pPr>
      <w:r>
        <w:rPr>
          <w:rFonts w:ascii="Arial" w:cs="Arial" w:eastAsia="Arial" w:hAnsi="Arial"/>
          <w:sz w:val="10"/>
          <w:szCs w:val="10"/>
          <w:color w:val="auto"/>
        </w:rPr>
        <w:t>Cover Page Interactive Data File (formatted as Inline XBRL and contained in Exhibit 101)</w:t>
      </w:r>
    </w:p>
    <w:p>
      <w:pPr>
        <w:spacing w:after="0" w:line="204" w:lineRule="exact"/>
        <w:rPr>
          <w:rFonts w:ascii="Arial" w:cs="Arial" w:eastAsia="Arial" w:hAnsi="Arial"/>
          <w:sz w:val="10"/>
          <w:szCs w:val="10"/>
          <w:color w:val="auto"/>
        </w:rPr>
      </w:pPr>
    </w:p>
    <w:p>
      <w:pPr>
        <w:ind w:left="82" w:hanging="82"/>
        <w:spacing w:after="0"/>
        <w:tabs>
          <w:tab w:leader="none" w:pos="82" w:val="left"/>
        </w:tabs>
        <w:numPr>
          <w:ilvl w:val="0"/>
          <w:numId w:val="24"/>
        </w:numPr>
        <w:rPr>
          <w:rFonts w:ascii="Arial" w:cs="Arial" w:eastAsia="Arial" w:hAnsi="Arial"/>
          <w:sz w:val="10"/>
          <w:szCs w:val="10"/>
          <w:color w:val="auto"/>
        </w:rPr>
      </w:pPr>
      <w:r>
        <w:rPr>
          <w:rFonts w:ascii="Arial" w:cs="Arial" w:eastAsia="Arial" w:hAnsi="Arial"/>
          <w:sz w:val="10"/>
          <w:szCs w:val="10"/>
          <w:color w:val="auto"/>
        </w:rPr>
        <w:t>Management contract or compensatory plan or arrangement.</w:t>
      </w:r>
    </w:p>
    <w:p>
      <w:pPr>
        <w:spacing w:after="0" w:line="118" w:lineRule="exact"/>
        <w:rPr>
          <w:sz w:val="20"/>
          <w:szCs w:val="20"/>
          <w:color w:val="auto"/>
        </w:rPr>
      </w:pPr>
    </w:p>
    <w:p>
      <w:pPr>
        <w:ind w:left="2" w:hanging="2"/>
        <w:spacing w:after="0" w:line="274" w:lineRule="auto"/>
        <w:tabs>
          <w:tab w:leader="none" w:pos="87" w:val="left"/>
        </w:tabs>
        <w:numPr>
          <w:ilvl w:val="0"/>
          <w:numId w:val="25"/>
        </w:numPr>
        <w:rPr>
          <w:rFonts w:ascii="Arial" w:cs="Arial" w:eastAsia="Arial" w:hAnsi="Arial"/>
          <w:sz w:val="10"/>
          <w:szCs w:val="10"/>
          <w:color w:val="auto"/>
        </w:rPr>
      </w:pPr>
      <w:r>
        <w:rPr>
          <w:rFonts w:ascii="Arial" w:cs="Arial" w:eastAsia="Arial" w:hAnsi="Arial"/>
          <w:sz w:val="10"/>
          <w:szCs w:val="10"/>
          <w:color w:val="auto"/>
        </w:rPr>
        <w:t>The certifications attached as Exhibit 32.1 that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6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119380</wp:posOffset>
            </wp:positionV>
            <wp:extent cx="719645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96455" cy="37465"/>
                    </a:xfrm>
                    <a:prstGeom prst="rect">
                      <a:avLst/>
                    </a:prstGeom>
                    <a:noFill/>
                  </pic:spPr>
                </pic:pic>
              </a:graphicData>
            </a:graphic>
          </wp:anchor>
        </w:drawing>
      </w:r>
    </w:p>
    <w:p>
      <w:pPr>
        <w:sectPr>
          <w:pgSz w:w="11900" w:h="16838" w:orient="portrait"/>
          <w:cols w:equalWidth="0" w:num="1">
            <w:col w:w="11282"/>
          </w:cols>
          <w:pgMar w:left="298" w:top="125" w:right="319" w:bottom="1440" w:gutter="0" w:footer="0" w:header="0"/>
        </w:sectPr>
      </w:pPr>
    </w:p>
    <w:bookmarkStart w:id="77" w:name="page78"/>
    <w:bookmarkEnd w:id="7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SIGNATURES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Pursuant to the requirements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p>
      <w:pPr>
        <w:ind w:left="7160"/>
        <w:spacing w:after="0"/>
        <w:rPr>
          <w:sz w:val="20"/>
          <w:szCs w:val="20"/>
          <w:color w:val="auto"/>
        </w:rPr>
      </w:pPr>
      <w:r>
        <w:rPr>
          <w:rFonts w:ascii="Arial" w:cs="Arial" w:eastAsia="Arial" w:hAnsi="Arial"/>
          <w:sz w:val="13"/>
          <w:szCs w:val="13"/>
          <w:color w:val="auto"/>
        </w:rPr>
        <w:t>ZOOMINFO TECHNOLOGIES INC.</w:t>
      </w:r>
    </w:p>
    <w:p>
      <w:pPr>
        <w:spacing w:after="0" w:line="190" w:lineRule="exact"/>
        <w:rPr>
          <w:sz w:val="20"/>
          <w:szCs w:val="20"/>
          <w:color w:val="auto"/>
        </w:rPr>
      </w:pPr>
    </w:p>
    <w:p>
      <w:pPr>
        <w:ind w:left="7160"/>
        <w:spacing w:after="0"/>
        <w:tabs>
          <w:tab w:leader="none" w:pos="77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21590</wp:posOffset>
            </wp:positionV>
            <wp:extent cx="244348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443480" cy="6350"/>
                    </a:xfrm>
                    <a:prstGeom prst="rect">
                      <a:avLst/>
                    </a:prstGeom>
                    <a:noFill/>
                  </pic:spPr>
                </pic:pic>
              </a:graphicData>
            </a:graphic>
          </wp:anchor>
        </w:drawing>
      </w:r>
    </w:p>
    <w:p>
      <w:pPr>
        <w:spacing w:after="0" w:line="34" w:lineRule="exact"/>
        <w:rPr>
          <w:sz w:val="20"/>
          <w:szCs w:val="20"/>
          <w:color w:val="auto"/>
        </w:rPr>
      </w:pPr>
    </w:p>
    <w:p>
      <w:pPr>
        <w:ind w:left="7680"/>
        <w:spacing w:after="0"/>
        <w:rPr>
          <w:sz w:val="20"/>
          <w:szCs w:val="20"/>
          <w:color w:val="auto"/>
        </w:rPr>
      </w:pPr>
      <w:r>
        <w:rPr>
          <w:rFonts w:ascii="Arial" w:cs="Arial" w:eastAsia="Arial" w:hAnsi="Arial"/>
          <w:sz w:val="13"/>
          <w:szCs w:val="13"/>
          <w:color w:val="auto"/>
        </w:rPr>
        <w:t>Name: P. Cameron Hyzer</w:t>
      </w:r>
    </w:p>
    <w:p>
      <w:pPr>
        <w:spacing w:after="0" w:line="14" w:lineRule="exact"/>
        <w:rPr>
          <w:sz w:val="20"/>
          <w:szCs w:val="20"/>
          <w:color w:val="auto"/>
        </w:rPr>
      </w:pPr>
    </w:p>
    <w:p>
      <w:pPr>
        <w:ind w:left="7460"/>
        <w:spacing w:after="0"/>
        <w:rPr>
          <w:sz w:val="20"/>
          <w:szCs w:val="20"/>
          <w:color w:val="auto"/>
        </w:rPr>
      </w:pPr>
      <w:r>
        <w:rPr>
          <w:rFonts w:ascii="Arial" w:cs="Arial" w:eastAsia="Arial" w:hAnsi="Arial"/>
          <w:sz w:val="13"/>
          <w:szCs w:val="13"/>
          <w:color w:val="auto"/>
        </w:rPr>
        <w:t>Title: Chief Financial Officer</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(Principal Financial Officer and Authorized Signatory)</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Date: August 02,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0520"/>
          </w:cols>
          <w:pgMar w:left="300" w:top="125" w:right="1079" w:bottom="1440" w:gutter="0" w:footer="0" w:header="0"/>
        </w:sectPr>
      </w:pPr>
    </w:p>
    <w:bookmarkStart w:id="78" w:name="page79"/>
    <w:bookmarkEnd w:id="78"/>
    <w:p>
      <w:pPr>
        <w:jc w:val="right"/>
        <w:spacing w:after="0"/>
        <w:rPr>
          <w:sz w:val="20"/>
          <w:szCs w:val="20"/>
          <w:color w:val="auto"/>
        </w:rPr>
      </w:pPr>
      <w:r>
        <w:rPr>
          <w:rFonts w:ascii="Arial" w:cs="Arial" w:eastAsia="Arial" w:hAnsi="Arial"/>
          <w:sz w:val="13"/>
          <w:szCs w:val="13"/>
          <w:color w:val="auto"/>
        </w:rPr>
        <w:t>Exhibit 31.1</w:t>
      </w:r>
    </w:p>
    <w:p>
      <w:pPr>
        <w:spacing w:after="0" w:line="21"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Management Certification Pursuant to</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182" w:lineRule="exact"/>
        <w:rPr>
          <w:sz w:val="20"/>
          <w:szCs w:val="20"/>
          <w:color w:val="auto"/>
        </w:rPr>
      </w:pPr>
    </w:p>
    <w:p>
      <w:pPr>
        <w:ind w:left="2"/>
        <w:spacing w:after="0"/>
        <w:rPr>
          <w:sz w:val="20"/>
          <w:szCs w:val="20"/>
          <w:color w:val="auto"/>
        </w:rPr>
      </w:pPr>
      <w:r>
        <w:rPr>
          <w:rFonts w:ascii="Arial" w:cs="Arial" w:eastAsia="Arial" w:hAnsi="Arial"/>
          <w:sz w:val="13"/>
          <w:szCs w:val="13"/>
          <w:color w:val="auto"/>
        </w:rPr>
        <w:t>I, Henry Schuck, certify that:</w:t>
      </w:r>
    </w:p>
    <w:p>
      <w:pPr>
        <w:spacing w:after="0" w:line="180" w:lineRule="exact"/>
        <w:rPr>
          <w:sz w:val="20"/>
          <w:szCs w:val="20"/>
          <w:color w:val="auto"/>
        </w:rPr>
      </w:pPr>
    </w:p>
    <w:p>
      <w:pPr>
        <w:ind w:left="122" w:hanging="122"/>
        <w:spacing w:after="0"/>
        <w:tabs>
          <w:tab w:leader="none" w:pos="122" w:val="left"/>
        </w:tabs>
        <w:numPr>
          <w:ilvl w:val="0"/>
          <w:numId w:val="26"/>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ZoomInfo Technologies Inc.;</w:t>
      </w:r>
    </w:p>
    <w:p>
      <w:pPr>
        <w:spacing w:after="0" w:line="180" w:lineRule="exact"/>
        <w:rPr>
          <w:rFonts w:ascii="Arial" w:cs="Arial" w:eastAsia="Arial" w:hAnsi="Arial"/>
          <w:sz w:val="13"/>
          <w:szCs w:val="13"/>
          <w:color w:val="auto"/>
        </w:rPr>
      </w:pPr>
    </w:p>
    <w:p>
      <w:pPr>
        <w:ind w:left="2" w:right="300" w:hanging="2"/>
        <w:spacing w:after="0" w:line="270" w:lineRule="auto"/>
        <w:tabs>
          <w:tab w:leader="none" w:pos="132" w:val="left"/>
        </w:tabs>
        <w:numPr>
          <w:ilvl w:val="0"/>
          <w:numId w:val="2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3"/>
          <w:szCs w:val="13"/>
          <w:color w:val="auto"/>
        </w:rPr>
      </w:pPr>
    </w:p>
    <w:p>
      <w:pPr>
        <w:ind w:left="2" w:right="380" w:hanging="2"/>
        <w:spacing w:after="0" w:line="270" w:lineRule="auto"/>
        <w:tabs>
          <w:tab w:leader="none" w:pos="132" w:val="left"/>
        </w:tabs>
        <w:numPr>
          <w:ilvl w:val="0"/>
          <w:numId w:val="2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3"/>
          <w:szCs w:val="13"/>
          <w:color w:val="auto"/>
        </w:rPr>
      </w:pPr>
    </w:p>
    <w:p>
      <w:pPr>
        <w:ind w:left="2" w:right="260" w:hanging="2"/>
        <w:spacing w:after="0" w:line="270" w:lineRule="auto"/>
        <w:tabs>
          <w:tab w:leader="none" w:pos="132"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for the registrant and have:</w:t>
      </w:r>
    </w:p>
    <w:p>
      <w:pPr>
        <w:spacing w:after="0" w:line="148" w:lineRule="exact"/>
        <w:rPr>
          <w:rFonts w:ascii="Arial" w:cs="Arial" w:eastAsia="Arial" w:hAnsi="Arial"/>
          <w:sz w:val="13"/>
          <w:szCs w:val="13"/>
          <w:color w:val="auto"/>
        </w:rPr>
      </w:pPr>
    </w:p>
    <w:p>
      <w:pPr>
        <w:ind w:left="462" w:right="340" w:firstLine="3"/>
        <w:spacing w:after="0" w:line="313" w:lineRule="auto"/>
        <w:tabs>
          <w:tab w:leader="none" w:pos="638" w:val="left"/>
        </w:tabs>
        <w:numPr>
          <w:ilvl w:val="1"/>
          <w:numId w:val="2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2"/>
          <w:szCs w:val="12"/>
          <w:color w:val="auto"/>
        </w:rPr>
      </w:pPr>
    </w:p>
    <w:p>
      <w:pPr>
        <w:ind w:left="642" w:hanging="177"/>
        <w:spacing w:after="0"/>
        <w:tabs>
          <w:tab w:leader="none" w:pos="642" w:val="left"/>
        </w:tabs>
        <w:numPr>
          <w:ilvl w:val="1"/>
          <w:numId w:val="26"/>
        </w:numPr>
        <w:rPr>
          <w:rFonts w:ascii="Arial" w:cs="Arial" w:eastAsia="Arial" w:hAnsi="Arial"/>
          <w:sz w:val="13"/>
          <w:szCs w:val="13"/>
          <w:color w:val="auto"/>
        </w:rPr>
      </w:pPr>
      <w:r>
        <w:rPr>
          <w:rFonts w:ascii="Arial" w:cs="Arial" w:eastAsia="Arial" w:hAnsi="Arial"/>
          <w:sz w:val="13"/>
          <w:szCs w:val="13"/>
          <w:color w:val="auto"/>
        </w:rPr>
        <w:t>[Paragraph omitted in accordance with Exchange Act Rule 13a-14(a)];</w:t>
      </w:r>
    </w:p>
    <w:p>
      <w:pPr>
        <w:spacing w:after="0" w:line="180" w:lineRule="exact"/>
        <w:rPr>
          <w:rFonts w:ascii="Arial" w:cs="Arial" w:eastAsia="Arial" w:hAnsi="Arial"/>
          <w:sz w:val="13"/>
          <w:szCs w:val="13"/>
          <w:color w:val="auto"/>
        </w:rPr>
      </w:pPr>
    </w:p>
    <w:p>
      <w:pPr>
        <w:ind w:left="462" w:right="120" w:firstLine="3"/>
        <w:spacing w:after="0" w:line="270" w:lineRule="auto"/>
        <w:tabs>
          <w:tab w:leader="none" w:pos="638" w:val="left"/>
        </w:tabs>
        <w:numPr>
          <w:ilvl w:val="1"/>
          <w:numId w:val="2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3"/>
          <w:szCs w:val="13"/>
          <w:color w:val="auto"/>
        </w:rPr>
      </w:pPr>
    </w:p>
    <w:p>
      <w:pPr>
        <w:ind w:left="462" w:right="140" w:firstLine="3"/>
        <w:spacing w:after="0" w:line="270" w:lineRule="auto"/>
        <w:tabs>
          <w:tab w:leader="none" w:pos="645" w:val="left"/>
        </w:tabs>
        <w:numPr>
          <w:ilvl w:val="1"/>
          <w:numId w:val="2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3"/>
          <w:szCs w:val="13"/>
          <w:color w:val="auto"/>
        </w:rPr>
      </w:pPr>
    </w:p>
    <w:p>
      <w:pPr>
        <w:ind w:left="2" w:right="300" w:hanging="2"/>
        <w:spacing w:after="0" w:line="270" w:lineRule="auto"/>
        <w:tabs>
          <w:tab w:leader="none" w:pos="132"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3"/>
          <w:szCs w:val="13"/>
          <w:color w:val="auto"/>
        </w:rPr>
      </w:pPr>
    </w:p>
    <w:p>
      <w:pPr>
        <w:ind w:left="702" w:right="200" w:hanging="237"/>
        <w:spacing w:after="0" w:line="270" w:lineRule="auto"/>
        <w:tabs>
          <w:tab w:leader="none" w:pos="700" w:val="left"/>
        </w:tabs>
        <w:numPr>
          <w:ilvl w:val="1"/>
          <w:numId w:val="2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3"/>
          <w:szCs w:val="13"/>
          <w:color w:val="auto"/>
        </w:rPr>
      </w:pPr>
    </w:p>
    <w:p>
      <w:pPr>
        <w:ind w:left="702" w:hanging="237"/>
        <w:spacing w:after="0"/>
        <w:tabs>
          <w:tab w:leader="none" w:pos="702" w:val="left"/>
        </w:tabs>
        <w:numPr>
          <w:ilvl w:val="1"/>
          <w:numId w:val="2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302"/>
          </w:cols>
          <w:pgMar w:left="298" w:top="1061" w:right="299" w:bottom="1440" w:gutter="0" w:footer="0" w:header="0"/>
        </w:sectPr>
      </w:pPr>
    </w:p>
    <w:bookmarkStart w:id="79" w:name="page80"/>
    <w:bookmarkEnd w:id="79"/>
    <w:p>
      <w:pPr>
        <w:spacing w:after="0" w:line="48"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21590</wp:posOffset>
            </wp:positionV>
            <wp:extent cx="310261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102610" cy="6350"/>
                    </a:xfrm>
                    <a:prstGeom prst="rect">
                      <a:avLst/>
                    </a:prstGeom>
                    <a:noFill/>
                  </pic:spPr>
                </pic:pic>
              </a:graphicData>
            </a:graphic>
          </wp:anchor>
        </w:drawing>
      </w:r>
    </w:p>
    <w:p>
      <w:pPr>
        <w:spacing w:after="0" w:line="24" w:lineRule="exact"/>
        <w:rPr>
          <w:sz w:val="20"/>
          <w:szCs w:val="20"/>
          <w:color w:val="auto"/>
        </w:rPr>
      </w:pPr>
    </w:p>
    <w:p>
      <w:pPr>
        <w:spacing w:after="0"/>
        <w:tabs>
          <w:tab w:leader="none" w:pos="6180" w:val="left"/>
        </w:tabs>
        <w:rPr>
          <w:sz w:val="20"/>
          <w:szCs w:val="20"/>
          <w:color w:val="auto"/>
        </w:rPr>
      </w:pPr>
      <w:r>
        <w:rPr>
          <w:rFonts w:ascii="Arial" w:cs="Arial" w:eastAsia="Arial" w:hAnsi="Arial"/>
          <w:sz w:val="13"/>
          <w:szCs w:val="13"/>
          <w:color w:val="auto"/>
        </w:rPr>
        <w:t>Date: August 2, 2021</w:t>
      </w:r>
      <w:r>
        <w:rPr>
          <w:sz w:val="20"/>
          <w:szCs w:val="20"/>
          <w:color w:val="auto"/>
        </w:rPr>
        <w:tab/>
      </w:r>
      <w:r>
        <w:rPr>
          <w:rFonts w:ascii="Arial" w:cs="Arial" w:eastAsia="Arial" w:hAnsi="Arial"/>
          <w:sz w:val="11"/>
          <w:szCs w:val="11"/>
          <w:color w:val="auto"/>
        </w:rPr>
        <w:t>Henry Schuck</w:t>
      </w:r>
    </w:p>
    <w:p>
      <w:pPr>
        <w:spacing w:after="0" w:line="54"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Executive Officer</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12"/>
          <w:szCs w:val="12"/>
          <w:i w:val="1"/>
          <w:iCs w:val="1"/>
          <w:color w:val="auto"/>
        </w:rPr>
        <w:t>(Principal Executive Officer)</w:t>
      </w:r>
    </w:p>
    <w:p>
      <w:pPr>
        <w:sectPr>
          <w:pgSz w:w="11900" w:h="16838" w:orient="portrait"/>
          <w:cols w:equalWidth="0" w:num="1">
            <w:col w:w="10139"/>
          </w:cols>
          <w:pgMar w:left="320" w:top="1440"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3"/>
          <w:szCs w:val="13"/>
          <w:color w:val="auto"/>
        </w:rPr>
        <w:t>Exhibit 31.2</w:t>
      </w:r>
    </w:p>
    <w:p>
      <w:pPr>
        <w:spacing w:after="0" w:line="195"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Management Certification Pursuant to</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182" w:lineRule="exact"/>
        <w:rPr>
          <w:sz w:val="20"/>
          <w:szCs w:val="20"/>
          <w:color w:val="auto"/>
        </w:rPr>
      </w:pPr>
    </w:p>
    <w:p>
      <w:pPr>
        <w:ind w:left="2"/>
        <w:spacing w:after="0"/>
        <w:rPr>
          <w:sz w:val="20"/>
          <w:szCs w:val="20"/>
          <w:color w:val="auto"/>
        </w:rPr>
      </w:pPr>
      <w:r>
        <w:rPr>
          <w:rFonts w:ascii="Arial" w:cs="Arial" w:eastAsia="Arial" w:hAnsi="Arial"/>
          <w:sz w:val="13"/>
          <w:szCs w:val="13"/>
          <w:color w:val="auto"/>
        </w:rPr>
        <w:t>I, P. Cameron Hyzer, certify that:</w:t>
      </w:r>
    </w:p>
    <w:p>
      <w:pPr>
        <w:spacing w:after="0" w:line="180" w:lineRule="exact"/>
        <w:rPr>
          <w:sz w:val="20"/>
          <w:szCs w:val="20"/>
          <w:color w:val="auto"/>
        </w:rPr>
      </w:pPr>
    </w:p>
    <w:p>
      <w:pPr>
        <w:ind w:left="122" w:hanging="122"/>
        <w:spacing w:after="0"/>
        <w:tabs>
          <w:tab w:leader="none" w:pos="122" w:val="left"/>
        </w:tabs>
        <w:numPr>
          <w:ilvl w:val="0"/>
          <w:numId w:val="27"/>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ZoomInfo Technologies Inc.;</w:t>
      </w:r>
    </w:p>
    <w:p>
      <w:pPr>
        <w:spacing w:after="0" w:line="180" w:lineRule="exact"/>
        <w:rPr>
          <w:rFonts w:ascii="Arial" w:cs="Arial" w:eastAsia="Arial" w:hAnsi="Arial"/>
          <w:sz w:val="13"/>
          <w:szCs w:val="13"/>
          <w:color w:val="auto"/>
        </w:rPr>
      </w:pPr>
    </w:p>
    <w:p>
      <w:pPr>
        <w:ind w:left="2" w:right="300" w:hanging="2"/>
        <w:spacing w:after="0" w:line="270" w:lineRule="auto"/>
        <w:tabs>
          <w:tab w:leader="none" w:pos="132" w:val="left"/>
        </w:tabs>
        <w:numPr>
          <w:ilvl w:val="0"/>
          <w:numId w:val="2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3"/>
          <w:szCs w:val="13"/>
          <w:color w:val="auto"/>
        </w:rPr>
      </w:pPr>
    </w:p>
    <w:p>
      <w:pPr>
        <w:ind w:left="2" w:right="380" w:hanging="2"/>
        <w:spacing w:after="0" w:line="270" w:lineRule="auto"/>
        <w:tabs>
          <w:tab w:leader="none" w:pos="132" w:val="left"/>
        </w:tabs>
        <w:numPr>
          <w:ilvl w:val="0"/>
          <w:numId w:val="2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3"/>
          <w:szCs w:val="13"/>
          <w:color w:val="auto"/>
        </w:rPr>
      </w:pPr>
    </w:p>
    <w:p>
      <w:pPr>
        <w:ind w:left="2" w:right="260" w:hanging="2"/>
        <w:spacing w:after="0" w:line="270" w:lineRule="auto"/>
        <w:tabs>
          <w:tab w:leader="none" w:pos="132"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for the registrant and have:</w:t>
      </w:r>
    </w:p>
    <w:p>
      <w:pPr>
        <w:spacing w:after="0" w:line="148" w:lineRule="exact"/>
        <w:rPr>
          <w:rFonts w:ascii="Arial" w:cs="Arial" w:eastAsia="Arial" w:hAnsi="Arial"/>
          <w:sz w:val="13"/>
          <w:szCs w:val="13"/>
          <w:color w:val="auto"/>
        </w:rPr>
      </w:pPr>
    </w:p>
    <w:p>
      <w:pPr>
        <w:ind w:left="462" w:right="340" w:firstLine="3"/>
        <w:spacing w:after="0" w:line="313" w:lineRule="auto"/>
        <w:tabs>
          <w:tab w:leader="none" w:pos="638" w:val="left"/>
        </w:tabs>
        <w:numPr>
          <w:ilvl w:val="1"/>
          <w:numId w:val="2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2"/>
          <w:szCs w:val="12"/>
          <w:color w:val="auto"/>
        </w:rPr>
      </w:pPr>
    </w:p>
    <w:p>
      <w:pPr>
        <w:ind w:left="642" w:hanging="177"/>
        <w:spacing w:after="0"/>
        <w:tabs>
          <w:tab w:leader="none" w:pos="642" w:val="left"/>
        </w:tabs>
        <w:numPr>
          <w:ilvl w:val="1"/>
          <w:numId w:val="27"/>
        </w:numPr>
        <w:rPr>
          <w:rFonts w:ascii="Arial" w:cs="Arial" w:eastAsia="Arial" w:hAnsi="Arial"/>
          <w:sz w:val="13"/>
          <w:szCs w:val="13"/>
          <w:color w:val="auto"/>
        </w:rPr>
      </w:pPr>
      <w:r>
        <w:rPr>
          <w:rFonts w:ascii="Arial" w:cs="Arial" w:eastAsia="Arial" w:hAnsi="Arial"/>
          <w:sz w:val="13"/>
          <w:szCs w:val="13"/>
          <w:color w:val="auto"/>
        </w:rPr>
        <w:t>[Paragraph omitted in accordance with Exchange Act Rule 13a-14(a)];</w:t>
      </w:r>
    </w:p>
    <w:p>
      <w:pPr>
        <w:spacing w:after="0" w:line="180" w:lineRule="exact"/>
        <w:rPr>
          <w:rFonts w:ascii="Arial" w:cs="Arial" w:eastAsia="Arial" w:hAnsi="Arial"/>
          <w:sz w:val="13"/>
          <w:szCs w:val="13"/>
          <w:color w:val="auto"/>
        </w:rPr>
      </w:pPr>
    </w:p>
    <w:p>
      <w:pPr>
        <w:ind w:left="462" w:right="120" w:firstLine="3"/>
        <w:spacing w:after="0" w:line="270" w:lineRule="auto"/>
        <w:tabs>
          <w:tab w:leader="none" w:pos="638" w:val="left"/>
        </w:tabs>
        <w:numPr>
          <w:ilvl w:val="1"/>
          <w:numId w:val="2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3"/>
          <w:szCs w:val="13"/>
          <w:color w:val="auto"/>
        </w:rPr>
      </w:pPr>
    </w:p>
    <w:p>
      <w:pPr>
        <w:ind w:left="462" w:right="140" w:firstLine="3"/>
        <w:spacing w:after="0" w:line="270" w:lineRule="auto"/>
        <w:tabs>
          <w:tab w:leader="none" w:pos="645" w:val="left"/>
        </w:tabs>
        <w:numPr>
          <w:ilvl w:val="1"/>
          <w:numId w:val="2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3"/>
          <w:szCs w:val="13"/>
          <w:color w:val="auto"/>
        </w:rPr>
      </w:pPr>
    </w:p>
    <w:p>
      <w:pPr>
        <w:ind w:left="2" w:right="300" w:hanging="2"/>
        <w:spacing w:after="0" w:line="270" w:lineRule="auto"/>
        <w:tabs>
          <w:tab w:leader="none" w:pos="132"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3"/>
          <w:szCs w:val="13"/>
          <w:color w:val="auto"/>
        </w:rPr>
      </w:pPr>
    </w:p>
    <w:p>
      <w:pPr>
        <w:ind w:left="702" w:right="200" w:hanging="237"/>
        <w:spacing w:after="0" w:line="270" w:lineRule="auto"/>
        <w:tabs>
          <w:tab w:leader="none" w:pos="700" w:val="left"/>
        </w:tabs>
        <w:numPr>
          <w:ilvl w:val="1"/>
          <w:numId w:val="2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3"/>
          <w:szCs w:val="13"/>
          <w:color w:val="auto"/>
        </w:rPr>
      </w:pPr>
    </w:p>
    <w:p>
      <w:pPr>
        <w:ind w:left="642" w:hanging="177"/>
        <w:spacing w:after="0"/>
        <w:tabs>
          <w:tab w:leader="none" w:pos="642" w:val="left"/>
        </w:tabs>
        <w:numPr>
          <w:ilvl w:val="1"/>
          <w:numId w:val="2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302"/>
          </w:cols>
          <w:pgMar w:left="298" w:top="1061" w:right="299" w:bottom="1440" w:gutter="0" w:footer="0" w:header="0"/>
        </w:sectPr>
      </w:pPr>
    </w:p>
    <w:bookmarkStart w:id="81" w:name="page82"/>
    <w:bookmarkEnd w:id="81"/>
    <w:p>
      <w:pPr>
        <w:spacing w:after="0" w:line="48" w:lineRule="exact"/>
        <w:rPr>
          <w:sz w:val="20"/>
          <w:szCs w:val="20"/>
          <w:color w:val="auto"/>
        </w:rPr>
      </w:pPr>
    </w:p>
    <w:p>
      <w:pPr>
        <w:spacing w:after="0"/>
        <w:tabs>
          <w:tab w:leader="none" w:pos="6180" w:val="left"/>
        </w:tabs>
        <w:rPr>
          <w:sz w:val="20"/>
          <w:szCs w:val="20"/>
          <w:color w:val="auto"/>
        </w:rPr>
      </w:pPr>
      <w:r>
        <w:rPr>
          <w:rFonts w:ascii="Arial" w:cs="Arial" w:eastAsia="Arial" w:hAnsi="Arial"/>
          <w:sz w:val="13"/>
          <w:szCs w:val="13"/>
          <w:color w:val="auto"/>
        </w:rPr>
        <w:t>Date: August 2, 2021</w:t>
      </w:r>
      <w:r>
        <w:rPr>
          <w:sz w:val="20"/>
          <w:szCs w:val="20"/>
          <w:color w:val="auto"/>
        </w:rPr>
        <w:tab/>
      </w:r>
      <w:r>
        <w:rPr>
          <w:rFonts w:ascii="Arial" w:cs="Arial" w:eastAsia="Arial" w:hAnsi="Arial"/>
          <w:sz w:val="11"/>
          <w:szCs w:val="11"/>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21590</wp:posOffset>
            </wp:positionV>
            <wp:extent cx="310261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102610" cy="6350"/>
                    </a:xfrm>
                    <a:prstGeom prst="rect">
                      <a:avLst/>
                    </a:prstGeom>
                    <a:noFill/>
                  </pic:spPr>
                </pic:pic>
              </a:graphicData>
            </a:graphic>
          </wp:anchor>
        </w:drawing>
      </w:r>
    </w:p>
    <w:p>
      <w:pPr>
        <w:spacing w:after="0" w:line="34"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P. Cameron Hyzer</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Financial Officer</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12"/>
          <w:szCs w:val="12"/>
          <w:i w:val="1"/>
          <w:iCs w:val="1"/>
          <w:color w:val="auto"/>
        </w:rPr>
        <w:t>(Principal Financial Officer)</w:t>
      </w:r>
    </w:p>
    <w:p>
      <w:pPr>
        <w:sectPr>
          <w:pgSz w:w="11900" w:h="16838" w:orient="portrait"/>
          <w:cols w:equalWidth="0" w:num="1">
            <w:col w:w="10139"/>
          </w:cols>
          <w:pgMar w:left="320" w:top="1440"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3"/>
          <w:szCs w:val="13"/>
          <w:color w:val="auto"/>
        </w:rPr>
        <w:t>Exhibit 32.1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CEO and CFO Pursuant to</w:t>
      </w:r>
    </w:p>
    <w:p>
      <w:pPr>
        <w:spacing w:after="0" w:line="18"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18 U.S.C. Section 1350,</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82" w:lineRule="exact"/>
        <w:rPr>
          <w:sz w:val="20"/>
          <w:szCs w:val="20"/>
          <w:color w:val="auto"/>
        </w:rPr>
      </w:pPr>
    </w:p>
    <w:p>
      <w:pPr>
        <w:ind w:right="80" w:firstLine="465"/>
        <w:spacing w:after="0" w:line="291" w:lineRule="auto"/>
        <w:rPr>
          <w:sz w:val="20"/>
          <w:szCs w:val="20"/>
          <w:color w:val="auto"/>
        </w:rPr>
      </w:pPr>
      <w:r>
        <w:rPr>
          <w:rFonts w:ascii="Arial" w:cs="Arial" w:eastAsia="Arial" w:hAnsi="Arial"/>
          <w:sz w:val="13"/>
          <w:szCs w:val="13"/>
          <w:color w:val="auto"/>
        </w:rPr>
        <w:t>In connection with the Quarterly Report on Form 10-Q of ZoomInfo Technologies Inc. (the “Company”) for the quarterly period ended June 30, 2021 as filed with the Securities and Exchange Commission on the date hereof (the “Report”), Henry Schuck, as Chief Executive Officer of the Company, and P. Cameron Hyzer, as Chief Financial Officer of the Company, each hereby certifies, pursuant to 18 U.S.C. § 1350, as adopted pursuant to § 906 of the Sarbanes-Oxley Act of 2002, that, to the best of his knowledge: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(1)The Report fully complies with the requirements of Section 13(a) or 15(d) of the Securities Exchange Act of 1934; and</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(2)The information contained in the Report fairly presents, in all material respects, the financial condition and results of operations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Date: August 2, 2021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21590</wp:posOffset>
            </wp:positionV>
            <wp:extent cx="311467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114675" cy="6350"/>
                    </a:xfrm>
                    <a:prstGeom prst="rect">
                      <a:avLst/>
                    </a:prstGeom>
                    <a:noFill/>
                  </pic:spPr>
                </pic:pic>
              </a:graphicData>
            </a:graphic>
          </wp:anchor>
        </w:drawing>
      </w:r>
    </w:p>
    <w:p>
      <w:pPr>
        <w:spacing w:after="0" w:line="34"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Henry Schuck</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Executive Officer</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(Principal Executive Officer)</w:t>
      </w:r>
    </w:p>
    <w:p>
      <w:pPr>
        <w:spacing w:after="0" w:line="238"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21590</wp:posOffset>
            </wp:positionV>
            <wp:extent cx="311467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114675" cy="6350"/>
                    </a:xfrm>
                    <a:prstGeom prst="rect">
                      <a:avLst/>
                    </a:prstGeom>
                    <a:noFill/>
                  </pic:spPr>
                </pic:pic>
              </a:graphicData>
            </a:graphic>
          </wp:anchor>
        </w:drawing>
      </w:r>
    </w:p>
    <w:p>
      <w:pPr>
        <w:spacing w:after="0" w:line="34"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P. Cameron Hyzer</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Financial Officer</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(Principal Financial Officer)</w:t>
      </w:r>
    </w:p>
    <w:sectPr>
      <w:pgSz w:w="11900" w:h="16838" w:orient="portrait"/>
      <w:cols w:equalWidth="0" w:num="1">
        <w:col w:w="11300"/>
      </w:cols>
      <w:pgMar w:left="300" w:top="106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3"/>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4"/>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4"/>
    </w:lvl>
  </w:abstractNum>
  <w:abstractNum w:abstractNumId="23">
    <w:nsid w:val="4353D0CD"/>
    <w:multiLevelType w:val="hybridMultilevel"/>
    <w:lvl w:ilvl="0">
      <w:lvlJc w:val="left"/>
      <w:lvlText w:val="†"/>
      <w:numFmt w:val="bullet"/>
      <w:start w:val="1"/>
    </w:lvl>
    <w:lvl w:ilvl="1">
      <w:lvlJc w:val="left"/>
      <w:lvlText w:val="%2"/>
      <w:numFmt w:val="decimal"/>
      <w:start w:val="104"/>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98" Type="http://schemas.openxmlformats.org/officeDocument/2006/relationships/hyperlink" Target="http://www.sec.gov/Archives/edgar/data/1794515/000162828020009137/exhibit31-closing8xkxchart.htm" TargetMode="External"/><Relationship Id="rId99" Type="http://schemas.openxmlformats.org/officeDocument/2006/relationships/hyperlink" Target="http://www.sec.gov/Archives/edgar/data/1794515/000162828020009137/exhibit32-closing8xkx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2021-08-02T16:23:55Z</dcterms:created>
  <dcterms:modified xsi:type="dcterms:W3CDTF">2021-08-02T16:23:55Z</dcterms:modified>
</cp:coreProperties>
</file>