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80"/>
        <w:ind w:left="0" w:right="0" w:firstLine="360"/>
        <w:jc w:val="both"/>
        <w:rPr/>
      </w:pPr>
      <w:r>
        <w:rPr/>
      </w:r>
    </w:p>
    <w:p>
      <w:pPr>
        <w:pStyle w:val="TextBody"/>
        <w:bidi w:val="0"/>
        <w:spacing w:before="300" w:after="1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60"/>
        <w:jc w:val="left"/>
        <w:rPr>
          <w:color w:val="000000"/>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300" w:after="180"/>
        <w:ind w:left="0" w:right="0" w:firstLine="360"/>
        <w:jc w:val="left"/>
        <w:rPr>
          <w:color w:val="000000"/>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Commission File Number 001-39310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ZoomInfo Technologies Inc.</w:t>
      </w:r>
    </w:p>
    <w:p>
      <w:pPr>
        <w:pStyle w:val="TextBody"/>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799"/>
        <w:gridCol w:w="799"/>
        <w:gridCol w:w="1146"/>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87-3037521</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805 Broadway Street, Suite 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Vancouver, Washington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98660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5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(800) 914-1220</w:t>
            </w:r>
          </w:p>
        </w:tc>
      </w:tr>
      <w:tr>
        <w:trPr/>
        <w:tc>
          <w:tcPr>
            <w:tcW w:w="5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678" w:type="dxa"/>
        <w:jc w:val="left"/>
        <w:tblInd w:w="0" w:type="dxa"/>
        <w:tblLayout w:type="fixed"/>
        <w:tblCellMar>
          <w:top w:w="28" w:type="dxa"/>
          <w:left w:w="28" w:type="dxa"/>
          <w:bottom w:w="28" w:type="dxa"/>
          <w:right w:w="28" w:type="dxa"/>
        </w:tblCellMar>
      </w:tblPr>
      <w:tblGrid>
        <w:gridCol w:w="1099"/>
        <w:gridCol w:w="965"/>
        <w:gridCol w:w="965"/>
        <w:gridCol w:w="473"/>
        <w:gridCol w:w="473"/>
        <w:gridCol w:w="478"/>
        <w:gridCol w:w="941"/>
        <w:gridCol w:w="941"/>
        <w:gridCol w:w="1343"/>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ind w:left="0" w:right="0" w:hanging="360"/>
              <w:jc w:val="left"/>
              <w:rPr>
                <w:sz w:val="4"/>
                <w:szCs w:val="4"/>
              </w:rPr>
            </w:pPr>
            <w:r>
              <w:rPr>
                <w:sz w:val="4"/>
                <w:szCs w:val="4"/>
              </w:rPr>
            </w:r>
          </w:p>
        </w:tc>
      </w:tr>
      <w:tr>
        <w:trPr/>
        <w:tc>
          <w:tcPr>
            <w:tcW w:w="30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ind w:left="0" w:right="0" w:hanging="360"/>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0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14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val="false"/>
                <w:color w:val="000000"/>
                <w:sz w:val="16"/>
              </w:rPr>
            </w:pPr>
            <w:r>
              <w:rPr>
                <w:rFonts w:ascii="Times New Roman;sans-serif" w:hAnsi="Times New Roman;sans-serif"/>
                <w:b w:val="false"/>
                <w:color w:val="000000"/>
                <w:sz w:val="16"/>
              </w:rPr>
              <w:t>ZI</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7" w:type="dxa"/>
        <w:jc w:val="center"/>
        <w:tblInd w:w="0" w:type="dxa"/>
        <w:tblLayout w:type="fixed"/>
        <w:tblCellMar>
          <w:top w:w="28" w:type="dxa"/>
          <w:left w:w="28" w:type="dxa"/>
          <w:bottom w:w="28" w:type="dxa"/>
          <w:right w:w="28" w:type="dxa"/>
        </w:tblCellMar>
      </w:tblPr>
      <w:tblGrid>
        <w:gridCol w:w="601"/>
        <w:gridCol w:w="528"/>
        <w:gridCol w:w="535"/>
        <w:gridCol w:w="109"/>
        <w:gridCol w:w="109"/>
        <w:gridCol w:w="109"/>
        <w:gridCol w:w="673"/>
        <w:gridCol w:w="673"/>
        <w:gridCol w:w="678"/>
        <w:gridCol w:w="109"/>
        <w:gridCol w:w="109"/>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by Rule 12b-2 of the Exchange Act).  Yes ☐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As of April 30, 2025, there were 328,911,200 shares of the registrant’s common stock outstanding. As previously announced, effective as of May 13, 2025, the Company intends to change its trading symbol on The Nasdaq Stock Market LLC from “ZI” to “GTM”.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80"/>
                        <w:ind w:left="0" w:right="0" w:firstLine="360"/>
                        <w:jc w:val="both"/>
                        <w:rPr/>
                      </w:pPr>
                      <w:r>
                        <w:rPr/>
                      </w:r>
                    </w:p>
                  </w:txbxContent>
                </v:textbox>
                <w10:wrap type="none"/>
              </v:rect>
            </w:pict>
          </mc:Fallback>
        </mc:AlternateContent>
      </w:r>
    </w:p>
    <w:p>
      <w:pPr>
        <w:pStyle w:val="TextBody"/>
        <w:bidi w:val="0"/>
        <w:spacing w:before="180" w:after="180"/>
        <w:ind w:left="0" w:right="0" w:firstLine="360"/>
        <w:jc w:val="both"/>
        <w:rPr/>
      </w:pPr>
      <w:r>
        <w:rPr/>
      </w:r>
    </w:p>
    <w:p>
      <w:pPr>
        <w:pStyle w:val="TextBody"/>
        <w:bidi w:val="0"/>
        <w:spacing w:lineRule="auto" w:line="288" w:before="30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extBody"/>
        <w:bidi w:val="0"/>
        <w:spacing w:lineRule="auto" w:line="288" w:before="30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TABLE OF CONTENTS</w:t>
      </w:r>
    </w:p>
    <w:tbl>
      <w:tblPr>
        <w:tblW w:w="8565" w:type="dxa"/>
        <w:jc w:val="center"/>
        <w:tblInd w:w="0" w:type="dxa"/>
        <w:tblLayout w:type="fixed"/>
        <w:tblCellMar>
          <w:top w:w="28" w:type="dxa"/>
          <w:left w:w="28" w:type="dxa"/>
          <w:bottom w:w="28" w:type="dxa"/>
          <w:right w:w="28" w:type="dxa"/>
        </w:tblCellMar>
      </w:tblPr>
      <w:tblGrid>
        <w:gridCol w:w="2896"/>
        <w:gridCol w:w="2544"/>
        <w:gridCol w:w="2554"/>
        <w:gridCol w:w="167"/>
        <w:gridCol w:w="167"/>
        <w:gridCol w:w="237"/>
      </w:tblGrid>
      <w:tr>
        <w:trPr/>
        <w:tc>
          <w:tcPr>
            <w:tcW w:w="2896"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3">
              <w:r>
                <w:rPr>
                  <w:rStyle w:val="InternetLink"/>
                  <w:rFonts w:ascii="Times New Roman;sans-serif" w:hAnsi="Times New Roman;sans-serif"/>
                  <w:b w:val="false"/>
                  <w:color w:val="0000FF"/>
                  <w:sz w:val="20"/>
                  <w:u w:val="single"/>
                </w:rPr>
                <w:t>Cautionary</w:t>
              </w:r>
            </w:hyperlink>
            <w:r>
              <w:rPr>
                <w:color w:val="000000"/>
                <w:u w:val="single"/>
              </w:rPr>
              <w:t xml:space="preserve"> </w:t>
            </w:r>
            <w:hyperlink w:anchor="ibb9be4766225406fba359bf10824b451_13">
              <w:r>
                <w:rPr>
                  <w:rStyle w:val="InternetLink"/>
                  <w:rFonts w:ascii="Times New Roman;sans-serif" w:hAnsi="Times New Roman;sans-serif"/>
                  <w:b w:val="false"/>
                  <w:color w:val="0000FF"/>
                  <w:sz w:val="20"/>
                  <w:u w:val="single"/>
                </w:rPr>
                <w:t>Statement Regarding Forward-Looking Statements</w:t>
              </w:r>
            </w:hyperlink>
          </w:p>
        </w:tc>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bb9be4766225406fba359bf10824b451_13">
              <w:r>
                <w:rPr>
                  <w:rStyle w:val="InternetLink"/>
                  <w:rFonts w:ascii="Times New Roman;sans-serif" w:hAnsi="Times New Roman;sans-serif"/>
                  <w:b w:val="false"/>
                  <w:color w:val="0000FF"/>
                  <w:sz w:val="20"/>
                  <w:u w:val="single"/>
                </w:rPr>
                <w:t>ii</w:t>
              </w:r>
            </w:hyperlink>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5"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6">
              <w:r>
                <w:rPr>
                  <w:rStyle w:val="InternetLink"/>
                  <w:rFonts w:ascii="Times New Roman;sans-serif" w:hAnsi="Times New Roman;sans-serif"/>
                  <w:b w:val="false"/>
                  <w:color w:val="0000FF"/>
                  <w:sz w:val="20"/>
                  <w:u w:val="single"/>
                </w:rPr>
                <w:t>PART I - FINANCIAL INFORMATION</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9">
              <w:r>
                <w:rPr>
                  <w:rStyle w:val="InternetLink"/>
                  <w:rFonts w:ascii="Times New Roman;sans-serif" w:hAnsi="Times New Roman;sans-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9">
              <w:r>
                <w:rPr>
                  <w:rStyle w:val="InternetLink"/>
                  <w:rFonts w:ascii="Times New Roman;sans-serif" w:hAnsi="Times New Roman;sans-serif"/>
                  <w:b w:val="false"/>
                  <w:color w:val="0000FF"/>
                  <w:sz w:val="20"/>
                  <w:u w:val="single"/>
                </w:rPr>
                <w:t>1</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bb9be4766225406fba359bf10824b451_28">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28">
              <w:r>
                <w:rPr>
                  <w:rStyle w:val="InternetLink"/>
                  <w:rFonts w:ascii="Times New Roman;sans-serif" w:hAnsi="Times New Roman;sans-serif"/>
                  <w:b w:val="false"/>
                  <w:color w:val="0000FF"/>
                  <w:sz w:val="20"/>
                  <w:u w:val="single"/>
                </w:rPr>
                <w:t>2</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bb9be4766225406fba359bf10824b451_31">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31">
              <w:r>
                <w:rPr>
                  <w:rStyle w:val="InternetLink"/>
                  <w:rFonts w:ascii="Times New Roman;sans-serif" w:hAnsi="Times New Roman;sans-serif"/>
                  <w:b w:val="false"/>
                  <w:color w:val="0000FF"/>
                  <w:sz w:val="20"/>
                  <w:u w:val="single"/>
                </w:rPr>
                <w:t>3</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bb9be4766225406fba359bf10824b451_34">
              <w:r>
                <w:rPr>
                  <w:rStyle w:val="InternetLink"/>
                  <w:rFonts w:ascii="Times New Roman;sans-serif" w:hAnsi="Times New Roman;sans-serif"/>
                  <w:b w:val="false"/>
                  <w:color w:val="0000FF"/>
                  <w:sz w:val="20"/>
                  <w:u w:val="single"/>
                </w:rPr>
                <w:t xml:space="preserve">Consolidated Statements of Comprehensive Income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34">
              <w:r>
                <w:rPr>
                  <w:rStyle w:val="InternetLink"/>
                  <w:rFonts w:ascii="Times New Roman;sans-serif" w:hAnsi="Times New Roman;sans-serif"/>
                  <w:b w:val="false"/>
                  <w:color w:val="0000FF"/>
                  <w:sz w:val="20"/>
                  <w:u w:val="single"/>
                </w:rPr>
                <w:t>4</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bb9be4766225406fba359bf10824b451_37">
              <w:r>
                <w:rPr>
                  <w:rStyle w:val="InternetLink"/>
                  <w:rFonts w:ascii="Times New Roman;sans-serif" w:hAnsi="Times New Roman;sans-serif"/>
                  <w:b w:val="false"/>
                  <w:color w:val="0000FF"/>
                  <w:sz w:val="20"/>
                  <w:u w:val="singl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37">
              <w:r>
                <w:rPr>
                  <w:rStyle w:val="InternetLink"/>
                  <w:rFonts w:ascii="Times New Roman;sans-serif" w:hAnsi="Times New Roman;sans-serif"/>
                  <w:b w:val="false"/>
                  <w:color w:val="0000FF"/>
                  <w:sz w:val="20"/>
                  <w:u w:val="single"/>
                </w:rPr>
                <w:t>5</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bb9be4766225406fba359bf10824b451_40">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40">
              <w:r>
                <w:rPr>
                  <w:rStyle w:val="InternetLink"/>
                  <w:rFonts w:ascii="Times New Roman;sans-serif" w:hAnsi="Times New Roman;sans-serif"/>
                  <w:b w:val="false"/>
                  <w:color w:val="0000FF"/>
                  <w:sz w:val="20"/>
                  <w:u w:val="single"/>
                </w:rPr>
                <w:t>6</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bb9be4766225406fba359bf10824b451_43">
              <w:r>
                <w:rPr>
                  <w:rStyle w:val="InternetLink"/>
                  <w:rFonts w:ascii="Times New Roman;sans-serif" w:hAnsi="Times New Roman;sans-serif"/>
                  <w:b w:val="false"/>
                  <w:color w:val="0000FF"/>
                  <w:sz w:val="20"/>
                  <w:u w:val="single"/>
                </w:rPr>
                <w:t>Notes to the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43">
              <w:r>
                <w:rPr>
                  <w:rStyle w:val="InternetLink"/>
                  <w:rFonts w:ascii="Times New Roman;sans-serif" w:hAnsi="Times New Roman;sans-serif"/>
                  <w:b w:val="false"/>
                  <w:color w:val="0000FF"/>
                  <w:sz w:val="20"/>
                  <w:u w:val="single"/>
                </w:rPr>
                <w:t>8</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94">
              <w:r>
                <w:rPr>
                  <w:rStyle w:val="InternetLink"/>
                  <w:rFonts w:ascii="Times New Roman;sans-serif" w:hAnsi="Times New Roman;sans-serif"/>
                  <w:b w:val="false"/>
                  <w:color w:val="0000FF"/>
                  <w:sz w:val="20"/>
                  <w:u w:val="single"/>
                </w:rPr>
                <w:t>Item 2. Management</w:t>
              </w:r>
            </w:hyperlink>
            <w:r>
              <w:rPr>
                <w:color w:val="000000"/>
              </w:rPr>
              <w:t>’</w:t>
            </w:r>
            <w:hyperlink w:anchor="ibb9be4766225406fba359bf10824b451_94">
              <w:r>
                <w:rPr>
                  <w:rStyle w:val="InternetLink"/>
                  <w:rFonts w:ascii="Times New Roman;sans-serif" w:hAnsi="Times New Roman;sans-serif"/>
                  <w:b w:val="false"/>
                  <w:color w:val="0000FF"/>
                  <w:sz w:val="20"/>
                  <w:u w:val="single"/>
                </w:rPr>
                <w: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94">
              <w:r>
                <w:rPr>
                  <w:rStyle w:val="InternetLink"/>
                  <w:rFonts w:ascii="Times New Roman;sans-serif" w:hAnsi="Times New Roman;sans-serif"/>
                  <w:b w:val="false"/>
                  <w:color w:val="0000FF"/>
                  <w:sz w:val="20"/>
                  <w:u w:val="single"/>
                </w:rPr>
                <w:t>37</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27">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27">
              <w:r>
                <w:rPr>
                  <w:rStyle w:val="InternetLink"/>
                  <w:rFonts w:ascii="Times New Roman;sans-serif" w:hAnsi="Times New Roman;sans-serif"/>
                  <w:b w:val="false"/>
                  <w:color w:val="0000FF"/>
                  <w:sz w:val="20"/>
                  <w:u w:val="single"/>
                </w:rPr>
                <w:t>56</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30">
              <w:r>
                <w:rPr>
                  <w:rStyle w:val="InternetLink"/>
                  <w:rFonts w:ascii="Times New Roman;sans-serif" w:hAnsi="Times New Roman;sans-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30">
              <w:r>
                <w:rPr>
                  <w:rStyle w:val="InternetLink"/>
                  <w:rFonts w:ascii="Times New Roman;sans-serif" w:hAnsi="Times New Roman;sans-serif"/>
                  <w:b w:val="false"/>
                  <w:color w:val="0000FF"/>
                  <w:sz w:val="20"/>
                  <w:u w:val="single"/>
                </w:rPr>
                <w:t>57</w:t>
              </w:r>
            </w:hyperlink>
          </w:p>
        </w:tc>
      </w:tr>
      <w:tr>
        <w:trPr/>
        <w:tc>
          <w:tcPr>
            <w:tcW w:w="8565"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33">
              <w:r>
                <w:rPr>
                  <w:rStyle w:val="InternetLink"/>
                  <w:rFonts w:ascii="Times New Roman;sans-serif" w:hAnsi="Times New Roman;sans-serif"/>
                  <w:b w:val="false"/>
                  <w:color w:val="0000FF"/>
                  <w:sz w:val="20"/>
                  <w:u w:val="single"/>
                </w:rPr>
                <w:t>PART II - OTHER INFORMATION</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36">
              <w:r>
                <w:rPr>
                  <w:rStyle w:val="InternetLink"/>
                  <w:rFonts w:ascii="Times New Roman;sans-serif" w:hAnsi="Times New Roman;sans-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36">
              <w:r>
                <w:rPr>
                  <w:rStyle w:val="InternetLink"/>
                  <w:rFonts w:ascii="Times New Roman;sans-serif" w:hAnsi="Times New Roman;sans-serif"/>
                  <w:b w:val="false"/>
                  <w:color w:val="0000FF"/>
                  <w:sz w:val="20"/>
                  <w:u w:val="single"/>
                </w:rPr>
                <w:t>58</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39">
              <w:r>
                <w:rPr>
                  <w:rStyle w:val="InternetLink"/>
                  <w:rFonts w:ascii="Times New Roman;sans-serif" w:hAnsi="Times New Roman;sans-serif"/>
                  <w:b w:val="false"/>
                  <w:color w:val="0000FF"/>
                  <w:sz w:val="20"/>
                  <w:u w:val="singl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39">
              <w:r>
                <w:rPr>
                  <w:rStyle w:val="InternetLink"/>
                  <w:rFonts w:ascii="Times New Roman;sans-serif" w:hAnsi="Times New Roman;sans-serif"/>
                  <w:b w:val="false"/>
                  <w:color w:val="0000FF"/>
                  <w:sz w:val="20"/>
                  <w:u w:val="single"/>
                </w:rPr>
                <w:t>58</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42">
              <w:r>
                <w:rPr>
                  <w:rStyle w:val="InternetLink"/>
                  <w:rFonts w:ascii="Times New Roman;sans-serif" w:hAnsi="Times New Roman;sans-serif"/>
                  <w:b w:val="false"/>
                  <w:color w:val="0000FF"/>
                  <w:sz w:val="20"/>
                  <w:u w:val="singl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42">
              <w:r>
                <w:rPr>
                  <w:rStyle w:val="InternetLink"/>
                  <w:rFonts w:ascii="Times New Roman;sans-serif" w:hAnsi="Times New Roman;sans-serif"/>
                  <w:b w:val="false"/>
                  <w:color w:val="0000FF"/>
                  <w:sz w:val="20"/>
                  <w:u w:val="single"/>
                </w:rPr>
                <w:t>58</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45">
              <w:r>
                <w:rPr>
                  <w:rStyle w:val="InternetLink"/>
                  <w:rFonts w:ascii="Times New Roman;sans-serif" w:hAnsi="Times New Roman;sans-serif"/>
                  <w:b w:val="false"/>
                  <w:color w:val="0000FF"/>
                  <w:sz w:val="20"/>
                  <w:u w:val="singl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45">
              <w:r>
                <w:rPr>
                  <w:rStyle w:val="InternetLink"/>
                  <w:rFonts w:ascii="Times New Roman;sans-serif" w:hAnsi="Times New Roman;sans-serif"/>
                  <w:b w:val="false"/>
                  <w:color w:val="0000FF"/>
                  <w:sz w:val="20"/>
                  <w:u w:val="single"/>
                </w:rPr>
                <w:t>58</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48">
              <w:r>
                <w:rPr>
                  <w:rStyle w:val="InternetLink"/>
                  <w:rFonts w:ascii="Times New Roman;sans-serif" w:hAnsi="Times New Roman;sans-serif"/>
                  <w:b w:val="false"/>
                  <w:color w:val="0000FF"/>
                  <w:sz w:val="20"/>
                  <w:u w:val="singl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48">
              <w:r>
                <w:rPr>
                  <w:rStyle w:val="InternetLink"/>
                  <w:rFonts w:ascii="Times New Roman;sans-serif" w:hAnsi="Times New Roman;sans-serif"/>
                  <w:b w:val="false"/>
                  <w:color w:val="0000FF"/>
                  <w:sz w:val="20"/>
                  <w:u w:val="single"/>
                </w:rPr>
                <w:t>59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51">
              <w:r>
                <w:rPr>
                  <w:rStyle w:val="InternetLink"/>
                  <w:rFonts w:ascii="Times New Roman;sans-serif" w:hAnsi="Times New Roman;sans-serif"/>
                  <w:b w:val="false"/>
                  <w:color w:val="0000FF"/>
                  <w:sz w:val="20"/>
                  <w:u w:val="singl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51">
              <w:r>
                <w:rPr>
                  <w:rStyle w:val="InternetLink"/>
                  <w:rFonts w:ascii="Times New Roman;sans-serif" w:hAnsi="Times New Roman;sans-serif"/>
                  <w:b w:val="false"/>
                  <w:color w:val="0000FF"/>
                  <w:sz w:val="20"/>
                  <w:u w:val="single"/>
                </w:rPr>
                <w:t>59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57">
              <w:r>
                <w:rPr>
                  <w:rStyle w:val="InternetLink"/>
                  <w:rFonts w:ascii="Times New Roman;sans-serif" w:hAnsi="Times New Roman;sans-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57">
              <w:r>
                <w:rPr>
                  <w:rStyle w:val="InternetLink"/>
                  <w:rFonts w:ascii="Times New Roman;sans-serif" w:hAnsi="Times New Roman;sans-serif"/>
                  <w:b w:val="false"/>
                  <w:color w:val="0000FF"/>
                  <w:sz w:val="20"/>
                  <w:u w:val="single"/>
                </w:rPr>
                <w:t>60</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60">
              <w:r>
                <w:rPr>
                  <w:rStyle w:val="InternetLink"/>
                  <w:rFonts w:ascii="Times New Roman;sans-serif" w:hAnsi="Times New Roman;sans-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60">
              <w:r>
                <w:rPr>
                  <w:rStyle w:val="InternetLink"/>
                  <w:rFonts w:ascii="Times New Roman;sans-serif" w:hAnsi="Times New Roman;sans-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Pr>
          <w:t>Table</w:t>
        </w:r>
      </w:hyperlink>
      <w:hyperlink w:anchor="ibb9be4766225406fba359bf10824b451_7">
        <w:r>
          <w:rPr>
            <w:rStyle w:val="InternetLink"/>
          </w:rPr>
          <w:t xml:space="preserv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Quarterly Report on Form 10-Q (this “Form 10-Q”) contains forward-looking statements that reflect our current views with respect to, among other things, our operations and financial performance. These forward-looking statements are included throughout this Form 10-Q, including in the section entitled “Management’s Discussion and Analysis of Financial Condition and Results of Operations”,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factors that could cause actual results to differ from those expressed or implied by our forward-looking statements, including forward-looking statements contained in this Quarterly Report on Form 10-Q, other factors described under “Risk Factors” in Part I, Item 1A of our Annual Report on Form 10-K of ZoomInfo Technologies Inc. for the fiscal year ended December 31, 2024 as filed with the Securities and Exchange Commission (the “SEC”) on February 25, 2025 (the “2024 Form 10-K”), and in other reports we file from time to time with the SEC:</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current and potential customers may reduce spending on sales, marketing, recruiting and other technology and information as a result of weaker economic conditions, which could harm our revenue, results of operations, and cash flows;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unable to attract new customers, renew existing subscriptions, expand existing subscriptions, and collect revenue from our customers, which could harm our revenue growth, cash flows, and profitability;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are not able to obtain and maintain accurate, comprehensive, or reliable data, we could experience reduced demand for our products and services and have an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experience competition from other companies and technologies that allow companies to gather and aggregate sales, marketing, recruiting, and other data, and competing products and services could provide greater appeal to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is, and the markets in which we compete are, rapidly evolving, including with respect to AI and AI-enabled products, which make it difficult to forecast demand for our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platform integrates or otherwise works with third-party systems that we do not control;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could be negatively affected by changes in search engine algorithms and dynamics or other traffic-generating arrangements;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depend on our executive officers and other key employees, and the loss of or inability to attract, integrate, and retain these and other highly skilled employees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Pr>
          <w:t>Table</w:t>
        </w:r>
      </w:hyperlink>
      <w:hyperlink w:anchor="ibb9be4766225406fba359bf10824b451_7">
        <w:r>
          <w:rPr>
            <w:rStyle w:val="InternetLink"/>
          </w:rPr>
          <w:t xml:space="preserv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fail to maintain, upgrade, or implement adequate operational and financial resources, including our IT systems, we may be unable to execute our business plan;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unable to successfully integrate acquired businesses, services, databases, and technologies into our operations, which could have an adverse effect on our business.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Privacy, Technology, and Security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subject to litigation for any variety of claims, which could harm our reputation and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be able to adequately protect or enforce our proprietary and intellectual property rights in our data or technology;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Investing in our artificial intelligence (“AI”) capability introduces risks, which, if realized, could adversely impact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Third-parties could use our products and services in a manner that is unlawful or contrary to our values or applicable law;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Cyber-attacks and security vulnerabilities could result in serious harm to our reputation, business, and financial condition;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Financial, Accounting and Credit Matters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generate revenue from sales of subscriptions to our platform and data, and any decline in demand for the types of products and services we offer would negatively impact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failure to raise additional capital or generate cash flows necessary to expand our operations and invest in new technologies in the future could reduce our ability to compete successfully and harm our results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Downturns or upturns in new sales and renewals are not immediately reflected in full within our results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anticipate increasing operating expenses in the future, and we may not be able to maintain profitability;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have a substantial amount of debt, which could adversely affect our financial position and our ability to raise additional capital and prevent us from fulfilling our obligations;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be able to generate sufficient cash to service all of our indebtedness;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Interest rate fluctuations may affect our results of operations and financial condition;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our credit and other ratings could adversely impact our operations and lower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Pr>
          <w:t>Table</w:t>
        </w:r>
      </w:hyperlink>
      <w:hyperlink w:anchor="ibb9be4766225406fba359bf10824b451_7">
        <w:r>
          <w:rPr>
            <w:rStyle w:val="InternetLink"/>
          </w:rPr>
          <w:t xml:space="preserv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Taxation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a multinational organization faced with increasingly complex tax issues in many jurisdictions, and global tax developments may have a material impact to our business, cash flows, tax liabilities and results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Unanticipated changes in our effective tax rate and additional tax liabilities may impact our financial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tax laws or regulations in the various jurisdictions in which we operate could increase the cost of our products and services and adversely impact our business;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results of operations may be adversely affected if we are required to collect sales or other related taxes for purchases of our products and services in jurisdictions where we have not historically done so.</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Geopolitical and Macroeconomic Factors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Operations and sales outside the United States expose us to risks inherent in international operations;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economic uncertainty and catastrophic events, including global pandemics, continued hostilities such as those between Russia and Ukraine, Israel and Hamas, as well as related and other conflicts due to rising tensions in the Middle East, have and may disrupt our business and adversely impact our business and future results of operations and financial condition.</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Risks Related to Our Organizational Structure and Ownership of Our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corporate structure and our tax receivable agreements may restrict our ability to make certain payments, increase the costs to consummate certain transactions, and limit our ability to realize the value of certain tax attributes;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parties to our stockholders agreement have special rights and interests that may conflict with ours or yours in the future.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pStyle w:val="TextBody"/>
        <w:bidi w:val="0"/>
        <w:spacing w:lineRule="auto" w:line="300" w:before="18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Website Disclosure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Form 10-Q). In addition, you may automatically receive email alerts and other information about the Company when you enroll your email address by visiting the “Email Alerts” section of our investor relations page at https://ir.zoominfo.com. The information on or that can be accessed through our website is not incorporated herein or otherwise a part of this Form 10-Q, and the inclusion of our website address is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Pr>
          <w:t>Table</w:t>
        </w:r>
      </w:hyperlink>
      <w:hyperlink w:anchor="ibb9be4766225406fba359bf10824b451_7">
        <w:r>
          <w:rPr>
            <w:rStyle w:val="InternetLink"/>
          </w:rPr>
          <w:t xml:space="preserve"> of Contents</w:t>
        </w:r>
      </w:hyperlink>
    </w:p>
    <w:p>
      <w:pPr>
        <w:pStyle w:val="TextBody"/>
        <w:bidi w:val="0"/>
        <w:spacing w:before="18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8412" w:type="dxa"/>
        <w:jc w:val="left"/>
        <w:tblInd w:w="0" w:type="dxa"/>
        <w:tblLayout w:type="fixed"/>
        <w:tblCellMar>
          <w:top w:w="28" w:type="dxa"/>
          <w:left w:w="28" w:type="dxa"/>
          <w:bottom w:w="28" w:type="dxa"/>
          <w:right w:w="28" w:type="dxa"/>
        </w:tblCellMar>
      </w:tblPr>
      <w:tblGrid>
        <w:gridCol w:w="2911"/>
        <w:gridCol w:w="2557"/>
        <w:gridCol w:w="2572"/>
        <w:gridCol w:w="109"/>
        <w:gridCol w:w="109"/>
        <w:gridCol w:w="154"/>
      </w:tblGrid>
      <w:tr>
        <w:trPr/>
        <w:tc>
          <w:tcPr>
            <w:tcW w:w="291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Unaudited Consolidated Financial Statements of ZoomInfo Technologies Inc. and Subsidiaries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28">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28">
              <w:r>
                <w:rPr>
                  <w:rStyle w:val="InternetLink"/>
                  <w:rFonts w:ascii="Times New Roman;sans-serif" w:hAnsi="Times New Roman;sans-serif"/>
                  <w:b w:val="false"/>
                  <w:color w:val="0000FF"/>
                  <w:sz w:val="20"/>
                  <w:u w:val="single"/>
                </w:rPr>
                <w:t>2</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31">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31">
              <w:r>
                <w:rPr>
                  <w:rStyle w:val="InternetLink"/>
                  <w:rFonts w:ascii="Times New Roman;sans-serif" w:hAnsi="Times New Roman;sans-serif"/>
                  <w:b w:val="false"/>
                  <w:color w:val="0000FF"/>
                  <w:sz w:val="20"/>
                  <w:u w:val="single"/>
                </w:rPr>
                <w:t>3</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34">
              <w:r>
                <w:rPr>
                  <w:rStyle w:val="InternetLink"/>
                  <w:rFonts w:ascii="Times New Roman;sans-serif" w:hAnsi="Times New Roman;sans-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34">
              <w:r>
                <w:rPr>
                  <w:rStyle w:val="InternetLink"/>
                  <w:rFonts w:ascii="Times New Roman;sans-serif" w:hAnsi="Times New Roman;sans-serif"/>
                  <w:b w:val="false"/>
                  <w:color w:val="0000FF"/>
                  <w:sz w:val="20"/>
                  <w:u w:val="single"/>
                </w:rPr>
                <w:t>4</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37">
              <w:r>
                <w:rPr>
                  <w:rStyle w:val="InternetLink"/>
                  <w:rFonts w:ascii="Times New Roman;sans-serif" w:hAnsi="Times New Roman;sans-serif"/>
                  <w:b w:val="false"/>
                  <w:color w:val="0000FF"/>
                  <w:sz w:val="20"/>
                  <w:u w:val="single"/>
                </w:rPr>
                <w:t>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37">
              <w:r>
                <w:rPr>
                  <w:rStyle w:val="InternetLink"/>
                  <w:rFonts w:ascii="Times New Roman;sans-serif" w:hAnsi="Times New Roman;sans-serif"/>
                  <w:b w:val="false"/>
                  <w:color w:val="0000FF"/>
                  <w:sz w:val="20"/>
                  <w:u w:val="single"/>
                </w:rPr>
                <w:t>5</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40">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40">
              <w:r>
                <w:rPr>
                  <w:rStyle w:val="InternetLink"/>
                  <w:rFonts w:ascii="Times New Roman;sans-serif" w:hAnsi="Times New Roman;sans-serif"/>
                  <w:b w:val="false"/>
                  <w:color w:val="0000FF"/>
                  <w:sz w:val="20"/>
                  <w:u w:val="single"/>
                </w:rPr>
                <w:t>6</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43">
              <w:r>
                <w:rPr>
                  <w:rStyle w:val="InternetLink"/>
                  <w:rFonts w:ascii="Times New Roman;sans-serif" w:hAnsi="Times New Roman;sans-serif"/>
                  <w:b w:val="false"/>
                  <w:color w:val="0000FF"/>
                  <w:sz w:val="20"/>
                  <w:u w:val="single"/>
                </w:rPr>
                <w:t>Notes to the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43">
              <w:r>
                <w:rPr>
                  <w:rStyle w:val="InternetLink"/>
                  <w:rFonts w:ascii="Times New Roman;sans-serif" w:hAnsi="Times New Roman;sans-serif"/>
                  <w:b w:val="false"/>
                  <w:color w:val="0000FF"/>
                  <w:sz w:val="20"/>
                  <w:u w:val="singl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before="30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936"/>
        <w:gridCol w:w="2392"/>
        <w:gridCol w:w="2371"/>
        <w:gridCol w:w="196"/>
        <w:gridCol w:w="708"/>
        <w:gridCol w:w="109"/>
        <w:gridCol w:w="109"/>
        <w:gridCol w:w="109"/>
        <w:gridCol w:w="109"/>
        <w:gridCol w:w="215"/>
        <w:gridCol w:w="778"/>
        <w:gridCol w:w="173"/>
      </w:tblGrid>
      <w:tr>
        <w:trPr/>
        <w:tc>
          <w:tcPr>
            <w:tcW w:w="2936"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 except share data)</w:t>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costs and other assets,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6,406.0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6,467.6</w:t>
            </w:r>
            <w:r>
              <w:rPr>
                <w:color w:val="000000"/>
              </w:rPr>
              <w:t>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tax receivable agreements liability</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agreements liability, net of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4,759.9</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4,774.1</w:t>
            </w:r>
            <w:r>
              <w:rPr>
                <w:color w:val="000000"/>
              </w:rPr>
              <w:t>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9)</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3,300,000,000 shares authorized as of March 31, 2025 and December 31, 2024; 334,344,186 and 342,027,974 issued and outstanding as of March 31, 2025 and December 31, 2024,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200,000,000 shares authorized as of March 31, 2025 and December 31, 2024; zero issued and outstanding as of March 31, 2025 and December 31, 2024</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6,406.0</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6,467.6</w:t>
            </w:r>
            <w:r>
              <w:rPr>
                <w:color w:val="000000"/>
              </w:rPr>
              <w:t> </w:t>
            </w:r>
          </w:p>
        </w:tc>
        <w:tc>
          <w:tcPr>
            <w:tcW w:w="1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21105"/>
                <wp:effectExtent l="0" t="0" r="0" b="0"/>
                <wp:wrapNone/>
                <wp:docPr id="7" name="Frame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tbl>
      <w:tblPr>
        <w:tblW w:w="7190" w:type="dxa"/>
        <w:jc w:val="center"/>
        <w:tblInd w:w="0" w:type="dxa"/>
        <w:tblLayout w:type="fixed"/>
        <w:tblCellMar>
          <w:top w:w="28" w:type="dxa"/>
          <w:left w:w="28" w:type="dxa"/>
          <w:bottom w:w="28" w:type="dxa"/>
          <w:right w:w="28" w:type="dxa"/>
        </w:tblCellMar>
      </w:tblPr>
      <w:tblGrid>
        <w:gridCol w:w="1297"/>
        <w:gridCol w:w="1141"/>
        <w:gridCol w:w="1147"/>
        <w:gridCol w:w="300"/>
        <w:gridCol w:w="877"/>
        <w:gridCol w:w="154"/>
        <w:gridCol w:w="154"/>
        <w:gridCol w:w="154"/>
        <w:gridCol w:w="154"/>
        <w:gridCol w:w="300"/>
        <w:gridCol w:w="877"/>
        <w:gridCol w:w="154"/>
        <w:gridCol w:w="109"/>
        <w:gridCol w:w="109"/>
        <w:gridCol w:w="109"/>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c>
          <w:tcPr>
            <w:tcW w:w="481" w:type="dxa"/>
            <w:gridSpan w:val="4"/>
            <w:tcBorders/>
          </w:tcPr>
          <w:p>
            <w:pPr>
              <w:pStyle w:val="TableContents"/>
              <w:bidi w:val="0"/>
              <w:spacing w:before="0" w:after="283"/>
              <w:jc w:val="left"/>
              <w:rPr>
                <w:sz w:val="4"/>
                <w:szCs w:val="4"/>
              </w:rPr>
            </w:pPr>
            <w:r>
              <w:rPr>
                <w:sz w:val="4"/>
                <w:szCs w:val="4"/>
              </w:rPr>
            </w:r>
          </w:p>
        </w:tc>
      </w:tr>
      <w:tr>
        <w:trPr/>
        <w:tc>
          <w:tcPr>
            <w:tcW w:w="6709"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709"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 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service</w:t>
            </w:r>
            <w:r>
              <w:rPr>
                <w:rFonts w:ascii="Times New Roman;sans-serif" w:hAnsi="Times New Roman;sans-serif"/>
                <w:b w:val="false"/>
                <w:color w:val="000000"/>
                <w:sz w:val="13"/>
              </w:rPr>
              <w:t>(1)</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loss, net</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26.8</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15.1</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jc w:val="both"/>
        <w:rPr/>
      </w:pPr>
      <w:r>
        <w:rPr>
          <w:rFonts w:ascii="Times New Roman;sans-serif" w:hAnsi="Times New Roman;sans-serif"/>
          <w:b w:val="false"/>
          <w:color w:val="000000"/>
          <w:sz w:val="18"/>
        </w:rPr>
        <w:t>(1)</w:t>
      </w:r>
      <w:r>
        <w:rPr>
          <w:rFonts w:ascii="Times New Roman;sans-serif" w:hAnsi="Times New Roman;sans-serif"/>
          <w:b w:val="false"/>
          <w:color w:val="000000"/>
          <w:sz w:val="18"/>
        </w:rPr>
        <w:t>Amounts include equity-based compensation expense, as follows:</w:t>
      </w:r>
    </w:p>
    <w:tbl>
      <w:tblPr>
        <w:tblW w:w="6117" w:type="dxa"/>
        <w:jc w:val="left"/>
        <w:tblInd w:w="0" w:type="dxa"/>
        <w:tblLayout w:type="fixed"/>
        <w:tblCellMar>
          <w:top w:w="28" w:type="dxa"/>
          <w:left w:w="28" w:type="dxa"/>
          <w:bottom w:w="28" w:type="dxa"/>
          <w:right w:w="28" w:type="dxa"/>
        </w:tblCellMar>
      </w:tblPr>
      <w:tblGrid>
        <w:gridCol w:w="1108"/>
        <w:gridCol w:w="973"/>
        <w:gridCol w:w="979"/>
        <w:gridCol w:w="270"/>
        <w:gridCol w:w="643"/>
        <w:gridCol w:w="150"/>
        <w:gridCol w:w="150"/>
        <w:gridCol w:w="150"/>
        <w:gridCol w:w="150"/>
        <w:gridCol w:w="270"/>
        <w:gridCol w:w="643"/>
        <w:gridCol w:w="150"/>
        <w:gridCol w:w="10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36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equity-based compensation expense</w:t>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221105"/>
                <wp:effectExtent l="0" t="0" r="0" b="0"/>
                <wp:wrapNone/>
                <wp:docPr id="8" name="Frame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92"/>
        <w:gridCol w:w="1921"/>
        <w:gridCol w:w="1942"/>
        <w:gridCol w:w="382"/>
        <w:gridCol w:w="958"/>
        <w:gridCol w:w="197"/>
        <w:gridCol w:w="197"/>
        <w:gridCol w:w="197"/>
        <w:gridCol w:w="197"/>
        <w:gridCol w:w="382"/>
        <w:gridCol w:w="958"/>
        <w:gridCol w:w="197"/>
        <w:gridCol w:w="109"/>
        <w:gridCol w:w="109"/>
        <w:gridCol w:w="109"/>
        <w:gridCol w:w="158"/>
      </w:tblGrid>
      <w:tr>
        <w:trPr/>
        <w:tc>
          <w:tcPr>
            <w:tcW w:w="219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 unaudited)</w:t>
            </w:r>
          </w:p>
        </w:tc>
        <w:tc>
          <w:tcPr>
            <w:tcW w:w="485" w:type="dxa"/>
            <w:gridSpan w:val="4"/>
            <w:tcBorders/>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 net of tax:</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cash flow hedges</w:t>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settlement of cash flow hedges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losses related to the dedesignated Interest Rate Swap</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3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23.2</w:t>
            </w:r>
            <w:r>
              <w:rPr>
                <w:color w:val="000000"/>
              </w:rPr>
              <w:t> </w:t>
            </w:r>
          </w:p>
        </w:tc>
        <w:tc>
          <w:tcPr>
            <w:tcW w:w="1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15.3</w:t>
            </w:r>
            <w:r>
              <w:rPr>
                <w:color w:val="000000"/>
              </w:rPr>
              <w:t> </w:t>
            </w:r>
          </w:p>
        </w:tc>
        <w:tc>
          <w:tcPr>
            <w:tcW w:w="1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221105"/>
                <wp:effectExtent l="0" t="0" r="0" b="0"/>
                <wp:wrapNone/>
                <wp:docPr id="9" name="Frame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10286" w:type="dxa"/>
        <w:jc w:val="left"/>
        <w:tblInd w:w="0" w:type="dxa"/>
        <w:tblLayout w:type="fixed"/>
        <w:tblCellMar>
          <w:top w:w="28" w:type="dxa"/>
          <w:left w:w="28" w:type="dxa"/>
          <w:bottom w:w="28" w:type="dxa"/>
          <w:right w:w="28" w:type="dxa"/>
        </w:tblCellMar>
      </w:tblPr>
      <w:tblGrid>
        <w:gridCol w:w="805"/>
        <w:gridCol w:w="272"/>
        <w:gridCol w:w="274"/>
        <w:gridCol w:w="495"/>
        <w:gridCol w:w="496"/>
        <w:gridCol w:w="383"/>
        <w:gridCol w:w="109"/>
        <w:gridCol w:w="109"/>
        <w:gridCol w:w="109"/>
        <w:gridCol w:w="222"/>
        <w:gridCol w:w="443"/>
        <w:gridCol w:w="116"/>
        <w:gridCol w:w="109"/>
        <w:gridCol w:w="109"/>
        <w:gridCol w:w="109"/>
        <w:gridCol w:w="211"/>
        <w:gridCol w:w="781"/>
        <w:gridCol w:w="109"/>
        <w:gridCol w:w="109"/>
        <w:gridCol w:w="109"/>
        <w:gridCol w:w="109"/>
        <w:gridCol w:w="344"/>
        <w:gridCol w:w="858"/>
        <w:gridCol w:w="179"/>
        <w:gridCol w:w="109"/>
        <w:gridCol w:w="109"/>
        <w:gridCol w:w="109"/>
        <w:gridCol w:w="211"/>
        <w:gridCol w:w="631"/>
        <w:gridCol w:w="109"/>
        <w:gridCol w:w="109"/>
        <w:gridCol w:w="109"/>
        <w:gridCol w:w="109"/>
        <w:gridCol w:w="109"/>
        <w:gridCol w:w="109"/>
        <w:gridCol w:w="109"/>
        <w:gridCol w:w="109"/>
        <w:gridCol w:w="234"/>
        <w:gridCol w:w="869"/>
        <w:gridCol w:w="173"/>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8683" w:type="dxa"/>
            <w:gridSpan w:val="34"/>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ZoomInfo Technologies Inc.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share data; unaudited)</w:t>
            </w:r>
          </w:p>
        </w:tc>
        <w:tc>
          <w:tcPr>
            <w:tcW w:w="160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7561" w:type="dxa"/>
            <w:gridSpan w:val="3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2024</w:t>
            </w:r>
          </w:p>
        </w:tc>
        <w:tc>
          <w:tcPr>
            <w:tcW w:w="13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342,027,974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1,417,178 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(502,692)</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(8,598,274)</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2025</w:t>
            </w:r>
          </w:p>
        </w:tc>
        <w:tc>
          <w:tcPr>
            <w:tcW w:w="137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334,344,186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w:t>
            </w:r>
            <w:r>
              <w:rPr>
                <w:color w:val="000000"/>
              </w:rPr>
              <w:t>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1,292.4</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11.2</w:t>
            </w:r>
            <w:r>
              <w:rPr>
                <w:color w:val="000000"/>
              </w:rPr>
              <w:t> </w:t>
            </w:r>
          </w:p>
        </w:tc>
        <w:tc>
          <w:tcPr>
            <w:tcW w:w="1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339.2</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1,646.1</w:t>
            </w:r>
            <w:r>
              <w:rPr>
                <w:color w:val="000000"/>
              </w:rPr>
              <w:t> </w:t>
            </w:r>
          </w:p>
        </w:tc>
        <w:tc>
          <w:tcPr>
            <w:tcW w:w="1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935" w:type="dxa"/>
            <w:gridSpan w:val="37"/>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453" w:type="dxa"/>
            <w:gridSpan w:val="28"/>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tbl>
      <w:tblPr>
        <w:tblW w:w="10504" w:type="dxa"/>
        <w:jc w:val="left"/>
        <w:tblInd w:w="0" w:type="dxa"/>
        <w:tblLayout w:type="fixed"/>
        <w:tblCellMar>
          <w:top w:w="28" w:type="dxa"/>
          <w:left w:w="28" w:type="dxa"/>
          <w:bottom w:w="28" w:type="dxa"/>
          <w:right w:w="28" w:type="dxa"/>
        </w:tblCellMar>
      </w:tblPr>
      <w:tblGrid>
        <w:gridCol w:w="805"/>
        <w:gridCol w:w="272"/>
        <w:gridCol w:w="274"/>
        <w:gridCol w:w="495"/>
        <w:gridCol w:w="496"/>
        <w:gridCol w:w="383"/>
        <w:gridCol w:w="109"/>
        <w:gridCol w:w="109"/>
        <w:gridCol w:w="109"/>
        <w:gridCol w:w="222"/>
        <w:gridCol w:w="443"/>
        <w:gridCol w:w="116"/>
        <w:gridCol w:w="109"/>
        <w:gridCol w:w="109"/>
        <w:gridCol w:w="109"/>
        <w:gridCol w:w="211"/>
        <w:gridCol w:w="781"/>
        <w:gridCol w:w="109"/>
        <w:gridCol w:w="109"/>
        <w:gridCol w:w="109"/>
        <w:gridCol w:w="109"/>
        <w:gridCol w:w="344"/>
        <w:gridCol w:w="858"/>
        <w:gridCol w:w="179"/>
        <w:gridCol w:w="109"/>
        <w:gridCol w:w="109"/>
        <w:gridCol w:w="109"/>
        <w:gridCol w:w="211"/>
        <w:gridCol w:w="631"/>
        <w:gridCol w:w="109"/>
        <w:gridCol w:w="109"/>
        <w:gridCol w:w="109"/>
        <w:gridCol w:w="109"/>
        <w:gridCol w:w="109"/>
        <w:gridCol w:w="109"/>
        <w:gridCol w:w="109"/>
        <w:gridCol w:w="109"/>
        <w:gridCol w:w="109"/>
        <w:gridCol w:w="109"/>
        <w:gridCol w:w="234"/>
        <w:gridCol w:w="869"/>
        <w:gridCol w:w="173"/>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53" w:type="dxa"/>
            <w:gridSpan w:val="39"/>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7779" w:type="dxa"/>
            <w:gridSpan w:val="3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13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384,830,529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2,119.3 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1,359,913 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(410,537)</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(9,623,255)</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2024</w:t>
            </w:r>
          </w:p>
        </w:tc>
        <w:tc>
          <w:tcPr>
            <w:tcW w:w="13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376,156,650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1,676.3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27.5</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2,005.9</w:t>
            </w: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221105"/>
                <wp:effectExtent l="0" t="0" r="0" b="0"/>
                <wp:wrapNone/>
                <wp:docPr id="10" name="Frame1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tbl>
      <w:tblPr>
        <w:tblW w:w="9735" w:type="dxa"/>
        <w:jc w:val="left"/>
        <w:tblInd w:w="0" w:type="dxa"/>
        <w:tblLayout w:type="fixed"/>
        <w:tblCellMar>
          <w:top w:w="28" w:type="dxa"/>
          <w:left w:w="28" w:type="dxa"/>
          <w:bottom w:w="28" w:type="dxa"/>
          <w:right w:w="28" w:type="dxa"/>
        </w:tblCellMar>
      </w:tblPr>
      <w:tblGrid>
        <w:gridCol w:w="2435"/>
        <w:gridCol w:w="2135"/>
        <w:gridCol w:w="2149"/>
        <w:gridCol w:w="266"/>
        <w:gridCol w:w="871"/>
        <w:gridCol w:w="137"/>
        <w:gridCol w:w="137"/>
        <w:gridCol w:w="137"/>
        <w:gridCol w:w="137"/>
        <w:gridCol w:w="266"/>
        <w:gridCol w:w="871"/>
        <w:gridCol w:w="194"/>
      </w:tblGrid>
      <w:tr>
        <w:trPr/>
        <w:tc>
          <w:tcPr>
            <w:tcW w:w="24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73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issuance costs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commissions costs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remeasurement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 expense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investments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other assets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consideration</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and modification costs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payments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221105"/>
                <wp:effectExtent l="0" t="0" r="0" b="0"/>
                <wp:wrapNone/>
                <wp:docPr id="11" name="Frame1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71"/>
        <w:gridCol w:w="2329"/>
        <w:gridCol w:w="2337"/>
        <w:gridCol w:w="269"/>
        <w:gridCol w:w="787"/>
        <w:gridCol w:w="139"/>
        <w:gridCol w:w="139"/>
        <w:gridCol w:w="139"/>
        <w:gridCol w:w="139"/>
        <w:gridCol w:w="269"/>
        <w:gridCol w:w="787"/>
        <w:gridCol w:w="200"/>
      </w:tblGrid>
      <w:tr>
        <w:trPr/>
        <w:tc>
          <w:tcPr>
            <w:tcW w:w="267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ZoomInfo Technologies Inc.</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 (continued)</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in cash</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investing activities: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in accounts payable and accrued expenses and other current liabilities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included in capitalized software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221105"/>
                <wp:effectExtent l="0" t="0" r="0" b="0"/>
                <wp:wrapNone/>
                <wp:docPr id="12" name="Frame1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ZoomInfo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share/unit data and per share/unit amounts, unless otherwise noted)</w:t>
      </w:r>
    </w:p>
    <w:tbl>
      <w:tblPr>
        <w:tblW w:w="7797" w:type="dxa"/>
        <w:jc w:val="center"/>
        <w:tblInd w:w="0" w:type="dxa"/>
        <w:tblLayout w:type="fixed"/>
        <w:tblCellMar>
          <w:top w:w="28" w:type="dxa"/>
          <w:left w:w="28" w:type="dxa"/>
          <w:bottom w:w="28" w:type="dxa"/>
          <w:right w:w="28" w:type="dxa"/>
        </w:tblCellMar>
      </w:tblPr>
      <w:tblGrid>
        <w:gridCol w:w="277"/>
        <w:gridCol w:w="242"/>
        <w:gridCol w:w="246"/>
        <w:gridCol w:w="2218"/>
        <w:gridCol w:w="2218"/>
        <w:gridCol w:w="2224"/>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46">
              <w:r>
                <w:rPr>
                  <w:rStyle w:val="InternetLink"/>
                  <w:rFonts w:ascii="Times New Roman;sans-serif" w:hAnsi="Times New Roman;sans-serif"/>
                  <w:b w:val="false"/>
                  <w:color w:val="0000FF"/>
                  <w:sz w:val="20"/>
                  <w:u w:val="single"/>
                </w:rPr>
                <w:t>Note 1</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46">
              <w:r>
                <w:rPr>
                  <w:rStyle w:val="InternetLink"/>
                  <w:rFonts w:ascii="Times New Roman;sans-serif" w:hAnsi="Times New Roman;sans-serif"/>
                  <w:b w:val="false"/>
                  <w:color w:val="0000FF"/>
                  <w:sz w:val="20"/>
                  <w:u w:val="single"/>
                </w:rPr>
                <w:t>Business, Basis of Presentation,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46">
              <w:r>
                <w:rPr>
                  <w:rStyle w:val="InternetLink"/>
                  <w:rFonts w:ascii="Times New Roman;sans-serif" w:hAnsi="Times New Roman;sans-serif"/>
                  <w:b w:val="false"/>
                  <w:color w:val="0000FF"/>
                  <w:sz w:val="20"/>
                  <w:u w:val="single"/>
                </w:rPr>
                <w:t>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49">
              <w:r>
                <w:rPr>
                  <w:rStyle w:val="InternetLink"/>
                  <w:rFonts w:ascii="Times New Roman;sans-serif" w:hAnsi="Times New Roman;sans-serif"/>
                  <w:b w:val="false"/>
                  <w:color w:val="0000FF"/>
                  <w:sz w:val="20"/>
                  <w:u w:val="single"/>
                </w:rPr>
                <w:t>Note 2</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49">
              <w:r>
                <w:rPr>
                  <w:rStyle w:val="InternetLink"/>
                  <w:rFonts w:ascii="Times New Roman;sans-serif" w:hAnsi="Times New Roman;sans-serif"/>
                  <w:b w:val="false"/>
                  <w:color w:val="0000FF"/>
                  <w:sz w:val="20"/>
                  <w:u w:val="single"/>
                </w:rPr>
                <w:t>Revenue from Contracts with Customers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49">
              <w:r>
                <w:rPr>
                  <w:rStyle w:val="InternetLink"/>
                  <w:rFonts w:ascii="Times New Roman;sans-serif" w:hAnsi="Times New Roman;sans-serif"/>
                  <w:b w:val="false"/>
                  <w:color w:val="0000FF"/>
                  <w:sz w:val="20"/>
                  <w:u w:val="singl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55">
              <w:r>
                <w:rPr>
                  <w:rStyle w:val="InternetLink"/>
                  <w:rFonts w:ascii="Times New Roman;sans-serif" w:hAnsi="Times New Roman;sans-serif"/>
                  <w:b w:val="false"/>
                  <w:color w:val="0000FF"/>
                  <w:sz w:val="20"/>
                  <w:u w:val="single"/>
                </w:rPr>
                <w:t>Note 3</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55">
              <w:r>
                <w:rPr>
                  <w:rStyle w:val="InternetLink"/>
                  <w:rFonts w:ascii="Times New Roman;sans-serif" w:hAnsi="Times New Roman;sans-serif"/>
                  <w:b w:val="false"/>
                  <w:color w:val="0000FF"/>
                  <w:sz w:val="20"/>
                  <w:u w:val="single"/>
                </w:rPr>
                <w:t>Cash, Cash Equivalents, and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55">
              <w:r>
                <w:rPr>
                  <w:rStyle w:val="InternetLink"/>
                  <w:rFonts w:ascii="Times New Roman;sans-serif" w:hAnsi="Times New Roman;sans-serif"/>
                  <w:b w:val="false"/>
                  <w:color w:val="0000FF"/>
                  <w:sz w:val="20"/>
                  <w:u w:val="single"/>
                </w:rPr>
                <w:t>20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58">
              <w:r>
                <w:rPr>
                  <w:rStyle w:val="InternetLink"/>
                  <w:rFonts w:ascii="Times New Roman;sans-serif" w:hAnsi="Times New Roman;sans-serif"/>
                  <w:b w:val="false"/>
                  <w:color w:val="0000FF"/>
                  <w:sz w:val="20"/>
                  <w:u w:val="single"/>
                </w:rPr>
                <w:t>Note 4</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58">
              <w:r>
                <w:rPr>
                  <w:rStyle w:val="InternetLink"/>
                  <w:rFonts w:ascii="Times New Roman;sans-serif" w:hAnsi="Times New Roman;sans-serif"/>
                  <w:b w:val="false"/>
                  <w:color w:val="0000FF"/>
                  <w:sz w:val="20"/>
                  <w:u w:val="single"/>
                </w:rPr>
                <w:t>Property and Equipment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58">
              <w:r>
                <w:rPr>
                  <w:rStyle w:val="InternetLink"/>
                  <w:rFonts w:ascii="Times New Roman;sans-serif" w:hAnsi="Times New Roman;sans-serif"/>
                  <w:b w:val="false"/>
                  <w:color w:val="0000FF"/>
                  <w:sz w:val="20"/>
                  <w:u w:val="singl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61">
              <w:r>
                <w:rPr>
                  <w:rStyle w:val="InternetLink"/>
                  <w:rFonts w:ascii="Times New Roman;sans-serif" w:hAnsi="Times New Roman;sans-serif"/>
                  <w:b w:val="false"/>
                  <w:color w:val="0000FF"/>
                  <w:sz w:val="20"/>
                  <w:u w:val="single"/>
                </w:rPr>
                <w:t>Note 5</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61">
              <w:r>
                <w:rPr>
                  <w:rStyle w:val="InternetLink"/>
                  <w:rFonts w:ascii="Times New Roman;sans-serif" w:hAnsi="Times New Roman;sans-serif"/>
                  <w:b w:val="false"/>
                  <w:color w:val="0000FF"/>
                  <w:sz w:val="20"/>
                  <w:u w:val="single"/>
                </w:rPr>
                <w:t>Goodwill and Acquired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61">
              <w:r>
                <w:rPr>
                  <w:rStyle w:val="InternetLink"/>
                  <w:rFonts w:ascii="Times New Roman;sans-serif" w:hAnsi="Times New Roman;sans-serif"/>
                  <w:b w:val="false"/>
                  <w:color w:val="0000FF"/>
                  <w:sz w:val="20"/>
                  <w:u w:val="singl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64">
              <w:r>
                <w:rPr>
                  <w:rStyle w:val="InternetLink"/>
                  <w:rFonts w:ascii="Times New Roman;sans-serif" w:hAnsi="Times New Roman;sans-serif"/>
                  <w:b w:val="false"/>
                  <w:color w:val="0000FF"/>
                  <w:sz w:val="20"/>
                  <w:u w:val="single"/>
                </w:rPr>
                <w:t>Note 6</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64">
              <w:r>
                <w:rPr>
                  <w:rStyle w:val="InternetLink"/>
                  <w:rFonts w:ascii="Times New Roman;sans-serif" w:hAnsi="Times New Roman;sans-serif"/>
                  <w:b w:val="false"/>
                  <w:color w:val="0000FF"/>
                  <w:sz w:val="20"/>
                  <w:u w:val="single"/>
                </w:rPr>
                <w:t>Financing Arrangements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64">
              <w:r>
                <w:rPr>
                  <w:rStyle w:val="InternetLink"/>
                  <w:rFonts w:ascii="Times New Roman;sans-serif" w:hAnsi="Times New Roman;sans-serif"/>
                  <w:b w:val="false"/>
                  <w:color w:val="0000FF"/>
                  <w:sz w:val="20"/>
                  <w:u w:val="single"/>
                </w:rPr>
                <w:t>22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67">
              <w:r>
                <w:rPr>
                  <w:rStyle w:val="InternetLink"/>
                  <w:rFonts w:ascii="Times New Roman;sans-serif" w:hAnsi="Times New Roman;sans-serif"/>
                  <w:b w:val="false"/>
                  <w:color w:val="0000FF"/>
                  <w:sz w:val="20"/>
                  <w:u w:val="single"/>
                </w:rPr>
                <w:t>Note 7</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67">
              <w:r>
                <w:rPr>
                  <w:rStyle w:val="InternetLink"/>
                  <w:rFonts w:ascii="Times New Roman;sans-serif" w:hAnsi="Times New Roman;sans-serif"/>
                  <w:b w:val="false"/>
                  <w:color w:val="0000FF"/>
                  <w:sz w:val="20"/>
                  <w:u w:val="single"/>
                </w:rPr>
                <w:t>Derivatives and Hedging Activities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67">
              <w:r>
                <w:rPr>
                  <w:rStyle w:val="InternetLink"/>
                  <w:rFonts w:ascii="Times New Roman;sans-serif" w:hAnsi="Times New Roman;sans-serif"/>
                  <w:b w:val="false"/>
                  <w:color w:val="0000FF"/>
                  <w:sz w:val="20"/>
                  <w:u w:val="single"/>
                </w:rPr>
                <w:t>23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70">
              <w:r>
                <w:rPr>
                  <w:rStyle w:val="InternetLink"/>
                  <w:rFonts w:ascii="Times New Roman;sans-serif" w:hAnsi="Times New Roman;sans-serif"/>
                  <w:b w:val="false"/>
                  <w:color w:val="0000FF"/>
                  <w:sz w:val="20"/>
                  <w:u w:val="single"/>
                </w:rPr>
                <w:t>Note 8</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70">
              <w:r>
                <w:rPr>
                  <w:rStyle w:val="InternetLink"/>
                  <w:rFonts w:ascii="Times New Roman;sans-serif" w:hAnsi="Times New Roman;sans-serif"/>
                  <w:b w:val="false"/>
                  <w:color w:val="0000FF"/>
                  <w:sz w:val="20"/>
                  <w:u w:val="single"/>
                </w:rPr>
                <w:t>Fair Value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70">
              <w:r>
                <w:rPr>
                  <w:rStyle w:val="InternetLink"/>
                  <w:rFonts w:ascii="Times New Roman;sans-serif" w:hAnsi="Times New Roman;sans-serif"/>
                  <w:b w:val="false"/>
                  <w:color w:val="0000FF"/>
                  <w:sz w:val="20"/>
                  <w:u w:val="single"/>
                </w:rPr>
                <w:t>25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73">
              <w:r>
                <w:rPr>
                  <w:rStyle w:val="InternetLink"/>
                  <w:rFonts w:ascii="Times New Roman;sans-serif" w:hAnsi="Times New Roman;sans-serif"/>
                  <w:b w:val="false"/>
                  <w:color w:val="0000FF"/>
                  <w:sz w:val="20"/>
                  <w:u w:val="single"/>
                </w:rPr>
                <w:t>Note 9</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73">
              <w:r>
                <w:rPr>
                  <w:rStyle w:val="InternetLink"/>
                  <w:rFonts w:ascii="Times New Roman;sans-serif" w:hAnsi="Times New Roman;sans-serif"/>
                  <w:b w:val="false"/>
                  <w:color w:val="0000FF"/>
                  <w:sz w:val="20"/>
                  <w:u w:val="single"/>
                </w:rPr>
                <w:t>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73">
              <w:r>
                <w:rPr>
                  <w:rStyle w:val="InternetLink"/>
                  <w:rFonts w:ascii="Times New Roman;sans-serif" w:hAnsi="Times New Roman;sans-serif"/>
                  <w:b w:val="false"/>
                  <w:color w:val="0000FF"/>
                  <w:sz w:val="20"/>
                  <w:u w:val="single"/>
                </w:rPr>
                <w:t>27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76">
              <w:r>
                <w:rPr>
                  <w:rStyle w:val="InternetLink"/>
                  <w:rFonts w:ascii="Times New Roman;sans-serif" w:hAnsi="Times New Roman;sans-serif"/>
                  <w:b w:val="false"/>
                  <w:color w:val="0000FF"/>
                  <w:sz w:val="20"/>
                  <w:u w:val="single"/>
                </w:rPr>
                <w:t>Note 10</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76">
              <w:r>
                <w:rPr>
                  <w:rStyle w:val="InternetLink"/>
                  <w:rFonts w:ascii="Times New Roman;sans-serif" w:hAnsi="Times New Roman;sans-serif"/>
                  <w:b w:val="false"/>
                  <w:color w:val="0000FF"/>
                  <w:sz w:val="20"/>
                  <w:u w:val="single"/>
                </w:rPr>
                <w:t>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76">
              <w:r>
                <w:rPr>
                  <w:rStyle w:val="InternetLink"/>
                  <w:rFonts w:ascii="Times New Roman;sans-serif" w:hAnsi="Times New Roman;sans-serif"/>
                  <w:b w:val="false"/>
                  <w:color w:val="0000FF"/>
                  <w:sz w:val="20"/>
                  <w:u w:val="single"/>
                </w:rPr>
                <w:t>29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79">
              <w:r>
                <w:rPr>
                  <w:rStyle w:val="InternetLink"/>
                  <w:rFonts w:ascii="Times New Roman;sans-serif" w:hAnsi="Times New Roman;sans-serif"/>
                  <w:b w:val="false"/>
                  <w:color w:val="0000FF"/>
                  <w:sz w:val="20"/>
                  <w:u w:val="single"/>
                </w:rPr>
                <w:t>Note 11</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79">
              <w:r>
                <w:rPr>
                  <w:rStyle w:val="InternetLink"/>
                  <w:rFonts w:ascii="Times New Roman;sans-serif" w:hAnsi="Times New Roman;sans-serif"/>
                  <w:b w:val="false"/>
                  <w:color w:val="0000FF"/>
                  <w:sz w:val="20"/>
                  <w:u w:val="single"/>
                </w:rPr>
                <w:t>Leases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79">
              <w:r>
                <w:rPr>
                  <w:rStyle w:val="InternetLink"/>
                  <w:rFonts w:ascii="Times New Roman;sans-serif" w:hAnsi="Times New Roman;sans-serif"/>
                  <w:b w:val="false"/>
                  <w:color w:val="0000FF"/>
                  <w:sz w:val="20"/>
                  <w:u w:val="single"/>
                </w:rPr>
                <w:t>29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82">
              <w:r>
                <w:rPr>
                  <w:rStyle w:val="InternetLink"/>
                  <w:rFonts w:ascii="Times New Roman;sans-serif" w:hAnsi="Times New Roman;sans-serif"/>
                  <w:b w:val="false"/>
                  <w:color w:val="0000FF"/>
                  <w:sz w:val="20"/>
                  <w:u w:val="single"/>
                </w:rPr>
                <w:t>Note 12</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82">
              <w:r>
                <w:rPr>
                  <w:rStyle w:val="InternetLink"/>
                  <w:rFonts w:ascii="Times New Roman;sans-serif" w:hAnsi="Times New Roman;sans-serif"/>
                  <w:b w:val="false"/>
                  <w:color w:val="0000FF"/>
                  <w:sz w:val="20"/>
                  <w:u w:val="single"/>
                </w:rPr>
                <w:t>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82">
              <w:r>
                <w:rPr>
                  <w:rStyle w:val="InternetLink"/>
                  <w:rFonts w:ascii="Times New Roman;sans-serif" w:hAnsi="Times New Roman;sans-serif"/>
                  <w:b w:val="false"/>
                  <w:color w:val="0000FF"/>
                  <w:sz w:val="20"/>
                  <w:u w:val="single"/>
                </w:rPr>
                <w:t>31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338">
              <w:r>
                <w:rPr>
                  <w:rStyle w:val="InternetLink"/>
                  <w:rFonts w:ascii="Times New Roman;sans-serif" w:hAnsi="Times New Roman;sans-serif"/>
                  <w:b w:val="false"/>
                  <w:color w:val="0000FF"/>
                  <w:sz w:val="20"/>
                  <w:u w:val="single"/>
                </w:rPr>
                <w:t>Note 13</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1338">
              <w:r>
                <w:rPr>
                  <w:rStyle w:val="InternetLink"/>
                  <w:rFonts w:ascii="Times New Roman;sans-serif" w:hAnsi="Times New Roman;sans-serif"/>
                  <w:b w:val="false"/>
                  <w:color w:val="0000FF"/>
                  <w:sz w:val="20"/>
                  <w:u w:val="single"/>
                </w:rPr>
                <w:t>Segment and Geographic Data</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1338">
              <w:r>
                <w:rPr>
                  <w:rStyle w:val="InternetLink"/>
                  <w:rFonts w:ascii="Times New Roman;sans-serif" w:hAnsi="Times New Roman;sans-serif"/>
                  <w:b w:val="false"/>
                  <w:color w:val="0000FF"/>
                  <w:sz w:val="20"/>
                  <w:u w:val="single"/>
                </w:rPr>
                <w:t>34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85">
              <w:r>
                <w:rPr>
                  <w:rStyle w:val="InternetLink"/>
                  <w:rFonts w:ascii="Times New Roman;sans-serif" w:hAnsi="Times New Roman;sans-serif"/>
                  <w:b w:val="false"/>
                  <w:color w:val="0000FF"/>
                  <w:sz w:val="20"/>
                  <w:u w:val="single"/>
                </w:rPr>
                <w:t>Note 14</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85">
              <w:r>
                <w:rPr>
                  <w:rStyle w:val="InternetLink"/>
                  <w:rFonts w:ascii="Times New Roman;sans-serif" w:hAnsi="Times New Roman;sans-serif"/>
                  <w:b w:val="false"/>
                  <w:color w:val="0000FF"/>
                  <w:sz w:val="20"/>
                  <w:u w:val="single"/>
                </w:rPr>
                <w:t>Tax Receivable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85">
              <w:r>
                <w:rPr>
                  <w:rStyle w:val="InternetLink"/>
                  <w:rFonts w:ascii="Times New Roman;sans-serif" w:hAnsi="Times New Roman;sans-serif"/>
                  <w:b w:val="false"/>
                  <w:color w:val="0000FF"/>
                  <w:sz w:val="20"/>
                  <w:u w:val="single"/>
                </w:rPr>
                <w:t>35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88">
              <w:r>
                <w:rPr>
                  <w:rStyle w:val="InternetLink"/>
                  <w:rFonts w:ascii="Times New Roman;sans-serif" w:hAnsi="Times New Roman;sans-serif"/>
                  <w:b w:val="false"/>
                  <w:color w:val="0000FF"/>
                  <w:sz w:val="20"/>
                  <w:u w:val="single"/>
                </w:rPr>
                <w:t>Note 15</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88">
              <w:r>
                <w:rPr>
                  <w:rStyle w:val="InternetLink"/>
                  <w:rFonts w:ascii="Times New Roman;sans-serif" w:hAnsi="Times New Roman;sans-serif"/>
                  <w:b w:val="false"/>
                  <w:color w:val="0000FF"/>
                  <w:sz w:val="20"/>
                  <w:u w:val="single"/>
                </w:rPr>
                <w:t>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88">
              <w:r>
                <w:rPr>
                  <w:rStyle w:val="InternetLink"/>
                  <w:rFonts w:ascii="Times New Roman;sans-serif" w:hAnsi="Times New Roman;sans-serif"/>
                  <w:b w:val="false"/>
                  <w:color w:val="0000FF"/>
                  <w:sz w:val="20"/>
                  <w:u w:val="single"/>
                </w:rPr>
                <w:t>35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91">
              <w:r>
                <w:rPr>
                  <w:rStyle w:val="InternetLink"/>
                  <w:rFonts w:ascii="Times New Roman;sans-serif" w:hAnsi="Times New Roman;sans-serif"/>
                  <w:b w:val="false"/>
                  <w:color w:val="0000FF"/>
                  <w:sz w:val="20"/>
                  <w:u w:val="single"/>
                </w:rPr>
                <w:t>Note 16</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9be4766225406fba359bf10824b451_91">
              <w:r>
                <w:rPr>
                  <w:rStyle w:val="InternetLink"/>
                  <w:rFonts w:ascii="Times New Roman;sans-serif" w:hAnsi="Times New Roman;sans-serif"/>
                  <w:b w:val="false"/>
                  <w:color w:val="0000FF"/>
                  <w:sz w:val="20"/>
                  <w:u w:val="single"/>
                </w:rPr>
                <w:t>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9be4766225406fba359bf10824b451_91">
              <w:r>
                <w:rPr>
                  <w:rStyle w:val="InternetLink"/>
                  <w:rFonts w:ascii="Times New Roman;sans-serif" w:hAnsi="Times New Roman;sans-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221105"/>
                <wp:effectExtent l="0" t="0" r="0" b="0"/>
                <wp:wrapNone/>
                <wp:docPr id="13" name="Frame1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Technologies Inc., through its operating subsidiaries, (the “Company”, “we”, “us”, “our”, and “ZoomInfo”) provides a go-to-market intelligence and engagement platform for sales, marketing, operations, and recruiting professionals.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headquarters are located in Vancouver, WA, and we have additional offices throughout the United States, and offices internationally in Israel, Canada, the United Kingdom, and India.</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2024 Form 10-K.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2025 are not necessarily indicative of the operating results that may be expected for the full fiscal year ending December 31, 2025 or any future period.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contain all adjustments necessary for a fair statement of financial position as of March 31, 2025, changes in stockholders’ equity and results of operations for the three months ended March 31, 2025 and 2024, and cash flows for the three months ended March 31, 2025 and 2024.</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Effective the second quarter of 2024, the Company removed the presentation of </w:t>
      </w:r>
      <w:r>
        <w:rPr>
          <w:rFonts w:ascii="Times New Roman;sans-serif" w:hAnsi="Times New Roman;sans-serif"/>
          <w:b w:val="false"/>
          <w:i/>
          <w:color w:val="000000"/>
          <w:sz w:val="20"/>
        </w:rPr>
        <w:t>Restructuring and transaction-related expenses</w:t>
      </w:r>
      <w:r>
        <w:rPr>
          <w:color w:val="000000"/>
        </w:rPr>
        <w:t xml:space="preserve"> </w:t>
      </w:r>
      <w:r>
        <w:rPr>
          <w:rFonts w:ascii="Times New Roman;sans-serif" w:hAnsi="Times New Roman;sans-serif"/>
          <w:b w:val="false"/>
          <w:color w:val="000000"/>
          <w:sz w:val="20"/>
        </w:rPr>
        <w:t>from the Consolidated Statements of Operations. These expenses will be allocated to the remaining financial statement line items. For comparability, the prior period amounts have been recast to reflect the current period presentation with no impact to net income or comprehensive income previously reported.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ZoomInfo Technologies Inc. and its subsidiaries. All significant intercompany transactions and balances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221105"/>
                <wp:effectExtent l="0" t="0" r="0" b="0"/>
                <wp:wrapNone/>
                <wp:docPr id="14" name="Frame1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revenue primarily from subscription services. Our subscription services consist of our software as a service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revenue contracts with customers through the following steps:</w:t>
      </w:r>
    </w:p>
    <w:p>
      <w:pPr>
        <w:pStyle w:val="TextBody"/>
        <w:bidi w:val="0"/>
        <w:spacing w:lineRule="auto" w:line="288" w:before="18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(1)Identify the contract with a customer;</w:t>
      </w:r>
    </w:p>
    <w:p>
      <w:pPr>
        <w:pStyle w:val="TextBody"/>
        <w:bidi w:val="0"/>
        <w:spacing w:lineRule="auto" w:line="288" w:before="18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(2)Identify the performance obligations in the contract;</w:t>
      </w:r>
    </w:p>
    <w:p>
      <w:pPr>
        <w:pStyle w:val="TextBody"/>
        <w:bidi w:val="0"/>
        <w:spacing w:lineRule="auto" w:line="288" w:before="18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(3)Determine the transaction price;</w:t>
      </w:r>
    </w:p>
    <w:p>
      <w:pPr>
        <w:pStyle w:val="TextBody"/>
        <w:bidi w:val="0"/>
        <w:spacing w:lineRule="auto" w:line="288" w:before="18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(4)Allocate the transaction price; and</w:t>
      </w:r>
    </w:p>
    <w:p>
      <w:pPr>
        <w:pStyle w:val="TextBody"/>
        <w:bidi w:val="0"/>
        <w:spacing w:lineRule="auto" w:line="288" w:before="18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(5)Recognize revenue when or as the Company satisfies a performance obligation.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Investments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We have both short-term and long-term investments (which are included 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 xml:space="preserve">on our Consolidated Balance Sheets). Unrealized gains and losses, net of taxes, are included in </w:t>
      </w:r>
      <w:r>
        <w:rPr>
          <w:rFonts w:ascii="Times New Roman;sans-serif" w:hAnsi="Times New Roman;sans-serif"/>
          <w:b w:val="false"/>
          <w:i/>
          <w:color w:val="000000"/>
          <w:sz w:val="20"/>
        </w:rPr>
        <w:t>Accumulated other comprehensive income</w:t>
      </w:r>
      <w:r>
        <w:rPr>
          <w:rFonts w:ascii="Times New Roman;sans-serif" w:hAnsi="Times New Roman;sans-serif"/>
          <w:b w:val="false"/>
          <w:color w:val="000000"/>
          <w:sz w:val="20"/>
        </w:rPr>
        <w:t>,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bidi w:val="0"/>
        <w:spacing w:lineRule="auto" w:line="288" w:before="180" w:after="18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unadjusted quoted prices in active markets for identical assets or liabilities</w:t>
      </w:r>
    </w:p>
    <w:p>
      <w:pPr>
        <w:pStyle w:val="TextBody"/>
        <w:bidi w:val="0"/>
        <w:spacing w:lineRule="auto" w:line="288" w:before="180" w:after="18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Level 2 - Other inputs that are directly or indirectly observable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221105"/>
                <wp:effectExtent l="0" t="0" r="0" b="0"/>
                <wp:wrapNone/>
                <wp:docPr id="15" name="Frame1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180" w:after="18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Unobservable inputs that are supported by little or no market activity, including the Company’s own assumptions in determining fair value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inputs or methodology used for valuing financial assets and liabilities are not necessarily an indication of the risk associated with investing in them.</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 and Significant Customers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principally of cash and cash equivalents, investments, and accounts receivable. The Company holds cash at major financial institutions that often exceed Federal Deposit Insurance Corporation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 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No single customer accounted for 10% or more of our revenue for the three months ended March 31, 2025 and 2024, or accounted for more than 10% of accounts receivable as of March 31, 2025 and December 31, 2024.</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Accounts Receivable and Contract Assets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represents the billed transaction price from revenue contracts, reflecting adjustments for variable consideration, and is presented net of allowance for expected credit losses. It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March 31, 2025 and December 31, 2024, the allowance for expected credit losses was $11.1 million and $12.6 million, respectively. The Company reassesses the adequacy of the allowance each reporting period.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represent a contractual right to consideration in the future. Contract assets are generated when contractual billing schedules differ from revenue recognition timing.</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ten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21105"/>
                <wp:effectExtent l="0" t="0" r="0" b="0"/>
                <wp:wrapNone/>
                <wp:docPr id="16" name="Frame1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Deferred Commissions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 xml:space="preserve">on our Consolidated Balance Sheets. Deferred sales commissions are amortized on a straight-line basis over the estimated period of benefit from the customer relationship which we have determined to be approximately two and four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on our Consolidated Statements of Operations.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Commissions payable at March 31, 2025 were $24.9 million, of which the current portion of $22.4 million was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and the long-term portion of $2.5 million was included in</w:t>
      </w:r>
      <w:r>
        <w:rPr>
          <w:color w:val="000000"/>
        </w:rPr>
        <w:t xml:space="preserve"> </w:t>
      </w:r>
      <w:r>
        <w:rPr>
          <w:rFonts w:ascii="Times New Roman;sans-serif" w:hAnsi="Times New Roman;sans-serif"/>
          <w:b w:val="false"/>
          <w:i/>
          <w:color w:val="000000"/>
          <w:sz w:val="20"/>
        </w:rPr>
        <w:t>Other long-term liabilities</w:t>
      </w:r>
      <w:r>
        <w:rPr>
          <w:color w:val="000000"/>
        </w:rPr>
        <w:t xml:space="preserve"> </w:t>
      </w:r>
      <w:r>
        <w:rPr>
          <w:rFonts w:ascii="Times New Roman;sans-serif" w:hAnsi="Times New Roman;sans-serif"/>
          <w:b w:val="false"/>
          <w:color w:val="000000"/>
          <w:sz w:val="20"/>
        </w:rPr>
        <w:t xml:space="preserve">on our Consolidated Balance Sheets. Commissions payable at December 31, 2024 were $32.8 million, of which the current portion of $30.8 million was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and the long-term portion of $2.0 million was included in</w:t>
      </w:r>
      <w:r>
        <w:rPr>
          <w:color w:val="000000"/>
        </w:rPr>
        <w:t xml:space="preserve"> </w:t>
      </w:r>
      <w:r>
        <w:rPr>
          <w:rFonts w:ascii="Times New Roman;sans-serif" w:hAnsi="Times New Roman;sans-serif"/>
          <w:b w:val="false"/>
          <w:i/>
          <w:color w:val="000000"/>
          <w:sz w:val="20"/>
        </w:rPr>
        <w:t>Other long-term liabilities</w:t>
      </w:r>
      <w:r>
        <w:rPr>
          <w:color w:val="000000"/>
        </w:rPr>
        <w:t xml:space="preserve"> </w:t>
      </w:r>
      <w:r>
        <w:rPr>
          <w:rFonts w:ascii="Times New Roman;sans-serif" w:hAnsi="Times New Roman;sans-serif"/>
          <w:b w:val="false"/>
          <w:color w:val="000000"/>
          <w:sz w:val="20"/>
        </w:rPr>
        <w:t>on our Consolidated Balance Sheets.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commissions are not capitalized as they do not represent incremental costs of obtaining a contract. Such commissions are expensed as incurred.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Advertising and Promotional Expenses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Company expenses advertising costs as incurred. Advertising expenses of $9.3 million and $10.4 million were recorded for the three months ended March 31, 2025 and 2024, respectively. Advertising expenses are included in </w:t>
      </w: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on our Consolidated Statements of Operations.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primarily consist of employee compensation such as salaries, bonuses, equity-based compensation, and other employee-related benefits for our engineering and product management teams, as well as overhead costs, and technology.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valuation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21105"/>
                <wp:effectExtent l="0" t="0" r="0" b="0"/>
                <wp:wrapNone/>
                <wp:docPr id="17" name="Frame1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Goodwill and Acquired Intangible Assets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technology, customer relationships, trade names or brand portfolios, and other intangible assets are related to historical acquisitions (refer to Note 5 - Goodwill and Acquired Intangible Assets). Acquired intangible assets are amortized on a straight-line basis over the estimated period over which we expect to realize economic value related to the intangible asset. The amortization periods generally range from 2 years to 15 years. Any costs incurred to renew or extend the life of an intangible or long-lived asset are reviewed for capitalization.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 lived intangible assets were recorded for the three month periods ended March 31, 2025 and 2024.</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Impairment and Abandonment of Long-lived Assets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acquired intangible assets, and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fair value of the asset. The estimated future cash flows associated with the right-of-use assets under Accounting Standards Codification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No impairment charges were recorded for the three month periods ended March 31, 2025 and 2024.</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lease right-of-use asset has been abandoned, the estimated useful life of the asset is updated to reflect the cease use date, and the remaining carrying value of the asset is amortized ratably over the period between the commitment date and the cease use date. No lease abandonment charges were recorded for the three month periods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21105"/>
                <wp:effectExtent l="0" t="0" r="0" b="0"/>
                <wp:wrapNone/>
                <wp:docPr id="18" name="Frame1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Short-term leases, defined as leases having an original lease term less than or equal to one year, are excluded from our right-of-use assets and lease liabilities.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Derivative Instruments and Hedging Activities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FASB’s ASC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 risk-related contingent features in derivative instruments.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21105"/>
                <wp:effectExtent l="0" t="0" r="0" b="0"/>
                <wp:wrapNone/>
                <wp:docPr id="19" name="Frame1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Unearned Revenue</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sans-serif" w:hAnsi="Times New Roman;sans-serif"/>
          <w:b w:val="false"/>
          <w:i/>
          <w:color w:val="000000"/>
          <w:sz w:val="20"/>
        </w:rPr>
        <w:t>Unearned revenue, current portion</w:t>
      </w:r>
      <w:r>
        <w:rPr>
          <w:color w:val="000000"/>
        </w:rPr>
        <w:t xml:space="preserve"> </w:t>
      </w:r>
      <w:r>
        <w:rPr>
          <w:rFonts w:ascii="Times New Roman;sans-serif" w:hAnsi="Times New Roman;sans-serif"/>
          <w:b w:val="false"/>
          <w:color w:val="000000"/>
          <w:sz w:val="20"/>
        </w:rPr>
        <w:t xml:space="preserve">and the remaining portion is included in </w:t>
      </w:r>
      <w:r>
        <w:rPr>
          <w:rFonts w:ascii="Times New Roman;sans-serif" w:hAnsi="Times New Roman;sans-serif"/>
          <w:b w:val="false"/>
          <w:i/>
          <w:color w:val="000000"/>
          <w:sz w:val="20"/>
        </w:rPr>
        <w:t>Unearned revenue, net of current portion</w:t>
      </w:r>
      <w:r>
        <w:rPr>
          <w:color w:val="000000"/>
        </w:rPr>
        <w:t xml:space="preserve"> </w:t>
      </w:r>
      <w:r>
        <w:rPr>
          <w:rFonts w:ascii="Times New Roman;sans-serif" w:hAnsi="Times New Roman;sans-serif"/>
          <w:b w:val="false"/>
          <w:color w:val="000000"/>
          <w:sz w:val="20"/>
        </w:rPr>
        <w:t>on our Consolidated Balance Sheets.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 xml:space="preserve">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sans-serif" w:hAnsi="Times New Roman;sans-serif"/>
          <w:b w:val="false"/>
          <w:i/>
          <w:color w:val="000000"/>
          <w:sz w:val="20"/>
        </w:rPr>
        <w:t xml:space="preserve">Loss on debt modification and extinguishment </w:t>
      </w:r>
      <w:r>
        <w:rPr>
          <w:rFonts w:ascii="Times New Roman;sans-serif" w:hAnsi="Times New Roman;sans-serif"/>
          <w:b w:val="false"/>
          <w:color w:val="000000"/>
          <w:sz w:val="20"/>
        </w:rPr>
        <w:t>in our Consolidated Statements of Operations.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initial public offering, we entered into two Tax Receivable Agreements (the “TRAs”) with certain non-controlling interest holders (the “TRA Holders”). The TRAs generally provide for payment by the Company to the TRA Holders of 85% of the net cash savings, if any, in U.S. federal, state and local income tax or franchise tax based on income that the Company actually realizes or is deemed to realize in certain circumstances. The Company will retain the benefit of the remaining 15% of these net cash savings.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We account for amounts payable under the TRAs in accordance with ASC Topic 450,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xml:space="preserve">. Amounts payable under the TRAs are accrued by a charge to income when it is probable that a liability has been incurred and the amount is estimable. Liabilities relating to our TRAs are classified as current or noncurrent based on the expected date of payment and are included on our Consolidated Balance Sheets under the captions </w:t>
      </w:r>
      <w:r>
        <w:rPr>
          <w:rFonts w:ascii="Times New Roman;sans-serif" w:hAnsi="Times New Roman;sans-serif"/>
          <w:b w:val="false"/>
          <w:i/>
          <w:color w:val="000000"/>
          <w:sz w:val="20"/>
        </w:rPr>
        <w:t>Current portion of tax receivable agreements liability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Tax receivable agreements liability, net of current portion,</w:t>
      </w:r>
      <w:r>
        <w:rPr>
          <w:color w:val="000000"/>
        </w:rPr>
        <w:t xml:space="preserve"> </w:t>
      </w:r>
      <w:r>
        <w:rPr>
          <w:rFonts w:ascii="Times New Roman;sans-serif" w:hAnsi="Times New Roman;sans-serif"/>
          <w:b w:val="false"/>
          <w:color w:val="000000"/>
          <w:sz w:val="20"/>
        </w:rPr>
        <w:t xml:space="preserve">respectively. Subsequent changes to the measurement of the liabilities relating to our TRAs are recognized in our Consolidated Statements of Operations as a component of </w:t>
      </w:r>
      <w:r>
        <w:rPr>
          <w:rFonts w:ascii="Times New Roman;sans-serif" w:hAnsi="Times New Roman;sans-serif"/>
          <w:b w:val="false"/>
          <w:i/>
          <w:color w:val="000000"/>
          <w:sz w:val="20"/>
        </w:rPr>
        <w:t>Other loss, net</w:t>
      </w:r>
      <w:r>
        <w:rPr>
          <w:rFonts w:ascii="Times New Roman;sans-serif" w:hAnsi="Times New Roman;sans-serif"/>
          <w:b w:val="false"/>
          <w:color w:val="000000"/>
          <w:sz w:val="20"/>
        </w:rPr>
        <w:t>. Refer to Note 14 - Tax Receivable Agreements for additional information.</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deferred tax assets and liabilities based on temporary differences between the financial statement carrying amounts and tax bases of existing assets and liabilities using tax rates expected to be in effect in the year in which the differences are expected to reverse. Deferred tax assets are reduced by a valuation allowance if it is more likely than not that some portion or all of the deferred tax assets will not be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221105"/>
                <wp:effectExtent l="0" t="0" r="0" b="0"/>
                <wp:wrapNone/>
                <wp:docPr id="20" name="Frame2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on the Consolidated Statements of Operations. Refer to Note 15 - Income Taxes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Equity-Based Compensation Expense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grants incentive awards to employees and non-employees, which generally vest over periods of up to four years. Incentive awards may be in the form of various equity-based awards such as common stock, subject to certain specified restrictions (which may include, without limitation, a requirement that the recipient remain continuously employed or provide continuous services for a specified period of time), granted under Section 8 of the 2020 Omnibus Incentive Plan (“Restricted Stock”) and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Plan (“restricted stock units”, or “RSU”), and common stock options.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 Compensation expense for market-based restricted stock units is measured at the estimated fair value using a Monte Carlo simulation model, which requires the use of various assumptions, including the stock price volatility and risk-free interest rate as of the valuation date corresponding to the length of time remaining in the performance period. This expense is recognized using the accelerated attribution method over the service period and is not reversed if the market condition is not met.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Black-Scholes option pricing model to determine the fair value of stock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the Company’s Employee Stock Purchase Plan is measured at the estimated fair value using the Black-Scholes option pricing model using the estimated number of awards as of the beginning of the offering period.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21105"/>
                <wp:effectExtent l="0" t="0" r="0" b="0"/>
                <wp:wrapNone/>
                <wp:docPr id="21" name="Frame2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Board authorized a program to repurchase the Company’s common stock (the “Share Repurchase Program”). In February 2025, the Board authorized an additional $500.0 million bringing the aggregate total authorizations as of March 31, 2025 to $1.6 billion, of which $542.5 million remained available and authorized for repurchases.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repurchased and subsequently retired 8,598,274 shares of common stock at an average price of $11.05, for an aggregate $95.0 million. During the three months ended March 31, 2024, the Company repurchased and subsequently retired 9,623,255 shares of common stock at an average price of $15.90, for an aggregate $153.1 million.</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Inflation Reduction Act of 2022, enacted into law on August 16, 2022, imposed a nondeductible 1% excise tax on the net value of certain stock repurchases made after December 31, 2022. The Company calculates excise tax due based on the year-to-date amount repurchased in excess of the fair market value of shares issued and is included within </w:t>
      </w:r>
      <w:r>
        <w:rPr>
          <w:rFonts w:ascii="Times New Roman;sans-serif" w:hAnsi="Times New Roman;sans-serif"/>
          <w:b w:val="false"/>
          <w:i/>
          <w:color w:val="000000"/>
          <w:sz w:val="20"/>
        </w:rPr>
        <w:t>Accrued expenses and other current liabilities</w:t>
      </w:r>
      <w:r>
        <w:rPr>
          <w:color w:val="000000"/>
        </w:rPr>
        <w:t xml:space="preserve"> </w:t>
      </w:r>
      <w:r>
        <w:rPr>
          <w:rFonts w:ascii="Times New Roman;sans-serif" w:hAnsi="Times New Roman;sans-serif"/>
          <w:b w:val="false"/>
          <w:color w:val="000000"/>
          <w:sz w:val="20"/>
        </w:rPr>
        <w:t xml:space="preserve">on our Consolidated Balance Sheets. During the three months ended March 31, 2025 and 2024, the Company recorded the associated excise taxes of $0.8 million and $1.4 million, respectively. Excise taxes associated with these share repurchases are presented within </w:t>
      </w:r>
      <w:r>
        <w:rPr>
          <w:rFonts w:ascii="Times New Roman;sans-serif" w:hAnsi="Times New Roman;sans-serif"/>
          <w:b w:val="false"/>
          <w:i/>
          <w:color w:val="000000"/>
          <w:sz w:val="20"/>
        </w:rPr>
        <w:t>Repurchase of common stock</w:t>
      </w:r>
      <w:r>
        <w:rPr>
          <w:color w:val="000000"/>
        </w:rPr>
        <w:t xml:space="preserve"> </w:t>
      </w:r>
      <w:r>
        <w:rPr>
          <w:rFonts w:ascii="Times New Roman;sans-serif" w:hAnsi="Times New Roman;sans-serif"/>
          <w:b w:val="false"/>
          <w:color w:val="000000"/>
          <w:sz w:val="20"/>
        </w:rPr>
        <w:t xml:space="preserve">on our Consolidated Statements of Changes in Stockholders’ Equity, as a reduction to </w:t>
      </w:r>
      <w:r>
        <w:rPr>
          <w:rFonts w:ascii="Times New Roman;sans-serif" w:hAnsi="Times New Roman;sans-serif"/>
          <w:b w:val="false"/>
          <w:i/>
          <w:color w:val="000000"/>
          <w:sz w:val="20"/>
        </w:rPr>
        <w:t>Additional paid-in capital</w:t>
      </w:r>
      <w:r>
        <w:rPr>
          <w:rFonts w:ascii="Times New Roman;sans-serif" w:hAnsi="Times New Roman;sans-serif"/>
          <w:b w:val="false"/>
          <w:color w:val="000000"/>
          <w:sz w:val="20"/>
        </w:rPr>
        <w:t>. During the three months ended March 31, 2025, and 2024, the Company made no excise tax payments.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In November 2024, the Financial Accounting Standards Board (“FASB”) issued Accounting Standards Update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xml:space="preserve">, which requires additional disclosure of the nature of expenses included in the income statement. The standard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This standard will be effective for the Company for the annual period beginning January 1, 2027 and interim period beginning January 1, 2028, with early adoption permitted. The requirements should be applied on a prospective basis while retrospective application is permitted. In January 2025, the FASB issued ASU 2025-01, </w:t>
      </w:r>
      <w:r>
        <w:rPr>
          <w:rFonts w:ascii="Times New Roman;sans-serif" w:hAnsi="Times New Roman;sans-serif"/>
          <w:b w:val="false"/>
          <w:i/>
          <w:color w:val="000000"/>
          <w:sz w:val="20"/>
        </w:rPr>
        <w:t>Income Statement - Reporting Comprehensive Income - Expense Disaggregation Disclosures (Subtopic 220-40): Clarifying the Effective Date</w:t>
      </w:r>
      <w:r>
        <w:rPr>
          <w:rFonts w:ascii="Times New Roman;sans-serif" w:hAnsi="Times New Roman;sans-serif"/>
          <w:b w:val="false"/>
          <w:color w:val="000000"/>
          <w:sz w:val="20"/>
        </w:rPr>
        <w:t>. The Company is currently evaluating the disclosure impacts of ASU 2024-03 on its consolidated financial statements as well as the impacts to its financial reporting process and related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21105"/>
                <wp:effectExtent l="0" t="0" r="0" b="0"/>
                <wp:wrapNone/>
                <wp:docPr id="22" name="Frame2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Pr>
          <w:t xml:space="preserve">Table of </w:t>
        </w:r>
      </w:hyperlink>
      <w:hyperlink w:anchor="ibb9be4766225406fba359bf10824b451_7">
        <w:r>
          <w:rPr>
            <w:rStyle w:val="InternetLink"/>
          </w:rPr>
          <w:t>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In October 2023, the FASB issued ASU 2023-06, </w:t>
      </w:r>
      <w:r>
        <w:rPr>
          <w:rFonts w:ascii="Times New Roman;sans-serif" w:hAnsi="Times New Roman;sans-serif"/>
          <w:b w:val="false"/>
          <w:i/>
          <w:color w:val="000000"/>
          <w:sz w:val="20"/>
        </w:rPr>
        <w:t>Disclosure Improvements: Codification Amendments in Response to the SEC’s Disclosure Update and Simplification Initiative</w:t>
      </w:r>
      <w:r>
        <w:rPr>
          <w:rFonts w:ascii="Times New Roman;sans-serif" w:hAnsi="Times New Roman;sans-serif"/>
          <w:b w:val="false"/>
          <w:color w:val="000000"/>
          <w:sz w:val="20"/>
        </w:rPr>
        <w:t>. The amendments in this ASU incorporate into the FASB’s ASC certain SEC disclosure requirements that were referred to the FASB and overlap with, but require incremental information to, U.S. GAAP. The effective date for each amendment will be the date on which the SEC’s removal of that related disclosure from Regulation S-X or Regulation S-K becomes effective, with early adoption prohibited, and applied prospectively. If by June 30, 2027, the SEC has not removed the applicable requirement from Regulation S-X or Regulation S-K, the pending content of the related amendment will be removed from FASB’s ASC and will not become effective for any entity. The Company does not expect this ASU to have a material impact on its consolidated financial statements.</w:t>
      </w:r>
    </w:p>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disaggregation of rate reconciliation categories and income taxes paid by jurisdiction. The new standard will be effective for the Company for the annual period beginning January 1, 2025 on a prospective basis, with a retrospective option, and early adoption is permitted. The Company adopted this standard beginning in 2025 and expects to provide incremental annual disclosures beginning with the Company’s Annual Report on Form 10-K for the fiscal year ended December 31, 2025. However, there was no impact to the consolidated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2 - Revenue from Contracts with Customers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comprised the following service offerings:</w:t>
      </w:r>
    </w:p>
    <w:tbl>
      <w:tblPr>
        <w:tblW w:w="4511" w:type="dxa"/>
        <w:jc w:val="left"/>
        <w:tblInd w:w="0" w:type="dxa"/>
        <w:tblLayout w:type="fixed"/>
        <w:tblCellMar>
          <w:top w:w="28" w:type="dxa"/>
          <w:left w:w="28" w:type="dxa"/>
          <w:bottom w:w="28" w:type="dxa"/>
          <w:right w:w="28" w:type="dxa"/>
        </w:tblCellMar>
      </w:tblPr>
      <w:tblGrid>
        <w:gridCol w:w="450"/>
        <w:gridCol w:w="396"/>
        <w:gridCol w:w="398"/>
        <w:gridCol w:w="267"/>
        <w:gridCol w:w="781"/>
        <w:gridCol w:w="138"/>
        <w:gridCol w:w="138"/>
        <w:gridCol w:w="138"/>
        <w:gridCol w:w="138"/>
        <w:gridCol w:w="267"/>
        <w:gridCol w:w="781"/>
        <w:gridCol w:w="138"/>
        <w:gridCol w:w="109"/>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Usage-based</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is comprised primarily of Go-To-Market business intelligence tools that allow our customers to access our SaaS to support sales, marketing and recruiting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is comprised largely of implementation and professional services fees. We recognize other revenue as services are delivered.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revenue recognized in the three months ended March 31, 2025, $242.7 million were included in the unearned revenue balance as of December 31, 2024. Of the total revenue recognized in the three months ended March 31, 2024, $245.2 million were included in the unearned revenue balance as of December 31, 2023. Revenue recognized from performance obligations satisfied (or partially satisfied) in previous periods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21105"/>
                <wp:effectExtent l="0" t="0" r="0" b="0"/>
                <wp:wrapNone/>
                <wp:docPr id="23" name="Frame2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2 - Revenue from Contracts with Customers (continued)</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Contract Assets and Unearned Revenue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As of March 31, 2025 and December 31, 2024, the Company had contract assets of $2.7 million and $5.0 million, respectively, which are recorded within</w:t>
      </w:r>
      <w:r>
        <w:rPr>
          <w:color w:val="000000"/>
        </w:rPr>
        <w:t xml:space="preserve">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on our Consolidated Balance Sheets. As of March 31, 2025 and December 31, 2024, the Company had unearned revenue of $484.4 million and $477.9 million, respectively.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performance obligations consisted of the following:</w:t>
      </w:r>
    </w:p>
    <w:tbl>
      <w:tblPr>
        <w:tblW w:w="7455" w:type="dxa"/>
        <w:jc w:val="left"/>
        <w:tblInd w:w="0" w:type="dxa"/>
        <w:tblLayout w:type="fixed"/>
        <w:tblCellMar>
          <w:top w:w="28" w:type="dxa"/>
          <w:left w:w="28" w:type="dxa"/>
          <w:bottom w:w="28" w:type="dxa"/>
          <w:right w:w="28" w:type="dxa"/>
        </w:tblCellMar>
      </w:tblPr>
      <w:tblGrid>
        <w:gridCol w:w="782"/>
        <w:gridCol w:w="688"/>
        <w:gridCol w:w="690"/>
        <w:gridCol w:w="546"/>
        <w:gridCol w:w="1598"/>
        <w:gridCol w:w="285"/>
        <w:gridCol w:w="109"/>
        <w:gridCol w:w="109"/>
        <w:gridCol w:w="109"/>
        <w:gridCol w:w="243"/>
        <w:gridCol w:w="711"/>
        <w:gridCol w:w="127"/>
        <w:gridCol w:w="109"/>
        <w:gridCol w:w="109"/>
        <w:gridCol w:w="109"/>
        <w:gridCol w:w="211"/>
        <w:gridCol w:w="76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Recognized 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w:t>
            </w:r>
          </w:p>
        </w:tc>
        <w:tc>
          <w:tcPr>
            <w:tcW w:w="5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21105"/>
                <wp:effectExtent l="0" t="0" r="0" b="0"/>
                <wp:wrapNone/>
                <wp:docPr id="24" name="Frame2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300" w:after="18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3 - Cash, Cash Equivalents, and Investments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investments consisted of the following as of March 31, 2025:</w:t>
      </w:r>
    </w:p>
    <w:tbl>
      <w:tblPr>
        <w:tblW w:w="10205" w:type="dxa"/>
        <w:jc w:val="left"/>
        <w:tblInd w:w="0" w:type="dxa"/>
        <w:tblLayout w:type="fixed"/>
        <w:tblCellMar>
          <w:top w:w="28" w:type="dxa"/>
          <w:left w:w="28" w:type="dxa"/>
          <w:bottom w:w="28" w:type="dxa"/>
          <w:right w:w="28" w:type="dxa"/>
        </w:tblCellMar>
      </w:tblPr>
      <w:tblGrid>
        <w:gridCol w:w="1231"/>
        <w:gridCol w:w="1050"/>
        <w:gridCol w:w="1019"/>
        <w:gridCol w:w="294"/>
        <w:gridCol w:w="863"/>
        <w:gridCol w:w="153"/>
        <w:gridCol w:w="109"/>
        <w:gridCol w:w="109"/>
        <w:gridCol w:w="109"/>
        <w:gridCol w:w="414"/>
        <w:gridCol w:w="798"/>
        <w:gridCol w:w="215"/>
        <w:gridCol w:w="109"/>
        <w:gridCol w:w="109"/>
        <w:gridCol w:w="109"/>
        <w:gridCol w:w="428"/>
        <w:gridCol w:w="823"/>
        <w:gridCol w:w="221"/>
        <w:gridCol w:w="109"/>
        <w:gridCol w:w="109"/>
        <w:gridCol w:w="109"/>
        <w:gridCol w:w="366"/>
        <w:gridCol w:w="1070"/>
        <w:gridCol w:w="279"/>
      </w:tblGrid>
      <w:tr>
        <w:trPr/>
        <w:tc>
          <w:tcPr>
            <w:tcW w:w="123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9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94"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5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27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31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94"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investments</w:t>
            </w:r>
          </w:p>
        </w:tc>
        <w:tc>
          <w:tcPr>
            <w:tcW w:w="294"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3"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279" w:type="dxa"/>
            <w:tcBorders>
              <w:top w:val="single" w:sz="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consisted of the following as of December 31, 2024:</w:t>
      </w:r>
    </w:p>
    <w:tbl>
      <w:tblPr>
        <w:tblW w:w="10205" w:type="dxa"/>
        <w:jc w:val="left"/>
        <w:tblInd w:w="0" w:type="dxa"/>
        <w:tblLayout w:type="fixed"/>
        <w:tblCellMar>
          <w:top w:w="28" w:type="dxa"/>
          <w:left w:w="28" w:type="dxa"/>
          <w:bottom w:w="28" w:type="dxa"/>
          <w:right w:w="28" w:type="dxa"/>
        </w:tblCellMar>
      </w:tblPr>
      <w:tblGrid>
        <w:gridCol w:w="964"/>
        <w:gridCol w:w="849"/>
        <w:gridCol w:w="856"/>
        <w:gridCol w:w="318"/>
        <w:gridCol w:w="933"/>
        <w:gridCol w:w="166"/>
        <w:gridCol w:w="109"/>
        <w:gridCol w:w="109"/>
        <w:gridCol w:w="109"/>
        <w:gridCol w:w="454"/>
        <w:gridCol w:w="874"/>
        <w:gridCol w:w="235"/>
        <w:gridCol w:w="109"/>
        <w:gridCol w:w="109"/>
        <w:gridCol w:w="109"/>
        <w:gridCol w:w="471"/>
        <w:gridCol w:w="907"/>
        <w:gridCol w:w="244"/>
        <w:gridCol w:w="109"/>
        <w:gridCol w:w="109"/>
        <w:gridCol w:w="109"/>
        <w:gridCol w:w="418"/>
        <w:gridCol w:w="1222"/>
        <w:gridCol w:w="313"/>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3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8 - Fair Value for further information regarding the fair value of our financial instruments.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unrealized losses on our available-for sale securities were immaterial at March 31, 2025 and December 31, 2024.</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following table summarizes the cost and estimated fair value of the securities classified as short-term or long-term investments (included 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on our Consolidated Balance Sheets) based on stated effective maturities as of March 31, 2025 and December 31, 2024:</w:t>
      </w:r>
    </w:p>
    <w:tbl>
      <w:tblPr>
        <w:tblW w:w="10205" w:type="dxa"/>
        <w:jc w:val="left"/>
        <w:tblInd w:w="0" w:type="dxa"/>
        <w:tblLayout w:type="fixed"/>
        <w:tblCellMar>
          <w:top w:w="28" w:type="dxa"/>
          <w:left w:w="28" w:type="dxa"/>
          <w:bottom w:w="28" w:type="dxa"/>
          <w:right w:w="28" w:type="dxa"/>
        </w:tblCellMar>
      </w:tblPr>
      <w:tblGrid>
        <w:gridCol w:w="899"/>
        <w:gridCol w:w="781"/>
        <w:gridCol w:w="784"/>
        <w:gridCol w:w="109"/>
        <w:gridCol w:w="109"/>
        <w:gridCol w:w="109"/>
        <w:gridCol w:w="399"/>
        <w:gridCol w:w="770"/>
        <w:gridCol w:w="208"/>
        <w:gridCol w:w="109"/>
        <w:gridCol w:w="109"/>
        <w:gridCol w:w="109"/>
        <w:gridCol w:w="526"/>
        <w:gridCol w:w="1014"/>
        <w:gridCol w:w="273"/>
        <w:gridCol w:w="109"/>
        <w:gridCol w:w="109"/>
        <w:gridCol w:w="109"/>
        <w:gridCol w:w="399"/>
        <w:gridCol w:w="770"/>
        <w:gridCol w:w="208"/>
        <w:gridCol w:w="109"/>
        <w:gridCol w:w="109"/>
        <w:gridCol w:w="109"/>
        <w:gridCol w:w="508"/>
        <w:gridCol w:w="978"/>
        <w:gridCol w:w="380"/>
      </w:tblGrid>
      <w:tr>
        <w:trPr/>
        <w:tc>
          <w:tcPr>
            <w:tcW w:w="89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between one and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21105"/>
                <wp:effectExtent l="0" t="0" r="0" b="0"/>
                <wp:wrapNone/>
                <wp:docPr id="25" name="Frame2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4 - Property and Equipment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property and equipment consist of the following:</w:t>
      </w:r>
    </w:p>
    <w:tbl>
      <w:tblPr>
        <w:tblW w:w="5292" w:type="dxa"/>
        <w:jc w:val="left"/>
        <w:tblInd w:w="0" w:type="dxa"/>
        <w:tblLayout w:type="fixed"/>
        <w:tblCellMar>
          <w:top w:w="28" w:type="dxa"/>
          <w:left w:w="28" w:type="dxa"/>
          <w:bottom w:w="28" w:type="dxa"/>
          <w:right w:w="28" w:type="dxa"/>
        </w:tblCellMar>
      </w:tblPr>
      <w:tblGrid>
        <w:gridCol w:w="970"/>
        <w:gridCol w:w="853"/>
        <w:gridCol w:w="862"/>
        <w:gridCol w:w="220"/>
        <w:gridCol w:w="642"/>
        <w:gridCol w:w="113"/>
        <w:gridCol w:w="109"/>
        <w:gridCol w:w="109"/>
        <w:gridCol w:w="109"/>
        <w:gridCol w:w="280"/>
        <w:gridCol w:w="819"/>
        <w:gridCol w:w="206"/>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developed software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2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$7.4 million and $5.2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5 - Goodwill and Acquired Intangible Assets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$1,692.7 million as of March 31, 2025 and December 31, 2024. There were no events or circumstances indicating that goodwill might be impaired as of March 31, 2025.</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other than goodwill, consisted of the following as of March 31, 2025 and December 31, 2024, respectively:</w:t>
      </w:r>
    </w:p>
    <w:tbl>
      <w:tblPr>
        <w:tblW w:w="10205" w:type="dxa"/>
        <w:jc w:val="center"/>
        <w:tblInd w:w="0" w:type="dxa"/>
        <w:tblLayout w:type="fixed"/>
        <w:tblCellMar>
          <w:top w:w="28" w:type="dxa"/>
          <w:left w:w="28" w:type="dxa"/>
          <w:bottom w:w="28" w:type="dxa"/>
          <w:right w:w="28" w:type="dxa"/>
        </w:tblCellMar>
      </w:tblPr>
      <w:tblGrid>
        <w:gridCol w:w="1016"/>
        <w:gridCol w:w="772"/>
        <w:gridCol w:w="776"/>
        <w:gridCol w:w="326"/>
        <w:gridCol w:w="954"/>
        <w:gridCol w:w="168"/>
        <w:gridCol w:w="109"/>
        <w:gridCol w:w="109"/>
        <w:gridCol w:w="109"/>
        <w:gridCol w:w="382"/>
        <w:gridCol w:w="1146"/>
        <w:gridCol w:w="199"/>
        <w:gridCol w:w="109"/>
        <w:gridCol w:w="109"/>
        <w:gridCol w:w="109"/>
        <w:gridCol w:w="211"/>
        <w:gridCol w:w="616"/>
        <w:gridCol w:w="109"/>
        <w:gridCol w:w="109"/>
        <w:gridCol w:w="109"/>
        <w:gridCol w:w="109"/>
        <w:gridCol w:w="744"/>
        <w:gridCol w:w="744"/>
        <w:gridCol w:w="1061"/>
      </w:tblGrid>
      <w:tr>
        <w:trPr/>
        <w:tc>
          <w:tcPr>
            <w:tcW w:w="10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Amortization Period in Years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portfolio</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Pre-Acquisition ZI brand portfolio</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not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w:t>
            </w:r>
          </w:p>
        </w:tc>
        <w:tc>
          <w:tcPr>
            <w:tcW w:w="1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21105"/>
                <wp:effectExtent l="0" t="0" r="0" b="0"/>
                <wp:wrapNone/>
                <wp:docPr id="26" name="Frame2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5 - Goodwill and Acquired Intangible Assets (continued)</w:t>
      </w:r>
    </w:p>
    <w:tbl>
      <w:tblPr>
        <w:tblW w:w="10205" w:type="dxa"/>
        <w:jc w:val="left"/>
        <w:tblInd w:w="0" w:type="dxa"/>
        <w:tblLayout w:type="fixed"/>
        <w:tblCellMar>
          <w:top w:w="28" w:type="dxa"/>
          <w:left w:w="28" w:type="dxa"/>
          <w:bottom w:w="28" w:type="dxa"/>
          <w:right w:w="28" w:type="dxa"/>
        </w:tblCellMar>
      </w:tblPr>
      <w:tblGrid>
        <w:gridCol w:w="1016"/>
        <w:gridCol w:w="772"/>
        <w:gridCol w:w="776"/>
        <w:gridCol w:w="326"/>
        <w:gridCol w:w="954"/>
        <w:gridCol w:w="168"/>
        <w:gridCol w:w="109"/>
        <w:gridCol w:w="109"/>
        <w:gridCol w:w="109"/>
        <w:gridCol w:w="382"/>
        <w:gridCol w:w="1146"/>
        <w:gridCol w:w="199"/>
        <w:gridCol w:w="109"/>
        <w:gridCol w:w="109"/>
        <w:gridCol w:w="109"/>
        <w:gridCol w:w="211"/>
        <w:gridCol w:w="616"/>
        <w:gridCol w:w="109"/>
        <w:gridCol w:w="109"/>
        <w:gridCol w:w="109"/>
        <w:gridCol w:w="109"/>
        <w:gridCol w:w="744"/>
        <w:gridCol w:w="744"/>
        <w:gridCol w:w="1061"/>
      </w:tblGrid>
      <w:tr>
        <w:trPr/>
        <w:tc>
          <w:tcPr>
            <w:tcW w:w="10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Amortization Period in Years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portfolio</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Pre-Acquisition ZI brand portfolio</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not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w:t>
            </w:r>
          </w:p>
        </w:tc>
        <w:tc>
          <w:tcPr>
            <w:tcW w:w="1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$14.7 million and $14.8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6 - Financing Arrangements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carrying values of the Company’s borrowings were as follows (in millions):</w:t>
      </w:r>
    </w:p>
    <w:tbl>
      <w:tblPr>
        <w:tblW w:w="10205" w:type="dxa"/>
        <w:jc w:val="left"/>
        <w:tblInd w:w="0" w:type="dxa"/>
        <w:tblLayout w:type="fixed"/>
        <w:tblCellMar>
          <w:top w:w="28" w:type="dxa"/>
          <w:left w:w="28" w:type="dxa"/>
          <w:bottom w:w="28" w:type="dxa"/>
          <w:right w:w="28" w:type="dxa"/>
        </w:tblCellMar>
      </w:tblPr>
      <w:tblGrid>
        <w:gridCol w:w="570"/>
        <w:gridCol w:w="499"/>
        <w:gridCol w:w="503"/>
        <w:gridCol w:w="109"/>
        <w:gridCol w:w="109"/>
        <w:gridCol w:w="109"/>
        <w:gridCol w:w="421"/>
        <w:gridCol w:w="421"/>
        <w:gridCol w:w="423"/>
        <w:gridCol w:w="109"/>
        <w:gridCol w:w="109"/>
        <w:gridCol w:w="109"/>
        <w:gridCol w:w="450"/>
        <w:gridCol w:w="450"/>
        <w:gridCol w:w="452"/>
        <w:gridCol w:w="109"/>
        <w:gridCol w:w="109"/>
        <w:gridCol w:w="109"/>
        <w:gridCol w:w="497"/>
        <w:gridCol w:w="497"/>
        <w:gridCol w:w="499"/>
        <w:gridCol w:w="109"/>
        <w:gridCol w:w="109"/>
        <w:gridCol w:w="109"/>
        <w:gridCol w:w="256"/>
        <w:gridCol w:w="933"/>
        <w:gridCol w:w="132"/>
        <w:gridCol w:w="109"/>
        <w:gridCol w:w="109"/>
        <w:gridCol w:w="109"/>
        <w:gridCol w:w="290"/>
        <w:gridCol w:w="1056"/>
        <w:gridCol w:w="221"/>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 of 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Elected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5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1,226.8 </w:t>
            </w:r>
          </w:p>
        </w:tc>
        <w:tc>
          <w:tcPr>
            <w:tcW w:w="1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1,227.7 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1,220.9 </w:t>
            </w:r>
          </w:p>
        </w:tc>
        <w:tc>
          <w:tcPr>
            <w:tcW w:w="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1,221.8 </w:t>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First Lien Credit Agreement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Create or incur liens;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Engage in certain fundamental changes, including mergers or consolidations;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Sell or transfer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221105"/>
                <wp:effectExtent l="0" t="0" r="0" b="0"/>
                <wp:wrapNone/>
                <wp:docPr id="27" name="Frame2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6 - Financing Arrangements (continued)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Pay dividends and distributions on our subsidiaries’ capital stock;</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Make acquisitions, investments, loans or advances;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Engage in certain transactions with affiliates; and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Enter into negative pledge clauses and clauses restricting subsidiary distributions.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Term Loan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we entered into an amendment to our existing First Lien Credit Agreement (the “Seventh Amendment”), pursuant to which the Company completed a repricing of its First Lien Term Loan Facility, which decreased the applicable rate for Base Rate loans from 1.25% to 0.75% and SOFR based loans from 2.25% to 1.75%. Under the terms of the Seventh Amendment, the Company is obligated to make principal payments in the amount of 0.25% of the aggregate outstanding amount as of the latest amendment.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on the first lien debt was 6.32% and 6.56% as of March 31, 2025 and December 31, 2024, respectively.</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First Lien Revolving Credit Facility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revolving debt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7 - Derivatives and Hedging Activities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Interest Rate Hedges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the following outstanding interest rate derivatives that were designated as cash flow hedges of interest rate risk (in millions):</w:t>
      </w:r>
    </w:p>
    <w:tbl>
      <w:tblPr>
        <w:tblW w:w="10205" w:type="dxa"/>
        <w:jc w:val="left"/>
        <w:tblInd w:w="0" w:type="dxa"/>
        <w:tblLayout w:type="fixed"/>
        <w:tblCellMar>
          <w:top w:w="28" w:type="dxa"/>
          <w:left w:w="28" w:type="dxa"/>
          <w:bottom w:w="28" w:type="dxa"/>
          <w:right w:w="28" w:type="dxa"/>
        </w:tblCellMar>
      </w:tblPr>
      <w:tblGrid>
        <w:gridCol w:w="834"/>
        <w:gridCol w:w="733"/>
        <w:gridCol w:w="735"/>
        <w:gridCol w:w="567"/>
        <w:gridCol w:w="567"/>
        <w:gridCol w:w="569"/>
        <w:gridCol w:w="109"/>
        <w:gridCol w:w="109"/>
        <w:gridCol w:w="109"/>
        <w:gridCol w:w="820"/>
        <w:gridCol w:w="820"/>
        <w:gridCol w:w="822"/>
        <w:gridCol w:w="109"/>
        <w:gridCol w:w="109"/>
        <w:gridCol w:w="109"/>
        <w:gridCol w:w="373"/>
        <w:gridCol w:w="324"/>
        <w:gridCol w:w="741"/>
        <w:gridCol w:w="109"/>
        <w:gridCol w:w="109"/>
        <w:gridCol w:w="109"/>
        <w:gridCol w:w="383"/>
        <w:gridCol w:w="383"/>
        <w:gridCol w:w="553"/>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Derivatives (Level 2)</w:t>
            </w:r>
          </w:p>
        </w:tc>
        <w:tc>
          <w:tcPr>
            <w:tcW w:w="1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Notional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Swap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r>
      <w:tr>
        <w:trPr/>
        <w:tc>
          <w:tcPr>
            <w:tcW w:w="23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1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0.370 </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30,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21105"/>
                <wp:effectExtent l="0" t="0" r="0" b="0"/>
                <wp:wrapNone/>
                <wp:docPr id="28" name="Frame2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7 - Derivatives and Hedging Activities (continued)</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derivative interest rate swaps are designated and qualify as cash flow hedges. Consequently, the change in the estimated fair value of the effective portion of the derivative is recognized in </w:t>
      </w:r>
      <w:r>
        <w:rPr>
          <w:rFonts w:ascii="Times New Roman;sans-serif" w:hAnsi="Times New Roman;sans-serif"/>
          <w:b w:val="false"/>
          <w:i/>
          <w:color w:val="000000"/>
          <w:sz w:val="20"/>
        </w:rPr>
        <w:t>Accumulated other comprehensive income</w:t>
      </w:r>
      <w:r>
        <w:rPr>
          <w:color w:val="000000"/>
        </w:rPr>
        <w:t xml:space="preserve"> </w:t>
      </w:r>
      <w:r>
        <w:rPr>
          <w:rFonts w:ascii="Times New Roman;sans-serif" w:hAnsi="Times New Roman;sans-serif"/>
          <w:b w:val="false"/>
          <w:color w:val="000000"/>
          <w:sz w:val="20"/>
        </w:rPr>
        <w:t xml:space="preserve">on our Consolidated Balance Sheets and reclassified to </w:t>
      </w: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when the underlying transaction has an impact on earnings. The Company expects to recognize approximately $15 million of net pre-tax gains from accumulated other comprehensive income as a reduction of interest expense in the next twelve months associated with its interest rate swap.</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Refer to the Company’s Consolidated Statements of Comprehensive Income (Loss) for amounts reclassified from </w:t>
      </w:r>
      <w:r>
        <w:rPr>
          <w:rFonts w:ascii="Times New Roman;sans-serif" w:hAnsi="Times New Roman;sans-serif"/>
          <w:b w:val="false"/>
          <w:i/>
          <w:color w:val="000000"/>
          <w:sz w:val="20"/>
        </w:rPr>
        <w:t>Accumulated other comprehensive income</w:t>
      </w:r>
      <w:r>
        <w:rPr>
          <w:color w:val="000000"/>
        </w:rPr>
        <w:t xml:space="preserve"> </w:t>
      </w:r>
      <w:r>
        <w:rPr>
          <w:rFonts w:ascii="Times New Roman;sans-serif" w:hAnsi="Times New Roman;sans-serif"/>
          <w:b w:val="false"/>
          <w:color w:val="000000"/>
          <w:sz w:val="20"/>
        </w:rPr>
        <w:t>into earnings related to the Company’s derivative instruments designated as cash flow hedging instruments for each of the reporting periods.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Foreign Currency Hedges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derivative foreign currency forward contracts are designated and qualify as cash flow hedges. Consequently, the change in the estimated fair value of the effective portion of the derivative is recognized in </w:t>
      </w:r>
      <w:r>
        <w:rPr>
          <w:rFonts w:ascii="Times New Roman;sans-serif" w:hAnsi="Times New Roman;sans-serif"/>
          <w:b w:val="false"/>
          <w:i/>
          <w:color w:val="000000"/>
          <w:sz w:val="20"/>
        </w:rPr>
        <w:t>Accumulated other comprehensive income</w:t>
      </w:r>
      <w:r>
        <w:rPr>
          <w:color w:val="000000"/>
        </w:rPr>
        <w:t xml:space="preserve"> </w:t>
      </w:r>
      <w:r>
        <w:rPr>
          <w:rFonts w:ascii="Times New Roman;sans-serif" w:hAnsi="Times New Roman;sans-serif"/>
          <w:b w:val="false"/>
          <w:color w:val="000000"/>
          <w:sz w:val="20"/>
        </w:rPr>
        <w:t xml:space="preserve">on our Consolidated Balance Sheets and reclassified to revenue or operating expenses depending on the nature of the underlying transaction, when the underlying transaction has an impact on earnings. Impacts on </w:t>
      </w: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are presented as operating cash flows on our Consolidated Statements of Cash Flows in the period contracts are settled. During the three months ended March 31, 2025, the Company did not have any outstanding foreign currency derivatives designated as cash flow hedges.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and presentation on our Consolidated Balance Sheets for derivatives as of March 31, 2025 and December 31, 2024 (in millions):</w:t>
      </w:r>
    </w:p>
    <w:tbl>
      <w:tblPr>
        <w:tblW w:w="10205" w:type="dxa"/>
        <w:jc w:val="left"/>
        <w:tblInd w:w="0" w:type="dxa"/>
        <w:tblLayout w:type="fixed"/>
        <w:tblCellMar>
          <w:top w:w="28" w:type="dxa"/>
          <w:left w:w="28" w:type="dxa"/>
          <w:bottom w:w="28" w:type="dxa"/>
          <w:right w:w="28" w:type="dxa"/>
        </w:tblCellMar>
      </w:tblPr>
      <w:tblGrid>
        <w:gridCol w:w="1025"/>
        <w:gridCol w:w="897"/>
        <w:gridCol w:w="908"/>
        <w:gridCol w:w="109"/>
        <w:gridCol w:w="109"/>
        <w:gridCol w:w="109"/>
        <w:gridCol w:w="340"/>
        <w:gridCol w:w="825"/>
        <w:gridCol w:w="177"/>
        <w:gridCol w:w="117"/>
        <w:gridCol w:w="117"/>
        <w:gridCol w:w="117"/>
        <w:gridCol w:w="117"/>
        <w:gridCol w:w="453"/>
        <w:gridCol w:w="873"/>
        <w:gridCol w:w="236"/>
        <w:gridCol w:w="119"/>
        <w:gridCol w:w="119"/>
        <w:gridCol w:w="119"/>
        <w:gridCol w:w="340"/>
        <w:gridCol w:w="825"/>
        <w:gridCol w:w="177"/>
        <w:gridCol w:w="119"/>
        <w:gridCol w:w="119"/>
        <w:gridCol w:w="119"/>
        <w:gridCol w:w="439"/>
        <w:gridCol w:w="846"/>
        <w:gridCol w:w="335"/>
      </w:tblGrid>
      <w:tr>
        <w:trPr/>
        <w:tc>
          <w:tcPr>
            <w:tcW w:w="10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620" w:type="dxa"/>
            <w:gridSpan w:val="3"/>
            <w:tcBorders/>
          </w:tcPr>
          <w:p>
            <w:pPr>
              <w:pStyle w:val="TableContents"/>
              <w:bidi w:val="0"/>
              <w:spacing w:before="0" w:after="283"/>
              <w:jc w:val="left"/>
              <w:rPr>
                <w:sz w:val="4"/>
                <w:szCs w:val="4"/>
              </w:rPr>
            </w:pPr>
            <w:r>
              <w:rPr>
                <w:sz w:val="4"/>
                <w:szCs w:val="4"/>
              </w:rPr>
            </w:r>
          </w:p>
        </w:tc>
      </w:tr>
      <w:tr>
        <w:trPr/>
        <w:tc>
          <w:tcPr>
            <w:tcW w:w="2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r>
      <w:tr>
        <w:trPr/>
        <w:tc>
          <w:tcPr>
            <w:tcW w:w="28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rate swap contracts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rate swap contracts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designated derivative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8"/>
        </w:rPr>
        <w:t xml:space="preserve">(1)Included in </w:t>
      </w:r>
      <w:r>
        <w:rPr>
          <w:rFonts w:ascii="Times New Roman;sans-serif" w:hAnsi="Times New Roman;sans-serif"/>
          <w:b w:val="false"/>
          <w:i/>
          <w:color w:val="000000"/>
          <w:sz w:val="18"/>
        </w:rPr>
        <w:t>Prepaid expenses and other current assets</w:t>
      </w:r>
      <w:r>
        <w:rPr>
          <w:color w:val="000000"/>
        </w:rPr>
        <w:t xml:space="preserve"> </w:t>
      </w:r>
      <w:r>
        <w:rPr>
          <w:rFonts w:ascii="Times New Roman;sans-serif" w:hAnsi="Times New Roman;sans-serif"/>
          <w:b w:val="false"/>
          <w:color w:val="000000"/>
          <w:sz w:val="18"/>
        </w:rPr>
        <w:t>on our Consolidated Balance Sheets.</w:t>
      </w:r>
    </w:p>
    <w:p>
      <w:pPr>
        <w:pStyle w:val="TextBody"/>
        <w:bidi w:val="0"/>
        <w:spacing w:lineRule="auto" w:line="288" w:before="0" w:after="0"/>
        <w:ind w:left="0" w:right="0" w:hanging="360"/>
        <w:jc w:val="both"/>
        <w:rPr/>
      </w:pPr>
      <w:r>
        <w:rPr>
          <w:rFonts w:ascii="Times New Roman;sans-serif" w:hAnsi="Times New Roman;sans-serif"/>
          <w:b w:val="false"/>
          <w:color w:val="000000"/>
          <w:sz w:val="18"/>
        </w:rPr>
        <w:t xml:space="preserve">(2)Included in </w:t>
      </w:r>
      <w:r>
        <w:rPr>
          <w:rFonts w:ascii="Times New Roman;sans-serif" w:hAnsi="Times New Roman;sans-serif"/>
          <w:b w:val="false"/>
          <w:i/>
          <w:color w:val="000000"/>
          <w:sz w:val="18"/>
        </w:rPr>
        <w:t>Deferred costs and other assets, net of current portion</w:t>
      </w:r>
      <w:r>
        <w:rPr>
          <w:color w:val="000000"/>
        </w:rPr>
        <w:t xml:space="preserve"> </w:t>
      </w:r>
      <w:r>
        <w:rPr>
          <w:rFonts w:ascii="Times New Roman;sans-serif" w:hAnsi="Times New Roman;sans-serif"/>
          <w:b w:val="false"/>
          <w:color w:val="000000"/>
          <w:sz w:val="18"/>
        </w:rPr>
        <w:t>on our Consolidated Balance Sheets.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Refer to the Company’s Consolidated Statements of Comprehensive Income (Loss) for amounts reclassified from </w:t>
      </w:r>
      <w:r>
        <w:rPr>
          <w:rFonts w:ascii="Times New Roman;sans-serif" w:hAnsi="Times New Roman;sans-serif"/>
          <w:b w:val="false"/>
          <w:i/>
          <w:color w:val="000000"/>
          <w:sz w:val="20"/>
        </w:rPr>
        <w:t>Accumulated other comprehensive income</w:t>
      </w:r>
      <w:r>
        <w:rPr>
          <w:color w:val="000000"/>
        </w:rPr>
        <w:t xml:space="preserve"> </w:t>
      </w:r>
      <w:r>
        <w:rPr>
          <w:rFonts w:ascii="Times New Roman;sans-serif" w:hAnsi="Times New Roman;sans-serif"/>
          <w:b w:val="false"/>
          <w:color w:val="000000"/>
          <w:sz w:val="20"/>
        </w:rPr>
        <w:t>into earnings related to the Company’s derivative instruments designated as cash flow hedging instruments for each of the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21105"/>
                <wp:effectExtent l="0" t="0" r="0" b="0"/>
                <wp:wrapNone/>
                <wp:docPr id="29" name="Frame2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8 - Fair Value</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Company's financial instruments consist principally of cash and cash equivalents, short-term and long-term investments (included in </w:t>
      </w:r>
      <w:r>
        <w:rPr>
          <w:rFonts w:ascii="Times New Roman;sans-serif" w:hAnsi="Times New Roman;sans-serif"/>
          <w:b w:val="false"/>
          <w:i/>
          <w:color w:val="000000"/>
          <w:sz w:val="20"/>
        </w:rPr>
        <w:t>Deferred costs and other assets, net of current portion</w:t>
      </w:r>
      <w:r>
        <w:rPr>
          <w:color w:val="000000"/>
        </w:rPr>
        <w:t xml:space="preserve"> </w:t>
      </w:r>
      <w:r>
        <w:rPr>
          <w:rFonts w:ascii="Times New Roman;sans-serif" w:hAnsi="Times New Roman;sans-serif"/>
          <w:b w:val="false"/>
          <w:color w:val="000000"/>
          <w:sz w:val="20"/>
        </w:rPr>
        <w:t>on our Consolidated Balance Sheets),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certificates of deposits and money market mutual funds as Level 1 within the fair value hierarchy. We classify our corporate debt securities and securities guaranteed by the U.S. government as Level 2 within the fair value hierarchy. The fair value of our first term lien debt and Senior Notes was $577.1 million and $596.4 million as of March 31, 2025, and $584.0 million and $585.0 million as of December 31, 2024, respectively, based on observable market prices in less active markets and categorized as Level 2 within the fair value measurement framework.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(short-term OIS rates and long-term OIS swap rates).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221105"/>
                <wp:effectExtent l="0" t="0" r="0" b="0"/>
                <wp:wrapNone/>
                <wp:docPr id="30" name="Frame3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8 - Fair Value (continued)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assets (liabilities) was determined using the following inputs (in millions):</w:t>
      </w:r>
    </w:p>
    <w:tbl>
      <w:tblPr>
        <w:tblW w:w="6931" w:type="dxa"/>
        <w:jc w:val="left"/>
        <w:tblInd w:w="0" w:type="dxa"/>
        <w:tblLayout w:type="fixed"/>
        <w:tblCellMar>
          <w:top w:w="28" w:type="dxa"/>
          <w:left w:w="28" w:type="dxa"/>
          <w:bottom w:w="28" w:type="dxa"/>
          <w:right w:w="28" w:type="dxa"/>
        </w:tblCellMar>
      </w:tblPr>
      <w:tblGrid>
        <w:gridCol w:w="1270"/>
        <w:gridCol w:w="1118"/>
        <w:gridCol w:w="1121"/>
        <w:gridCol w:w="109"/>
        <w:gridCol w:w="109"/>
        <w:gridCol w:w="109"/>
        <w:gridCol w:w="211"/>
        <w:gridCol w:w="511"/>
        <w:gridCol w:w="109"/>
        <w:gridCol w:w="109"/>
        <w:gridCol w:w="109"/>
        <w:gridCol w:w="109"/>
        <w:gridCol w:w="211"/>
        <w:gridCol w:w="511"/>
        <w:gridCol w:w="109"/>
        <w:gridCol w:w="109"/>
        <w:gridCol w:w="109"/>
        <w:gridCol w:w="109"/>
        <w:gridCol w:w="213"/>
        <w:gridCol w:w="411"/>
        <w:gridCol w:w="155"/>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Measured on a recurring basis: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Investments: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guaranteed by 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Derivative assets: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tbl>
      <w:tblPr>
        <w:tblW w:w="6654" w:type="dxa"/>
        <w:jc w:val="left"/>
        <w:tblInd w:w="0" w:type="dxa"/>
        <w:tblLayout w:type="fixed"/>
        <w:tblCellMar>
          <w:top w:w="28" w:type="dxa"/>
          <w:left w:w="28" w:type="dxa"/>
          <w:bottom w:w="28" w:type="dxa"/>
          <w:right w:w="28" w:type="dxa"/>
        </w:tblCellMar>
      </w:tblPr>
      <w:tblGrid>
        <w:gridCol w:w="1134"/>
        <w:gridCol w:w="999"/>
        <w:gridCol w:w="1002"/>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Measured on a recurring basis: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Derivative assets: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Measured on a non-recurring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Impaired lease-related assets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(1)Refer to Note 3 - Cash, Cash Equivalents, and Investments for further information regarding the fair value of our financial instruments.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(2)Refer to Note 7 - Derivatives and Hedging Activities for further information regarding the fair value of our derivative instruments.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(3)Consists of right-of-use lease assets recorded at fair value pursuant to impairment charges that occurred during the second and third quarter of 2024. Refer to Note 13 - Leases in our 2024 Form 10-K.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fair value measurements levels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221105"/>
                <wp:effectExtent l="0" t="0" r="0" b="0"/>
                <wp:wrapNone/>
                <wp:docPr id="31" name="Frame3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9 - Commitments and Contingencies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Non-cancelable purchase obligations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outstanding non-cancelable purchase obligations, refer to the amount disclosed in the audited financial statements in our 2024 Form 10-K. Amounts mainly relate to third-party cloud hosting and software-as-a-service arrangements. For information regarding financing-related obligations, refer to Note 6 - Financing Arrangements. For information regarding lease-related obligations, refer to Note 11 - Leases.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Contingent earnout payments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Dogpatch Advisors, LLC in April 2022, the Company will issue the remaining equity awards of $0.8 million during the three months ended June 30, 2025. As of March 31, 2025, the Company has paid $1.9 million. Refer to Note 3 - Business Combinations in our 2024 Form 10-K for additional information.</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w:t>
      </w:r>
    </w:p>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ZoomInfo Publicity Litigation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2024, a putative class action lawsuit was filed against ZoomInfo Technologies LLC in the U.S. District Court for the Western District of Washington alleging ZoomInfo Technologies LLC’s use of individuals’ names in public-facing web pages violates the Washington Personality Rights Act, and seeking statutory, compensatory and punitive damages, costs, and attorneys’ fees. The Company intends to vigorously defend against this lawsuit.</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Datanyze Publicity Litigation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was removed to the United States District Court for the Northern District of Illinois (Eastern Division). On October 23, 2024, a putative class action lawsuit was filed against Datanyze, LLC in the Northern District of California, San Francisco Division, alleging Datanyze’s use of California, Nevada, Indiana, and Alabama residents’ names in a free trial violates statutory rights-of-publicity in the respective states, and seeking statutory, compensatory and punitive damages, costs, and attorneys’ fees. On February 12, 2025, Datanyze entered into a binding term sheet with the plaintiffs in both of these class actions, to resolve these class actions for an immaterial amount. As contemplated in the parties’ agreement, the parties stipulated to the dismissal of both federal actions. The claims were re-filed as a single case in the Circuit Court of DuPage County, Illinois solely for purposes of facilitating settlement. On April 7, 2025, the Circuit Court of DuPage County, Illinois, granted preliminary approval of the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221105"/>
                <wp:effectExtent l="0" t="0" r="0" b="0"/>
                <wp:wrapNone/>
                <wp:docPr id="32" name="Frame3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9 - Commitments and Contingencies (continued)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On November 17, 2023, the court dismissed the plaintiffs’ claims with prejudice and on January 14, 2025, the United States Court of Appeals for the Sixth Circuit affirmed the district court’s dismissal. On April 13, 2025, the plaintiffs’ time to petition for a writ of certiorari lapsed, thereby concluding this matter.</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Quebec Privacy Litigation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2025, a putative class action lawsuit was filed against ZoomInfo Technologies Inc., ZoomInfo Technologies LLC, and ZoomInfo Canada Corp. in the Superior Court of Quebec, alleging that the Company’s collection and publication of personal information violated the Quebec Civil Code, Quebec’s statute regarding the protection of personal information in the private sector (LPRPSP), and the Quebec Charter of Human Rights and Freedoms. The plaintiffs seek statutory, compensatory and punitive damages, as well as costs and legal fees. The Company intends to vigorously defend against this lawsuit.</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Colorado Consumer Protection Litigation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16, 2025, a putative class action lawsuit was filed against ZoomInfo Technologies LLC in the Superior Court of the State of Washington (Clark County), alleging that ZoomInfo Technologies LLC violated the State of Colorado’s Prevention of Telemarketing Fraud Act (PTFA) by listing cell phone numbers of Colorado residents in the Company’s online directory for commercial purposes without obtaining their consent. The suit seeks statutory damages, injunctive and other equitable relief, costs and attorneys’ fees. The Company intends to vigorously defend against this lawsuit.</w:t>
      </w:r>
    </w:p>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Litigation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4, 2024, a putative class action lawsuit was filed against ZoomInfo Technologies Inc. and certain of its current and former officers and affiliates in the U.S. District Court for the Western District of Washington. The suit, brought on behalf of purchasers of Company common stock between November 10, 2020, and August 5, 2024, alleges that the defendants made false and/or misleading statements related to the Company’s business, operations, and prospects, including in respect of the effects of the COVID-19 pandemic on the Company’s performance,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2024, certain of the Company’s current and former directors and officers were named as defendants in a derivative shareholder lawsuit (in which the Company is a nominal defendant) filed in the United States District Court for the Western District of Washington. A second derivative action was filed on February 4, 2025 in the United States District Court for the Western District of Washington. The factual allegations in the derivative cases mirror the securities case described above. The complaints assert violations of the United States securities laws and state fiduciary duty laws, in addition to common law claims involving unjust enrichment, abuse of control, gross mismanagement, and waste of corporate assets. The derivative cases seek, among other things, unspecified compensatory damages on behalf of the Company arising out of the individual defendants’ alleged wrongful conduct. The first-filed derivative action is currently stayed pending further developments in the securities action described above. The parties have requested that the court stay the second-filed derivative action and consolidate it with the first-filed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221105"/>
                <wp:effectExtent l="0" t="0" r="0" b="0"/>
                <wp:wrapNone/>
                <wp:docPr id="33" name="Frame3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10 - Earnings Per Share</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The following tables set forth the computation of basic and diluted net income per share of</w:t>
      </w:r>
      <w:r>
        <w:rPr>
          <w:color w:val="242424"/>
        </w:rPr>
        <w:t xml:space="preserve"> </w:t>
      </w:r>
      <w:r>
        <w:rPr>
          <w:rFonts w:ascii="Times New Roman;sans-serif" w:hAnsi="Times New Roman;sans-serif"/>
          <w:b w:val="false"/>
          <w:color w:val="242424"/>
          <w:sz w:val="20"/>
        </w:rPr>
        <w:t>common stock</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609"/>
        <w:gridCol w:w="2215"/>
        <w:gridCol w:w="2231"/>
        <w:gridCol w:w="346"/>
        <w:gridCol w:w="840"/>
        <w:gridCol w:w="143"/>
        <w:gridCol w:w="143"/>
        <w:gridCol w:w="143"/>
        <w:gridCol w:w="143"/>
        <w:gridCol w:w="346"/>
        <w:gridCol w:w="840"/>
        <w:gridCol w:w="206"/>
      </w:tblGrid>
      <w:tr>
        <w:trPr/>
        <w:tc>
          <w:tcPr>
            <w:tcW w:w="260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 except shares and per share amounts)</w:t>
            </w:r>
          </w:p>
        </w:tc>
        <w:tc>
          <w:tcPr>
            <w:tcW w:w="13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per share attributable to common stockholders</w:t>
            </w:r>
          </w:p>
        </w:tc>
        <w:tc>
          <w:tcPr>
            <w:tcW w:w="13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common stock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340,741,847 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378,967,201 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common stockholders</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share attributable to common stockholders</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used in basic computation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340,741,847 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378,967,201 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weighted-average effect of dilutive securities exchangeable for common stock:</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used to calculate diluted net income per share</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340,741,847 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379,307,483 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attributable to common stockholders</w:t>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242424"/>
          <w:sz w:val="20"/>
        </w:rPr>
      </w:pPr>
      <w:r>
        <w:rPr>
          <w:rFonts w:ascii="Times New Roman;sans-serif" w:hAnsi="Times New Roman;sans-serif"/>
          <w:b w:val="false"/>
          <w:color w:val="242424"/>
          <w:sz w:val="20"/>
        </w:rPr>
        <w:t>The following weighted-average potentially dilutive securities were evaluated under the treasury stock method for potentially dilutive effects and have been excluded from diluted net income per share in the periods presented due to their anti-dilutive effect:</w:t>
      </w:r>
    </w:p>
    <w:tbl>
      <w:tblPr>
        <w:tblW w:w="7157" w:type="dxa"/>
        <w:jc w:val="left"/>
        <w:tblInd w:w="0" w:type="dxa"/>
        <w:tblLayout w:type="fixed"/>
        <w:tblCellMar>
          <w:top w:w="28" w:type="dxa"/>
          <w:left w:w="28" w:type="dxa"/>
          <w:bottom w:w="28" w:type="dxa"/>
          <w:right w:w="28" w:type="dxa"/>
        </w:tblCellMar>
      </w:tblPr>
      <w:tblGrid>
        <w:gridCol w:w="1053"/>
        <w:gridCol w:w="925"/>
        <w:gridCol w:w="932"/>
        <w:gridCol w:w="798"/>
        <w:gridCol w:w="310"/>
        <w:gridCol w:w="310"/>
        <w:gridCol w:w="310"/>
        <w:gridCol w:w="310"/>
        <w:gridCol w:w="310"/>
        <w:gridCol w:w="798"/>
        <w:gridCol w:w="310"/>
        <w:gridCol w:w="310"/>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1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13,614,370 </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15,474,470 </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securities</w:t>
            </w:r>
          </w:p>
        </w:tc>
        <w:tc>
          <w:tcPr>
            <w:tcW w:w="110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13,841,294 </w:t>
            </w:r>
          </w:p>
        </w:tc>
        <w:tc>
          <w:tcPr>
            <w:tcW w:w="3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15,550,731 </w:t>
            </w:r>
          </w:p>
        </w:tc>
        <w:tc>
          <w:tcPr>
            <w:tcW w:w="3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11 - Leases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the adoption of ASC 842.</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Company subleases two offices. The subleases have remaining lease terms of less than six years. Sublease income, which is recorded as a reduction of rent expense and allocated to the appropriate financial statement line items to arrive at </w:t>
      </w:r>
      <w:r>
        <w:rPr>
          <w:rFonts w:ascii="Times New Roman;sans-serif" w:hAnsi="Times New Roman;sans-serif"/>
          <w:b w:val="false"/>
          <w:i/>
          <w:color w:val="000000"/>
          <w:sz w:val="20"/>
        </w:rPr>
        <w:t>Income from operations</w:t>
      </w:r>
      <w:r>
        <w:rPr>
          <w:color w:val="000000"/>
        </w:rPr>
        <w:t xml:space="preserve"> </w:t>
      </w:r>
      <w:r>
        <w:rPr>
          <w:rFonts w:ascii="Times New Roman;sans-serif" w:hAnsi="Times New Roman;sans-serif"/>
          <w:b w:val="false"/>
          <w:color w:val="000000"/>
          <w:sz w:val="20"/>
        </w:rPr>
        <w:t>on our Consolidated Statements of Operations, was immaterial for the three months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221105"/>
                <wp:effectExtent l="0" t="0" r="0" b="0"/>
                <wp:wrapNone/>
                <wp:docPr id="34" name="Frame3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11 - Leases (continued)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additional details related to operating leases recorded on our Consolidated Balance Sheets as of March 31, 2025 and December 31, 2024:</w:t>
      </w:r>
    </w:p>
    <w:tbl>
      <w:tblPr>
        <w:tblW w:w="6953" w:type="dxa"/>
        <w:jc w:val="left"/>
        <w:tblInd w:w="0" w:type="dxa"/>
        <w:tblLayout w:type="fixed"/>
        <w:tblCellMar>
          <w:top w:w="28" w:type="dxa"/>
          <w:left w:w="28" w:type="dxa"/>
          <w:bottom w:w="28" w:type="dxa"/>
          <w:right w:w="28" w:type="dxa"/>
        </w:tblCellMar>
      </w:tblPr>
      <w:tblGrid>
        <w:gridCol w:w="1452"/>
        <w:gridCol w:w="1278"/>
        <w:gridCol w:w="1289"/>
        <w:gridCol w:w="109"/>
        <w:gridCol w:w="109"/>
        <w:gridCol w:w="109"/>
        <w:gridCol w:w="220"/>
        <w:gridCol w:w="642"/>
        <w:gridCol w:w="113"/>
        <w:gridCol w:w="109"/>
        <w:gridCol w:w="109"/>
        <w:gridCol w:w="109"/>
        <w:gridCol w:w="280"/>
        <w:gridCol w:w="819"/>
        <w:gridCol w:w="206"/>
      </w:tblGrid>
      <w:tr>
        <w:trPr/>
        <w:tc>
          <w:tcPr>
            <w:tcW w:w="145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was $8.6 million, inclusive of $1.1 million related to the Waltham Lease Restructuring, and $5.6 million for the three months ended March 31, 2025 and 2024, respectively. Refer to Note 13 - Leases in our 2024 Form 10-K for further information regarding the Waltham Lease Restructuring.</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9898" w:type="dxa"/>
        <w:jc w:val="left"/>
        <w:tblInd w:w="0" w:type="dxa"/>
        <w:tblLayout w:type="fixed"/>
        <w:tblCellMar>
          <w:top w:w="28" w:type="dxa"/>
          <w:left w:w="28" w:type="dxa"/>
          <w:bottom w:w="28" w:type="dxa"/>
          <w:right w:w="28" w:type="dxa"/>
        </w:tblCellMar>
      </w:tblPr>
      <w:tblGrid>
        <w:gridCol w:w="2396"/>
        <w:gridCol w:w="2109"/>
        <w:gridCol w:w="2125"/>
        <w:gridCol w:w="312"/>
        <w:gridCol w:w="601"/>
        <w:gridCol w:w="161"/>
        <w:gridCol w:w="161"/>
        <w:gridCol w:w="161"/>
        <w:gridCol w:w="161"/>
        <w:gridCol w:w="312"/>
        <w:gridCol w:w="757"/>
        <w:gridCol w:w="161"/>
        <w:gridCol w:w="109"/>
        <w:gridCol w:w="109"/>
        <w:gridCol w:w="109"/>
        <w:gridCol w:w="154"/>
      </w:tblGrid>
      <w:tr>
        <w:trPr/>
        <w:tc>
          <w:tcPr>
            <w:tcW w:w="2396"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for tenant incentive reimbursement</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 arising from obtaining right-of-use assets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new and existing lease agreements and modifications</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885" w:type="dxa"/>
        <w:jc w:val="left"/>
        <w:tblInd w:w="0" w:type="dxa"/>
        <w:tblLayout w:type="fixed"/>
        <w:tblCellMar>
          <w:top w:w="28" w:type="dxa"/>
          <w:left w:w="28" w:type="dxa"/>
          <w:bottom w:w="28" w:type="dxa"/>
          <w:right w:w="28" w:type="dxa"/>
        </w:tblCellMar>
      </w:tblPr>
      <w:tblGrid>
        <w:gridCol w:w="1574"/>
        <w:gridCol w:w="1384"/>
        <w:gridCol w:w="1392"/>
        <w:gridCol w:w="319"/>
        <w:gridCol w:w="319"/>
        <w:gridCol w:w="801"/>
        <w:gridCol w:w="109"/>
        <w:gridCol w:w="109"/>
        <w:gridCol w:w="109"/>
        <w:gridCol w:w="360"/>
        <w:gridCol w:w="360"/>
        <w:gridCol w:w="1049"/>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(in years)</w:t>
            </w:r>
          </w:p>
        </w:tc>
        <w:tc>
          <w:tcPr>
            <w:tcW w:w="14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221105"/>
                <wp:effectExtent l="0" t="0" r="0" b="0"/>
                <wp:wrapNone/>
                <wp:docPr id="35" name="Frame3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11 - Leases (continued)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future minimum lease payments under non-cancelable leases to the total lease liabilities recognized as of March 31, 2025 (in millions):</w:t>
      </w:r>
    </w:p>
    <w:tbl>
      <w:tblPr>
        <w:tblW w:w="6133" w:type="dxa"/>
        <w:jc w:val="left"/>
        <w:tblInd w:w="0" w:type="dxa"/>
        <w:tblLayout w:type="fixed"/>
        <w:tblCellMar>
          <w:top w:w="28" w:type="dxa"/>
          <w:left w:w="28" w:type="dxa"/>
          <w:bottom w:w="28" w:type="dxa"/>
          <w:right w:w="28" w:type="dxa"/>
        </w:tblCellMar>
      </w:tblPr>
      <w:tblGrid>
        <w:gridCol w:w="1627"/>
        <w:gridCol w:w="1434"/>
        <w:gridCol w:w="1438"/>
        <w:gridCol w:w="350"/>
        <w:gridCol w:w="1027"/>
        <w:gridCol w:w="257"/>
      </w:tblGrid>
      <w:tr>
        <w:trPr/>
        <w:tc>
          <w:tcPr>
            <w:tcW w:w="16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44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(excluding three months ended March 31, 2025)</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discounting</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2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any legally binding minimum lease payments for leases signed but not yet commenced. Included in the undiscounted future minimum lease payments for the years ended December 31, 2025, and 2026 are future tenant improvement allowance reimbursements related to our Ra’anana, Israel and Vancouver, Washington leases.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Expense associated with short-term leases and variable lease costs were immaterial for the three months ended March 31, 2025 and 2024. The expense related to short-term leases reasonably reflected our short-term lease commitments.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Undiscounted lease payments under all leases executed and not yet commenced are anticipated to be $62.1 million net of tenant improvement allowance of $7.6 million, which relate to a lease expected to commence in the three months ended June 30, 2025. These payments are not included in the tabular disclosure of undiscounted future minimum lease payments under non-cancelable leases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12 - Equity-based Compensation</w:t>
      </w:r>
    </w:p>
    <w:p>
      <w:pPr>
        <w:pStyle w:val="TextBody"/>
        <w:bidi w:val="0"/>
        <w:spacing w:lineRule="auto" w:line="288" w:before="180" w:after="180"/>
        <w:ind w:left="0" w:right="0" w:firstLine="360"/>
        <w:jc w:val="both"/>
        <w:rPr/>
      </w:pPr>
      <w:r>
        <w:rPr>
          <w:rFonts w:ascii="Times New Roman;sans-serif" w:hAnsi="Times New Roman;sans-serif"/>
          <w:b/>
          <w:color w:val="000000"/>
          <w:sz w:val="20"/>
        </w:rPr>
        <w:t xml:space="preserve">2020 Omnibus Incentive Plan </w:t>
      </w:r>
      <w:r>
        <w:rPr>
          <w:rFonts w:ascii="Times New Roman;sans-serif" w:hAnsi="Times New Roman;sans-serif"/>
          <w:b w:val="false"/>
          <w:color w:val="000000"/>
          <w:sz w:val="20"/>
        </w:rPr>
        <w:t>- On May 26, 2020, the Board adopted the Omnibus Plan. The Omnibus Plan provides for potential grants of the following awards with respect to shares of the Company’s common stock or securities valued by reference to, or otherwise determined by reference to or based on, shares of common stock: (i) incentive stock options qualified as such under U.S. federal income tax laws; (ii) non-qualified stock options or any other form of stock options; (iii) stock appreciation rights; (iv) restricted stock; (v) restricted stock units; (vi) interests in a limited liability company that is a subsidiary of the Company, and (vii) other equity-based and cash-based incentive awards as determined by the compensation committee of the Board or any properly delegated subcommittee.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aggregate number of shares of common stock that could be issued pursuant to awards under the Omnibus Plan was 18,650,000 shares (including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equity-based compensation awards outstanding as follows: restricted stock units, and common stock options. In addition, the Company recognizes equity-based compensation expense from awards granted to employees as further described below under HSKB Phantom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221105"/>
                <wp:effectExtent l="0" t="0" r="0" b="0"/>
                <wp:wrapNone/>
                <wp:docPr id="36" name="Frame3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12 - Equity-based Compensation (continued)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where indicated otherwise, the equity-based compensation awards described below are subject to time-based service requirements. For all grants issued,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was as follows during the periods indicated:</w:t>
      </w:r>
    </w:p>
    <w:tbl>
      <w:tblPr>
        <w:tblW w:w="10205" w:type="dxa"/>
        <w:jc w:val="left"/>
        <w:tblInd w:w="0" w:type="dxa"/>
        <w:tblLayout w:type="fixed"/>
        <w:tblCellMar>
          <w:top w:w="28" w:type="dxa"/>
          <w:left w:w="28" w:type="dxa"/>
          <w:bottom w:w="28" w:type="dxa"/>
          <w:right w:w="28" w:type="dxa"/>
        </w:tblCellMar>
      </w:tblPr>
      <w:tblGrid>
        <w:gridCol w:w="994"/>
        <w:gridCol w:w="717"/>
        <w:gridCol w:w="664"/>
        <w:gridCol w:w="649"/>
        <w:gridCol w:w="567"/>
        <w:gridCol w:w="527"/>
        <w:gridCol w:w="180"/>
        <w:gridCol w:w="180"/>
        <w:gridCol w:w="180"/>
        <w:gridCol w:w="591"/>
        <w:gridCol w:w="1727"/>
        <w:gridCol w:w="305"/>
        <w:gridCol w:w="109"/>
        <w:gridCol w:w="109"/>
        <w:gridCol w:w="109"/>
        <w:gridCol w:w="921"/>
        <w:gridCol w:w="688"/>
        <w:gridCol w:w="988"/>
      </w:tblGrid>
      <w:tr>
        <w:trPr/>
        <w:tc>
          <w:tcPr>
            <w:tcW w:w="99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w:t>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period</w:t>
            </w:r>
          </w:p>
        </w:tc>
        <w:tc>
          <w:tcPr>
            <w:tcW w:w="12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15,220,019 </w:t>
            </w:r>
          </w:p>
        </w:tc>
        <w:tc>
          <w:tcPr>
            <w:tcW w:w="5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12,636,460 </w:t>
            </w:r>
          </w:p>
        </w:tc>
        <w:tc>
          <w:tcPr>
            <w:tcW w:w="9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865,359 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5,543,344 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 performance-based </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47,894 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(1,417,178)</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(1,359,913)</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(1,101,724)</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(1,345,421)</w:t>
            </w:r>
          </w:p>
        </w:tc>
        <w:tc>
          <w:tcPr>
            <w:tcW w:w="9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period</w:t>
            </w:r>
          </w:p>
        </w:tc>
        <w:tc>
          <w:tcPr>
            <w:tcW w:w="12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13,614,370 </w:t>
            </w:r>
          </w:p>
        </w:tc>
        <w:tc>
          <w:tcPr>
            <w:tcW w:w="5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15,474,470 </w:t>
            </w:r>
          </w:p>
        </w:tc>
        <w:tc>
          <w:tcPr>
            <w:tcW w:w="9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 was as follows during the periods indicated:</w:t>
      </w:r>
    </w:p>
    <w:tbl>
      <w:tblPr>
        <w:tblW w:w="10205" w:type="dxa"/>
        <w:jc w:val="left"/>
        <w:tblInd w:w="0" w:type="dxa"/>
        <w:tblLayout w:type="fixed"/>
        <w:tblCellMar>
          <w:top w:w="28" w:type="dxa"/>
          <w:left w:w="28" w:type="dxa"/>
          <w:bottom w:w="28" w:type="dxa"/>
          <w:right w:w="28" w:type="dxa"/>
        </w:tblCellMar>
      </w:tblPr>
      <w:tblGrid>
        <w:gridCol w:w="820"/>
        <w:gridCol w:w="721"/>
        <w:gridCol w:w="724"/>
        <w:gridCol w:w="443"/>
        <w:gridCol w:w="443"/>
        <w:gridCol w:w="445"/>
        <w:gridCol w:w="217"/>
        <w:gridCol w:w="217"/>
        <w:gridCol w:w="217"/>
        <w:gridCol w:w="878"/>
        <w:gridCol w:w="1594"/>
        <w:gridCol w:w="427"/>
        <w:gridCol w:w="109"/>
        <w:gridCol w:w="109"/>
        <w:gridCol w:w="109"/>
        <w:gridCol w:w="869"/>
        <w:gridCol w:w="765"/>
        <w:gridCol w:w="1098"/>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r>
          </w:p>
        </w:tc>
        <w:tc>
          <w:tcPr>
            <w:tcW w:w="6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period</w:t>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347,976 </w:t>
            </w:r>
          </w:p>
        </w:tc>
        <w:tc>
          <w:tcPr>
            <w:tcW w:w="10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(225,560)</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period</w:t>
            </w:r>
          </w:p>
        </w:tc>
        <w:tc>
          <w:tcPr>
            <w:tcW w:w="88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122,416 </w:t>
            </w:r>
          </w:p>
        </w:tc>
        <w:tc>
          <w:tcPr>
            <w:tcW w:w="10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Common Stock Options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options activity was as follows during the period indicated:</w:t>
      </w:r>
    </w:p>
    <w:tbl>
      <w:tblPr>
        <w:tblW w:w="10205" w:type="dxa"/>
        <w:jc w:val="left"/>
        <w:tblInd w:w="0" w:type="dxa"/>
        <w:tblLayout w:type="fixed"/>
        <w:tblCellMar>
          <w:top w:w="28" w:type="dxa"/>
          <w:left w:w="28" w:type="dxa"/>
          <w:bottom w:w="28" w:type="dxa"/>
          <w:right w:w="28" w:type="dxa"/>
        </w:tblCellMar>
      </w:tblPr>
      <w:tblGrid>
        <w:gridCol w:w="963"/>
        <w:gridCol w:w="845"/>
        <w:gridCol w:w="850"/>
        <w:gridCol w:w="413"/>
        <w:gridCol w:w="413"/>
        <w:gridCol w:w="256"/>
        <w:gridCol w:w="203"/>
        <w:gridCol w:w="203"/>
        <w:gridCol w:w="203"/>
        <w:gridCol w:w="586"/>
        <w:gridCol w:w="1713"/>
        <w:gridCol w:w="302"/>
        <w:gridCol w:w="109"/>
        <w:gridCol w:w="109"/>
        <w:gridCol w:w="109"/>
        <w:gridCol w:w="899"/>
        <w:gridCol w:w="834"/>
        <w:gridCol w:w="1195"/>
      </w:tblGrid>
      <w:tr>
        <w:trPr/>
        <w:tc>
          <w:tcPr>
            <w:tcW w:w="9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r>
          </w:p>
        </w:tc>
        <w:tc>
          <w:tcPr>
            <w:tcW w:w="6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228,059 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279,553 </w:t>
            </w:r>
          </w:p>
        </w:tc>
        <w:tc>
          <w:tcPr>
            <w:tcW w:w="1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28"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28"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28"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226,232 </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273,079 </w:t>
            </w:r>
          </w:p>
        </w:tc>
        <w:tc>
          <w:tcPr>
            <w:tcW w:w="11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221105"/>
                <wp:effectExtent l="0" t="0" r="0" b="0"/>
                <wp:wrapNone/>
                <wp:docPr id="37" name="Frame3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12 - Equity-based Compensation (continued)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Options have a maximum contractual term of ten years. The aggregate intrinsic value and weighted average remaining contractual terms of options outstanding and options exercisable were as follows as of March 31, 2025:</w:t>
      </w:r>
    </w:p>
    <w:tbl>
      <w:tblPr>
        <w:tblW w:w="6104" w:type="dxa"/>
        <w:jc w:val="left"/>
        <w:tblInd w:w="0" w:type="dxa"/>
        <w:tblLayout w:type="fixed"/>
        <w:tblCellMar>
          <w:top w:w="28" w:type="dxa"/>
          <w:left w:w="28" w:type="dxa"/>
          <w:bottom w:w="28" w:type="dxa"/>
          <w:right w:w="28" w:type="dxa"/>
        </w:tblCellMar>
      </w:tblPr>
      <w:tblGrid>
        <w:gridCol w:w="1673"/>
        <w:gridCol w:w="1471"/>
        <w:gridCol w:w="1476"/>
        <w:gridCol w:w="406"/>
        <w:gridCol w:w="782"/>
        <w:gridCol w:w="296"/>
      </w:tblGrid>
      <w:tr>
        <w:trPr/>
        <w:tc>
          <w:tcPr>
            <w:tcW w:w="16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Aggregate intrinsic value (in millions)</w:t>
            </w:r>
            <w:r>
              <w:rPr>
                <w:rFonts w:ascii="Times New Roman;sans-serif" w:hAnsi="Times New Roman;sans-serif"/>
                <w:b w:val="false"/>
                <w:color w:val="000000"/>
                <w:sz w:val="13"/>
              </w:rPr>
              <w:t>(1)</w:t>
            </w:r>
          </w:p>
        </w:tc>
        <w:tc>
          <w:tcPr>
            <w:tcW w:w="14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 (in years)</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years</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years</w:t>
            </w:r>
          </w:p>
        </w:tc>
      </w:tr>
    </w:tbl>
    <w:p>
      <w:pPr>
        <w:pStyle w:val="TextBody"/>
        <w:bidi w:val="0"/>
        <w:spacing w:lineRule="auto" w:line="288" w:before="120" w:after="283"/>
        <w:jc w:val="both"/>
        <w:rPr/>
      </w:pPr>
      <w:r>
        <w:rPr>
          <w:rFonts w:ascii="Times New Roman;sans-serif" w:hAnsi="Times New Roman;sans-serif"/>
          <w:b w:val="false"/>
          <w:color w:val="000000"/>
          <w:sz w:val="16"/>
        </w:rPr>
        <w:t>________________</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(1)The aggregate intrinsic value of options outstanding and exercisable is zero, as all options are out of the money.</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aggregate number of shares of the common stock that may be issued under the ESPP is no more than 7,500,000 shares (the “ESPP Plan Share Reserve”). The ESPP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ESPP purchase was determined using the Black-Scholes option pricing model. 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suspended the ESPP effective December 12, 2024, such that the offering period which would otherwise have begun on December 15, 2024 did not commence.</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Company withheld zero and $2.1 million worth of ESPP contributions for the three months ended March 31, 2025, and 2024, respectively, on behalf of participating employees through payroll deductions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on our Consolidated Balance Sheets. No shares of common stock were purchased under the ESPP during the three months ended March 31, 2025, and 2024. The Company recognized zero and $0.8 million of equity-based compensation expense related to the ESPP for the three months ended March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221105"/>
                <wp:effectExtent l="0" t="0" r="0" b="0"/>
                <wp:wrapNone/>
                <wp:docPr id="38" name="Frame3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12 - Equity-based Compensation (continued)</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HSKB Phantom Units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the HSKB Phantom Units, refer to Note 14 — Equity-based Compensation in our 2024 Form 10-K.</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Unamortized Equity-based Compensation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unamortized equity-based compensation costs related to each equity-based incentive award described above is the following:</w:t>
      </w:r>
    </w:p>
    <w:tbl>
      <w:tblPr>
        <w:tblW w:w="10205" w:type="dxa"/>
        <w:jc w:val="left"/>
        <w:tblInd w:w="0" w:type="dxa"/>
        <w:tblLayout w:type="fixed"/>
        <w:tblCellMar>
          <w:top w:w="28" w:type="dxa"/>
          <w:left w:w="28" w:type="dxa"/>
          <w:bottom w:w="28" w:type="dxa"/>
          <w:right w:w="28" w:type="dxa"/>
        </w:tblCellMar>
      </w:tblPr>
      <w:tblGrid>
        <w:gridCol w:w="1526"/>
        <w:gridCol w:w="1335"/>
        <w:gridCol w:w="1339"/>
        <w:gridCol w:w="211"/>
        <w:gridCol w:w="616"/>
        <w:gridCol w:w="109"/>
        <w:gridCol w:w="109"/>
        <w:gridCol w:w="109"/>
        <w:gridCol w:w="109"/>
        <w:gridCol w:w="1385"/>
        <w:gridCol w:w="1385"/>
        <w:gridCol w:w="1972"/>
      </w:tblGrid>
      <w:tr>
        <w:trPr/>
        <w:tc>
          <w:tcPr>
            <w:tcW w:w="15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Service Period (in years)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HSKB Phantom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unamortized equity-based compensation cost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13 - Segment and Geographic Data</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Company operates as one operating segment, deriving revenues from customers by providing access to its go-to-market intelligence platform. The Company’s chief operating decision maker (“CODM”) is its Chief Executive Officer, who reviews financial information on a consolidated basis and uses net income (loss) for purposes of making operating decisions, assessing financial performance and allocating resources. The CODM also reviews total assets, as reported in our Consolidated Balance Sheets, and </w:t>
      </w:r>
      <w:r>
        <w:rPr>
          <w:rFonts w:ascii="Times New Roman;sans-serif" w:hAnsi="Times New Roman;sans-serif"/>
          <w:b w:val="false"/>
          <w:i/>
          <w:color w:val="000000"/>
          <w:sz w:val="20"/>
        </w:rPr>
        <w:t>Purchases of property and equipment and other assets</w:t>
      </w:r>
      <w:r>
        <w:rPr>
          <w:rFonts w:ascii="Times New Roman;sans-serif" w:hAnsi="Times New Roman;sans-serif"/>
          <w:b w:val="false"/>
          <w:color w:val="000000"/>
          <w:sz w:val="20"/>
        </w:rPr>
        <w:t xml:space="preserve">, as reported on our Consolidated Statements of Cash Flows.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geographical region are based on the location of the legal entity that owns the assets, which includes property and equipment, net and operating lease right-of-use assets, net. As of March 31, 2025, long-lived assets held in the United States and Israel were $184.7 million and $18.0 million, respectively, representing approximately 98% of the consolidated total. As of December 31, 2024, long-lived assets held in the United States and Israel were $179.5 million and $19.0 million, respectively, representing approximately 98% of the consolidated total.</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Contracts denominated in currencies other than U.S. Dollar were not material for the three months ended March 31, 2025 and 2024. Revenues derived from customers and partners located outside the United States, as determined based on the address provided by our customers and partners, accounted for approximately 12% and 12% of our total revenues for the three months ended March 31, 2025 and 2024, respectively. Revenue by geographic region is as follows:</w:t>
      </w:r>
    </w:p>
    <w:tbl>
      <w:tblPr>
        <w:tblW w:w="4512" w:type="dxa"/>
        <w:jc w:val="left"/>
        <w:tblInd w:w="0" w:type="dxa"/>
        <w:tblLayout w:type="fixed"/>
        <w:tblCellMar>
          <w:top w:w="28" w:type="dxa"/>
          <w:left w:w="28" w:type="dxa"/>
          <w:bottom w:w="28" w:type="dxa"/>
          <w:right w:w="28" w:type="dxa"/>
        </w:tblCellMar>
      </w:tblPr>
      <w:tblGrid>
        <w:gridCol w:w="451"/>
        <w:gridCol w:w="396"/>
        <w:gridCol w:w="398"/>
        <w:gridCol w:w="267"/>
        <w:gridCol w:w="781"/>
        <w:gridCol w:w="138"/>
        <w:gridCol w:w="138"/>
        <w:gridCol w:w="138"/>
        <w:gridCol w:w="138"/>
        <w:gridCol w:w="267"/>
        <w:gridCol w:w="781"/>
        <w:gridCol w:w="138"/>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7185"/>
                <wp:effectExtent l="0" t="0" r="0" b="0"/>
                <wp:wrapNone/>
                <wp:docPr id="39" name="Frame39"/>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Note 13 - Segment and Geographic Data (continued)</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financial information with respect to the Company’s single operating segment for the three months ended March 31, 2025 and 2024.</w:t>
      </w:r>
    </w:p>
    <w:tbl>
      <w:tblPr>
        <w:tblW w:w="6566" w:type="dxa"/>
        <w:jc w:val="left"/>
        <w:tblInd w:w="0" w:type="dxa"/>
        <w:tblLayout w:type="fixed"/>
        <w:tblCellMar>
          <w:top w:w="28" w:type="dxa"/>
          <w:left w:w="28" w:type="dxa"/>
          <w:bottom w:w="28" w:type="dxa"/>
          <w:right w:w="28" w:type="dxa"/>
        </w:tblCellMar>
      </w:tblPr>
      <w:tblGrid>
        <w:gridCol w:w="1403"/>
        <w:gridCol w:w="1025"/>
        <w:gridCol w:w="871"/>
        <w:gridCol w:w="267"/>
        <w:gridCol w:w="781"/>
        <w:gridCol w:w="138"/>
        <w:gridCol w:w="138"/>
        <w:gridCol w:w="138"/>
        <w:gridCol w:w="138"/>
        <w:gridCol w:w="267"/>
        <w:gridCol w:w="781"/>
        <w:gridCol w:w="138"/>
        <w:gridCol w:w="109"/>
        <w:gridCol w:w="109"/>
        <w:gridCol w:w="109"/>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Employee compensation expense</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 and benefits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expense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Hosting and infrastructure expense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(2)</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net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26.8</w:t>
            </w:r>
            <w:r>
              <w:rPr>
                <w:color w:val="000000"/>
              </w:rPr>
              <w:t>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15.1</w:t>
            </w:r>
            <w:r>
              <w:rPr>
                <w:color w:val="000000"/>
              </w:rPr>
              <w:t>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(1)Primarily includes employee-related salaries, bonuses, and commissions.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segment items primarily include equity-based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14 - Tax Receivable Agreements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our TRAs, refer to Note 16 - Tax Receivable Agreements in our 2024 Form 10-K.</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As of March 31, 2025 and December 31, 2024, the Company had a liability of $2,763.7 million and $2,762.5 million, respectively, related to its projected obligations under the TRAs. This liability, or a portion thereof, becomes payable once the tax attributes under the TRAs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Times New Roman;sans-serif" w:hAnsi="Times New Roman;sans-serif"/>
          <w:b w:val="false"/>
          <w:i/>
          <w:color w:val="000000"/>
          <w:sz w:val="20"/>
        </w:rPr>
        <w:t>Current portion of tax receivable agreements liability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Tax receivable agreements liability, net of current portion</w:t>
      </w:r>
      <w:r>
        <w:rPr>
          <w:rFonts w:ascii="Times New Roman;sans-serif" w:hAnsi="Times New Roman;sans-serif"/>
          <w:b w:val="false"/>
          <w:color w:val="000000"/>
          <w:sz w:val="20"/>
        </w:rPr>
        <w:t xml:space="preserve">, respectively. </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No payments were made to TRA holders pursuant to the TRA during the three months ended March 31, 2025. During the three months ended March 31, 2024, the Company made TRA payments of $31.6 million. During the three months ended March 31, 2025, we recognized a TRA measurement loss of $1.2 million, </w:t>
      </w:r>
      <w:r>
        <w:rPr>
          <w:rFonts w:ascii="Times New Roman;sans-serif" w:hAnsi="Times New Roman;sans-serif"/>
          <w:b w:val="false"/>
          <w:color w:val="000000"/>
          <w:sz w:val="20"/>
          <w:shd w:fill="FFFFFF" w:val="clear"/>
        </w:rPr>
        <w:t>principally due to movement in our blended state tax rate</w:t>
      </w:r>
      <w:r>
        <w:rPr>
          <w:rFonts w:ascii="Times New Roman;sans-serif" w:hAnsi="Times New Roman;sans-serif"/>
          <w:b w:val="false"/>
          <w:color w:val="000000"/>
          <w:sz w:val="20"/>
        </w:rPr>
        <w:t xml:space="preserve">. During the three months ended March 31, 2024, we recognized a TRA measurement loss of $9.6 million, principally due to revaluation for the blended state tax rate applied to the current portion of TRA liability and an increase to the cumulative liability due to TRA Holders resulting from a reduction in the management allocation percent withheld. The TRA remeasurement gains and losses are recorded within </w:t>
      </w:r>
      <w:r>
        <w:rPr>
          <w:rFonts w:ascii="Times New Roman;sans-serif" w:hAnsi="Times New Roman;sans-serif"/>
          <w:b w:val="false"/>
          <w:i/>
          <w:color w:val="000000"/>
          <w:sz w:val="20"/>
        </w:rPr>
        <w:t xml:space="preserve">Other loss, net </w:t>
      </w:r>
      <w:r>
        <w:rPr>
          <w:rFonts w:ascii="Times New Roman;sans-serif" w:hAnsi="Times New Roman;sans-serif"/>
          <w:b w:val="false"/>
          <w:color w:val="000000"/>
          <w:sz w:val="20"/>
        </w:rPr>
        <w:t>on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15 - Income Taxes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for both the three months ended March 31, 2025 and 2024 was based on our projected annual effective tax rate for fiscal year 2025 and 2024, respectively, adjusted for specific items that are required to be recognized in the period in which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221105"/>
                <wp:effectExtent l="0" t="0" r="0" b="0"/>
                <wp:wrapNone/>
                <wp:docPr id="40" name="Frame4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15 - Income Taxes (continued)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inclusive of items specific to the period, for the three months ended March 31, 2025 and 2024 was 32.2% and 48.8%, respectively. The Company recorded income tax expense of $12.8 million and $14.4 million for the three months ended March 31, 2025 and 2024, respectively.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projected 2025 annual effective tax rate differed from the U.S. federal statutory rate of 21.0% due to U.S. state taxes, foreign taxes and non-deductible equity compensation expense, offset by research and development credits. Further, the Company’s annual effective tax rate included period specific costs associated with shortfalls in tax-deductible equity compensation compared to amounts recognized in our financial accounts and effects of changes in state tax law and apportionment.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liabilities for unrecognized tax benefits, which are reflected as a reduction of deferred tax assets, were $14.9 million and $14.6 million as of March 31, 2025 and December 31, 2024, respectively. No interest or penalties are accrued with respect to the unrecognized tax benefits. If the unrecognized tax benefits as of March 31, 2025 were recognized, the entire balance would impact the effective tax rate. It is not anticipated any of the unrecognized tax benefit will be recognized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Note 16 - Subsequent Events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subsequent events from March 31, 2025 through the date the financial statement was available to be issued and has determined there are no material subsequent events that require disclosure other than those below and in Note 9 - Commitments and Contingencies.</w:t>
      </w:r>
    </w:p>
    <w:p>
      <w:pPr>
        <w:pStyle w:val="TextBody"/>
        <w:bidi w:val="0"/>
        <w:spacing w:lineRule="auto" w:line="288" w:before="30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March 31, 2025 and up through May 9, 2025, the Company repurchased and subsequently retired 6,776,573 shares of the Company’s common stock in the open market at a cost of $56.1 million, for an average price of $8.27 per share, under the Share Repurchase Program described further in Note 1 - Business, Basis of Presentation, and Summary of Significant Accounting Policies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221105"/>
                <wp:effectExtent l="0" t="0" r="0" b="0"/>
                <wp:wrapNone/>
                <wp:docPr id="41" name="Frame4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300" w:before="18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financial statements and related notes included in our 2024 Form 10-K, the information included under “Management’s Discussion and Analysis of Financial Condition and Results of Operations” in Part II, Item 7 of our 2024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2024 Form 10-K. Numerical figures included in this Form 10-Q have been subject to rounding adjustments. Accordingly, numerical figures shown as totals in various tables may not be arithmetic aggregations of the figures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is a global leader in modern go-to-market software, data, and intelligence for sales, marketing, operations, and recruiting teams. Our go-to-market intelligence platform empowers businesses with AI-ready insights, trusted data,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ZoomInfo is the modern go-to-market intelligence platform, consisting of three distinct layers that build upon each other:</w:t>
      </w:r>
    </w:p>
    <w:p>
      <w:pPr>
        <w:pStyle w:val="TextBody"/>
        <w:bidi w:val="0"/>
        <w:spacing w:lineRule="auto" w:line="288" w:before="180" w:after="180"/>
        <w:ind w:left="0" w:right="0" w:hanging="360"/>
        <w:jc w:val="both"/>
        <w:rPr/>
      </w:pPr>
      <w:r>
        <w:rPr>
          <w:color w:val="000000"/>
        </w:rPr>
        <w:t>•</w:t>
      </w:r>
      <w:r>
        <w:rPr>
          <w:rFonts w:ascii="Times New Roman;sans-serif" w:hAnsi="Times New Roman;sans-serif"/>
          <w:b/>
          <w:color w:val="000000"/>
          <w:sz w:val="20"/>
        </w:rPr>
        <w:t>Our Intelligence Layer</w:t>
      </w:r>
      <w:r>
        <w:rPr>
          <w:color w:val="000000"/>
        </w:rPr>
        <w:t xml:space="preserve"> </w:t>
      </w:r>
      <w:r>
        <w:rPr>
          <w:rFonts w:ascii="Times New Roman;sans-serif" w:hAnsi="Times New Roman;sans-serif"/>
          <w:b w:val="false"/>
          <w:color w:val="000000"/>
          <w:sz w:val="20"/>
        </w:rPr>
        <w:t>is the foundation of our data-driven strategy. Our best-in-class data, curated through first- and third-party sources, includes billions of data points about companies and contacts, such as intent, hierarchy, location, and financial information.</w:t>
      </w:r>
    </w:p>
    <w:p>
      <w:pPr>
        <w:pStyle w:val="TextBody"/>
        <w:bidi w:val="0"/>
        <w:spacing w:lineRule="auto" w:line="288" w:before="180" w:after="180"/>
        <w:ind w:left="0" w:right="0" w:hanging="360"/>
        <w:jc w:val="both"/>
        <w:rPr/>
      </w:pPr>
      <w:r>
        <w:rPr>
          <w:color w:val="000000"/>
        </w:rPr>
        <w:t>•</w:t>
      </w:r>
      <w:r>
        <w:rPr>
          <w:rFonts w:ascii="Times New Roman;sans-serif" w:hAnsi="Times New Roman;sans-serif"/>
          <w:b/>
          <w:color w:val="000000"/>
          <w:sz w:val="20"/>
        </w:rPr>
        <w:t>Our Orchestration Layer</w:t>
      </w:r>
      <w:r>
        <w:rPr>
          <w:color w:val="000000"/>
        </w:rPr>
        <w:t xml:space="preserve"> </w:t>
      </w:r>
      <w:r>
        <w:rPr>
          <w:rFonts w:ascii="Times New Roman;sans-serif" w:hAnsi="Times New Roman;sans-serif"/>
          <w:b w:val="false"/>
          <w:color w:val="000000"/>
          <w:sz w:val="20"/>
        </w:rPr>
        <w:t>integrates and enriches our data sources. At this stage, our products assign and route data, leads, and insights to the 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color w:val="000000"/>
          <w:sz w:val="20"/>
        </w:rPr>
        <w:t>Our Engagement Layer</w:t>
      </w:r>
      <w:r>
        <w:rPr>
          <w:color w:val="000000"/>
        </w:rPr>
        <w:t xml:space="preserve"> </w:t>
      </w:r>
      <w:r>
        <w:rPr>
          <w:rFonts w:ascii="Times New Roman;sans-serif" w:hAnsi="Times New Roman;sans-serif"/>
          <w:b w:val="false"/>
          <w:color w:val="000000"/>
          <w:sz w:val="20"/>
        </w:rPr>
        <w:t>allows sales, marketing, operations, and recruiting professionals to put data-driven insights into action to identify and 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 suited candidates, use pipeline management tools to collaborate and organize the hiring process, and automate aspects of the candidate outreach process by more efficiently finding and engaging candidates.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able to deliver high-quality intelligence at scale by leveraging an artificial intelligence (“AI”) and machine learning (“ML”) powered engine that gathers data from millions of sources and standardizes, matches to entities, verifies, cleans, and applies the processed data to companies and people at scale. This data engine along with our team of research analysts and data scientists enrich our platform by providing deep insights. Our customers access insights directly in our platform and can also integrate our data and insights directly into their CRM system or sales and marketing automation systems, to improve their existing go-to-market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17245"/>
                <wp:effectExtent l="0" t="0" r="0" b="0"/>
                <wp:wrapNone/>
                <wp:docPr id="42" name="Frame4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substantially all of our revenue from sales of subscriptions to our platform. Subscriptions include the use of our platform and access to customer support. Subscriptions generally range from one to three years in length. About 49% of customer contracts (based on annualized value) are multi-year agreements. We typically bill our customers at the beginning of each annual, semi-annual, or quarterly period and recognize revenue ratably over the term of the subscription period.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access to our platform to both new and existing customers. We price our subscriptions based on the functionality, users, and records under management that are included in each product edition. Our core paid products are ZoomInfo Copilot, ZoomInfo Sales, ZoomInfo Marketing, ZoomInfo Operations, and ZoomInfo Talent (with add-on options for some products), and we have a free community edition, ZoomInfo Lite.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Impact of Macroeconomic Conditions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financial condition have and may continue to be impacted by adverse macroeconomic conditions. See “Risk Related to Geopolitical and Macroeconomic Factors” in Part I, Item 1A of our 2024 Form 10-K for further discussion of the possible impact of these issues on our business.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the Board authorized an additional $500.0 million bringing the aggregate total authorizations as of March 31, 2025 to $1.6 billion, of which $542.5 million remained available and authorized for repurchases. Refer to Note 1 - Business, Basis of Presentation, and Summary of Significant Accounting Policies of the notes to our unaudited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and future success of our business depends on many factors, including the following:</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Acquiring New Customers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using our platform in the United States and around the world, and efficiently transacting with those customers. Acquiring new customers while optimizing the profile of those customers and the go-to-market channels we use to attract these customers will play a part in determining our operating results and growth prospects in the future. Acquiring new customers also strengthens the power of our contributory networks. We plan to continue to invest in our efficient go-to-market effort to expand our customer base.</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Increasing Usage of Our Platform</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ACV for those customers at the end of the twelve-month period, divided by (b) the total ACV for those customers at the beginning of the twelve-month period. Our net revenue retention rate was 87% and 85% as of March 31, 2025 and 2024, respectively. In the near term, we expect our net retention rate to be impacted by macroeconomic conditions. See the caption above entitled “—Recent Developments — Impact of Macroeconomic Conditions.” Over the long term, we expect our net revenue retention rate to be influenced by our ability to move upmarket, as larger customers have historically exhibited higher net revenue retention. We also measure our success in expanding relationships with existing customers by the number of customers that contract for more than $100,000 in ACV. As of March 31, 2025 and 2024 our customers with over $100,000 in ACV was 1,868 and 1,760,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17245"/>
                <wp:effectExtent l="0" t="0" r="0" b="0"/>
                <wp:wrapNone/>
                <wp:docPr id="43" name="Frame4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Factors Affecting the Comparability of Our Results of Operations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Changing the Mix of Our Customer Base and Reducing Write-offs and Bad Debts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we deployed a new business risk model to flag and require upfront pre-payment from prospects at the greatest risk of non-payment. This process was incorporated to mitigate the risk of future write-offs and invest in the long-term health of the Company. Concurrently, our efforts have shifted to customers more likely to pay, renew, and grow with us over time.</w:t>
      </w:r>
    </w:p>
    <w:p>
      <w:pPr>
        <w:pStyle w:val="TextBody"/>
        <w:bidi w:val="0"/>
        <w:spacing w:lineRule="auto" w:line="256" w:before="180" w:after="180"/>
        <w:ind w:left="0" w:right="0" w:firstLine="360"/>
        <w:jc w:val="both"/>
        <w:rPr/>
      </w:pPr>
      <w:r>
        <w:rPr>
          <w:rFonts w:ascii="Times New Roman;sans-serif" w:hAnsi="Times New Roman;sans-serif"/>
          <w:b w:val="false"/>
          <w:color w:val="000000"/>
          <w:sz w:val="20"/>
        </w:rPr>
        <w:t xml:space="preserve">As a result, we recorded an incremental charge during the second quarter of 2024 impacting our reported </w:t>
      </w: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expenses. The charge represents a revision to our reserves for uncollectible accounts receivable, made up primarily of historical transactions with our SMB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primarily all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 xml:space="preserve">Cost of service. </w:t>
      </w:r>
      <w:r>
        <w:rPr>
          <w:rFonts w:ascii="Times New Roman;sans-serif" w:hAnsi="Times New Roman;sans-serif"/>
          <w:b w:val="false"/>
          <w:color w:val="000000"/>
          <w:sz w:val="20"/>
        </w:rPr>
        <w:t>Cost of service includes direct expenses related to the support and operations of our services and research teams including salaries, benefits, equity-based compensation, and related expenses, such as employer taxes, allocated overhead for facilities, technology, third-party hosting fees, third-party data costs, and amortization of internally developed capitalized software.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continued investment in cost of service, with cost of service as a percentage of revenue expected to remain consistent or modestly increase. This is driven by rising AI consumption costs and customer onboarding expenses as we migrate existing customers to Copilot and acquire and onboard new Copilot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17245"/>
                <wp:effectExtent l="0" t="0" r="0" b="0"/>
                <wp:wrapNone/>
                <wp:docPr id="44" name="Frame4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 xml:space="preserve">Amortization of acquired technology. </w:t>
      </w:r>
      <w:r>
        <w:rPr>
          <w:rFonts w:ascii="Times New Roman;sans-serif" w:hAnsi="Times New Roman;sans-serif"/>
          <w:b w:val="false"/>
          <w:color w:val="000000"/>
          <w:sz w:val="20"/>
        </w:rPr>
        <w:t>Amortization of acquired technology includes amortization expense for technology acquired in business combinations.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amortization of acquired technology will increase if we make additional acquisitions in the future.</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revenue less cost of revenue,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general and administrative, and amortization of other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and restructuring and transaction-related expenses. We anticipate that restructuring and transaction-related expenses, including potential impairments, will be influenced by future acquisition activity, strategic restructuring activities, and the commencement of new leases. Specifically, as new leases commence, we may face increased impairment expenses for spaces that we do not intend to occupy and/or that we plan to sublease, which could cause these costs to vary, potentially significantly, from our historic levels. Refer to Note 11 - Leases of our unaudited consolidated financial statements included in Part I, Item 1 of this Form 10-Q for further information.</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deferred commissions costs.</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expenses support our efforts to enhance our existing platform and develop new software products. Research and development expenses primarily consist of employee compensation such as salaries, bonuses, equity-based compensation, and other employee-related benefits for our engineering and product management teams, as well as overhead costs, and technology. Research and development expenses do not reflect amortization of internally developed capitalized software. We believe that our core technologies and ongoing innovation represent a significant competitive advantage for us.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short-term, but will modestly decrease in the long-term as we drive efficiencies in that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17245"/>
                <wp:effectExtent l="0" t="0" r="0" b="0"/>
                <wp:wrapNone/>
                <wp:docPr id="45" name="Frame4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 xml:space="preserve">General and administrative expenses primarily consist of employee-related costs such as salaries, bonuses, equity-based 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restructuring and transaction-related expenses, such as impairment charges associated with our leasing activity. We also incur charges associated with litigation settlements, such as the settlement of the Class Action (as defined in the Company’s 2024 Form 10-K), which are presented within </w:t>
      </w: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on the Consolidated Statements of Operations.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as a percentage of revenue may fluctuate during periods when we incur non-recurring restructuring and transaction-related expenses, such as those associated with acquisitions or impairments. Excluding these non-recurring items, we expect a more stable or declining trend over time.</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Amortization of other acquired intangibles</w:t>
      </w:r>
      <w:r>
        <w:rPr>
          <w:rFonts w:ascii="Times New Roman;sans-serif" w:hAnsi="Times New Roman;sans-serif"/>
          <w:b w:val="false"/>
          <w:color w:val="000000"/>
          <w:sz w:val="20"/>
        </w:rPr>
        <w:t>. Amortization of acquired intangibles consists of amortization of customer relationships and brand portfolios.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amortization of other acquired intangibles will increase if we make additional acquisitions in the future.</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Interest expense, net</w:t>
      </w:r>
      <w:r>
        <w:rPr>
          <w:color w:val="000000"/>
        </w:rPr>
        <w:t xml:space="preserve"> </w:t>
      </w:r>
      <w:r>
        <w:rPr>
          <w:rFonts w:ascii="Times New Roman;sans-serif" w:hAnsi="Times New Roman;sans-serif"/>
          <w:b w:val="false"/>
          <w:color w:val="000000"/>
          <w:sz w:val="20"/>
        </w:rPr>
        <w:t>represents the interest payable on our debt obligations and the amortization of debt discounts and debt issuance costs, less interest income.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interest expense could be impacted by changes in variable interest rates, the issuance of additional debt, or changes in our interest rate hedging strategies, such as entering into new hedging arrangements or the expiration of existing interest rate swaps.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Loss on debt modification and extinguishment</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Loss on debt modification and extinguishment</w:t>
      </w:r>
      <w:r>
        <w:rPr>
          <w:color w:val="000000"/>
        </w:rPr>
        <w:t xml:space="preserve"> </w:t>
      </w:r>
      <w:r>
        <w:rPr>
          <w:rFonts w:ascii="Times New Roman;sans-serif" w:hAnsi="Times New Roman;sans-serif"/>
          <w:b w:val="false"/>
          <w:color w:val="000000"/>
          <w:sz w:val="20"/>
        </w:rPr>
        <w:t>consists of prepayment penalties and impairment of deferred financing costs associated with the modification or extinguishment of debt, as well as new fees incurred with third parties in connection with debt modifications.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losses related to debt modification and extinguishment will only occur if we extinguish indebtedness before the contractual repayment dates or amend our existing financing arrangements.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Other loss, net</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Other loss, net</w:t>
      </w:r>
      <w:r>
        <w:rPr>
          <w:color w:val="000000"/>
        </w:rPr>
        <w:t xml:space="preserve"> </w:t>
      </w:r>
      <w:r>
        <w:rPr>
          <w:rFonts w:ascii="Times New Roman;sans-serif" w:hAnsi="Times New Roman;sans-serif"/>
          <w:b w:val="false"/>
          <w:color w:val="000000"/>
          <w:sz w:val="20"/>
        </w:rPr>
        <w:t>consists primarily of the remeasurement of TRA liabilities, investment income, and realized and unrealized gains and losses related to the impact of transactions denominated in a foreign currency.</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Changes to existing tax law, including changes to corporate income tax rates or the Company’s state tax footprint could lead to substantial remeasurement of the TRA liability recorded through </w:t>
      </w:r>
      <w:r>
        <w:rPr>
          <w:rFonts w:ascii="Times New Roman;sans-serif" w:hAnsi="Times New Roman;sans-serif"/>
          <w:b w:val="false"/>
          <w:i/>
          <w:color w:val="000000"/>
          <w:sz w:val="20"/>
        </w:rPr>
        <w:t>Other loss, net</w:t>
      </w:r>
      <w:r>
        <w:rPr>
          <w:rFonts w:ascii="Times New Roman;sans-serif" w:hAnsi="Times New Roman;sans-serif"/>
          <w:b w:val="false"/>
          <w:color w:val="000000"/>
          <w:sz w:val="20"/>
        </w:rPr>
        <w:t xml:space="preserve">. Additionally, the magnitude of </w:t>
      </w:r>
      <w:r>
        <w:rPr>
          <w:rFonts w:ascii="Times New Roman;sans-serif" w:hAnsi="Times New Roman;sans-serif"/>
          <w:b w:val="false"/>
          <w:i/>
          <w:color w:val="000000"/>
          <w:sz w:val="20"/>
        </w:rPr>
        <w:t>Other loss, net</w:t>
      </w:r>
      <w:r>
        <w:rPr>
          <w:color w:val="000000"/>
        </w:rPr>
        <w:t xml:space="preserve"> </w:t>
      </w:r>
      <w:r>
        <w:rPr>
          <w:rFonts w:ascii="Times New Roman;sans-serif" w:hAnsi="Times New Roman;sans-serif"/>
          <w:b w:val="false"/>
          <w:color w:val="000000"/>
          <w:sz w:val="20"/>
        </w:rPr>
        <w:t xml:space="preserve">may increase as we expand operations internationally and add complexity to our operations. Refer to the </w:t>
      </w: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section below for further information regarding remeasurement of TRA liability and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7245"/>
                <wp:effectExtent l="0" t="0" r="0" b="0"/>
                <wp:wrapNone/>
                <wp:docPr id="46" name="Frame4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and liabilities based on temporary differences between the financial statement and tax basis of assets and liabilities, as well as from net operating loss and tax credit carryforwards. We evaluate the recoverability of these future deductible temporary differences, net operating losses and credits by assessing the carryforward period and adequacy of future expected taxable income from all sources, including reversing taxable temporary differences, future growth, and forecasted earnings, as well as historical earnings, taxable income in prior years, whether carryback is permitted under the law, and prudent and feasible tax planning strategies. A valuation allowance is established only if it is more likely than not that all or a portion of the deferred tax asset will not be realized.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significant U.S. federal and state deferred tax assets, including deferred tax assets created by various historical restructuring events. The preponderance of our deferred tax assets have long lives or are otherwise indefinite. We regularly review whether it is more likely than not that our deferred tax assets will be realizable. As of March 31, 2025, a valuation allowance continues to be recorded against certain state-level attributes.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value of our deferred tax assets are regularly remeasured to consider the impact of statutory changes and other guidance, as well as changes in our state income apportionment factors. Given the amount of our deferred tax assets, minor changes can materially affect our </w:t>
      </w: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xml:space="preserve">. A significant portion of our deferred tax assets are associated with our TRA, and upon a remeasurement of our deferred tax assets, the TRA liability is typically concurrently remeasured with a partially offsetting impact within </w:t>
      </w:r>
      <w:r>
        <w:rPr>
          <w:rFonts w:ascii="Times New Roman;sans-serif" w:hAnsi="Times New Roman;sans-serif"/>
          <w:b w:val="false"/>
          <w:i/>
          <w:color w:val="000000"/>
          <w:sz w:val="20"/>
        </w:rPr>
        <w:t>Other loss, net</w:t>
      </w:r>
      <w:r>
        <w:rPr>
          <w:color w:val="000000"/>
        </w:rPr>
        <w:t xml:space="preserve"> </w:t>
      </w:r>
      <w:r>
        <w:rPr>
          <w:rFonts w:ascii="Times New Roman;sans-serif" w:hAnsi="Times New Roman;sans-serif"/>
          <w:b w:val="false"/>
          <w:color w:val="000000"/>
          <w:sz w:val="20"/>
        </w:rPr>
        <w:t>on the Consolidated Statements of Operations.</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We have regularly taken tax positions, including with respect to our various corporate events and restructurings, in the ordinary course of determining our </w:t>
      </w: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xml:space="preserve">. We recognize the tax benefit of an uncertain tax position only if it is more likely than not the position will be sustainable upon examination by the taxing authority based on the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in the period in which we make the change, which could have a material impact on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7245"/>
                <wp:effectExtent l="0" t="0" r="0" b="0"/>
                <wp:wrapNone/>
                <wp:docPr id="47" name="Frame4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results of operations for the three months ended March 31, 2025 and 2024: </w:t>
      </w:r>
    </w:p>
    <w:tbl>
      <w:tblPr>
        <w:tblW w:w="6851" w:type="dxa"/>
        <w:jc w:val="left"/>
        <w:tblInd w:w="0" w:type="dxa"/>
        <w:tblLayout w:type="fixed"/>
        <w:tblCellMar>
          <w:top w:w="28" w:type="dxa"/>
          <w:left w:w="28" w:type="dxa"/>
          <w:bottom w:w="28" w:type="dxa"/>
          <w:right w:w="28" w:type="dxa"/>
        </w:tblCellMar>
      </w:tblPr>
      <w:tblGrid>
        <w:gridCol w:w="1299"/>
        <w:gridCol w:w="1140"/>
        <w:gridCol w:w="1145"/>
        <w:gridCol w:w="267"/>
        <w:gridCol w:w="781"/>
        <w:gridCol w:w="138"/>
        <w:gridCol w:w="138"/>
        <w:gridCol w:w="138"/>
        <w:gridCol w:w="138"/>
        <w:gridCol w:w="267"/>
        <w:gridCol w:w="781"/>
        <w:gridCol w:w="138"/>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service</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67"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38"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38"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loss, net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26.8</w:t>
            </w:r>
            <w:r>
              <w:rPr>
                <w:color w:val="000000"/>
              </w:rPr>
              <w:t>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15.1</w:t>
            </w:r>
            <w:r>
              <w:rPr>
                <w:color w:val="000000"/>
              </w:rPr>
              <w:t>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(1)Amounts include equity-based compensation expense, as follows:</w:t>
      </w:r>
    </w:p>
    <w:tbl>
      <w:tblPr>
        <w:tblW w:w="6117" w:type="dxa"/>
        <w:jc w:val="left"/>
        <w:tblInd w:w="0" w:type="dxa"/>
        <w:tblLayout w:type="fixed"/>
        <w:tblCellMar>
          <w:top w:w="28" w:type="dxa"/>
          <w:left w:w="28" w:type="dxa"/>
          <w:bottom w:w="28" w:type="dxa"/>
          <w:right w:w="28" w:type="dxa"/>
        </w:tblCellMar>
      </w:tblPr>
      <w:tblGrid>
        <w:gridCol w:w="1109"/>
        <w:gridCol w:w="975"/>
        <w:gridCol w:w="976"/>
        <w:gridCol w:w="270"/>
        <w:gridCol w:w="643"/>
        <w:gridCol w:w="150"/>
        <w:gridCol w:w="150"/>
        <w:gridCol w:w="150"/>
        <w:gridCol w:w="150"/>
        <w:gridCol w:w="270"/>
        <w:gridCol w:w="643"/>
        <w:gridCol w:w="150"/>
        <w:gridCol w:w="109"/>
        <w:gridCol w:w="109"/>
        <w:gridCol w:w="109"/>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equity-based compensation expense</w:t>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2025 and 2024</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Revenue was $305.7 million for the three months ended March 31, 2025, a decrease of $4.4 million, or 1%, as compared to $310.1 million for the three months ended March 31, 2024. The decrease was primarily due to the effects of the operational changes implemented during the second quarter of 2024. Refer to the “Factors Affecting the Comparability of Our Results of Operations” section above.</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color w:val="000000"/>
          <w:sz w:val="20"/>
        </w:rPr>
        <w:t>Cost of revenue was $47.3 million for the three months ended March 31, 2025, an increase of $3.9 million, or 9%, as compared to $43.4 million for the three months ended March 31, 2024. Excluding equity-based compensation expense, cost of revenue was $44.5 million for the three months ended March 31, 2025, an increase of $3.6 million, or 9%, as compared to $40.9 million for the three months ended March 31, 2024, primarily due to increased depreciation expense on internally developed capitalized software, hosting fees, and employee benefit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7245"/>
                <wp:effectExtent l="0" t="0" r="0" b="0"/>
                <wp:wrapNone/>
                <wp:docPr id="48" name="Frame4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Gross profit for the three months ended March 31, 2025 was $258.4 million and represented a gross margin of 85%. Gross profit for the three months ended March 31, 2024 was $266.7 million and represented a gross margin of 86%. The decrease in gross profit in the three months ended March 31, 2025 relative to the three months ended March 31, 2024 was $8.3 million, or 3%, primarily due to lower revenues, as described above, increased depreciation expense on internally developed capitalized software, and increased hosting fees.</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Operating expenses.</w:t>
      </w:r>
      <w:r>
        <w:rPr>
          <w:color w:val="000000"/>
        </w:rPr>
        <w:t xml:space="preserve"> </w:t>
      </w:r>
      <w:r>
        <w:rPr>
          <w:rFonts w:ascii="Times New Roman;sans-serif" w:hAnsi="Times New Roman;sans-serif"/>
          <w:b w:val="false"/>
          <w:color w:val="000000"/>
          <w:sz w:val="20"/>
        </w:rPr>
        <w:t>Operating expenses were $208.1 million for the three months ended March 31, 2025, a decrease of $15.6 million, or 7%, as compared to $223.7 million for the three months ended March 31, 2024. Excluding equity-based compensation expense, operating expenses were $181.3 million for the three months ended March 31, 2025, a decrease of $13.7 million, or 7%, as compared to $195.0 million for the three months ended March 31, 2024.</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Sales and marketing for the three months ended March 31, 2025 was $106.0 million, representing an increase of $6.4 million, or 6%, as compared to $99.6 million for the three months ended March 31, 2024. Sales and marketing, excluding equity-based compensation expense, for the three months ended March 31, 2025 was $94.6 million, representing an increase of $6.8 million, or 8%, as compared to $87.8 million for the three months ended March 31, 2024, primarily due to increased employee compensation costs, employee benefit costs, and facilities expenses, partially offset by decreased marketing costs.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Research and development for the three months ended March 31, 2025 was $51.1 million representing an increase of $7.4 million, or 17%, as compared to $43.7 million for the three months ended March 31, 2024. Research and development, excluding equity-based compensation expense, for the three months ended March 31, 2025 was $42.5 million, representing an increase of $7.6 million, or 22%, as compared to $34.9 million for the three months ended March 31, 2024, primarily due to increased employee compensation costs, employee benefit costs, severance costs, facilities, and depreciation expense.</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General and administrative for the three months ended March 31, 2025 was $45.8 million representing a decrease of $29.3 million, or 39%, as compared to $75.1 million for the three months ended March 31, 2024. General and administrative, excluding equity-based compensation expense, for the three months ended March 31, 2025 was $39.0 million, representing a decrease of $28.0 million, or 42%, as compared to $67.0 million for the three months ended March 31, 2024, primarily due to the charges related to Class Actions in the prior period as well as lower bad debt expense, partially offset by increased employee compensation costs, employee benefit costs, technology expenses, severance costs, and facilities expenses.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Amortization of other acquired intangibles was $5.2 million for the three months ended March 31, 2025, relatively flat as compared to $5.3 million for the three months ended March 31, 2024.</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Equity-based compensation expense.</w:t>
      </w:r>
      <w:r>
        <w:rPr>
          <w:color w:val="000000"/>
        </w:rPr>
        <w:t xml:space="preserve"> </w:t>
      </w:r>
      <w:r>
        <w:rPr>
          <w:rFonts w:ascii="Times New Roman;sans-serif" w:hAnsi="Times New Roman;sans-serif"/>
          <w:b w:val="false"/>
          <w:color w:val="000000"/>
          <w:sz w:val="20"/>
        </w:rPr>
        <w:t xml:space="preserve">Equity-based compensation expense was $29.6 million for the three months ended March 31, 2025, a decrease of $1.6 million, or 5%, as compared to $31.2 million for the three months ended March 31, 2024, due to lower weighted average grant date fair values of grants being amortized in the current period compared to those that were amortized in the prior period, and increased termination expense reversals, partially offset by increased amortization of expenditures for internal use developed software which were previously capitalized. </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Income from operations</w:t>
      </w:r>
      <w:r>
        <w:rPr>
          <w:rFonts w:ascii="Times New Roman;sans-serif" w:hAnsi="Times New Roman;sans-serif"/>
          <w:b w:val="false"/>
          <w:color w:val="000000"/>
          <w:sz w:val="20"/>
        </w:rPr>
        <w:t>. Income from operations was $50.3 million for the three months ended March 31, 2025, an increase of $7.3 million, or 17%, as compared to income from operations of $43.0 million for the three months ended March 31, 2024. The increase is primarily due to charges related to the Class Actions in the prior period as well as lower bad debt expense, partially offset by lower revenues, increased employee compensation and benefit costs, increased facilities costs, increased severance costs, and increased hosting and contractor expenses. Operating income margin was 16% for the three months ended March 31, 2025 as compared to operating income margin of 14% for the three months ended March 31, 2024.</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Interest expense, net.</w:t>
      </w:r>
      <w:r>
        <w:rPr>
          <w:color w:val="000000"/>
        </w:rPr>
        <w:t xml:space="preserve"> </w:t>
      </w:r>
      <w:r>
        <w:rPr>
          <w:rFonts w:ascii="Times New Roman;sans-serif" w:hAnsi="Times New Roman;sans-serif"/>
          <w:b w:val="false"/>
          <w:color w:val="000000"/>
          <w:sz w:val="20"/>
        </w:rPr>
        <w:t>Interest expense, net was $9.8 million for the three months ended March 31, 2025, a decrease of $0.3 million, or 3%, as compared to $10.1 million for the three months ended March 31, 2024, primarily due to lower interest rates partially offset by lower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7245"/>
                <wp:effectExtent l="0" t="0" r="0" b="0"/>
                <wp:wrapNone/>
                <wp:docPr id="49" name="Frame4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Other loss, net</w:t>
      </w:r>
      <w:r>
        <w:rPr>
          <w:rFonts w:ascii="Times New Roman;sans-serif" w:hAnsi="Times New Roman;sans-serif"/>
          <w:b w:val="false"/>
          <w:color w:val="000000"/>
          <w:sz w:val="20"/>
        </w:rPr>
        <w:t>. Other loss, net was $0.9 million for the three months ended March 31, 2025, which consists of $1.2 million of TRA remeasurement loss, partially offset by $0.2 million of gain on foreign currency transactions and $0.1 million of investment income, as compared to other loss, net of $3.4 million for the three months ended March 31, 2024, which consists of $9.4 million of TRA remeasurement loss, partially offset by $3.7 million of investment income and $2.3 million of gain on foreign currency transactions.</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The Company is subject to income taxes in the United States and various foreign jurisdictions. Provision for income taxes for the three months ended March 31, 2025 was $12.8 million, representing an effective tax rate of 32.2%, as compared to provision for income taxes of $14.4 million, representing an effective tax rate of 48.8%, for the three months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The effective tax rate differed from the U.S. federal statutory rate of </w:t>
      </w:r>
      <w:r>
        <w:rPr>
          <w:rFonts w:ascii="Times New Roman;sans-serif" w:hAnsi="Times New Roman;sans-serif"/>
          <w:b w:val="false"/>
          <w:color w:val="000000"/>
          <w:sz w:val="20"/>
        </w:rPr>
        <w:t>21.0%</w:t>
      </w:r>
      <w:r>
        <w:rPr>
          <w:color w:val="000000"/>
          <w:shd w:fill="FFFFFF" w:val="clear"/>
        </w:rPr>
        <w:t xml:space="preserve"> </w:t>
      </w:r>
      <w:r>
        <w:rPr>
          <w:rFonts w:ascii="Times New Roman;sans-serif" w:hAnsi="Times New Roman;sans-serif"/>
          <w:b w:val="false"/>
          <w:color w:val="000000"/>
          <w:sz w:val="20"/>
          <w:shd w:fill="FFFFFF" w:val="clear"/>
        </w:rPr>
        <w:t xml:space="preserve">due to non-deductible equity compensation costs, U.S. state taxes, foreign taxes, partially offset by research and development credits. </w:t>
      </w:r>
    </w:p>
    <w:p>
      <w:pPr>
        <w:pStyle w:val="TextBody"/>
        <w:bidi w:val="0"/>
        <w:spacing w:lineRule="auto" w:line="288" w:before="180" w:after="180"/>
        <w:ind w:left="0" w:right="0" w:firstLine="360"/>
        <w:jc w:val="both"/>
        <w:rPr/>
      </w:pPr>
      <w:r>
        <w:rPr>
          <w:rFonts w:ascii="Times New Roman;sans-serif" w:hAnsi="Times New Roman;sans-serif"/>
          <w:b w:val="false"/>
          <w:i/>
          <w:color w:val="000000"/>
          <w:sz w:val="20"/>
        </w:rPr>
        <w:t>Net income</w:t>
      </w:r>
      <w:r>
        <w:rPr>
          <w:rFonts w:ascii="Times New Roman;sans-serif" w:hAnsi="Times New Roman;sans-serif"/>
          <w:b w:val="false"/>
          <w:color w:val="000000"/>
          <w:sz w:val="20"/>
        </w:rPr>
        <w:t>. Net income was $26.8 million for the three months ended March 31, 2025, an increase of $11.7 million or 77%, as compared to net income of $15.1 million for the three months ended March 31, 2024. The increase was primarily due to charges related to the Class Actions in the prior period, as well as lower bad debt expense and TRA remeasurement loss, partially offset by lower revenues, increased employee compensation and benefit costs, increased facilities costs, increased severance costs, and increased hosting and contractor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7245"/>
                <wp:effectExtent l="0" t="0" r="0" b="0"/>
                <wp:wrapNone/>
                <wp:docPr id="50" name="Frame5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Adjusted Operating Income and Adjusted Operating Income Margin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Operating Income as income (loss) from operations adjusted for, as applicable, (i) amortization of acquired technology and other acquired intangibles, (ii) equity-based compensation expense, (iii) restructuring and transaction-related expenses, (iv) integration costs and acquisition-related expenses, (v) and legal settlement. We exclude the impact of amortization of acquired technology and other acquired intangibles, as well as equity-based compensation expense, because these are non-cash expenses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litigation settlements related to class actions because we believe it represents an extraordinary litigation expense outside of our ordinary course of business and is not indicative of our operative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We define Adjusted Operating Income Margin as Adjusted Operating Income divided by revenue.</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following table presents a reconciliation of </w:t>
      </w:r>
      <w:r>
        <w:rPr>
          <w:rFonts w:ascii="Times New Roman;sans-serif" w:hAnsi="Times New Roman;sans-serif"/>
          <w:b w:val="false"/>
          <w:i/>
          <w:color w:val="000000"/>
          <w:sz w:val="20"/>
        </w:rPr>
        <w:t>Income from operations</w:t>
      </w:r>
      <w:r>
        <w:rPr>
          <w:color w:val="000000"/>
        </w:rPr>
        <w:t xml:space="preserve"> </w:t>
      </w:r>
      <w:r>
        <w:rPr>
          <w:rFonts w:ascii="Times New Roman;sans-serif" w:hAnsi="Times New Roman;sans-serif"/>
          <w:b w:val="false"/>
          <w:color w:val="000000"/>
          <w:sz w:val="20"/>
        </w:rPr>
        <w:t>to Adjusted Operating Income for the periods presented:</w:t>
      </w:r>
    </w:p>
    <w:tbl>
      <w:tblPr>
        <w:tblW w:w="7348" w:type="dxa"/>
        <w:jc w:val="left"/>
        <w:tblInd w:w="0" w:type="dxa"/>
        <w:tblLayout w:type="fixed"/>
        <w:tblCellMar>
          <w:top w:w="28" w:type="dxa"/>
          <w:left w:w="28" w:type="dxa"/>
          <w:bottom w:w="28" w:type="dxa"/>
          <w:right w:w="28" w:type="dxa"/>
        </w:tblCellMar>
      </w:tblPr>
      <w:tblGrid>
        <w:gridCol w:w="1474"/>
        <w:gridCol w:w="1299"/>
        <w:gridCol w:w="1307"/>
        <w:gridCol w:w="390"/>
        <w:gridCol w:w="201"/>
        <w:gridCol w:w="501"/>
        <w:gridCol w:w="201"/>
        <w:gridCol w:w="201"/>
        <w:gridCol w:w="201"/>
        <w:gridCol w:w="390"/>
        <w:gridCol w:w="201"/>
        <w:gridCol w:w="501"/>
        <w:gridCol w:w="109"/>
        <w:gridCol w:w="109"/>
        <w:gridCol w:w="109"/>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0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(GAAP)</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and transaction-related expenses</w:t>
            </w:r>
            <w:r>
              <w:rPr>
                <w:rFonts w:ascii="Times New Roman;sans-serif" w:hAnsi="Times New Roman;sans-serif"/>
                <w:b w:val="false"/>
                <w:color w:val="000000"/>
                <w:sz w:val="13"/>
              </w:rPr>
              <w:t>(1)</w:t>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Litigation settlement</w:t>
            </w:r>
            <w:r>
              <w:rPr>
                <w:rFonts w:ascii="Times New Roman;sans-serif" w:hAnsi="Times New Roman;sans-serif"/>
                <w:b w:val="false"/>
                <w:color w:val="000000"/>
                <w:sz w:val="13"/>
              </w:rPr>
              <w:t>(2)</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Operating Income (Non-GAAP)</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 (GAAP)</w:t>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Income Margin (GAAP)</w:t>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Income Margin (Non-GAAP)</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7245"/>
                <wp:effectExtent l="0" t="0" r="0" b="0"/>
                <wp:wrapNone/>
                <wp:docPr id="51" name="Frame5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costs directly associated with acquisition or disposal activities, including employee severance and termination benefits, contract termination fees and penalties, and other exit or disposal costs. For the three months ended March 31, 2025, this expense is primarily related to employee severance and termination benefits and lease restructuring activities. For the three months ended March 31, 2024, this expense is primarily related to the accelerated expense of obsolete software purchase commitments. This expense is included in cost of service, sales and marketing, research and development, and general and administrative as follows:</w:t>
      </w:r>
    </w:p>
    <w:tbl>
      <w:tblPr>
        <w:tblW w:w="6371" w:type="dxa"/>
        <w:jc w:val="left"/>
        <w:tblInd w:w="0" w:type="dxa"/>
        <w:tblLayout w:type="fixed"/>
        <w:tblCellMar>
          <w:top w:w="28" w:type="dxa"/>
          <w:left w:w="28" w:type="dxa"/>
          <w:bottom w:w="28" w:type="dxa"/>
          <w:right w:w="28" w:type="dxa"/>
        </w:tblCellMar>
      </w:tblPr>
      <w:tblGrid>
        <w:gridCol w:w="1354"/>
        <w:gridCol w:w="1190"/>
        <w:gridCol w:w="1205"/>
        <w:gridCol w:w="291"/>
        <w:gridCol w:w="559"/>
        <w:gridCol w:w="162"/>
        <w:gridCol w:w="162"/>
        <w:gridCol w:w="162"/>
        <w:gridCol w:w="162"/>
        <w:gridCol w:w="291"/>
        <w:gridCol w:w="604"/>
        <w:gridCol w:w="229"/>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and transaction-related expenses</w:t>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charges associated with certain legal settlements. For the three months ended March 31, 2024, these charges are related to costs incurred due to the Class Actions.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for the three months ended March 31, 2025 was $100.9 million and represented an Adjusted Operating Income Margin of 33%. Adjusted Operating Income for the three months ended March 31, 2024 was $119.4 million and represented an Adjusted Operating Income Margin of 39%. The decrease of $18.5 million, or 15%, in Adjusted Operating Income was primarily due to the increased employee compensation costs, employee benefit costs, technology expenses, facilities expenses, and lower revenue partially offset by lower bad debt expense and marketing expenses.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Adjusted Net Income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Net Income as net income (loss) adjusted for, as applicable, (i) loss on debt modification and extinguishment, (ii) amortization of acquired technology and other acquired intangibles, (iii) equity-based compensation expense, (iv) restructuring and transaction-related expenses, (v) integration costs and acquisition-related expenses, (vi) legal settlement, (vii) TRA liability remeasurement (benefit) expense, (viii) other (income) loss, net and (ix)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following table presents a reconciliation of </w:t>
      </w:r>
      <w:r>
        <w:rPr>
          <w:rFonts w:ascii="Times New Roman;sans-serif" w:hAnsi="Times New Roman;sans-serif"/>
          <w:b w:val="false"/>
          <w:i/>
          <w:color w:val="000000"/>
          <w:sz w:val="20"/>
        </w:rPr>
        <w:t xml:space="preserve">Net income </w:t>
      </w:r>
      <w:r>
        <w:rPr>
          <w:rFonts w:ascii="Times New Roman;sans-serif" w:hAnsi="Times New Roman;sans-serif"/>
          <w:b w:val="false"/>
          <w:color w:val="000000"/>
          <w:sz w:val="20"/>
        </w:rPr>
        <w:t>to Adjusted Net Income for the periods presented:</w:t>
      </w:r>
    </w:p>
    <w:tbl>
      <w:tblPr>
        <w:tblW w:w="7350" w:type="dxa"/>
        <w:jc w:val="left"/>
        <w:tblInd w:w="0" w:type="dxa"/>
        <w:tblLayout w:type="fixed"/>
        <w:tblCellMar>
          <w:top w:w="28" w:type="dxa"/>
          <w:left w:w="28" w:type="dxa"/>
          <w:bottom w:w="28" w:type="dxa"/>
          <w:right w:w="28" w:type="dxa"/>
        </w:tblCellMar>
      </w:tblPr>
      <w:tblGrid>
        <w:gridCol w:w="1477"/>
        <w:gridCol w:w="1300"/>
        <w:gridCol w:w="1303"/>
        <w:gridCol w:w="281"/>
        <w:gridCol w:w="681"/>
        <w:gridCol w:w="145"/>
        <w:gridCol w:w="145"/>
        <w:gridCol w:w="145"/>
        <w:gridCol w:w="145"/>
        <w:gridCol w:w="281"/>
        <w:gridCol w:w="821"/>
        <w:gridCol w:w="145"/>
        <w:gridCol w:w="109"/>
        <w:gridCol w:w="109"/>
        <w:gridCol w:w="109"/>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(GAAP)</w:t>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and transaction-related expenses</w:t>
            </w:r>
            <w:r>
              <w:rPr>
                <w:rFonts w:ascii="Times New Roman;sans-serif" w:hAnsi="Times New Roman;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Litigation settlement</w:t>
            </w:r>
            <w:r>
              <w:rPr>
                <w:rFonts w:ascii="Times New Roman;sans-serif" w:hAnsi="Times New Roman;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 liability remeasurement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Tax impacts of adjustments to net income</w:t>
            </w:r>
            <w:r>
              <w:rPr>
                <w:rFonts w:ascii="Times New Roman;sans-serif" w:hAnsi="Times New Roman;sans-serif"/>
                <w:b w:val="false"/>
                <w:color w:val="000000"/>
                <w:sz w:val="13"/>
              </w:rPr>
              <w:t>(3)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(Non-GAAP)</w:t>
            </w:r>
          </w:p>
        </w:tc>
        <w:tc>
          <w:tcPr>
            <w:tcW w:w="2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17245"/>
                <wp:effectExtent l="0" t="0" r="0" b="0"/>
                <wp:wrapNone/>
                <wp:docPr id="52" name="Frame5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costs directly associated with acquisition or disposal activities, including employee severance and termination benefits, contract termination fees and penalties, and other exit or disposal costs. For the three months ended March 31, 2025, this expense is primarily related to employee severance and termination benefits and lease restructuring activities. For the three months ended March 31, 2024, this expense is primarily related to the accelerated expense of obsolete software purchase commitments. This expense is included in cost of service, sales and marketing, research and development, and general and administrative as follows:</w:t>
      </w:r>
    </w:p>
    <w:tbl>
      <w:tblPr>
        <w:tblW w:w="6371" w:type="dxa"/>
        <w:jc w:val="left"/>
        <w:tblInd w:w="0" w:type="dxa"/>
        <w:tblLayout w:type="fixed"/>
        <w:tblCellMar>
          <w:top w:w="28" w:type="dxa"/>
          <w:left w:w="28" w:type="dxa"/>
          <w:bottom w:w="28" w:type="dxa"/>
          <w:right w:w="28" w:type="dxa"/>
        </w:tblCellMar>
      </w:tblPr>
      <w:tblGrid>
        <w:gridCol w:w="1354"/>
        <w:gridCol w:w="1190"/>
        <w:gridCol w:w="1205"/>
        <w:gridCol w:w="291"/>
        <w:gridCol w:w="559"/>
        <w:gridCol w:w="162"/>
        <w:gridCol w:w="162"/>
        <w:gridCol w:w="162"/>
        <w:gridCol w:w="162"/>
        <w:gridCol w:w="291"/>
        <w:gridCol w:w="604"/>
        <w:gridCol w:w="229"/>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and transaction-related expenses</w:t>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charges associated with certain legal settlements. For the three months ended March 31, 2024, these charges are related to costs incurred due to the Class Actions.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tax expense associated with Net income (GAAP) excluded from Adjusted Net Income (Non-GAAP). The Company calculates the tax impacts of adjustments to net income (loss) by taking the total gross value of the adjustments and multiplying it by the Company’s U.S. federal and state statutory tax rate. We then recalculate the tax impact of book-tax differences related to equity compensation, the tax receivable agreements, restructuring and transaction-related expenses, and items that are deemed to be unrelated to current year operating income or are one-time in nature, such as provision to return true-ups. For the three months ended March 31, 2025, these primarily relate to adjusting out $1.2 million of tax benefit from the effects of changes in state tax law and apportionment, recognizing $13.6 million of tax benefit related to the amortization of costs associated with corporate structure simplification, and adjusting out $3.0 million of tax expense from non-deductible stock-based compensation. For the three months ended March 31, 2024, these primarily relate to adjusting out $0.2 million of tax expense from the effects of changes in state tax law and apportionment, recognizing $14.6 million of tax benefit related to the amortization of costs associated with corporate structure simplification, and adjusting out $5.0 million of tax expense from non-deductible stock-based compensation.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for the three months ended March 31, 2025 was $81.9 million compared to $100.5 million, representing a decrease of $18.6 million, or 18%, relative to the three months ended March 31, 2024. This decrease was primarily due to the lower Adjusted Operating Income in the current period as described above, partially offset by the decrease in tax expense.</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EBITDA is defined as earnings before interest, taxes, depreciation, and amortization. Management further adjusts EBITDA to exclude certain items of a significant or unusual nature, including, as applicable, other (income) expense, net, loss on debt modification and extinguishment, impact of certain non-cash items, such as equity-based compensation expense, restructuring and transaction-related expenses, integration costs and acquisition-related expenses, and litigation settlement. We exclude these items because these are either non-cash expenses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17245"/>
                <wp:effectExtent l="0" t="0" r="0" b="0"/>
                <wp:wrapNone/>
                <wp:docPr id="53" name="Frame5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The following table presents a reconciliation of </w:t>
      </w:r>
      <w:r>
        <w:rPr>
          <w:rFonts w:ascii="Times New Roman;sans-serif" w:hAnsi="Times New Roman;sans-serif"/>
          <w:b w:val="false"/>
          <w:i/>
          <w:color w:val="000000"/>
          <w:sz w:val="20"/>
        </w:rPr>
        <w:t>Net income</w:t>
      </w:r>
      <w:r>
        <w:rPr>
          <w:color w:val="000000"/>
        </w:rPr>
        <w:t xml:space="preserve"> </w:t>
      </w:r>
      <w:r>
        <w:rPr>
          <w:rFonts w:ascii="Times New Roman;sans-serif" w:hAnsi="Times New Roman;sans-serif"/>
          <w:b w:val="false"/>
          <w:color w:val="000000"/>
          <w:sz w:val="20"/>
        </w:rPr>
        <w:t>to Adjusted EBITDA for the periods presented:</w:t>
      </w:r>
    </w:p>
    <w:tbl>
      <w:tblPr>
        <w:tblW w:w="7346" w:type="dxa"/>
        <w:jc w:val="left"/>
        <w:tblInd w:w="0" w:type="dxa"/>
        <w:tblLayout w:type="fixed"/>
        <w:tblCellMar>
          <w:top w:w="28" w:type="dxa"/>
          <w:left w:w="28" w:type="dxa"/>
          <w:bottom w:w="28" w:type="dxa"/>
          <w:right w:w="28" w:type="dxa"/>
        </w:tblCellMar>
      </w:tblPr>
      <w:tblGrid>
        <w:gridCol w:w="1478"/>
        <w:gridCol w:w="1298"/>
        <w:gridCol w:w="1303"/>
        <w:gridCol w:w="267"/>
        <w:gridCol w:w="781"/>
        <w:gridCol w:w="138"/>
        <w:gridCol w:w="138"/>
        <w:gridCol w:w="138"/>
        <w:gridCol w:w="138"/>
        <w:gridCol w:w="267"/>
        <w:gridCol w:w="781"/>
        <w:gridCol w:w="138"/>
        <w:gridCol w:w="109"/>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(GAAP)</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Depreciation expense </w:t>
            </w:r>
            <w:r>
              <w:rPr>
                <w:rFonts w:ascii="Times New Roman;sans-serif" w:hAnsi="Times New Roman;sans-serif"/>
                <w:b w:val="false"/>
                <w:color w:val="000000"/>
                <w:sz w:val="13"/>
              </w:rPr>
              <w:t>(1)</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loss, net </w:t>
            </w:r>
            <w:r>
              <w:rPr>
                <w:rFonts w:ascii="Times New Roman;sans-serif" w:hAnsi="Times New Roman;sans-serif"/>
                <w:b w:val="false"/>
                <w:color w:val="000000"/>
                <w:sz w:val="13"/>
              </w:rPr>
              <w:t>(2)</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and transaction-related expenses</w:t>
            </w:r>
            <w:r>
              <w:rPr>
                <w:rFonts w:ascii="Times New Roman;sans-serif" w:hAnsi="Times New Roman;sans-serif"/>
                <w:b w:val="false"/>
                <w:color w:val="000000"/>
                <w:sz w:val="13"/>
              </w:rPr>
              <w:t>(3)</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Litigation settlement</w:t>
            </w:r>
            <w:r>
              <w:rPr>
                <w:rFonts w:ascii="Times New Roman;sans-serif" w:hAnsi="Times New Roman;sans-serif"/>
                <w:b w:val="false"/>
                <w:color w:val="000000"/>
                <w:sz w:val="13"/>
              </w:rPr>
              <w:t>(4)</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EBITDA (Non-GAAP)</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(1)The three months ended March 31, 2025 exclude the accelerated depreciation associated with the Waltham Lease Restructuring. Refer to Note 5 - Property and Equipment and Note 13 - Leases in our 2024 Form 10-K for further information.</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(2)Primarily represents revaluations on tax receivable agreement liability and foreign exchange remeasurement gains and losses.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costs directly associated with acquisition or disposal activities, including employee severance and termination benefits, contract termination fees and penalties, and other exit or disposal costs. For the three months ended March 31, 2025, this expense is primarily related to employee severance and termination benefits and lease restructuring activities. For the three months ended March 31, 2024, this expense is primarily related to the accelerated expense of obsolete software purchase commitments. This expense is included in cost of service, sales and marketing, research and development, and general and administrative as follows:</w:t>
      </w:r>
    </w:p>
    <w:tbl>
      <w:tblPr>
        <w:tblW w:w="6371" w:type="dxa"/>
        <w:jc w:val="left"/>
        <w:tblInd w:w="0" w:type="dxa"/>
        <w:tblLayout w:type="fixed"/>
        <w:tblCellMar>
          <w:top w:w="28" w:type="dxa"/>
          <w:left w:w="28" w:type="dxa"/>
          <w:bottom w:w="28" w:type="dxa"/>
          <w:right w:w="28" w:type="dxa"/>
        </w:tblCellMar>
      </w:tblPr>
      <w:tblGrid>
        <w:gridCol w:w="1354"/>
        <w:gridCol w:w="1190"/>
        <w:gridCol w:w="1205"/>
        <w:gridCol w:w="291"/>
        <w:gridCol w:w="559"/>
        <w:gridCol w:w="162"/>
        <w:gridCol w:w="162"/>
        <w:gridCol w:w="162"/>
        <w:gridCol w:w="162"/>
        <w:gridCol w:w="291"/>
        <w:gridCol w:w="604"/>
        <w:gridCol w:w="229"/>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and transaction-related expenses</w:t>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(4)Represents charges associated with certain legal settlements. For the three months ended March 31, 2024, these charges are related to costs incurred due to the Class Actions.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three months ended March 31, 2025 was $107.7 million, a decrease of $16.8 million, or 13%, relative to the three months ended March 31, 2024. This decrease was primarily due to the increased employee compensation costs, employee benefit costs, technology expenses, facilities expenses, and lower revenue partially offset by lower bad debt expense and marketing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$138.5 million of cash and cash equivalents, $2.0 million of short-term investments, $2.0 million of long-term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17245"/>
                <wp:effectExtent l="0" t="0" r="0" b="0"/>
                <wp:wrapNone/>
                <wp:docPr id="54" name="Frame5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invoice our subscription customers for services annually, semi-annually, or quarterly in advance of delivery.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March 31, 2025, we had unearned revenue of $484.4 million, of which $480.8 million was recorded as a current liability and is expected to be recorded as revenue in the next 12 months, provided all other revenue recognition criteria have been met.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2024 Form 10-K.</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Historical Cash Flows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9098" w:type="dxa"/>
        <w:jc w:val="left"/>
        <w:tblInd w:w="0" w:type="dxa"/>
        <w:tblLayout w:type="fixed"/>
        <w:tblCellMar>
          <w:top w:w="28" w:type="dxa"/>
          <w:left w:w="28" w:type="dxa"/>
          <w:bottom w:w="28" w:type="dxa"/>
          <w:right w:w="28" w:type="dxa"/>
        </w:tblCellMar>
      </w:tblPr>
      <w:tblGrid>
        <w:gridCol w:w="1732"/>
        <w:gridCol w:w="1523"/>
        <w:gridCol w:w="1529"/>
        <w:gridCol w:w="109"/>
        <w:gridCol w:w="109"/>
        <w:gridCol w:w="263"/>
        <w:gridCol w:w="263"/>
        <w:gridCol w:w="510"/>
        <w:gridCol w:w="1489"/>
        <w:gridCol w:w="263"/>
        <w:gridCol w:w="109"/>
        <w:gridCol w:w="109"/>
        <w:gridCol w:w="109"/>
        <w:gridCol w:w="211"/>
        <w:gridCol w:w="616"/>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$119.2 million for the three months ended March 31, 2025 as a result of net income of $26.8 million, adjusted by non-cash charges of $90.4 million and the net change in our operating assets and liabilities of $2.0 million. The non-cash charges are primarily comprised of equity-based compensation of $29.6 million, depreciation and amortization of $22.1 million, amortization of deferred commission costs of $21.4 million, and a decrease in deferred tax assets net of deferred tax liabilities of $11.2 million. The net change in operating assets and liabilities was primarily the result of a decrease in accrued expenses and other liabilities of $20.2 million, an increase in deferred costs and other assets of $16.1 million, and an increase in prepaid and other current assets of $3.3 million, mostly offset by a decrease in accounts receivable of $37.9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7245"/>
                <wp:effectExtent l="0" t="0" r="0" b="0"/>
                <wp:wrapNone/>
                <wp:docPr id="55" name="Frame5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$115.9 million for the three months ended March 31, 2024 as a result of net income of $15.1 million, adjusted by non-cash charges of $101.1 million and the net change in our operating assets and liabilities of $0.3 million. The non-cash charges are primarily comprised of equity-based compensation of $31.2 million, depreciation and amortization of $20.0 million, amortization of deferred commission costs of $17.4 million, a decrease in deferred tax assets net of deferred tax liabilities of $13.2 million, TRA remeasurement of $9.6 million, and provision for bad debt expense of $9.2 million. The net change in operating assets and liabilities was primarily the result of an increase in deferred costs and other assets of $17.6 million, a decrease in accounts payable of $16.9 million, an increase in prepaid expenses and other current assets of $11.9 million, partially offset by a decrease in accounts receivable of $39.3 million and an increase in accrued expenses and other liabilities of $5.5 million.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continue to make future acquisitions as part of our business strategy which may require the use of capital resources and drive additional future restructuring and transaction-related cash expenditures as well as integration and acquisition-related cash costs. During the three months ended March 31, 2025, and 2024, we incurred the following cash expenditures:</w:t>
      </w:r>
    </w:p>
    <w:tbl>
      <w:tblPr>
        <w:tblW w:w="8589" w:type="dxa"/>
        <w:jc w:val="left"/>
        <w:tblInd w:w="0" w:type="dxa"/>
        <w:tblLayout w:type="fixed"/>
        <w:tblCellMar>
          <w:top w:w="28" w:type="dxa"/>
          <w:left w:w="28" w:type="dxa"/>
          <w:bottom w:w="28" w:type="dxa"/>
          <w:right w:w="28" w:type="dxa"/>
        </w:tblCellMar>
      </w:tblPr>
      <w:tblGrid>
        <w:gridCol w:w="2085"/>
        <w:gridCol w:w="1834"/>
        <w:gridCol w:w="1840"/>
        <w:gridCol w:w="294"/>
        <w:gridCol w:w="712"/>
        <w:gridCol w:w="151"/>
        <w:gridCol w:w="151"/>
        <w:gridCol w:w="151"/>
        <w:gridCol w:w="151"/>
        <w:gridCol w:w="294"/>
        <w:gridCol w:w="712"/>
        <w:gridCol w:w="214"/>
      </w:tblGrid>
      <w:tr>
        <w:trPr/>
        <w:tc>
          <w:tcPr>
            <w:tcW w:w="208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in cash</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Restructuring and transaction-related expenses paid in cash</w:t>
            </w:r>
            <w:r>
              <w:rPr>
                <w:rFonts w:ascii="Times New Roman;sans-serif" w:hAnsi="Times New Roman;sans-serif"/>
                <w:b w:val="false"/>
                <w:color w:val="000000"/>
                <w:sz w:val="13"/>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Integration costs and acquisition-related compensation paid in cash</w:t>
            </w:r>
            <w:r>
              <w:rPr>
                <w:rFonts w:ascii="Times New Roman;sans-serif" w:hAnsi="Times New Roman;sans-serif"/>
                <w:b w:val="false"/>
                <w:color w:val="000000"/>
                <w:sz w:val="13"/>
              </w:rPr>
              <w:t>(2)</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Litigation settlement payments</w:t>
            </w:r>
            <w:r>
              <w:rPr>
                <w:rFonts w:ascii="Times New Roman;sans-serif" w:hAnsi="Times New Roman;sans-serif"/>
                <w:b w:val="false"/>
                <w:color w:val="000000"/>
                <w:sz w:val="13"/>
              </w:rPr>
              <w:t>(3)</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cash payments directly associated with acquisition or disposal activities, including employee severance and termination benefits, contract termination fees and penalties, and other exit or disposal costs. For the three months ended March 31, 2025, these payments related primarily to Waltham lease restructuring charges and employee severance and termination benefits payments. For the three months ended March 31, 2024, these payments related primarily to obsolete software purchase commitments.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cash payments directly associated with integration activities for acquisitions and acquisition-related compensation, which includes transaction bonuses and retention awards. For the three months ended March 31, 2024, these payments related to deferred compensation from the acquisition of Insent.</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cash payments for legal fees associated with legal settlements. See Note 9 - Commitments and Contingencies for further information.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2025 was $18.8 million, consisting of purchases of property and equipment and other assets of $14.8 million and purchases of investments of $4.0 million.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2024 was $35.4 million, consisting of maturities of investments of $48.2 million, partially offset by purchases of property and equipment and other assets of $12.8 million.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grow and invest in our business, we expect to continue to invest in property and equipment and opportunistically pursue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17245"/>
                <wp:effectExtent l="0" t="0" r="0" b="0"/>
                <wp:wrapNone/>
                <wp:docPr id="56" name="Frame5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2025 was $101.9 million and comprised of payments relating to the repurchase of common stock of $95.0 million, payments of taxes related to net share settlement of equity awards of $5.4 million, and repayment of debt of $1.5 million.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2024 was $192.7 million and comprised of payments relating to the repurchase of common stock of $151.0 million, TRA payments of $31.6 million, payments of taxes related to net share settlement of equity awards of $7.1 million, repayment of debt of $1.5 million, payments of debt issuance and modification costs of $0.8 million, and payments of deferred consideration of $0.7 million.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6 - Financing Arrangements of our unaudited consolidated financial statements included in Part I, Item 1 of this Form 10-Q for additional information related to each of our borrowings.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Debt Obligations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aggregate remaining balance of $650.0 million of 3.875% Senior Notes is due, in its entirety, at the contractual maturity date of February 1, 2029. Interest on the Senior Notes is payable semi-annually in arrears beginning on August 1, 2021. As of March 31, 2025, the Company has a remaining balance of $586.6 million with respect to its first lien term loans. The Company is obligated to make principal payments each quarter in the amount of 0.25% of the aggregate initial outstanding amount as of the latest amendment, with the remaining balance due at the contractual maturity date of February 28, 2030. The foregoing currently represent the only existing required future debt principal repayment obligations that will require future uses of the Company’s cash.</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term debt has a variable interest rate whereby the Company can elect to use a Base Rate or SOFR plus an applicable rate. The applicable rate is 0.75% for Base Rate loans or 1.75% for SOFR loans. The effective interest rate on the first lien debt was 6.32% and 6.56% as of March 31, 2025 and December 31, 2024, respectively.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revolving credit facility, which had no amount outstanding as of March 31, 2025,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total net leverage ratio to Adjusted EBITDA is defined as total contractual maturity of outstanding indebtedness less cash and cash equivalents, and investments (as applicable), divided by trailing twelve months Adjusted EBITDA. Adjusted EBITDA for the twelve months ended March 31, 2025 was $435.5 million. Our total net leverage ratio to Adjusted EBITDA as of March 31, 2025 was 2.5x.</w:t>
      </w:r>
    </w:p>
    <w:tbl>
      <w:tblPr>
        <w:tblW w:w="5720" w:type="dxa"/>
        <w:jc w:val="left"/>
        <w:tblInd w:w="0" w:type="dxa"/>
        <w:tblLayout w:type="fixed"/>
        <w:tblCellMar>
          <w:top w:w="28" w:type="dxa"/>
          <w:left w:w="28" w:type="dxa"/>
          <w:bottom w:w="28" w:type="dxa"/>
          <w:right w:w="28" w:type="dxa"/>
        </w:tblCellMar>
      </w:tblPr>
      <w:tblGrid>
        <w:gridCol w:w="1659"/>
        <w:gridCol w:w="1458"/>
        <w:gridCol w:w="1472"/>
        <w:gridCol w:w="211"/>
        <w:gridCol w:w="76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cash equivalents, and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contractual maturity of outstanding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Adjusted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leverage ratio to Adjusted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17245"/>
                <wp:effectExtent l="0" t="0" r="0" b="0"/>
                <wp:wrapNone/>
                <wp:docPr id="57" name="Frame5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first lien net leverage ratio is defined in the agreement governing our existing first lien credit facilities (the “First Lien Credit Agreement”) as total contractual maturity of outstanding First Lien indebtedness less cash and cash equivalents and investments (as applicable),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twelve months ended March 31, 2025 was $485.9 million. Our consolidated first lien net leverage ratio as of March 31, 2025 was 0.9x.</w:t>
      </w:r>
    </w:p>
    <w:tbl>
      <w:tblPr>
        <w:tblW w:w="5376" w:type="dxa"/>
        <w:jc w:val="left"/>
        <w:tblInd w:w="0" w:type="dxa"/>
        <w:tblLayout w:type="fixed"/>
        <w:tblCellMar>
          <w:top w:w="28" w:type="dxa"/>
          <w:left w:w="28" w:type="dxa"/>
          <w:bottom w:w="28" w:type="dxa"/>
          <w:right w:w="28" w:type="dxa"/>
        </w:tblCellMar>
      </w:tblPr>
      <w:tblGrid>
        <w:gridCol w:w="1589"/>
        <w:gridCol w:w="1396"/>
        <w:gridCol w:w="1410"/>
        <w:gridCol w:w="211"/>
        <w:gridCol w:w="616"/>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 except leverage ratios)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First Lien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and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contractual maturity of First Lien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First Lien Net Leverage Ratio</w:t>
            </w:r>
          </w:p>
        </w:tc>
        <w:tc>
          <w:tcPr>
            <w:tcW w:w="98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0.9x</w:t>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total net leverage ratio to Cash EBITDA (defined as Consolidated EBITDA in our Credit Agreements) is defined as total contractual maturity of outstanding indebtedness less cash and cash equivalents, and investments (as applicable), divided by trailing twelve months Cash EBITDA. Cash EBITDA for the twelve months ended March 31, 2025 was $485.9 million. Our total net leverage ratio to Cash EBITDA as of March 31, 2025 was 2.3x.</w:t>
      </w:r>
    </w:p>
    <w:tbl>
      <w:tblPr>
        <w:tblW w:w="5720" w:type="dxa"/>
        <w:jc w:val="left"/>
        <w:tblInd w:w="0" w:type="dxa"/>
        <w:tblLayout w:type="fixed"/>
        <w:tblCellMar>
          <w:top w:w="28" w:type="dxa"/>
          <w:left w:w="28" w:type="dxa"/>
          <w:bottom w:w="28" w:type="dxa"/>
          <w:right w:w="28" w:type="dxa"/>
        </w:tblCellMar>
      </w:tblPr>
      <w:tblGrid>
        <w:gridCol w:w="1659"/>
        <w:gridCol w:w="1458"/>
        <w:gridCol w:w="1472"/>
        <w:gridCol w:w="211"/>
        <w:gridCol w:w="76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cash equivalents, and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contractual maturity of outstanding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leverage ratio to Cash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2.3x</w:t>
            </w:r>
          </w:p>
        </w:tc>
      </w:tr>
    </w:tbl>
    <w:tbl>
      <w:tblPr>
        <w:tblW w:w="6720" w:type="dxa"/>
        <w:jc w:val="left"/>
        <w:tblInd w:w="0" w:type="dxa"/>
        <w:tblLayout w:type="fixed"/>
        <w:tblCellMar>
          <w:top w:w="28" w:type="dxa"/>
          <w:left w:w="28" w:type="dxa"/>
          <w:bottom w:w="28" w:type="dxa"/>
          <w:right w:w="28" w:type="dxa"/>
        </w:tblCellMar>
      </w:tblPr>
      <w:tblGrid>
        <w:gridCol w:w="1478"/>
        <w:gridCol w:w="1299"/>
        <w:gridCol w:w="1303"/>
        <w:gridCol w:w="568"/>
        <w:gridCol w:w="1658"/>
        <w:gridCol w:w="41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Trailing Twelve Months as of</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(GAAP)</w:t>
            </w:r>
          </w:p>
        </w:tc>
        <w:tc>
          <w:tcPr>
            <w:tcW w:w="5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Depreciation expense</w:t>
            </w:r>
            <w:r>
              <w:rPr>
                <w:rFonts w:ascii="Times New Roman;sans-serif" w:hAnsi="Times New Roman;sans-serif"/>
                <w:b w:val="false"/>
                <w:color w:val="000000"/>
                <w:sz w:val="13"/>
              </w:rPr>
              <w:t>(1)</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income, net</w:t>
            </w:r>
            <w:r>
              <w:rPr>
                <w:rFonts w:ascii="Times New Roman;sans-serif" w:hAnsi="Times New Roman;sans-serif"/>
                <w:b w:val="false"/>
                <w:color w:val="000000"/>
                <w:sz w:val="13"/>
              </w:rPr>
              <w:t>(2)</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and transaction-related expenses</w:t>
            </w:r>
            <w:r>
              <w:rPr>
                <w:rFonts w:ascii="Times New Roman;sans-serif" w:hAnsi="Times New Roman;sans-serif"/>
                <w:b w:val="false"/>
                <w:color w:val="000000"/>
                <w:sz w:val="13"/>
              </w:rPr>
              <w:t>(3)</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Litigation settlement</w:t>
            </w:r>
            <w:r>
              <w:rPr>
                <w:rFonts w:ascii="Times New Roman;sans-serif" w:hAnsi="Times New Roman;sans-serif"/>
                <w:b w:val="false"/>
                <w:color w:val="000000"/>
                <w:sz w:val="13"/>
              </w:rPr>
              <w:t>(4)</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(Non-GAAP)</w:t>
            </w:r>
          </w:p>
        </w:tc>
        <w:tc>
          <w:tcPr>
            <w:tcW w:w="5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4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adjustment</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rent adjustment</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lender adjustments</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EBITDA (Non-GAAP)</w:t>
            </w:r>
          </w:p>
        </w:tc>
        <w:tc>
          <w:tcPr>
            <w:tcW w:w="5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4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17245"/>
                <wp:effectExtent l="0" t="0" r="0" b="0"/>
                <wp:wrapNone/>
                <wp:docPr id="58" name="Frame5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(1)Amounts for the trailing twelve months ended March 31, 2025 exclude the accelerated depreciation associated with the Waltham Lease Restructuring. Refer to Note 5 - Property and Equipment and Note 13 - Leases in our 2024 Form 10-K.</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(2)Primarily represents revaluations on TRA liability and investment income.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costs directly associated with acquisition or disposal activities, including employee severance and termination benefits, contract termination fees and penalties, and other exit or disposal costs. For the trailing twelve months ended March 31, 2025, this expense related primarily to lease restructuring, impairment and abandonment charges and employee severance and termination benefits.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(4)Represents charges associated with legal settlements and associated legal fees. See Note 9 - Commitments and Contingencies for further information.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increased by $2.0 million, or 16%, to $14.8 million for the three months ended March 31, 2025 compared to the three months ended March 31, 2024, as a result of increased expenditures related to new facilities and increased capitalization of development expenses.</w:t>
      </w: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Tax Receivable Agreements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our TRA, refer to Note 16 - Tax Receivable Agreements in our 2024 Form 10-K.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a liability of $2,763.7 million related to its projected obligations under the TRA. No payments were made to TRA holders pursuant to the TRA during the three months ended March 31, 2025. During the three months ended March 31, 2024, $31.6 million was paid to TRA holders pursuant to the TRA.</w:t>
      </w: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additional operating leases for office space that have not yet commenced with anticipated undiscounted future lease payments of $69.7 million. Refer to Note 11 - Leases of the notes to our unaudited consolidated financial statements included elsewhere in this Quarterly Report on Form 10-Q.</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above and in Note 9 -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17245"/>
                <wp:effectExtent l="0" t="0" r="0" b="0"/>
                <wp:wrapNone/>
                <wp:docPr id="59" name="Frame5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1 - Business, Basis of Presentation, and Summary of Significant Accounting Policies of our unaudited consolidated financial statements included in Part I, Item 1 of this Form 10-Q regarding recently issued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7245"/>
                <wp:effectExtent l="0" t="0" r="0" b="0"/>
                <wp:wrapNone/>
                <wp:docPr id="60" name="Frame6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United States and internationally, and we are exposed to market risk in the ordinary course of business.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Inflation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“Risks Related to Geopolitical and Macroeconomic Factors” in Part I, Item 1A of our 2024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subject to market risk from interest rate fluctuations on our First Lien Term Loan, which bears a variable interest rate based on SOFR. As of March 31, 2025, the total principal balance outstanding was $586.6 million. We have implemented a hedging strategy to mitigate the interest rate risk by entering into certain derivative instruments (refer to Note 7 - Derivatives and Hedging Activities of our unaudited consolidated financial statements included in Part I, Item 1 of this Form 10-Q). Based on the outstanding balances and interest rates of our debt as of March 31, 2025, a hypothetical relative increase or decrease in our effective interest rate by 100 basis points or 1% would have caused an immaterial corresponding change over the next 12 months.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we have dedesignated certain cash flow hedging relationships due to repricing of the terms and partial prepayment of the outstanding principal of our First Lien Term Loan since loan inception. As of March 31, 2025, all cash flow hedging relationships are designated as accounting hedges.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our sales contracts have primarily been denominated in U.S. dollars. We have foreign entities established in Israel, Canada, the United Kingdom, and India.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manage the foreign currency exchange rate risk and to reduce the volatility associated with the fluctuation of foreign currencies, we may use foreign exchange forward contracts or other financial instruments from time to time. </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sans-serif" w:hAnsi="Times New Roman;sans-serif"/>
          <w:b w:val="false"/>
          <w:i/>
          <w:color w:val="000000"/>
          <w:sz w:val="20"/>
        </w:rPr>
        <w:t xml:space="preserve">Other loss, net </w:t>
      </w:r>
      <w:r>
        <w:rPr>
          <w:rFonts w:ascii="Times New Roman;sans-serif" w:hAnsi="Times New Roman;sans-serif"/>
          <w:b w:val="false"/>
          <w:color w:val="000000"/>
          <w:sz w:val="20"/>
        </w:rPr>
        <w:t>on our Consolidated Statements of Operations.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7245"/>
                <wp:effectExtent l="0" t="0" r="0" b="0"/>
                <wp:wrapNone/>
                <wp:docPr id="61" name="Frame6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3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on Form 10-Q, we carried out an evaluation, under the supervision and with the participation of our management, including our Chief Executive Officer (principal executive officer) and Interim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March 31, 2025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March 31, 2025 that have materially affected, or are reasonably likely to materially affect, our internal control over financial reporting.</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Interim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7245"/>
                <wp:effectExtent l="0" t="0" r="0" b="0"/>
                <wp:wrapNone/>
                <wp:docPr id="62" name="Frame6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certain legal and regulatory proceedings, please read “Legal Matters” in Note 9 - Commitments and Contingencies to our unaudited consolidated financial statements included in Part I, Item 1 of this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300" w:before="18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that could have a material adverse impact on our business, financial position, results of operations or cash flows. Although it is not possible to predict or identify all such risks and uncertainties, they may include, but are not limited to, the factors discussed under “Risk Factors” in Part I, Item 1A of our 2024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shares of common stock purchased by the Company during the periods indicated:</w:t>
      </w:r>
    </w:p>
    <w:tbl>
      <w:tblPr>
        <w:tblW w:w="10205" w:type="dxa"/>
        <w:jc w:val="left"/>
        <w:tblInd w:w="0" w:type="dxa"/>
        <w:tblLayout w:type="fixed"/>
        <w:tblCellMar>
          <w:top w:w="28" w:type="dxa"/>
          <w:left w:w="28" w:type="dxa"/>
          <w:bottom w:w="28" w:type="dxa"/>
          <w:right w:w="28" w:type="dxa"/>
        </w:tblCellMar>
      </w:tblPr>
      <w:tblGrid>
        <w:gridCol w:w="379"/>
        <w:gridCol w:w="268"/>
        <w:gridCol w:w="271"/>
        <w:gridCol w:w="705"/>
        <w:gridCol w:w="467"/>
        <w:gridCol w:w="469"/>
        <w:gridCol w:w="109"/>
        <w:gridCol w:w="109"/>
        <w:gridCol w:w="109"/>
        <w:gridCol w:w="308"/>
        <w:gridCol w:w="900"/>
        <w:gridCol w:w="159"/>
        <w:gridCol w:w="109"/>
        <w:gridCol w:w="109"/>
        <w:gridCol w:w="109"/>
        <w:gridCol w:w="939"/>
        <w:gridCol w:w="710"/>
        <w:gridCol w:w="712"/>
        <w:gridCol w:w="109"/>
        <w:gridCol w:w="109"/>
        <w:gridCol w:w="109"/>
        <w:gridCol w:w="629"/>
        <w:gridCol w:w="1839"/>
        <w:gridCol w:w="469"/>
      </w:tblGrid>
      <w:tr>
        <w:trPr/>
        <w:tc>
          <w:tcPr>
            <w:tcW w:w="3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16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Total Number of Shares 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Total Number of Shares Purchased as Part of Publicly Announced Plans or Programs</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(or Approximate Dollar Value) of Shares that May Yet be Purchased Under the Plan or Programs (in millions)</w:t>
            </w:r>
          </w:p>
        </w:tc>
      </w:tr>
      <w:tr>
        <w:trPr/>
        <w:tc>
          <w:tcPr>
            <w:tcW w:w="9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130,473 </w:t>
            </w:r>
          </w:p>
        </w:tc>
        <w:tc>
          <w:tcPr>
            <w:tcW w:w="4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4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817,492 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8,153,001 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7,998,274 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72"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9,100,966 </w:t>
            </w:r>
          </w:p>
        </w:tc>
        <w:tc>
          <w:tcPr>
            <w:tcW w:w="46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8,598,274 </w:t>
            </w:r>
          </w:p>
        </w:tc>
        <w:tc>
          <w:tcPr>
            <w:tcW w:w="712"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(2)In March 2023, the Board authorized a program to repurchase the Company’s common stock (the “Share Repurchase Program”). In February 2025, the Board authorized an additional $500.0 million bringing the aggregate total authorizations as of March 31, 2025 to $1.6 billion, of which $542.5 million remained available and authorized for repurchases as of March 31, 2025.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300" w:before="18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17245"/>
                <wp:effectExtent l="0" t="0" r="0" b="0"/>
                <wp:wrapNone/>
                <wp:docPr id="63" name="Frame6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300" w:before="18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300" w:before="18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two immediately following paragraphs, during the Company’s fiscal quarter ended March 31, 2025, none of the Company’s directors or officers (as defined in Rule 16a-1(f) under the Exchange Act) adopted or terminated a trading arrangement intended to satisfy the affirmative conditions of Rule 10b5-1(c) of the Exchange Act (such arrangement, a “Rule 10b5-1 trading arrangement”).</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2025, Ashley McGrane, Executive Vice President, General Counsel and Corporate Secretary of the Company, adopted a Rule 10b5-1 trading arrangement. The duration of the Rule 10b5-1 trading arrangement commences on June 1, 2025, and ends on December 15, 2025. The Rule 10b5-1 trading arrangement provides for the sale of a portion of the net shares acquired by Ms. McGrane (net of shares withheld to cover the recipient’s tax liability in connection with vesting) resulting from (i) the vesting (if applicable) of up to 62,550 previously granted restricted stock units, including 608 HSKB Phantom Units and (ii) 4,029 shares of Common Stock comprising previously vested restricted stock units and shares of Common Stock previously purchased through the Company’s ESPP. The volume of sales will be determined, in part, based on pricing triggers outlined in the Rule 10b5-1 trading arrangement, and solely with respect to the shares to be received upon the vesting of awards contemplated in clause (i) of the immediately preceding sentence, such sales will be subject to a maximum potential sale limit under the plan ranging from 9.5% to 31.0% of the vested shares. Ms. McGrane’s Rule 10b5-1 trading arrangement was entered into during an open insider trading window and is intended to satisfy the affirmative defense of Rule 10b5-1(c) under the Exchange Act and the Company’s policies regarding insider transactions.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2025, James Roth, Chief Revenue Officer of the Company, adopted a Rule 10b5-1 trading arrangement. The duration of the Rule 10b5-1 trading arrangement commences on June 5, 2025, and ends on December 31, 2025. The Rule 10b5-1 trading arrangement provides for the sale of a portion of the net shares acquired by Mr. Roth (net of shares withheld to cover the recipient’s tax liability in connection with vesting) resulting from the vesting of up to a maximum of 204,210 previously granted restricted stock units. The volume of sales will be determined, in part, based on pricing triggers outlined in the Rule 10b5-1 trading arrangement, with a maximum potential sale under the plan of up to 50% of the vested shares from such awards during the term of the plan. Mr. Roth’s Rule 10b5-1 trading arrangement was entered into during an open insider trading window and is intended to satisfy the affirmative defense of Rule 10b5-1(c) under the Exchange Act and the Company’s policies regarding insider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7245"/>
                <wp:effectExtent l="0" t="0" r="0" b="0"/>
                <wp:wrapNone/>
                <wp:docPr id="64" name="Frame6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300"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tbl>
      <w:tblPr>
        <w:tblW w:w="10205" w:type="dxa"/>
        <w:jc w:val="left"/>
        <w:tblInd w:w="0" w:type="dxa"/>
        <w:tblLayout w:type="fixed"/>
        <w:tblCellMar>
          <w:top w:w="28" w:type="dxa"/>
          <w:left w:w="28" w:type="dxa"/>
          <w:bottom w:w="28" w:type="dxa"/>
          <w:right w:w="28" w:type="dxa"/>
        </w:tblCellMar>
      </w:tblPr>
      <w:tblGrid>
        <w:gridCol w:w="353"/>
        <w:gridCol w:w="309"/>
        <w:gridCol w:w="311"/>
        <w:gridCol w:w="1635"/>
        <w:gridCol w:w="1635"/>
        <w:gridCol w:w="1639"/>
        <w:gridCol w:w="526"/>
        <w:gridCol w:w="526"/>
        <w:gridCol w:w="528"/>
        <w:gridCol w:w="527"/>
        <w:gridCol w:w="527"/>
        <w:gridCol w:w="529"/>
        <w:gridCol w:w="337"/>
        <w:gridCol w:w="337"/>
        <w:gridCol w:w="48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4909" w:type="dxa"/>
            <w:gridSpan w:val="3"/>
            <w:tcBorders/>
            <w:tcMar>
              <w:top w:w="0" w:type="dxa"/>
              <w:left w:w="0" w:type="dxa"/>
              <w:bottom w:w="0" w:type="dxa"/>
              <w:right w:w="0" w:type="dxa"/>
            </w:tcMar>
            <w:vAlign w:val="center"/>
          </w:tcPr>
          <w:p>
            <w:pPr>
              <w:pStyle w:val="TableContents"/>
              <w:bidi w:val="0"/>
              <w:spacing w:lineRule="auto" w:line="288" w:before="180" w:after="18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Report or Registration Statement</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SEC File or Registration Number</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Reference</w:t>
            </w:r>
          </w:p>
        </w:tc>
      </w:tr>
      <w:tr>
        <w:trPr/>
        <w:tc>
          <w:tcPr>
            <w:tcW w:w="9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49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6"/>
                  <w:u w:val="single"/>
                </w:rPr>
                <w:t>Second Amended and Restated Certificate of Incorporation of ZoomInfo Technologies Inc.</w:t>
              </w:r>
            </w:hyperlink>
          </w:p>
        </w:tc>
        <w:tc>
          <w:tcPr>
            <w:tcW w:w="15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May 19, 2022</w:t>
            </w:r>
          </w:p>
        </w:tc>
        <w:tc>
          <w:tcPr>
            <w:tcW w:w="15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6"/>
                  <w:u w:val="single"/>
                </w:rPr>
                <w:t>Amended and Restated Bylaws of ZoomInfo Technologies Inc.</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 filed October 30, 2023</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6"/>
                  <w:u w:val="single"/>
                </w:rPr>
                <w:t xml:space="preserve">Indenture, dated as of February 2, 2021, by and among ZoomInfo Technologies LLC, ZoomInfo Finance Corp., the guarantors named on the signature pages thereto, and Wells Fargo National Association, as trustee </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6"/>
                  <w:u w:val="single"/>
                </w:rPr>
                <w:t>Supplemental Indenture, dated as of July 15, 2021, by and among ZoomInfo Technologies LLC, ZoomInfo Finance Corp., the guarantors named on the signature pages thereto, and Wells Fargo National Association, as trustee</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16"/>
                  <w:u w:val="single"/>
                </w:rPr>
                <w:t>Form of 3.875% Senior Note due 2029 (included in Exhibit 4.1)</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 filed July 15, 2021</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ans-serif" w:hAnsi="Times New Roman;sans-serif"/>
                <w:b w:val="false"/>
                <w:color w:val="000000"/>
                <w:sz w:val="16"/>
              </w:rPr>
              <w:t>10.1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16"/>
                  <w:u w:val="single"/>
                </w:rPr>
                <w:t>Employment Agreement dated February 11, 2025, between the Company and James Roth</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 filed February 25, 2025</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10.39</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ans-serif" w:hAnsi="Times New Roman;sans-serif"/>
                <w:b w:val="false"/>
                <w:color w:val="000000"/>
                <w:sz w:val="16"/>
              </w:rPr>
              <w:t>10.2</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16"/>
                  <w:u w:val="single"/>
                </w:rPr>
                <w:t>Employment Agreement dated February 11, 2025, between the Company and Ashley McGrane</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 filed February 25, 2025</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10.40</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zi-ex311x20250331.htm">
              <w:r>
                <w:rPr>
                  <w:rStyle w:val="InternetLink"/>
                  <w:rFonts w:ascii="Times New Roman;sans-serif" w:hAnsi="Times New Roman;sans-serif"/>
                  <w:b w:val="false"/>
                  <w:color w:val="0000FF"/>
                  <w:sz w:val="16"/>
                  <w:u w:val="single"/>
                </w:rPr>
                <w:t>Certification of Principal Executive Officer pursuant to Exchange Act Rules 13a-14(a) and 15d-14(a), as adopted pursuant to Section 302 of the Sarbanes-Oxley Act of 2002.</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zi-ex312x20250331.htm">
              <w:r>
                <w:rPr>
                  <w:rStyle w:val="InternetLink"/>
                  <w:rFonts w:ascii="Times New Roman;sans-serif" w:hAnsi="Times New Roman;sans-serif"/>
                  <w:b w:val="false"/>
                  <w:color w:val="0000FF"/>
                  <w:sz w:val="16"/>
                  <w:u w:val="single"/>
                </w:rPr>
                <w:t>Certification of Principal Financial Officer pursuant to Exchange Act Rules 13a-14(a) and 15d-14(a), as adopted pursuant to Section 302 of the Sarbanes-Oxley Act of 2002.</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zi-ex321x20250331.htm">
              <w:r>
                <w:rPr>
                  <w:rStyle w:val="InternetLink"/>
                  <w:rFonts w:ascii="Times New Roman;sans-serif" w:hAnsi="Times New Roman;sans-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color w:val="000000"/>
        </w:rPr>
      </w:pPr>
      <w:r>
        <w:rPr>
          <w:color w:val="000000"/>
        </w:rPr>
        <w:t xml:space="preserve">† </w:t>
      </w:r>
      <w:r>
        <w:rPr>
          <w:rFonts w:ascii="Times New Roman;sans-serif" w:hAnsi="Times New Roman;sans-serif"/>
          <w:b w:val="false"/>
          <w:color w:val="000000"/>
          <w:sz w:val="18"/>
        </w:rPr>
        <w:t>Management contract or compensatory plan or arrangement.</w:t>
      </w:r>
    </w:p>
    <w:p>
      <w:pPr>
        <w:pStyle w:val="TextBody"/>
        <w:bidi w:val="0"/>
        <w:spacing w:lineRule="auto" w:line="300" w:before="180" w:after="160"/>
        <w:jc w:val="both"/>
        <w:rPr>
          <w:rFonts w:ascii="Times New Roman;sans-serif" w:hAnsi="Times New Roman;sans-serif"/>
          <w:b w:val="false"/>
          <w:color w:val="000000"/>
          <w:sz w:val="18"/>
        </w:rPr>
      </w:pPr>
      <w:r>
        <w:rPr>
          <w:rFonts w:ascii="Times New Roman;sans-serif" w:hAnsi="Times New Roman;sans-serif"/>
          <w:b w:val="false"/>
          <w:color w:val="000000"/>
          <w:sz w:val="18"/>
        </w:rPr>
        <w:t>* 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6745"/>
                <wp:effectExtent l="0" t="0" r="0" b="0"/>
                <wp:wrapNone/>
                <wp:docPr id="65" name="Frame65"/>
                <a:graphic xmlns:a="http://schemas.openxmlformats.org/drawingml/2006/main">
                  <a:graphicData uri="http://schemas.microsoft.com/office/word/2010/wordprocessingShape">
                    <wps:wsp>
                      <wps:cNvSpPr txBox="1"/>
                      <wps:spPr>
                        <a:xfrm>
                          <a:off x="0" y="0"/>
                          <a:ext cx="6480175" cy="6267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80" w:after="180"/>
        <w:jc w:val="both"/>
        <w:rPr/>
      </w:pPr>
      <w:hyperlink w:anchor="ibb9be4766225406fba359bf10824b45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035" w:type="dxa"/>
        <w:jc w:val="right"/>
        <w:tblInd w:w="0" w:type="dxa"/>
        <w:tblLayout w:type="fixed"/>
        <w:tblCellMar>
          <w:top w:w="28" w:type="dxa"/>
          <w:left w:w="28" w:type="dxa"/>
          <w:bottom w:w="28" w:type="dxa"/>
          <w:right w:w="28" w:type="dxa"/>
        </w:tblCellMar>
      </w:tblPr>
      <w:tblGrid>
        <w:gridCol w:w="535"/>
        <w:gridCol w:w="470"/>
        <w:gridCol w:w="470"/>
        <w:gridCol w:w="1330"/>
        <w:gridCol w:w="1330"/>
        <w:gridCol w:w="1900"/>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ZOOMINFO TECHNOLOGIES INC.</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/s/ M. Graham O’Brien</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Name: M. Graham O’Brien </w:t>
            </w:r>
          </w:p>
          <w:p>
            <w:pPr>
              <w:pStyle w:val="TableContents"/>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Title: Interim Chief Financial Officer</w:t>
            </w:r>
          </w:p>
        </w:tc>
      </w:tr>
      <w:tr>
        <w:trPr/>
        <w:tc>
          <w:tcPr>
            <w:tcW w:w="1475"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Authorized Signatory)</w:t>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17245"/>
                <wp:effectExtent l="0" t="0" r="0" b="0"/>
                <wp:wrapNone/>
                <wp:docPr id="66" name="Frame6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Management Certification Pursuant to</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Henry Schuck,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4898"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733"/>
        <w:gridCol w:w="733"/>
        <w:gridCol w:w="103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89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Henry Schuck</w:t>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Schuck</w:t>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Management Certification Pursuant to</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 Graham O'Brien,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034"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771"/>
        <w:gridCol w:w="771"/>
        <w:gridCol w:w="109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503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 Graham O'Brien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 Graham O'Brien</w:t>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331"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ZoomInfo Technologies Inc. (the “Company”) for the quarterly period ended March 31, 2025 as filed with the Securities and Exchange Commission on the date hereof (the “Report”), Henry Schuck, as Chief Executive Officer of the Company, and M. Graham O'Brien, as Interim Chief Financial Officer of the Company, each hereby certifies, pursuant to 18 U.S.C. § 1350, as adopted pursuant to §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bl>
      <w:tblPr>
        <w:tblW w:w="36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73"/>
        <w:gridCol w:w="773"/>
        <w:gridCol w:w="1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36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Henry Schuck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Schuck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 Graham O'Brien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 Graham O'Brien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4515/000179451522000095/zi-ex31x20220518.htm" TargetMode="External"/><Relationship Id="rId3" Type="http://schemas.openxmlformats.org/officeDocument/2006/relationships/hyperlink" Target="https://www.sec.gov/Archives/edgar/data/1794515/000179451523000169/zi-ex32x20231030.htm" TargetMode="External"/><Relationship Id="rId4" Type="http://schemas.openxmlformats.org/officeDocument/2006/relationships/hyperlink" Target="https://www.sec.gov/Archives/edgar/data/0001794515/000179451521000034/exhibit041xclosingxindent.htm" TargetMode="External"/><Relationship Id="rId5" Type="http://schemas.openxmlformats.org/officeDocument/2006/relationships/hyperlink" Target="https://www.sec.gov/Archives/edgar/data/0001794515/000179451521000174/zi-8kex42x20210715.htm" TargetMode="External"/><Relationship Id="rId6" Type="http://schemas.openxmlformats.org/officeDocument/2006/relationships/hyperlink" Target="https://www.sec.gov/Archives/edgar/data/1794515/000179451521000034/exhibit041xclosingxindent.htm" TargetMode="External"/><Relationship Id="rId7" Type="http://schemas.openxmlformats.org/officeDocument/2006/relationships/hyperlink" Target="https://www.sec.gov/Archives/edgar/data/1794515/000179451525000045/zi-ex1039x20250225.htm" TargetMode="External"/><Relationship Id="rId8" Type="http://schemas.openxmlformats.org/officeDocument/2006/relationships/hyperlink" Target="https://www.sec.gov/Archives/edgar/data/1794515/000179451525000045/zi-ex1040x20250225.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30906</Words>
  <Characters>173998</Characters>
  <CharactersWithSpaces>203173</CharactersWithSpaces>
  <Paragraphs>2797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