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207010</wp:posOffset>
            </wp:positionH>
            <wp:positionV relativeFrom="page">
              <wp:posOffset>652780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678180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74295</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84455</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40"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(Mark One)</w:t>
      </w:r>
    </w:p>
    <w:p>
      <w:pPr>
        <w:spacing w:after="0" w:line="111" w:lineRule="exact"/>
        <w:rPr>
          <w:sz w:val="24"/>
          <w:szCs w:val="24"/>
          <w:color w:val="auto"/>
        </w:rPr>
      </w:pPr>
    </w:p>
    <w:p>
      <w:pPr>
        <w:ind w:left="680" w:hanging="356"/>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94" w:lineRule="exact"/>
        <w:rPr>
          <w:sz w:val="24"/>
          <w:szCs w:val="24"/>
          <w:color w:val="auto"/>
        </w:rPr>
      </w:pPr>
    </w:p>
    <w:p>
      <w:pPr>
        <w:ind w:left="680" w:hanging="356"/>
        <w:spacing w:after="0"/>
        <w:tabs>
          <w:tab w:leader="none" w:pos="6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60"/>
          </w:cols>
          <w:pgMar w:left="320" w:top="1190" w:right="319" w:bottom="1440" w:gutter="0" w:footer="0" w:header="0"/>
        </w:sectPr>
      </w:pPr>
    </w:p>
    <w:p>
      <w:pPr>
        <w:spacing w:after="0" w:line="123"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For the transition period from</w:t>
      </w:r>
    </w:p>
    <w:p>
      <w:pPr>
        <w:spacing w:after="0" w:line="22" w:lineRule="exact"/>
        <w:rPr>
          <w:sz w:val="24"/>
          <w:szCs w:val="24"/>
          <w:color w:val="auto"/>
        </w:rPr>
      </w:pPr>
    </w:p>
    <w:p>
      <w:pPr>
        <w:ind w:left="4080"/>
        <w:spacing w:after="0"/>
        <w:rPr>
          <w:sz w:val="20"/>
          <w:szCs w:val="20"/>
          <w:color w:val="auto"/>
        </w:rPr>
      </w:pPr>
      <w:r>
        <w:rPr>
          <w:rFonts w:ascii="Arial" w:cs="Arial" w:eastAsia="Arial" w:hAnsi="Arial"/>
          <w:sz w:val="15"/>
          <w:szCs w:val="15"/>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101600</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440" w:lineRule="exact"/>
        <w:rPr>
          <w:sz w:val="24"/>
          <w:szCs w:val="24"/>
          <w:color w:val="auto"/>
        </w:rPr>
      </w:pPr>
    </w:p>
    <w:p>
      <w:pPr>
        <w:sectPr>
          <w:pgSz w:w="11900" w:h="16838" w:orient="portrait"/>
          <w:cols w:equalWidth="0" w:num="2">
            <w:col w:w="6820" w:space="40"/>
            <w:col w:w="4400"/>
          </w:cols>
          <w:pgMar w:left="320" w:top="1190" w:right="319" w:bottom="1440" w:gutter="0" w:footer="0" w:header="0"/>
          <w:type w:val="continuous"/>
        </w:sectPr>
      </w:pP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376"/>
        </w:trPr>
        <w:tc>
          <w:tcPr>
            <w:tcW w:w="3500" w:type="dxa"/>
            <w:vAlign w:val="bottom"/>
          </w:tcPr>
          <w:p>
            <w:pPr>
              <w:spacing w:after="0"/>
              <w:rPr>
                <w:sz w:val="24"/>
                <w:szCs w:val="24"/>
                <w:color w:val="auto"/>
              </w:rPr>
            </w:pPr>
          </w:p>
        </w:tc>
        <w:tc>
          <w:tcPr>
            <w:tcW w:w="4360" w:type="dxa"/>
            <w:vAlign w:val="bottom"/>
            <w:gridSpan w:val="7"/>
          </w:tcPr>
          <w:p>
            <w:pPr>
              <w:jc w:val="center"/>
              <w:ind w:right="100"/>
              <w:spacing w:after="0"/>
              <w:rPr>
                <w:sz w:val="20"/>
                <w:szCs w:val="20"/>
                <w:color w:val="auto"/>
              </w:rPr>
            </w:pPr>
            <w:r>
              <w:rPr>
                <w:rFonts w:ascii="Arial" w:cs="Arial" w:eastAsia="Arial" w:hAnsi="Arial"/>
                <w:sz w:val="32"/>
                <w:szCs w:val="32"/>
                <w:b w:val="1"/>
                <w:bCs w:val="1"/>
                <w:color w:val="auto"/>
                <w:w w:val="88"/>
              </w:rPr>
              <w:t>ZoomInfo Technologies Inc.</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vMerge w:val="restart"/>
          </w:tcPr>
          <w:p>
            <w:pPr>
              <w:jc w:val="center"/>
              <w:ind w:left="170"/>
              <w:spacing w:after="0"/>
              <w:rPr>
                <w:sz w:val="20"/>
                <w:szCs w:val="20"/>
                <w:color w:val="auto"/>
              </w:rPr>
            </w:pPr>
            <w:r>
              <w:rPr>
                <w:rFonts w:ascii="Arial" w:cs="Arial" w:eastAsia="Arial" w:hAnsi="Arial"/>
                <w:sz w:val="14"/>
                <w:szCs w:val="14"/>
                <w:b w:val="1"/>
                <w:bCs w:val="1"/>
                <w:color w:val="auto"/>
                <w:w w:val="94"/>
              </w:rPr>
              <w:t>Delaware</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0" w:type="dxa"/>
            <w:vAlign w:val="bottom"/>
            <w:vMerge w:val="restart"/>
          </w:tcPr>
          <w:p>
            <w:pPr>
              <w:jc w:val="right"/>
              <w:ind w:right="1491"/>
              <w:spacing w:after="0"/>
              <w:rPr>
                <w:sz w:val="20"/>
                <w:szCs w:val="20"/>
                <w:color w:val="auto"/>
              </w:rPr>
            </w:pPr>
            <w:r>
              <w:rPr>
                <w:rFonts w:ascii="Arial" w:cs="Arial" w:eastAsia="Arial" w:hAnsi="Arial"/>
                <w:sz w:val="14"/>
                <w:szCs w:val="14"/>
                <w:b w:val="1"/>
                <w:bCs w:val="1"/>
                <w:color w:val="auto"/>
              </w:rPr>
              <w:t>87-3037521</w:t>
            </w:r>
          </w:p>
        </w:tc>
        <w:tc>
          <w:tcPr>
            <w:tcW w:w="0" w:type="dxa"/>
            <w:vAlign w:val="bottom"/>
          </w:tcPr>
          <w:p>
            <w:pPr>
              <w:spacing w:after="0"/>
              <w:rPr>
                <w:sz w:val="1"/>
                <w:szCs w:val="1"/>
                <w:color w:val="auto"/>
              </w:rPr>
            </w:pPr>
          </w:p>
        </w:tc>
      </w:tr>
      <w:tr>
        <w:trPr>
          <w:trHeight w:val="340"/>
        </w:trPr>
        <w:tc>
          <w:tcPr>
            <w:tcW w:w="3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500" w:type="dxa"/>
            <w:vAlign w:val="bottom"/>
          </w:tcPr>
          <w:p>
            <w:pPr>
              <w:jc w:val="center"/>
              <w:ind w:left="190"/>
              <w:spacing w:after="0" w:line="157" w:lineRule="exact"/>
              <w:rPr>
                <w:sz w:val="20"/>
                <w:szCs w:val="20"/>
                <w:color w:val="auto"/>
              </w:rPr>
            </w:pPr>
            <w:r>
              <w:rPr>
                <w:rFonts w:ascii="Arial" w:cs="Arial" w:eastAsia="Arial" w:hAnsi="Arial"/>
                <w:sz w:val="14"/>
                <w:szCs w:val="14"/>
                <w:b w:val="1"/>
                <w:bCs w:val="1"/>
                <w:color w:val="auto"/>
                <w:w w:val="91"/>
              </w:rPr>
              <w:t>(State or other jurisdiction of</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0" w:type="dxa"/>
            <w:vAlign w:val="bottom"/>
          </w:tcPr>
          <w:p>
            <w:pPr>
              <w:jc w:val="center"/>
              <w:ind w:right="311"/>
              <w:spacing w:after="0" w:line="157"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4"/>
        </w:trPr>
        <w:tc>
          <w:tcPr>
            <w:tcW w:w="3500" w:type="dxa"/>
            <w:vAlign w:val="bottom"/>
          </w:tcPr>
          <w:p>
            <w:pPr>
              <w:jc w:val="center"/>
              <w:ind w:left="190"/>
              <w:spacing w:after="0"/>
              <w:rPr>
                <w:sz w:val="20"/>
                <w:szCs w:val="20"/>
                <w:color w:val="auto"/>
              </w:rPr>
            </w:pPr>
            <w:r>
              <w:rPr>
                <w:rFonts w:ascii="Arial" w:cs="Arial" w:eastAsia="Arial" w:hAnsi="Arial"/>
                <w:sz w:val="14"/>
                <w:szCs w:val="14"/>
                <w:b w:val="1"/>
                <w:bCs w:val="1"/>
                <w:color w:val="auto"/>
                <w:w w:val="92"/>
              </w:rPr>
              <w:t>incorporation or organization)</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tcPr>
          <w:p>
            <w:pPr>
              <w:jc w:val="center"/>
              <w:ind w:right="311"/>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242"/>
        </w:trPr>
        <w:tc>
          <w:tcPr>
            <w:tcW w:w="3500" w:type="dxa"/>
            <w:vAlign w:val="bottom"/>
          </w:tcPr>
          <w:p>
            <w:pPr>
              <w:jc w:val="center"/>
              <w:ind w:left="510"/>
              <w:spacing w:after="0"/>
              <w:rPr>
                <w:sz w:val="20"/>
                <w:szCs w:val="20"/>
                <w:color w:val="auto"/>
              </w:rPr>
            </w:pPr>
            <w:r>
              <w:rPr>
                <w:rFonts w:ascii="Arial" w:cs="Arial" w:eastAsia="Arial" w:hAnsi="Arial"/>
                <w:sz w:val="14"/>
                <w:szCs w:val="14"/>
                <w:b w:val="1"/>
                <w:bCs w:val="1"/>
                <w:color w:val="auto"/>
                <w:w w:val="90"/>
              </w:rPr>
              <w:t>805 Broadway Street, Suite 900</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3500" w:type="dxa"/>
            <w:vAlign w:val="bottom"/>
          </w:tcPr>
          <w:p>
            <w:pPr>
              <w:jc w:val="center"/>
              <w:ind w:left="490"/>
              <w:spacing w:after="0"/>
              <w:rPr>
                <w:sz w:val="20"/>
                <w:szCs w:val="20"/>
                <w:color w:val="auto"/>
              </w:rPr>
            </w:pPr>
            <w:r>
              <w:rPr>
                <w:rFonts w:ascii="Arial" w:cs="Arial" w:eastAsia="Arial" w:hAnsi="Arial"/>
                <w:sz w:val="14"/>
                <w:szCs w:val="14"/>
                <w:b w:val="1"/>
                <w:bCs w:val="1"/>
                <w:color w:val="auto"/>
                <w:w w:val="89"/>
              </w:rPr>
              <w:t>Vancouver, Washington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491"/>
              <w:spacing w:after="0"/>
              <w:rPr>
                <w:sz w:val="20"/>
                <w:szCs w:val="20"/>
                <w:color w:val="auto"/>
              </w:rPr>
            </w:pPr>
            <w:r>
              <w:rPr>
                <w:rFonts w:ascii="Arial" w:cs="Arial" w:eastAsia="Arial" w:hAnsi="Arial"/>
                <w:sz w:val="14"/>
                <w:szCs w:val="14"/>
                <w:b w:val="1"/>
                <w:bCs w:val="1"/>
                <w:color w:val="auto"/>
              </w:rPr>
              <w:t>98660</w:t>
            </w:r>
          </w:p>
        </w:tc>
        <w:tc>
          <w:tcPr>
            <w:tcW w:w="0" w:type="dxa"/>
            <w:vAlign w:val="bottom"/>
          </w:tcPr>
          <w:p>
            <w:pPr>
              <w:spacing w:after="0"/>
              <w:rPr>
                <w:sz w:val="1"/>
                <w:szCs w:val="1"/>
                <w:color w:val="auto"/>
              </w:rPr>
            </w:pPr>
          </w:p>
        </w:tc>
      </w:tr>
      <w:tr>
        <w:trPr>
          <w:trHeight w:val="371"/>
        </w:trPr>
        <w:tc>
          <w:tcPr>
            <w:tcW w:w="3500" w:type="dxa"/>
            <w:vAlign w:val="bottom"/>
          </w:tcPr>
          <w:p>
            <w:pPr>
              <w:jc w:val="center"/>
              <w:ind w:left="510"/>
              <w:spacing w:after="0"/>
              <w:rPr>
                <w:sz w:val="20"/>
                <w:szCs w:val="20"/>
                <w:color w:val="auto"/>
              </w:rPr>
            </w:pPr>
            <w:r>
              <w:rPr>
                <w:rFonts w:ascii="Arial" w:cs="Arial" w:eastAsia="Arial" w:hAnsi="Arial"/>
                <w:sz w:val="14"/>
                <w:szCs w:val="14"/>
                <w:color w:val="auto"/>
                <w:w w:val="93"/>
              </w:rPr>
              <w:t>(Address of principal executive offices)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jc w:val="right"/>
              <w:ind w:right="1351"/>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12"/>
        </w:trPr>
        <w:tc>
          <w:tcPr>
            <w:tcW w:w="3500" w:type="dxa"/>
            <w:vAlign w:val="bottom"/>
          </w:tcPr>
          <w:p>
            <w:pPr>
              <w:spacing w:after="0"/>
              <w:rPr>
                <w:sz w:val="18"/>
                <w:szCs w:val="18"/>
                <w:color w:val="auto"/>
              </w:rPr>
            </w:pPr>
          </w:p>
        </w:tc>
        <w:tc>
          <w:tcPr>
            <w:tcW w:w="3100" w:type="dxa"/>
            <w:vAlign w:val="bottom"/>
            <w:gridSpan w:val="4"/>
          </w:tcPr>
          <w:p>
            <w:pPr>
              <w:jc w:val="right"/>
              <w:ind w:right="305"/>
              <w:spacing w:after="0"/>
              <w:rPr>
                <w:sz w:val="20"/>
                <w:szCs w:val="20"/>
                <w:color w:val="auto"/>
              </w:rPr>
            </w:pPr>
            <w:r>
              <w:rPr>
                <w:rFonts w:ascii="Arial" w:cs="Arial" w:eastAsia="Arial" w:hAnsi="Arial"/>
                <w:sz w:val="14"/>
                <w:szCs w:val="14"/>
                <w:b w:val="1"/>
                <w:bCs w:val="1"/>
                <w:color w:val="auto"/>
              </w:rPr>
              <w:t>(800) 914-1220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3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6"/>
          </w:tcPr>
          <w:p>
            <w:pPr>
              <w:jc w:val="center"/>
              <w:ind w:right="60"/>
              <w:spacing w:after="0"/>
              <w:rPr>
                <w:sz w:val="20"/>
                <w:szCs w:val="20"/>
                <w:color w:val="auto"/>
              </w:rPr>
            </w:pPr>
            <w:r>
              <w:rPr>
                <w:rFonts w:ascii="Arial" w:cs="Arial" w:eastAsia="Arial" w:hAnsi="Arial"/>
                <w:sz w:val="14"/>
                <w:szCs w:val="14"/>
                <w:color w:val="auto"/>
                <w:w w:val="91"/>
              </w:rPr>
              <w:t>(Registrant’s telephone number, including area code)</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500" w:type="dxa"/>
            <w:vAlign w:val="bottom"/>
            <w:vMerge w:val="restart"/>
          </w:tcPr>
          <w:p>
            <w:pPr>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7"/>
        </w:trPr>
        <w:tc>
          <w:tcPr>
            <w:tcW w:w="3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2"/>
                <w:szCs w:val="12"/>
                <w:b w:val="1"/>
                <w:bCs w:val="1"/>
                <w:color w:val="auto"/>
              </w:rPr>
              <w:t>Title of Each Class</w:t>
            </w:r>
          </w:p>
        </w:tc>
        <w:tc>
          <w:tcPr>
            <w:tcW w:w="26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Borders>
              <w:right w:val="single" w:sz="8" w:color="auto"/>
            </w:tcBorders>
            <w:gridSpan w:val="3"/>
          </w:tcPr>
          <w:p>
            <w:pPr>
              <w:jc w:val="center"/>
              <w:ind w:right="1080"/>
              <w:spacing w:after="0"/>
              <w:rPr>
                <w:sz w:val="20"/>
                <w:szCs w:val="20"/>
                <w:color w:val="auto"/>
              </w:rPr>
            </w:pPr>
            <w:r>
              <w:rPr>
                <w:rFonts w:ascii="Arial" w:cs="Arial" w:eastAsia="Arial" w:hAnsi="Arial"/>
                <w:sz w:val="12"/>
                <w:szCs w:val="12"/>
                <w:b w:val="1"/>
                <w:bCs w:val="1"/>
                <w:color w:val="auto"/>
                <w:w w:val="92"/>
              </w:rPr>
              <w:t>Trading Symbol(s)</w:t>
            </w:r>
          </w:p>
        </w:tc>
        <w:tc>
          <w:tcPr>
            <w:tcW w:w="340" w:type="dxa"/>
            <w:vAlign w:val="bottom"/>
          </w:tcPr>
          <w:p>
            <w:pPr>
              <w:spacing w:after="0"/>
              <w:rPr>
                <w:sz w:val="14"/>
                <w:szCs w:val="14"/>
                <w:color w:val="auto"/>
              </w:rPr>
            </w:pPr>
          </w:p>
        </w:tc>
        <w:tc>
          <w:tcPr>
            <w:tcW w:w="3400" w:type="dxa"/>
            <w:vAlign w:val="bottom"/>
            <w:tcBorders>
              <w:right w:val="single" w:sz="8" w:color="auto"/>
            </w:tcBorders>
          </w:tcPr>
          <w:p>
            <w:pPr>
              <w:jc w:val="center"/>
              <w:ind w:right="311"/>
              <w:spacing w:after="0"/>
              <w:rPr>
                <w:sz w:val="20"/>
                <w:szCs w:val="20"/>
                <w:color w:val="auto"/>
              </w:rPr>
            </w:pPr>
            <w:r>
              <w:rPr>
                <w:rFonts w:ascii="Arial" w:cs="Arial" w:eastAsia="Arial" w:hAnsi="Arial"/>
                <w:sz w:val="12"/>
                <w:szCs w:val="12"/>
                <w:b w:val="1"/>
                <w:bCs w:val="1"/>
                <w:color w:val="auto"/>
                <w:w w:val="90"/>
              </w:rPr>
              <w:t>Name of each exchange on which registered</w:t>
            </w:r>
          </w:p>
        </w:tc>
        <w:tc>
          <w:tcPr>
            <w:tcW w:w="0" w:type="dxa"/>
            <w:vAlign w:val="bottom"/>
          </w:tcPr>
          <w:p>
            <w:pPr>
              <w:spacing w:after="0"/>
              <w:rPr>
                <w:sz w:val="1"/>
                <w:szCs w:val="1"/>
                <w:color w:val="auto"/>
              </w:rPr>
            </w:pPr>
          </w:p>
        </w:tc>
      </w:tr>
      <w:tr>
        <w:trPr>
          <w:trHeight w:val="30"/>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500" w:type="dxa"/>
            <w:vAlign w:val="bottom"/>
            <w:tcBorders>
              <w:left w:val="single" w:sz="8" w:color="auto"/>
            </w:tcBorders>
          </w:tcPr>
          <w:p>
            <w:pPr>
              <w:jc w:val="center"/>
              <w:ind w:left="190"/>
              <w:spacing w:after="0"/>
              <w:rPr>
                <w:sz w:val="20"/>
                <w:szCs w:val="20"/>
                <w:color w:val="auto"/>
              </w:rPr>
            </w:pPr>
            <w:r>
              <w:rPr>
                <w:rFonts w:ascii="Arial" w:cs="Arial" w:eastAsia="Arial" w:hAnsi="Arial"/>
                <w:sz w:val="14"/>
                <w:szCs w:val="14"/>
                <w:color w:val="auto"/>
                <w:w w:val="90"/>
              </w:rPr>
              <w:t>Class A common stock, par value $0.01 per share</w:t>
            </w:r>
          </w:p>
        </w:tc>
        <w:tc>
          <w:tcPr>
            <w:tcW w:w="26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tcBorders>
              <w:right w:val="single" w:sz="8" w:color="auto"/>
            </w:tcBorders>
            <w:gridSpan w:val="3"/>
          </w:tcPr>
          <w:p>
            <w:pPr>
              <w:jc w:val="center"/>
              <w:ind w:right="1100"/>
              <w:spacing w:after="0"/>
              <w:rPr>
                <w:sz w:val="20"/>
                <w:szCs w:val="20"/>
                <w:color w:val="auto"/>
              </w:rPr>
            </w:pPr>
            <w:r>
              <w:rPr>
                <w:rFonts w:ascii="Arial" w:cs="Arial" w:eastAsia="Arial" w:hAnsi="Arial"/>
                <w:sz w:val="18"/>
                <w:szCs w:val="18"/>
                <w:color w:val="auto"/>
                <w:w w:val="99"/>
              </w:rPr>
              <w:t>ZI</w:t>
            </w:r>
          </w:p>
        </w:tc>
        <w:tc>
          <w:tcPr>
            <w:tcW w:w="340" w:type="dxa"/>
            <w:vAlign w:val="bottom"/>
          </w:tcPr>
          <w:p>
            <w:pPr>
              <w:spacing w:after="0"/>
              <w:rPr>
                <w:sz w:val="20"/>
                <w:szCs w:val="20"/>
                <w:color w:val="auto"/>
              </w:rPr>
            </w:pPr>
          </w:p>
        </w:tc>
        <w:tc>
          <w:tcPr>
            <w:tcW w:w="3400" w:type="dxa"/>
            <w:vAlign w:val="bottom"/>
            <w:tcBorders>
              <w:right w:val="single" w:sz="8" w:color="auto"/>
            </w:tcBorders>
          </w:tcPr>
          <w:p>
            <w:pPr>
              <w:jc w:val="center"/>
              <w:ind w:right="311"/>
              <w:spacing w:after="0"/>
              <w:rPr>
                <w:sz w:val="20"/>
                <w:szCs w:val="20"/>
                <w:color w:val="auto"/>
              </w:rPr>
            </w:pPr>
            <w:r>
              <w:rPr>
                <w:rFonts w:ascii="Arial" w:cs="Arial" w:eastAsia="Arial" w:hAnsi="Arial"/>
                <w:sz w:val="14"/>
                <w:szCs w:val="14"/>
                <w:color w:val="auto"/>
                <w:w w:val="92"/>
              </w:rPr>
              <w:t>The Nasdaq Stock Market LLC</w:t>
            </w:r>
          </w:p>
        </w:tc>
        <w:tc>
          <w:tcPr>
            <w:tcW w:w="0" w:type="dxa"/>
            <w:vAlign w:val="bottom"/>
          </w:tcPr>
          <w:p>
            <w:pPr>
              <w:spacing w:after="0"/>
              <w:rPr>
                <w:sz w:val="1"/>
                <w:szCs w:val="1"/>
                <w:color w:val="auto"/>
              </w:rPr>
            </w:pPr>
          </w:p>
        </w:tc>
      </w:tr>
      <w:tr>
        <w:trPr>
          <w:trHeight w:val="24"/>
        </w:trPr>
        <w:tc>
          <w:tcPr>
            <w:tcW w:w="350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60" w:lineRule="exact"/>
        <w:rPr>
          <w:sz w:val="24"/>
          <w:szCs w:val="24"/>
          <w:color w:val="auto"/>
        </w:rPr>
      </w:pPr>
    </w:p>
    <w:p>
      <w:pPr>
        <w:jc w:val="both"/>
        <w:ind w:right="20" w:firstLine="318"/>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right="20" w:firstLine="318"/>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jc w:val="both"/>
        <w:ind w:right="20" w:firstLine="318"/>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60"/>
              <w:spacing w:after="0"/>
              <w:rPr>
                <w:sz w:val="20"/>
                <w:szCs w:val="20"/>
                <w:color w:val="auto"/>
              </w:rPr>
            </w:pPr>
            <w:r>
              <w:rPr>
                <w:rFonts w:ascii="Arial" w:cs="Arial" w:eastAsia="Arial" w:hAnsi="Arial"/>
                <w:sz w:val="14"/>
                <w:szCs w:val="14"/>
                <w:color w:val="auto"/>
              </w:rPr>
              <w:t>Accelerated Filer</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2"/>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6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15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300" w:type="dxa"/>
            <w:vAlign w:val="bottom"/>
          </w:tcPr>
          <w:p>
            <w:pPr>
              <w:ind w:left="3560"/>
              <w:spacing w:after="0"/>
              <w:rPr>
                <w:sz w:val="20"/>
                <w:szCs w:val="20"/>
                <w:color w:val="auto"/>
              </w:rPr>
            </w:pPr>
            <w:r>
              <w:rPr>
                <w:rFonts w:ascii="Arial" w:cs="Arial" w:eastAsia="Arial" w:hAnsi="Arial"/>
                <w:sz w:val="14"/>
                <w:szCs w:val="14"/>
                <w:color w:val="auto"/>
              </w:rPr>
              <w:t>Emerging growth company</w:t>
            </w:r>
          </w:p>
        </w:tc>
        <w:tc>
          <w:tcPr>
            <w:tcW w:w="3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9" w:lineRule="exact"/>
        <w:rPr>
          <w:sz w:val="24"/>
          <w:szCs w:val="24"/>
          <w:color w:val="auto"/>
        </w:rPr>
      </w:pPr>
    </w:p>
    <w:p>
      <w:pPr>
        <w:ind w:right="20" w:firstLine="318"/>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1" w:lineRule="exact"/>
        <w:rPr>
          <w:sz w:val="24"/>
          <w:szCs w:val="24"/>
          <w:color w:val="auto"/>
        </w:rPr>
      </w:pPr>
    </w:p>
    <w:p>
      <w:pPr>
        <w:ind w:left="320"/>
        <w:spacing w:after="0" w:line="150" w:lineRule="exact"/>
        <w:tabs>
          <w:tab w:leader="none" w:pos="7300" w:val="left"/>
        </w:tabs>
        <w:rPr>
          <w:sz w:val="20"/>
          <w:szCs w:val="20"/>
          <w:color w:val="auto"/>
        </w:rPr>
      </w:pPr>
      <w:r>
        <w:rPr>
          <w:rFonts w:ascii="Arial" w:cs="Arial" w:eastAsia="Arial" w:hAnsi="Arial"/>
          <w:sz w:val="13"/>
          <w:szCs w:val="13"/>
          <w:color w:val="auto"/>
        </w:rPr>
        <w:t xml:space="preserve">Indicate by check mark whether the registrant is a shell company (as defined by Rule 12b-2 of the Exchange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100965</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April 22, 2022, the number of outstanding shares of the registrant's common stock was:</w:t>
      </w:r>
    </w:p>
    <w:p>
      <w:pPr>
        <w:spacing w:after="0" w:line="15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403,392,697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368300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60"/>
          </w:cols>
          <w:pgMar w:left="320" w:top="1190" w:right="319" w:bottom="1440" w:gutter="0" w:footer="0" w:header="0"/>
          <w:type w:val="continuous"/>
        </w:sectPr>
      </w:pPr>
    </w:p>
    <w:bookmarkStart w:id="1" w:name="page2"/>
    <w:bookmarkEnd w:id="1"/>
    <w:p>
      <w:pPr>
        <w:spacing w:after="0" w:line="11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Quarterly Report on Form 10-Q</w:t>
      </w:r>
    </w:p>
    <w:p>
      <w:pPr>
        <w:spacing w:after="0" w:line="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4"/>
        </w:trPr>
        <w:tc>
          <w:tcPr>
            <w:tcW w:w="640" w:type="dxa"/>
            <w:vAlign w:val="bottom"/>
            <w:vMerge w:val="restart"/>
          </w:tcPr>
          <w:p>
            <w:pPr>
              <w:spacing w:after="0" w:line="203" w:lineRule="exact"/>
              <w:rPr>
                <w:rFonts w:ascii="Arial" w:cs="Arial" w:eastAsia="Arial" w:hAnsi="Arial"/>
                <w:sz w:val="18"/>
                <w:szCs w:val="18"/>
                <w:color w:val="0000FF"/>
                <w:w w:val="87"/>
              </w:rPr>
            </w:pPr>
            <w:hyperlink w:anchor="page2">
              <w:r>
                <w:rPr>
                  <w:rFonts w:ascii="Arial" w:cs="Arial" w:eastAsia="Arial" w:hAnsi="Arial"/>
                  <w:sz w:val="18"/>
                  <w:szCs w:val="18"/>
                  <w:color w:val="0000FF"/>
                  <w:w w:val="87"/>
                </w:rPr>
                <w:t>Glossary</w:t>
              </w:r>
            </w:hyperlink>
          </w:p>
        </w:tc>
        <w:tc>
          <w:tcPr>
            <w:tcW w:w="9800" w:type="dxa"/>
            <w:vAlign w:val="bottom"/>
            <w:gridSpan w:val="22"/>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40" w:type="dxa"/>
            <w:vAlign w:val="bottom"/>
            <w:tcBorders>
              <w:bottom w:val="single" w:sz="8" w:color="0000FF"/>
            </w:tcBorders>
            <w:vMerge w:val="continue"/>
          </w:tcPr>
          <w:p>
            <w:pPr>
              <w:spacing w:after="0"/>
              <w:rPr>
                <w:sz w:val="17"/>
                <w:szCs w:val="17"/>
                <w:color w:val="auto"/>
              </w:rPr>
            </w:pPr>
          </w:p>
        </w:tc>
        <w:tc>
          <w:tcPr>
            <w:tcW w:w="9800" w:type="dxa"/>
            <w:vAlign w:val="bottom"/>
            <w:gridSpan w:val="2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4"/>
                <w:szCs w:val="14"/>
                <w:color w:val="0000FF"/>
              </w:rPr>
              <w:t>ii</w:t>
            </w: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440" w:type="dxa"/>
            <w:vAlign w:val="bottom"/>
            <w:gridSpan w:val="23"/>
          </w:tcPr>
          <w:p>
            <w:pPr>
              <w:spacing w:after="0" w:line="205"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Regarding Forward-Looking Statements</w:t>
              </w:r>
            </w:hyperlink>
          </w:p>
        </w:tc>
        <w:tc>
          <w:tcPr>
            <w:tcW w:w="360" w:type="dxa"/>
            <w:vAlign w:val="bottom"/>
          </w:tcPr>
          <w:p>
            <w:pPr>
              <w:spacing w:after="0"/>
              <w:rPr>
                <w:sz w:val="19"/>
                <w:szCs w:val="19"/>
                <w:color w:val="auto"/>
              </w:rPr>
            </w:pPr>
          </w:p>
        </w:tc>
        <w:tc>
          <w:tcPr>
            <w:tcW w:w="420" w:type="dxa"/>
            <w:vAlign w:val="bottom"/>
            <w:gridSpan w:val="3"/>
          </w:tcPr>
          <w:p>
            <w:pPr>
              <w:jc w:val="center"/>
              <w:ind w:right="340"/>
              <w:spacing w:after="0"/>
              <w:rPr>
                <w:sz w:val="20"/>
                <w:szCs w:val="20"/>
                <w:color w:val="auto"/>
              </w:rPr>
            </w:pPr>
            <w:r>
              <w:rPr>
                <w:rFonts w:ascii="Arial" w:cs="Arial" w:eastAsia="Arial" w:hAnsi="Arial"/>
                <w:sz w:val="14"/>
                <w:szCs w:val="14"/>
                <w:color w:val="0000FF"/>
                <w:w w:val="78"/>
              </w:rPr>
              <w:t>iv</w:t>
            </w: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80" w:type="dxa"/>
            <w:vAlign w:val="bottom"/>
            <w:gridSpan w:val="8"/>
          </w:tcPr>
          <w:p>
            <w:pPr>
              <w:jc w:val="center"/>
              <w:ind w:right="3400"/>
              <w:spacing w:after="0"/>
              <w:rPr>
                <w:rFonts w:ascii="Arial" w:cs="Arial" w:eastAsia="Arial" w:hAnsi="Arial"/>
                <w:sz w:val="18"/>
                <w:szCs w:val="18"/>
                <w:color w:val="0000FF"/>
                <w:w w:val="96"/>
              </w:rPr>
            </w:pPr>
            <w:hyperlink w:anchor="page6">
              <w:r>
                <w:rPr>
                  <w:rFonts w:ascii="Arial" w:cs="Arial" w:eastAsia="Arial" w:hAnsi="Arial"/>
                  <w:sz w:val="18"/>
                  <w:szCs w:val="18"/>
                  <w:color w:val="0000FF"/>
                  <w:w w:val="96"/>
                </w:rPr>
                <w:t>PART I - FINANCIAL INFORMATION</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160" w:type="dxa"/>
            <w:vAlign w:val="bottom"/>
            <w:gridSpan w:val="1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Item 1. Financial Statements</w:t>
              </w:r>
            </w:hyperlink>
          </w:p>
        </w:tc>
        <w:tc>
          <w:tcPr>
            <w:tcW w:w="2880" w:type="dxa"/>
            <w:vAlign w:val="bottom"/>
            <w:tcBorders>
              <w:top w:val="single" w:sz="8" w:color="0000FF"/>
            </w:tcBorders>
            <w:gridSpan w:val="7"/>
          </w:tcPr>
          <w:p>
            <w:pPr>
              <w:spacing w:after="0"/>
              <w:rPr>
                <w:sz w:val="21"/>
                <w:szCs w:val="21"/>
                <w:color w:val="auto"/>
              </w:rPr>
            </w:pPr>
          </w:p>
        </w:tc>
        <w:tc>
          <w:tcPr>
            <w:tcW w:w="3400" w:type="dxa"/>
            <w:vAlign w:val="bottom"/>
          </w:tcPr>
          <w:p>
            <w:pPr>
              <w:spacing w:after="0"/>
              <w:rPr>
                <w:sz w:val="21"/>
                <w:szCs w:val="21"/>
                <w:color w:val="auto"/>
              </w:rPr>
            </w:pPr>
          </w:p>
        </w:tc>
        <w:tc>
          <w:tcPr>
            <w:tcW w:w="480" w:type="dxa"/>
            <w:vAlign w:val="bottom"/>
            <w:gridSpan w:val="3"/>
          </w:tcPr>
          <w:p>
            <w:pPr>
              <w:jc w:val="center"/>
              <w:ind w:left="213"/>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1</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1"/>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Balance Sheets</w:t>
              </w:r>
            </w:hyperlink>
          </w:p>
        </w:tc>
        <w:tc>
          <w:tcPr>
            <w:tcW w:w="480" w:type="dxa"/>
            <w:vAlign w:val="bottom"/>
            <w:gridSpan w:val="3"/>
          </w:tcPr>
          <w:p>
            <w:pPr>
              <w:jc w:val="center"/>
              <w:ind w:left="213"/>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2</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20" w:type="dxa"/>
            <w:vAlign w:val="bottom"/>
            <w:gridSpan w:val="11"/>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Consolidated Statements of Operations</w:t>
              </w:r>
            </w:hyperlink>
          </w:p>
        </w:tc>
        <w:tc>
          <w:tcPr>
            <w:tcW w:w="6960" w:type="dxa"/>
            <w:vAlign w:val="bottom"/>
            <w:gridSpan w:val="10"/>
          </w:tcPr>
          <w:p>
            <w:pPr>
              <w:spacing w:after="0"/>
              <w:rPr>
                <w:sz w:val="21"/>
                <w:szCs w:val="21"/>
                <w:color w:val="auto"/>
              </w:rPr>
            </w:pPr>
          </w:p>
        </w:tc>
        <w:tc>
          <w:tcPr>
            <w:tcW w:w="480" w:type="dxa"/>
            <w:vAlign w:val="bottom"/>
            <w:gridSpan w:val="3"/>
          </w:tcPr>
          <w:p>
            <w:pPr>
              <w:jc w:val="center"/>
              <w:ind w:left="213"/>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3</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17"/>
          </w:tcPr>
          <w:p>
            <w:pPr>
              <w:spacing w:after="0"/>
              <w:rPr>
                <w:rFonts w:ascii="Arial" w:cs="Arial" w:eastAsia="Arial" w:hAnsi="Arial"/>
                <w:sz w:val="18"/>
                <w:szCs w:val="18"/>
                <w:color w:val="0000FF"/>
                <w:w w:val="87"/>
              </w:rPr>
            </w:pPr>
            <w:hyperlink w:anchor="page9">
              <w:r>
                <w:rPr>
                  <w:rFonts w:ascii="Arial" w:cs="Arial" w:eastAsia="Arial" w:hAnsi="Arial"/>
                  <w:sz w:val="18"/>
                  <w:szCs w:val="18"/>
                  <w:color w:val="0000FF"/>
                  <w:w w:val="87"/>
                </w:rPr>
                <w:t>Consolidated Statements of Comprehensive Income (Loss)</w:t>
              </w:r>
            </w:hyperlink>
          </w:p>
        </w:tc>
        <w:tc>
          <w:tcPr>
            <w:tcW w:w="5600" w:type="dxa"/>
            <w:vAlign w:val="bottom"/>
            <w:gridSpan w:val="4"/>
          </w:tcPr>
          <w:p>
            <w:pPr>
              <w:spacing w:after="0"/>
              <w:rPr>
                <w:sz w:val="21"/>
                <w:szCs w:val="21"/>
                <w:color w:val="auto"/>
              </w:rPr>
            </w:pPr>
          </w:p>
        </w:tc>
        <w:tc>
          <w:tcPr>
            <w:tcW w:w="480" w:type="dxa"/>
            <w:vAlign w:val="bottom"/>
            <w:gridSpan w:val="3"/>
          </w:tcPr>
          <w:p>
            <w:pPr>
              <w:jc w:val="center"/>
              <w:ind w:left="213"/>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4</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17"/>
          </w:tcPr>
          <w:p>
            <w:pPr>
              <w:spacing w:after="0"/>
              <w:rPr>
                <w:rFonts w:ascii="Arial" w:cs="Arial" w:eastAsia="Arial" w:hAnsi="Arial"/>
                <w:sz w:val="18"/>
                <w:szCs w:val="18"/>
                <w:color w:val="0000FF"/>
                <w:w w:val="94"/>
              </w:rPr>
            </w:pPr>
            <w:hyperlink w:anchor="page10">
              <w:r>
                <w:rPr>
                  <w:rFonts w:ascii="Arial" w:cs="Arial" w:eastAsia="Arial" w:hAnsi="Arial"/>
                  <w:sz w:val="18"/>
                  <w:szCs w:val="18"/>
                  <w:color w:val="0000FF"/>
                  <w:w w:val="94"/>
                </w:rPr>
                <w:t>Consolidated Statements of Changes in Equity (Deficit)</w:t>
              </w:r>
            </w:hyperlink>
          </w:p>
        </w:tc>
        <w:tc>
          <w:tcPr>
            <w:tcW w:w="5600" w:type="dxa"/>
            <w:vAlign w:val="bottom"/>
            <w:gridSpan w:val="4"/>
          </w:tcPr>
          <w:p>
            <w:pPr>
              <w:spacing w:after="0"/>
              <w:rPr>
                <w:sz w:val="21"/>
                <w:szCs w:val="21"/>
                <w:color w:val="auto"/>
              </w:rPr>
            </w:pPr>
          </w:p>
        </w:tc>
        <w:tc>
          <w:tcPr>
            <w:tcW w:w="480" w:type="dxa"/>
            <w:vAlign w:val="bottom"/>
            <w:gridSpan w:val="3"/>
          </w:tcPr>
          <w:p>
            <w:pPr>
              <w:jc w:val="center"/>
              <w:ind w:left="213"/>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5</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40" w:type="dxa"/>
            <w:vAlign w:val="bottom"/>
            <w:gridSpan w:val="16"/>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Consolidated Statements of Cash Flows</w:t>
              </w:r>
            </w:hyperlink>
          </w:p>
        </w:tc>
        <w:tc>
          <w:tcPr>
            <w:tcW w:w="5840" w:type="dxa"/>
            <w:vAlign w:val="bottom"/>
            <w:gridSpan w:val="5"/>
          </w:tcPr>
          <w:p>
            <w:pPr>
              <w:spacing w:after="0"/>
              <w:rPr>
                <w:sz w:val="21"/>
                <w:szCs w:val="21"/>
                <w:color w:val="auto"/>
              </w:rPr>
            </w:pPr>
          </w:p>
        </w:tc>
        <w:tc>
          <w:tcPr>
            <w:tcW w:w="480" w:type="dxa"/>
            <w:vAlign w:val="bottom"/>
            <w:gridSpan w:val="3"/>
          </w:tcPr>
          <w:p>
            <w:pPr>
              <w:jc w:val="center"/>
              <w:ind w:left="213"/>
              <w:spacing w:after="0"/>
              <w:rPr>
                <w:rFonts w:ascii="Arial" w:cs="Arial" w:eastAsia="Arial" w:hAnsi="Arial"/>
                <w:sz w:val="18"/>
                <w:szCs w:val="18"/>
                <w:color w:val="0000FF"/>
                <w:w w:val="99"/>
              </w:rPr>
            </w:pPr>
            <w:hyperlink w:anchor="page12">
              <w:r>
                <w:rPr>
                  <w:rFonts w:ascii="Arial" w:cs="Arial" w:eastAsia="Arial" w:hAnsi="Arial"/>
                  <w:sz w:val="18"/>
                  <w:szCs w:val="18"/>
                  <w:color w:val="0000FF"/>
                  <w:w w:val="99"/>
                </w:rPr>
                <w:t>7</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gridSpan w:val="12"/>
          </w:tcPr>
          <w:p>
            <w:pPr>
              <w:spacing w:after="0"/>
              <w:rPr>
                <w:rFonts w:ascii="Arial" w:cs="Arial" w:eastAsia="Arial" w:hAnsi="Arial"/>
                <w:sz w:val="18"/>
                <w:szCs w:val="18"/>
                <w:color w:val="0000FF"/>
                <w:w w:val="87"/>
              </w:rPr>
            </w:pPr>
            <w:hyperlink w:anchor="page14">
              <w:r>
                <w:rPr>
                  <w:rFonts w:ascii="Arial" w:cs="Arial" w:eastAsia="Arial" w:hAnsi="Arial"/>
                  <w:sz w:val="18"/>
                  <w:szCs w:val="18"/>
                  <w:color w:val="0000FF"/>
                  <w:w w:val="87"/>
                </w:rPr>
                <w:t>Notes to the Consolidated Financial Statements</w:t>
              </w:r>
            </w:hyperlink>
          </w:p>
        </w:tc>
        <w:tc>
          <w:tcPr>
            <w:tcW w:w="6420" w:type="dxa"/>
            <w:vAlign w:val="bottom"/>
            <w:gridSpan w:val="9"/>
          </w:tcPr>
          <w:p>
            <w:pPr>
              <w:spacing w:after="0"/>
              <w:rPr>
                <w:sz w:val="21"/>
                <w:szCs w:val="21"/>
                <w:color w:val="auto"/>
              </w:rPr>
            </w:pPr>
          </w:p>
        </w:tc>
        <w:tc>
          <w:tcPr>
            <w:tcW w:w="480" w:type="dxa"/>
            <w:vAlign w:val="bottom"/>
            <w:gridSpan w:val="3"/>
          </w:tcPr>
          <w:p>
            <w:pPr>
              <w:jc w:val="center"/>
              <w:ind w:left="213"/>
              <w:spacing w:after="0"/>
              <w:rPr>
                <w:rFonts w:ascii="Arial" w:cs="Arial" w:eastAsia="Arial" w:hAnsi="Arial"/>
                <w:sz w:val="18"/>
                <w:szCs w:val="18"/>
                <w:color w:val="0000FF"/>
                <w:w w:val="99"/>
              </w:rPr>
            </w:pPr>
            <w:hyperlink w:anchor="page14">
              <w:r>
                <w:rPr>
                  <w:rFonts w:ascii="Arial" w:cs="Arial" w:eastAsia="Arial" w:hAnsi="Arial"/>
                  <w:sz w:val="18"/>
                  <w:szCs w:val="18"/>
                  <w:color w:val="0000FF"/>
                  <w:w w:val="99"/>
                </w:rPr>
                <w:t>9</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440" w:type="dxa"/>
            <w:vAlign w:val="bottom"/>
            <w:gridSpan w:val="23"/>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Item 2. Management's Discussion and Analysis of Financial Condition and Results of Operations</w:t>
              </w:r>
            </w:hyperlink>
          </w:p>
        </w:tc>
        <w:tc>
          <w:tcPr>
            <w:tcW w:w="780" w:type="dxa"/>
            <w:vAlign w:val="bottom"/>
            <w:gridSpan w:val="4"/>
          </w:tcPr>
          <w:p>
            <w:pPr>
              <w:jc w:val="cente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46</w:t>
              </w:r>
            </w:hyperlink>
          </w:p>
        </w:tc>
        <w:tc>
          <w:tcPr>
            <w:tcW w:w="0" w:type="dxa"/>
            <w:vAlign w:val="bottom"/>
          </w:tcPr>
          <w:p>
            <w:pPr>
              <w:spacing w:after="0"/>
              <w:rPr>
                <w:sz w:val="1"/>
                <w:szCs w:val="1"/>
                <w:color w:val="auto"/>
              </w:rPr>
            </w:pPr>
          </w:p>
        </w:tc>
      </w:tr>
      <w:tr>
        <w:trPr>
          <w:trHeight w:val="245"/>
        </w:trPr>
        <w:tc>
          <w:tcPr>
            <w:tcW w:w="6860" w:type="dxa"/>
            <w:vAlign w:val="bottom"/>
            <w:tcBorders>
              <w:top w:val="single" w:sz="8" w:color="0000FF"/>
            </w:tcBorders>
            <w:gridSpan w:val="20"/>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Item 3. Quantitative and Qualitative Disclosures About Market Risk</w:t>
              </w:r>
            </w:hyperlink>
          </w:p>
        </w:tc>
        <w:tc>
          <w:tcPr>
            <w:tcW w:w="358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74">
              <w:r>
                <w:rPr>
                  <w:rFonts w:ascii="Arial" w:cs="Arial" w:eastAsia="Arial" w:hAnsi="Arial"/>
                  <w:sz w:val="15"/>
                  <w:szCs w:val="15"/>
                  <w:color w:val="0000FF"/>
                  <w:w w:val="71"/>
                </w:rPr>
                <w:t>68</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840" w:type="dxa"/>
            <w:vAlign w:val="bottom"/>
            <w:tcBorders>
              <w:top w:val="single" w:sz="8" w:color="0000FF"/>
            </w:tcBorders>
            <w:gridSpan w:val="19"/>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Item 4. Controls and Procedures</w:t>
              </w:r>
            </w:hyperlink>
          </w:p>
        </w:tc>
        <w:tc>
          <w:tcPr>
            <w:tcW w:w="560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top w:val="single" w:sz="8" w:color="0000FF"/>
            </w:tcBorders>
            <w:gridSpan w:val="2"/>
          </w:tcPr>
          <w:p>
            <w:pPr>
              <w:jc w:val="center"/>
              <w:spacing w:after="0"/>
              <w:rPr>
                <w:rFonts w:ascii="Arial" w:cs="Arial" w:eastAsia="Arial" w:hAnsi="Arial"/>
                <w:sz w:val="15"/>
                <w:szCs w:val="15"/>
                <w:color w:val="0000FF"/>
                <w:w w:val="71"/>
              </w:rPr>
            </w:pPr>
            <w:hyperlink w:anchor="page75">
              <w:r>
                <w:rPr>
                  <w:rFonts w:ascii="Arial" w:cs="Arial" w:eastAsia="Arial" w:hAnsi="Arial"/>
                  <w:sz w:val="15"/>
                  <w:szCs w:val="15"/>
                  <w:color w:val="0000FF"/>
                  <w:w w:val="71"/>
                </w:rPr>
                <w:t>69</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tcBorders>
              <w:bottom w:val="single" w:sz="8" w:color="0000FF"/>
            </w:tcBorders>
            <w:gridSpan w:val="5"/>
          </w:tcPr>
          <w:p>
            <w:pPr>
              <w:jc w:val="center"/>
              <w:spacing w:after="0"/>
              <w:rPr>
                <w:rFonts w:ascii="Arial" w:cs="Arial" w:eastAsia="Arial" w:hAnsi="Arial"/>
                <w:sz w:val="18"/>
                <w:szCs w:val="18"/>
                <w:color w:val="0000FF"/>
                <w:w w:val="94"/>
              </w:rPr>
            </w:pPr>
            <w:hyperlink w:anchor="page75">
              <w:r>
                <w:rPr>
                  <w:rFonts w:ascii="Arial" w:cs="Arial" w:eastAsia="Arial" w:hAnsi="Arial"/>
                  <w:sz w:val="18"/>
                  <w:szCs w:val="18"/>
                  <w:color w:val="0000FF"/>
                  <w:w w:val="94"/>
                </w:rPr>
                <w:t>PART II - OTHER INFORMATION</w:t>
              </w:r>
            </w:hyperlink>
          </w:p>
        </w:tc>
        <w:tc>
          <w:tcPr>
            <w:tcW w:w="35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820" w:type="dxa"/>
            <w:vAlign w:val="bottom"/>
            <w:tcBorders>
              <w:bottom w:val="single" w:sz="8" w:color="0000FF"/>
            </w:tcBorders>
            <w:gridSpan w:val="11"/>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Item 1. Legal Proceedings</w:t>
              </w:r>
            </w:hyperlink>
          </w:p>
        </w:tc>
        <w:tc>
          <w:tcPr>
            <w:tcW w:w="7620" w:type="dxa"/>
            <w:vAlign w:val="bottom"/>
            <w:gridSpan w:val="12"/>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76">
              <w:r>
                <w:rPr>
                  <w:rFonts w:ascii="Arial" w:cs="Arial" w:eastAsia="Arial" w:hAnsi="Arial"/>
                  <w:sz w:val="15"/>
                  <w:szCs w:val="15"/>
                  <w:color w:val="0000FF"/>
                  <w:w w:val="71"/>
                </w:rPr>
                <w:t>70</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Item 1A. Risk Factors</w:t>
              </w:r>
            </w:hyperlink>
          </w:p>
        </w:tc>
        <w:tc>
          <w:tcPr>
            <w:tcW w:w="780" w:type="dxa"/>
            <w:vAlign w:val="bottom"/>
            <w:gridSpan w:val="4"/>
          </w:tcPr>
          <w:p>
            <w:pPr>
              <w:jc w:val="center"/>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70</w:t>
              </w:r>
            </w:hyperlink>
          </w:p>
        </w:tc>
        <w:tc>
          <w:tcPr>
            <w:tcW w:w="0" w:type="dxa"/>
            <w:vAlign w:val="bottom"/>
          </w:tcPr>
          <w:p>
            <w:pPr>
              <w:spacing w:after="0"/>
              <w:rPr>
                <w:sz w:val="1"/>
                <w:szCs w:val="1"/>
                <w:color w:val="auto"/>
              </w:rPr>
            </w:pPr>
          </w:p>
        </w:tc>
      </w:tr>
      <w:tr>
        <w:trPr>
          <w:trHeight w:val="20"/>
        </w:trPr>
        <w:tc>
          <w:tcPr>
            <w:tcW w:w="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440" w:type="dxa"/>
            <w:vAlign w:val="bottom"/>
            <w:tcBorders>
              <w:bottom w:val="single" w:sz="8" w:color="0000FF"/>
            </w:tcBorders>
            <w:gridSpan w:val="2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Item 2. Unregistered Sales of Equity Securities and Use of Proceeds</w:t>
              </w:r>
            </w:hyperlink>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76">
              <w:r>
                <w:rPr>
                  <w:rFonts w:ascii="Arial" w:cs="Arial" w:eastAsia="Arial" w:hAnsi="Arial"/>
                  <w:sz w:val="15"/>
                  <w:szCs w:val="15"/>
                  <w:color w:val="0000FF"/>
                  <w:w w:val="71"/>
                </w:rPr>
                <w:t>70</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tcBorders>
              <w:bottom w:val="single" w:sz="8" w:color="0000FF"/>
            </w:tcBorders>
            <w:gridSpan w:val="2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Item 3. Defaults Upon Senior Securities</w:t>
              </w:r>
            </w:hyperlink>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76">
              <w:r>
                <w:rPr>
                  <w:rFonts w:ascii="Arial" w:cs="Arial" w:eastAsia="Arial" w:hAnsi="Arial"/>
                  <w:sz w:val="15"/>
                  <w:szCs w:val="15"/>
                  <w:color w:val="0000FF"/>
                  <w:w w:val="71"/>
                </w:rPr>
                <w:t>70</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tcBorders>
              <w:bottom w:val="single" w:sz="8" w:color="0000FF"/>
            </w:tcBorders>
            <w:gridSpan w:val="2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Item 4. Mine Safety Disclosures</w:t>
              </w:r>
            </w:hyperlink>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76">
              <w:r>
                <w:rPr>
                  <w:rFonts w:ascii="Arial" w:cs="Arial" w:eastAsia="Arial" w:hAnsi="Arial"/>
                  <w:sz w:val="15"/>
                  <w:szCs w:val="15"/>
                  <w:color w:val="0000FF"/>
                  <w:w w:val="71"/>
                </w:rPr>
                <w:t>70</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8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Item 5. Other Information</w:t>
              </w:r>
            </w:hyperlink>
          </w:p>
        </w:tc>
        <w:tc>
          <w:tcPr>
            <w:tcW w:w="8600" w:type="dxa"/>
            <w:vAlign w:val="bottom"/>
            <w:gridSpan w:val="16"/>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76">
              <w:r>
                <w:rPr>
                  <w:rFonts w:ascii="Arial" w:cs="Arial" w:eastAsia="Arial" w:hAnsi="Arial"/>
                  <w:sz w:val="15"/>
                  <w:szCs w:val="15"/>
                  <w:color w:val="0000FF"/>
                  <w:w w:val="71"/>
                </w:rPr>
                <w:t>70</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1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Item 6. Exhibits</w:t>
              </w:r>
            </w:hyperlink>
          </w:p>
        </w:tc>
        <w:tc>
          <w:tcPr>
            <w:tcW w:w="9300" w:type="dxa"/>
            <w:vAlign w:val="bottom"/>
            <w:gridSpan w:val="18"/>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Borders>
              <w:bottom w:val="single" w:sz="8" w:color="0000FF"/>
            </w:tcBorders>
            <w:gridSpan w:val="2"/>
          </w:tcPr>
          <w:p>
            <w:pPr>
              <w:jc w:val="center"/>
              <w:spacing w:after="0"/>
              <w:rPr>
                <w:rFonts w:ascii="Arial" w:cs="Arial" w:eastAsia="Arial" w:hAnsi="Arial"/>
                <w:sz w:val="15"/>
                <w:szCs w:val="15"/>
                <w:color w:val="0000FF"/>
                <w:w w:val="71"/>
              </w:rPr>
            </w:pPr>
            <w:hyperlink w:anchor="page76">
              <w:r>
                <w:rPr>
                  <w:rFonts w:ascii="Arial" w:cs="Arial" w:eastAsia="Arial" w:hAnsi="Arial"/>
                  <w:sz w:val="15"/>
                  <w:szCs w:val="15"/>
                  <w:color w:val="0000FF"/>
                  <w:w w:val="71"/>
                </w:rPr>
                <w:t>71</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10440" w:type="dxa"/>
            <w:vAlign w:val="bottom"/>
            <w:gridSpan w:val="23"/>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Signatures</w:t>
              </w:r>
            </w:hyperlink>
          </w:p>
        </w:tc>
        <w:tc>
          <w:tcPr>
            <w:tcW w:w="780" w:type="dxa"/>
            <w:vAlign w:val="bottom"/>
            <w:gridSpan w:val="4"/>
          </w:tcPr>
          <w:p>
            <w:pPr>
              <w:jc w:val="center"/>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GLOSSARY</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used in this quarterly report on Form 10-Q (this “</w:t>
      </w:r>
      <w:r>
        <w:rPr>
          <w:rFonts w:ascii="Arial" w:cs="Arial" w:eastAsia="Arial" w:hAnsi="Arial"/>
          <w:sz w:val="15"/>
          <w:szCs w:val="15"/>
          <w:u w:val="single" w:color="auto"/>
          <w:color w:val="auto"/>
        </w:rPr>
        <w:t>Form 10-Q</w:t>
      </w:r>
      <w:r>
        <w:rPr>
          <w:rFonts w:ascii="Arial" w:cs="Arial" w:eastAsia="Arial" w:hAnsi="Arial"/>
          <w:sz w:val="15"/>
          <w:szCs w:val="15"/>
          <w:color w:val="auto"/>
        </w:rPr>
        <w:t>”), the terms identified below have the meanings specified below unless otherwise noted or the context indicates otherwise. 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98" w:lineRule="exact"/>
        <w:rPr>
          <w:sz w:val="20"/>
          <w:szCs w:val="20"/>
          <w:color w:val="auto"/>
        </w:rPr>
      </w:pPr>
    </w:p>
    <w:p>
      <w:pPr>
        <w:ind w:left="640" w:hanging="316"/>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2021 Form 10-K</w:t>
      </w:r>
      <w:r>
        <w:rPr>
          <w:rFonts w:ascii="Arial" w:cs="Arial" w:eastAsia="Arial" w:hAnsi="Arial"/>
          <w:sz w:val="18"/>
          <w:szCs w:val="18"/>
          <w:color w:val="auto"/>
        </w:rPr>
        <w:t>” refers to the Annual Report on Form 10-K of ZoomInfo Technologies Inc. for the fiscal year ended December 31, 2021 as filed with the SEC on February 24, 2022.</w:t>
      </w: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Blocker Companies</w:t>
      </w:r>
      <w:r>
        <w:rPr>
          <w:rFonts w:ascii="Arial" w:cs="Arial" w:eastAsia="Arial" w:hAnsi="Arial"/>
          <w:sz w:val="15"/>
          <w:szCs w:val="15"/>
          <w:color w:val="auto"/>
        </w:rPr>
        <w:t>” refers to certain of our Pre-IPO OpCo Unitholders that are taxable as corporations for U.S. federal income tax purposes.</w:t>
      </w:r>
    </w:p>
    <w:p>
      <w:pPr>
        <w:spacing w:after="0" w:line="39" w:lineRule="exact"/>
        <w:rPr>
          <w:rFonts w:ascii="Arial" w:cs="Arial" w:eastAsia="Arial" w:hAnsi="Arial"/>
          <w:sz w:val="15"/>
          <w:szCs w:val="15"/>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Mergers</w:t>
      </w:r>
      <w:r>
        <w:rPr>
          <w:rFonts w:ascii="Arial" w:cs="Arial" w:eastAsia="Arial" w:hAnsi="Arial"/>
          <w:sz w:val="18"/>
          <w:szCs w:val="18"/>
          <w:color w:val="auto"/>
        </w:rPr>
        <w:t>” refers to the mergers described under “Reorganization Transactions” in Note 1 to our unaudited consolidated financial statements included in Part I, Item 1 of this Form 10-Q.</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Carlyle</w:t>
      </w:r>
      <w:r>
        <w:rPr>
          <w:rFonts w:ascii="Arial" w:cs="Arial" w:eastAsia="Arial" w:hAnsi="Arial"/>
          <w:sz w:val="18"/>
          <w:szCs w:val="18"/>
          <w:color w:val="auto"/>
        </w:rPr>
        <w:t>” refers to investment funds associated with The Carlyle Group.</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 Option</w:t>
      </w:r>
      <w:r>
        <w:rPr>
          <w:rFonts w:ascii="Arial" w:cs="Arial" w:eastAsia="Arial" w:hAnsi="Arial"/>
          <w:sz w:val="18"/>
          <w:szCs w:val="18"/>
          <w:color w:val="auto"/>
        </w:rPr>
        <w:t>” refers to an award granted under Section 7 of the 2020 Omnibus Incentive Plan.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P Units</w:t>
      </w:r>
      <w:r>
        <w:rPr>
          <w:rFonts w:ascii="Arial" w:cs="Arial" w:eastAsia="Arial" w:hAnsi="Arial"/>
          <w:sz w:val="18"/>
          <w:szCs w:val="18"/>
          <w:color w:val="auto"/>
        </w:rPr>
        <w:t>” refers to Class P Units (including, without limitation, any indirectly held Class P Units) of ZoomInfo OpCo.</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Class P Unitholders</w:t>
      </w:r>
      <w:r>
        <w:rPr>
          <w:rFonts w:ascii="Arial" w:cs="Arial" w:eastAsia="Arial" w:hAnsi="Arial"/>
          <w:sz w:val="18"/>
          <w:szCs w:val="18"/>
          <w:color w:val="auto"/>
        </w:rPr>
        <w:t>” refers to certain Pre-IPO Owners who continued to hold Class P Units following the consummation of the Reorganization Transactions and the IPO.</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Members</w:t>
      </w:r>
      <w:r>
        <w:rPr>
          <w:rFonts w:ascii="Arial" w:cs="Arial" w:eastAsia="Arial" w:hAnsi="Arial"/>
          <w:sz w:val="18"/>
          <w:szCs w:val="18"/>
          <w:color w:val="auto"/>
        </w:rPr>
        <w:t>” refers to Pre-IPO Owners who continued to hold HoldCo Units or OpCo Units following the Reorganization Transactions and the IPO.</w:t>
      </w:r>
    </w:p>
    <w:p>
      <w:pPr>
        <w:spacing w:after="0" w:line="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Customers</w:t>
      </w:r>
      <w:r>
        <w:rPr>
          <w:rFonts w:ascii="Arial" w:cs="Arial" w:eastAsia="Arial" w:hAnsi="Arial"/>
          <w:sz w:val="15"/>
          <w:szCs w:val="15"/>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Tax Receivable Agreement</w:t>
      </w:r>
      <w:r>
        <w:rPr>
          <w:rFonts w:ascii="Arial" w:cs="Arial" w:eastAsia="Arial" w:hAnsi="Arial"/>
          <w:sz w:val="18"/>
          <w:szCs w:val="18"/>
          <w:color w:val="auto"/>
        </w:rPr>
        <w:t>” refers to the tax receivable agreement entered into with certain Pre-IPO OpCo Unitholders.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refers to Henry Schuck, our Chief Executive Officer, and Kirk Brown.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Units</w:t>
      </w:r>
      <w:r>
        <w:rPr>
          <w:rFonts w:ascii="Arial" w:cs="Arial" w:eastAsia="Arial" w:hAnsi="Arial"/>
          <w:sz w:val="18"/>
          <w:szCs w:val="18"/>
          <w:color w:val="auto"/>
        </w:rPr>
        <w:t>” refers to the class of units of ZoomInfo HoldCo.</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w:t>
      </w:r>
      <w:r>
        <w:rPr>
          <w:rFonts w:ascii="Arial" w:cs="Arial" w:eastAsia="Arial" w:hAnsi="Arial"/>
          <w:sz w:val="18"/>
          <w:szCs w:val="18"/>
          <w:color w:val="auto"/>
        </w:rPr>
        <w:t>” and “</w:t>
      </w:r>
      <w:r>
        <w:rPr>
          <w:rFonts w:ascii="Arial" w:cs="Arial" w:eastAsia="Arial" w:hAnsi="Arial"/>
          <w:sz w:val="18"/>
          <w:szCs w:val="18"/>
          <w:u w:val="single" w:color="auto"/>
          <w:color w:val="auto"/>
        </w:rPr>
        <w:t>HSKB I</w:t>
      </w:r>
      <w:r>
        <w:rPr>
          <w:rFonts w:ascii="Arial" w:cs="Arial" w:eastAsia="Arial" w:hAnsi="Arial"/>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 II</w:t>
      </w:r>
      <w:r>
        <w:rPr>
          <w:rFonts w:ascii="Arial" w:cs="Arial" w:eastAsia="Arial" w:hAnsi="Arial"/>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ZoomInfo Technologies Inc.</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LTIP Units</w:t>
      </w:r>
      <w:r>
        <w:rPr>
          <w:rFonts w:ascii="Arial" w:cs="Arial" w:eastAsia="Arial" w:hAnsi="Arial"/>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Units</w:t>
      </w:r>
      <w:r>
        <w:rPr>
          <w:rFonts w:ascii="Arial" w:cs="Arial" w:eastAsia="Arial" w:hAnsi="Arial"/>
          <w:sz w:val="18"/>
          <w:szCs w:val="18"/>
          <w:color w:val="auto"/>
        </w:rPr>
        <w:t>” refers to the class of units of ZoomInfo OpCo and does not include Class P Units.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Pre-Acquisition ZI</w:t>
      </w:r>
      <w:r>
        <w:rPr>
          <w:rFonts w:ascii="Arial" w:cs="Arial" w:eastAsia="Arial" w:hAnsi="Arial"/>
          <w:sz w:val="18"/>
          <w:szCs w:val="18"/>
          <w:color w:val="auto"/>
        </w:rPr>
        <w:t>” refers to Zoom Information Inc.</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Pre-IPO Blocker Holders</w:t>
      </w:r>
      <w:r>
        <w:rPr>
          <w:rFonts w:ascii="Arial" w:cs="Arial" w:eastAsia="Arial" w:hAnsi="Arial"/>
          <w:sz w:val="15"/>
          <w:szCs w:val="15"/>
          <w:color w:val="auto"/>
        </w:rPr>
        <w:t>” refers to the Pre-IPO Owners that held their interests in us through the Blocker Companies immediately prior to the IPO.</w:t>
      </w:r>
    </w:p>
    <w:p>
      <w:pPr>
        <w:spacing w:after="0" w:line="39"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HoldCo Unitholders</w:t>
      </w:r>
      <w:r>
        <w:rPr>
          <w:rFonts w:ascii="Arial" w:cs="Arial" w:eastAsia="Arial" w:hAnsi="Arial"/>
          <w:sz w:val="18"/>
          <w:szCs w:val="18"/>
          <w:color w:val="auto"/>
        </w:rPr>
        <w:t>” refers to the Pre-IPO Owners that held HoldCo Units immediately prior to the IPO.</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OpCo Unitholders</w:t>
      </w:r>
      <w:r>
        <w:rPr>
          <w:rFonts w:ascii="Arial" w:cs="Arial" w:eastAsia="Arial" w:hAnsi="Arial"/>
          <w:sz w:val="18"/>
          <w:szCs w:val="18"/>
          <w:color w:val="auto"/>
        </w:rPr>
        <w:t>” refers to the Pre-IPO Owners that held OpCo Units immediately prior to the IPO.</w:t>
      </w:r>
    </w:p>
    <w:p>
      <w:pPr>
        <w:spacing w:after="0" w:line="5"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Owners</w:t>
      </w:r>
      <w:r>
        <w:rPr>
          <w:rFonts w:ascii="Arial" w:cs="Arial" w:eastAsia="Arial" w:hAnsi="Arial"/>
          <w:sz w:val="18"/>
          <w:szCs w:val="18"/>
          <w:color w:val="auto"/>
        </w:rPr>
        <w:t>” refers collectively to the Sponsors, the Founders, and the management and other equity holders who were the owners of ZoomInfo OpCo immediately prior to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Tax Receivable Agreement</w:t>
      </w:r>
      <w:r>
        <w:rPr>
          <w:rFonts w:ascii="Arial" w:cs="Arial" w:eastAsia="Arial" w:hAnsi="Arial"/>
          <w:sz w:val="18"/>
          <w:szCs w:val="18"/>
          <w:color w:val="auto"/>
        </w:rPr>
        <w:t>” refers to the tax receivable agreement entered into with the Pre-IPO Blocker Holders.</w:t>
      </w:r>
    </w:p>
    <w:p>
      <w:pPr>
        <w:spacing w:after="0" w:line="16"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refers to the transactions described under “Reorganization Transactions” in Note 1 to our unaudited consolidated financial statements included in Part I, Item 1 of this Form 10-Q.</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refers to our Class A common stock, subject to certain specified restrictions (which may include, without limitation, a requirement that the Participant remain continuously employed or provide continuous services for a specified period of time), granted under Section 8 of the 2020 Omnibus Incentive Plan.</w:t>
      </w:r>
    </w:p>
    <w:p>
      <w:pPr>
        <w:spacing w:after="0" w:line="2"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refers to an unfunded and unsecured promise to deliver shares of our Class A common stock, cash, other securities or other property, subject to certain restrictions (which may include, without limitation, a requirement that the Participant remain continuously employed or provide continuous services for a specified period of time), granted under Section 8 of the 2020 Omnibus Incentive Plan.</w:t>
      </w: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refers to the Securities and Exchange Commission.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refers to the Securities Act of 1933, as amended.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refers collectively to TA Associates, Carlyle, and investment funds associated with 22C Capital LLC and its predecessor.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 Associates</w:t>
      </w:r>
      <w:r>
        <w:rPr>
          <w:rFonts w:ascii="Arial" w:cs="Arial" w:eastAsia="Arial" w:hAnsi="Arial"/>
          <w:sz w:val="18"/>
          <w:szCs w:val="18"/>
          <w:color w:val="auto"/>
        </w:rPr>
        <w:t>” refers to investment funds associated with TA Associates.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Agreements</w:t>
      </w:r>
      <w:r>
        <w:rPr>
          <w:rFonts w:ascii="Arial" w:cs="Arial" w:eastAsia="Arial" w:hAnsi="Arial"/>
          <w:sz w:val="18"/>
          <w:szCs w:val="18"/>
          <w:color w:val="auto"/>
        </w:rPr>
        <w:t>” or “</w:t>
      </w:r>
      <w:r>
        <w:rPr>
          <w:rFonts w:ascii="Arial" w:cs="Arial" w:eastAsia="Arial" w:hAnsi="Arial"/>
          <w:sz w:val="18"/>
          <w:szCs w:val="18"/>
          <w:u w:val="single" w:color="auto"/>
          <w:color w:val="auto"/>
        </w:rPr>
        <w:t>TRA</w:t>
      </w:r>
      <w:r>
        <w:rPr>
          <w:rFonts w:ascii="Arial" w:cs="Arial" w:eastAsia="Arial" w:hAnsi="Arial"/>
          <w:sz w:val="18"/>
          <w:szCs w:val="18"/>
          <w:color w:val="auto"/>
        </w:rPr>
        <w:t>” refers collectively to the Exchange Tax Receivable Agreement and the Reorganization Tax Receivable Agreement.</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HoldCo</w:t>
      </w:r>
      <w:r>
        <w:rPr>
          <w:rFonts w:ascii="Arial" w:cs="Arial" w:eastAsia="Arial" w:hAnsi="Arial"/>
          <w:sz w:val="18"/>
          <w:szCs w:val="18"/>
          <w:color w:val="auto"/>
        </w:rPr>
        <w:t>” refers to ZoomInfo Intermediate Holdings LLC, a Delaware limited liability company, and a direct subsidiary of ZoomInfo Technologies Inc.</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OpCo</w:t>
      </w:r>
      <w:r>
        <w:rPr>
          <w:rFonts w:ascii="Arial" w:cs="Arial" w:eastAsia="Arial" w:hAnsi="Arial"/>
          <w:sz w:val="18"/>
          <w:szCs w:val="18"/>
          <w:color w:val="auto"/>
        </w:rPr>
        <w:t>” refers to ZoomInfo Holdings LLC (formerly known as DiscoverOrg Holdings, LLC), a Delaware limited liability company, and a direct subsidiary of ZoomInfo HoldCo and indirect subsidiary of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0"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14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3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our forward-looking statements, including forward-looking statements contained in this Quarterly Report on Form 10-Q:</w:t>
      </w:r>
    </w:p>
    <w:p>
      <w:pPr>
        <w:spacing w:after="0" w:line="128" w:lineRule="exact"/>
        <w:rPr>
          <w:sz w:val="20"/>
          <w:szCs w:val="20"/>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COVID-19 pandemic, including the global economic uncertainty and measures taken in response, could materially impact our business and future results of operations;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larger well-funded companies may shift their existing business models to become more competitive with us;</w:t>
      </w:r>
    </w:p>
    <w:p>
      <w:pPr>
        <w:spacing w:after="0" w:line="164"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unable to provide or adapt our platform for changes in laws and regulations or public perception, or changes in the enforcement of such laws, relating to data privacy, which could impact our ability to efficiently gather, process, update and/or provide some or all of the information we currently provide or the ability of our customers and users to use some or all of our products and services;</w:t>
      </w:r>
    </w:p>
    <w:p>
      <w:pPr>
        <w:spacing w:after="0" w:line="118"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competition from companies that more effectively cater to our customers by offering more tailored products or platforms at lower costs;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general economic and market conditions may reduce spending on sales and marketing, which could harm our revenue, results of operations and cash flows;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demand for sales and marketing subscription platforms could negatively impact our business;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improve our technology and keep up with new processes for data collection, organization, and cleansing, competing products and services could surpass ours;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provide a highly accurate, reliable, and comprehensive platform moving forward, which could cause a reduction in demand for our products and services;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third-party systems that we do not control to integrate with our system and we may be unable to continue to support integration;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unable to attract new customers and expand existing subscriptions, which could harm our revenue growth and profitability;</w:t>
      </w:r>
    </w:p>
    <w:p>
      <w:pPr>
        <w:spacing w:after="0" w:line="175"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in participation in our contributory network or increased opt-out rates could lead to a deterioration in the depth, breadth, and accuracy of our platform;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search engine algorithms and dynamics could negatively affect traffic to our website;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protect and maintain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 attacks and security vulnerabilities could result in serious harm to our reputation, business, and financial condition;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third-parties could use our products and services in a manner that is unlawful or contrary to our values;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successfully integrate acquired businesses, services, databases, and technologies into our operations, which could have an adverse effect on our business;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unsuccessful in selling our products or retaining our customers if the quality of our customer service falters;</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indebtedness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to our stockholders agreement have special rights and interests that may conflict with ours or yours in the future;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other factors described under “Risk Factors” in Part I, Item 1A of our 2021 Form 10-K, and in other reports we file from time to time with the SEC.</w:t>
      </w:r>
    </w:p>
    <w:p>
      <w:pPr>
        <w:spacing w:after="0" w:line="18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20" w:type="dxa"/>
            <w:vAlign w:val="bottom"/>
            <w:gridSpan w:val="4"/>
          </w:tcPr>
          <w:p>
            <w:pPr>
              <w:jc w:val="center"/>
              <w:ind w:right="1880"/>
              <w:spacing w:after="0"/>
              <w:rPr>
                <w:sz w:val="20"/>
                <w:szCs w:val="20"/>
                <w:color w:val="auto"/>
              </w:rPr>
            </w:pPr>
            <w:r>
              <w:rPr>
                <w:rFonts w:ascii="Arial" w:cs="Arial" w:eastAsia="Arial" w:hAnsi="Arial"/>
                <w:sz w:val="18"/>
                <w:szCs w:val="18"/>
                <w:b w:val="1"/>
                <w:bCs w:val="1"/>
                <w:color w:val="auto"/>
              </w:rPr>
              <w:t>PART I - FINANCIAL INFORMATION</w:t>
            </w:r>
          </w:p>
        </w:tc>
        <w:tc>
          <w:tcPr>
            <w:tcW w:w="1960" w:type="dxa"/>
            <w:vAlign w:val="bottom"/>
          </w:tcPr>
          <w:p>
            <w:pPr>
              <w:spacing w:after="0"/>
              <w:rPr>
                <w:sz w:val="19"/>
                <w:szCs w:val="19"/>
                <w:color w:val="auto"/>
              </w:rPr>
            </w:pPr>
          </w:p>
        </w:tc>
      </w:tr>
      <w:tr>
        <w:trPr>
          <w:trHeight w:val="371"/>
        </w:trPr>
        <w:tc>
          <w:tcPr>
            <w:tcW w:w="9380" w:type="dxa"/>
            <w:vAlign w:val="bottom"/>
            <w:gridSpan w:val="8"/>
          </w:tcPr>
          <w:p>
            <w:pPr>
              <w:spacing w:after="0"/>
              <w:rPr>
                <w:sz w:val="20"/>
                <w:szCs w:val="20"/>
                <w:color w:val="auto"/>
              </w:rPr>
            </w:pPr>
            <w:r>
              <w:rPr>
                <w:rFonts w:ascii="Arial" w:cs="Arial" w:eastAsia="Arial" w:hAnsi="Arial"/>
                <w:sz w:val="18"/>
                <w:szCs w:val="18"/>
                <w:b w:val="1"/>
                <w:bCs w:val="1"/>
                <w:color w:val="auto"/>
              </w:rPr>
              <w:t>ITEM 1. FINANCIAL STATEMENTS</w:t>
            </w:r>
          </w:p>
        </w:tc>
        <w:tc>
          <w:tcPr>
            <w:tcW w:w="1960" w:type="dxa"/>
            <w:vAlign w:val="bottom"/>
          </w:tcPr>
          <w:p>
            <w:pPr>
              <w:spacing w:after="0"/>
              <w:rPr>
                <w:sz w:val="24"/>
                <w:szCs w:val="24"/>
                <w:color w:val="auto"/>
              </w:rPr>
            </w:pPr>
          </w:p>
        </w:tc>
      </w:tr>
      <w:tr>
        <w:trPr>
          <w:trHeight w:val="769"/>
        </w:trPr>
        <w:tc>
          <w:tcPr>
            <w:tcW w:w="8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20" w:type="dxa"/>
            <w:vAlign w:val="bottom"/>
            <w:gridSpan w:val="4"/>
          </w:tcPr>
          <w:p>
            <w:pPr>
              <w:jc w:val="center"/>
              <w:ind w:right="1880"/>
              <w:spacing w:after="0"/>
              <w:rPr>
                <w:sz w:val="20"/>
                <w:szCs w:val="20"/>
                <w:color w:val="auto"/>
              </w:rPr>
            </w:pPr>
            <w:r>
              <w:rPr>
                <w:rFonts w:ascii="Arial" w:cs="Arial" w:eastAsia="Arial" w:hAnsi="Arial"/>
                <w:sz w:val="18"/>
                <w:szCs w:val="18"/>
                <w:b w:val="1"/>
                <w:bCs w:val="1"/>
                <w:color w:val="auto"/>
                <w:w w:val="99"/>
              </w:rPr>
              <w:t>INDEX TO FINANCIAL STATEMENTS</w:t>
            </w:r>
          </w:p>
        </w:tc>
        <w:tc>
          <w:tcPr>
            <w:tcW w:w="1960" w:type="dxa"/>
            <w:vAlign w:val="bottom"/>
          </w:tcPr>
          <w:p>
            <w:pPr>
              <w:spacing w:after="0"/>
              <w:rPr>
                <w:sz w:val="24"/>
                <w:szCs w:val="24"/>
                <w:color w:val="auto"/>
              </w:rPr>
            </w:pPr>
          </w:p>
        </w:tc>
      </w:tr>
      <w:tr>
        <w:trPr>
          <w:trHeight w:val="676"/>
        </w:trPr>
        <w:tc>
          <w:tcPr>
            <w:tcW w:w="9380" w:type="dxa"/>
            <w:vAlign w:val="bottom"/>
            <w:gridSpan w:val="8"/>
          </w:tcPr>
          <w:p>
            <w:pPr>
              <w:ind w:left="380"/>
              <w:spacing w:after="0"/>
              <w:rPr>
                <w:sz w:val="20"/>
                <w:szCs w:val="20"/>
                <w:color w:val="auto"/>
              </w:rPr>
            </w:pPr>
            <w:r>
              <w:rPr>
                <w:rFonts w:ascii="Arial" w:cs="Arial" w:eastAsia="Arial" w:hAnsi="Arial"/>
                <w:sz w:val="18"/>
                <w:szCs w:val="18"/>
                <w:b w:val="1"/>
                <w:bCs w:val="1"/>
                <w:color w:val="auto"/>
              </w:rPr>
              <w:t>Unaudited Consolidated Financial Statements of ZoomInfo Technologies Inc. and Subsidiaries</w:t>
            </w:r>
          </w:p>
        </w:tc>
        <w:tc>
          <w:tcPr>
            <w:tcW w:w="1960" w:type="dxa"/>
            <w:vAlign w:val="bottom"/>
          </w:tcPr>
          <w:p>
            <w:pPr>
              <w:spacing w:after="0"/>
              <w:rPr>
                <w:sz w:val="24"/>
                <w:szCs w:val="24"/>
                <w:color w:val="auto"/>
              </w:rPr>
            </w:pPr>
          </w:p>
        </w:tc>
      </w:tr>
      <w:tr>
        <w:trPr>
          <w:trHeight w:val="491"/>
        </w:trPr>
        <w:tc>
          <w:tcPr>
            <w:tcW w:w="880" w:type="dxa"/>
            <w:vAlign w:val="bottom"/>
          </w:tcPr>
          <w:p>
            <w:pPr>
              <w:spacing w:after="0"/>
              <w:rPr>
                <w:sz w:val="24"/>
                <w:szCs w:val="24"/>
                <w:color w:val="auto"/>
              </w:rPr>
            </w:pPr>
          </w:p>
        </w:tc>
        <w:tc>
          <w:tcPr>
            <w:tcW w:w="2880" w:type="dxa"/>
            <w:vAlign w:val="bottom"/>
            <w:tcBorders>
              <w:bottom w:val="single" w:sz="8" w:color="0000FF"/>
            </w:tcBorders>
            <w:gridSpan w:val="3"/>
          </w:tcPr>
          <w:p>
            <w:pPr>
              <w:spacing w:after="0"/>
              <w:rPr>
                <w:rFonts w:ascii="Arial" w:cs="Arial" w:eastAsia="Arial" w:hAnsi="Arial"/>
                <w:sz w:val="18"/>
                <w:szCs w:val="18"/>
                <w:color w:val="0000FF"/>
                <w:w w:val="85"/>
              </w:rPr>
            </w:pPr>
            <w:hyperlink w:anchor="page8">
              <w:r>
                <w:rPr>
                  <w:rFonts w:ascii="Arial" w:cs="Arial" w:eastAsia="Arial" w:hAnsi="Arial"/>
                  <w:sz w:val="18"/>
                  <w:szCs w:val="18"/>
                  <w:color w:val="0000FF"/>
                  <w:w w:val="85"/>
                </w:rPr>
                <w:t>Condensed Consolidated Balance Sheets</w:t>
              </w:r>
            </w:hyperlink>
          </w:p>
        </w:tc>
        <w:tc>
          <w:tcPr>
            <w:tcW w:w="5620" w:type="dxa"/>
            <w:vAlign w:val="bottom"/>
            <w:gridSpan w:val="4"/>
          </w:tcPr>
          <w:p>
            <w:pPr>
              <w:spacing w:after="0"/>
              <w:rPr>
                <w:sz w:val="24"/>
                <w:szCs w:val="24"/>
                <w:color w:val="auto"/>
              </w:rPr>
            </w:pPr>
          </w:p>
        </w:tc>
        <w:tc>
          <w:tcPr>
            <w:tcW w:w="19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2</w:t>
              </w:r>
            </w:hyperlink>
          </w:p>
        </w:tc>
      </w:tr>
      <w:tr>
        <w:trPr>
          <w:trHeight w:val="245"/>
        </w:trPr>
        <w:tc>
          <w:tcPr>
            <w:tcW w:w="880" w:type="dxa"/>
            <w:vAlign w:val="bottom"/>
          </w:tcPr>
          <w:p>
            <w:pPr>
              <w:spacing w:after="0"/>
              <w:rPr>
                <w:sz w:val="21"/>
                <w:szCs w:val="21"/>
                <w:color w:val="auto"/>
              </w:rPr>
            </w:pPr>
          </w:p>
        </w:tc>
        <w:tc>
          <w:tcPr>
            <w:tcW w:w="2760" w:type="dxa"/>
            <w:vAlign w:val="bottom"/>
            <w:tcBorders>
              <w:bottom w:val="single" w:sz="8" w:color="0000FF"/>
            </w:tcBorders>
          </w:tcPr>
          <w:p>
            <w:pPr>
              <w:spacing w:after="0"/>
              <w:rPr>
                <w:rFonts w:ascii="Arial" w:cs="Arial" w:eastAsia="Arial" w:hAnsi="Arial"/>
                <w:sz w:val="18"/>
                <w:szCs w:val="18"/>
                <w:color w:val="0000FF"/>
                <w:w w:val="87"/>
              </w:rPr>
            </w:pPr>
            <w:hyperlink w:anchor="page8">
              <w:r>
                <w:rPr>
                  <w:rFonts w:ascii="Arial" w:cs="Arial" w:eastAsia="Arial" w:hAnsi="Arial"/>
                  <w:sz w:val="18"/>
                  <w:szCs w:val="18"/>
                  <w:color w:val="0000FF"/>
                  <w:w w:val="87"/>
                </w:rPr>
                <w:t>Consolidated Statements of Operations</w:t>
              </w:r>
            </w:hyperlink>
          </w:p>
        </w:tc>
        <w:tc>
          <w:tcPr>
            <w:tcW w:w="5740" w:type="dxa"/>
            <w:vAlign w:val="bottom"/>
            <w:gridSpan w:val="6"/>
          </w:tcPr>
          <w:p>
            <w:pPr>
              <w:spacing w:after="0"/>
              <w:rPr>
                <w:sz w:val="21"/>
                <w:szCs w:val="21"/>
                <w:color w:val="auto"/>
              </w:rPr>
            </w:pPr>
          </w:p>
        </w:tc>
        <w:tc>
          <w:tcPr>
            <w:tcW w:w="19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3</w:t>
              </w:r>
            </w:hyperlink>
          </w:p>
        </w:tc>
      </w:tr>
      <w:tr>
        <w:trPr>
          <w:trHeight w:val="245"/>
        </w:trPr>
        <w:tc>
          <w:tcPr>
            <w:tcW w:w="880" w:type="dxa"/>
            <w:vAlign w:val="bottom"/>
          </w:tcPr>
          <w:p>
            <w:pPr>
              <w:spacing w:after="0"/>
              <w:rPr>
                <w:sz w:val="21"/>
                <w:szCs w:val="21"/>
                <w:color w:val="auto"/>
              </w:rPr>
            </w:pPr>
          </w:p>
        </w:tc>
        <w:tc>
          <w:tcPr>
            <w:tcW w:w="416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9">
              <w:r>
                <w:rPr>
                  <w:rFonts w:ascii="Arial" w:cs="Arial" w:eastAsia="Arial" w:hAnsi="Arial"/>
                  <w:sz w:val="18"/>
                  <w:szCs w:val="18"/>
                  <w:color w:val="0000FF"/>
                  <w:w w:val="87"/>
                </w:rPr>
                <w:t>Consolidated Statements of Comprehensive Income (Loss)</w:t>
              </w:r>
            </w:hyperlink>
          </w:p>
        </w:tc>
        <w:tc>
          <w:tcPr>
            <w:tcW w:w="4340" w:type="dxa"/>
            <w:vAlign w:val="bottom"/>
          </w:tcPr>
          <w:p>
            <w:pPr>
              <w:spacing w:after="0"/>
              <w:rPr>
                <w:sz w:val="21"/>
                <w:szCs w:val="21"/>
                <w:color w:val="auto"/>
              </w:rPr>
            </w:pPr>
          </w:p>
        </w:tc>
        <w:tc>
          <w:tcPr>
            <w:tcW w:w="196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4</w:t>
              </w:r>
            </w:hyperlink>
          </w:p>
        </w:tc>
      </w:tr>
      <w:tr>
        <w:trPr>
          <w:trHeight w:val="245"/>
        </w:trPr>
        <w:tc>
          <w:tcPr>
            <w:tcW w:w="880" w:type="dxa"/>
            <w:vAlign w:val="bottom"/>
          </w:tcPr>
          <w:p>
            <w:pPr>
              <w:spacing w:after="0"/>
              <w:rPr>
                <w:sz w:val="21"/>
                <w:szCs w:val="21"/>
                <w:color w:val="auto"/>
              </w:rPr>
            </w:pPr>
          </w:p>
        </w:tc>
        <w:tc>
          <w:tcPr>
            <w:tcW w:w="394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Consolidated Statements of Changes in Equity (Deficit)</w:t>
              </w:r>
            </w:hyperlink>
          </w:p>
        </w:tc>
        <w:tc>
          <w:tcPr>
            <w:tcW w:w="4560" w:type="dxa"/>
            <w:vAlign w:val="bottom"/>
            <w:gridSpan w:val="2"/>
          </w:tcPr>
          <w:p>
            <w:pPr>
              <w:spacing w:after="0"/>
              <w:rPr>
                <w:sz w:val="21"/>
                <w:szCs w:val="21"/>
                <w:color w:val="auto"/>
              </w:rPr>
            </w:pPr>
          </w:p>
        </w:tc>
        <w:tc>
          <w:tcPr>
            <w:tcW w:w="1960" w:type="dxa"/>
            <w:vAlign w:val="bottom"/>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5</w:t>
              </w:r>
            </w:hyperlink>
          </w:p>
        </w:tc>
      </w:tr>
      <w:tr>
        <w:trPr>
          <w:trHeight w:val="245"/>
        </w:trPr>
        <w:tc>
          <w:tcPr>
            <w:tcW w:w="880" w:type="dxa"/>
            <w:vAlign w:val="bottom"/>
          </w:tcPr>
          <w:p>
            <w:pPr>
              <w:spacing w:after="0"/>
              <w:rPr>
                <w:sz w:val="21"/>
                <w:szCs w:val="21"/>
                <w:color w:val="auto"/>
              </w:rPr>
            </w:pPr>
          </w:p>
        </w:tc>
        <w:tc>
          <w:tcPr>
            <w:tcW w:w="8500" w:type="dxa"/>
            <w:vAlign w:val="bottom"/>
            <w:gridSpan w:val="7"/>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Consolidated Statements of Cash Flows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7</w:t>
              </w:r>
            </w:hyperlink>
          </w:p>
        </w:tc>
      </w:tr>
      <w:tr>
        <w:trPr>
          <w:trHeight w:val="20"/>
        </w:trPr>
        <w:tc>
          <w:tcPr>
            <w:tcW w:w="88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45"/>
        </w:trPr>
        <w:tc>
          <w:tcPr>
            <w:tcW w:w="880" w:type="dxa"/>
            <w:vAlign w:val="bottom"/>
          </w:tcPr>
          <w:p>
            <w:pPr>
              <w:spacing w:after="0"/>
              <w:rPr>
                <w:sz w:val="21"/>
                <w:szCs w:val="21"/>
                <w:color w:val="auto"/>
              </w:rPr>
            </w:pPr>
          </w:p>
        </w:tc>
        <w:tc>
          <w:tcPr>
            <w:tcW w:w="8500" w:type="dxa"/>
            <w:vAlign w:val="bottom"/>
            <w:gridSpan w:val="7"/>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Notes to the Consolidated Financial Statements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9</w:t>
              </w:r>
            </w:hyperlink>
          </w:p>
        </w:tc>
      </w:tr>
      <w:tr>
        <w:trPr>
          <w:trHeight w:val="20"/>
        </w:trPr>
        <w:tc>
          <w:tcPr>
            <w:tcW w:w="88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20" w:type="dxa"/>
            <w:vAlign w:val="bottom"/>
          </w:tcPr>
          <w:p>
            <w:pPr>
              <w:spacing w:after="0"/>
              <w:rPr>
                <w:sz w:val="15"/>
                <w:szCs w:val="15"/>
                <w:color w:val="auto"/>
              </w:rPr>
            </w:pPr>
          </w:p>
        </w:tc>
        <w:tc>
          <w:tcPr>
            <w:tcW w:w="3840" w:type="dxa"/>
            <w:vAlign w:val="bottom"/>
            <w:gridSpan w:val="2"/>
          </w:tcPr>
          <w:p>
            <w:pPr>
              <w:jc w:val="right"/>
              <w:ind w:right="1760"/>
              <w:spacing w:after="0"/>
              <w:rPr>
                <w:sz w:val="20"/>
                <w:szCs w:val="20"/>
                <w:color w:val="auto"/>
              </w:rPr>
            </w:pPr>
            <w:r>
              <w:rPr>
                <w:rFonts w:ascii="Arial" w:cs="Arial" w:eastAsia="Arial" w:hAnsi="Arial"/>
                <w:sz w:val="14"/>
                <w:szCs w:val="14"/>
                <w:i w:val="1"/>
                <w:iCs w:val="1"/>
                <w:color w:val="auto"/>
              </w:rPr>
              <w:t>(in millions, except share data)</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4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24"/>
                <w:szCs w:val="24"/>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7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20"/>
                <w:szCs w:val="20"/>
                <w:color w:val="auto"/>
              </w:rPr>
            </w:pPr>
          </w:p>
        </w:tc>
        <w:tc>
          <w:tcPr>
            <w:tcW w:w="132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37"/>
        </w:trPr>
        <w:tc>
          <w:tcPr>
            <w:tcW w:w="442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37"/>
        </w:trPr>
        <w:tc>
          <w:tcPr>
            <w:tcW w:w="44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3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1"/>
        </w:trPr>
        <w:tc>
          <w:tcPr>
            <w:tcW w:w="442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8"/>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42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Restricted cash, non-current</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8"/>
        </w:trPr>
        <w:tc>
          <w:tcPr>
            <w:tcW w:w="4420" w:type="dxa"/>
            <w:vAlign w:val="bottom"/>
          </w:tcPr>
          <w:p>
            <w:pPr>
              <w:ind w:left="240"/>
              <w:spacing w:after="0"/>
              <w:rPr>
                <w:sz w:val="20"/>
                <w:szCs w:val="20"/>
                <w:color w:val="auto"/>
              </w:rPr>
            </w:pPr>
            <w:r>
              <w:rPr>
                <w:rFonts w:ascii="Arial" w:cs="Arial" w:eastAsia="Arial" w:hAnsi="Arial"/>
                <w:sz w:val="18"/>
                <w:szCs w:val="18"/>
                <w:color w:val="auto"/>
              </w:rPr>
              <w:t>Operating lease right-of-use assets, net</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37"/>
        </w:trPr>
        <w:tc>
          <w:tcPr>
            <w:tcW w:w="44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4,116.0</w:t>
            </w:r>
          </w:p>
        </w:tc>
        <w:tc>
          <w:tcPr>
            <w:tcW w:w="0" w:type="dxa"/>
            <w:vAlign w:val="bottom"/>
          </w:tcPr>
          <w:p>
            <w:pPr>
              <w:spacing w:after="0"/>
              <w:rPr>
                <w:sz w:val="1"/>
                <w:szCs w:val="1"/>
                <w:color w:val="auto"/>
              </w:rPr>
            </w:pPr>
          </w:p>
        </w:tc>
      </w:tr>
      <w:tr>
        <w:trPr>
          <w:trHeight w:val="237"/>
        </w:trPr>
        <w:tc>
          <w:tcPr>
            <w:tcW w:w="4420" w:type="dxa"/>
            <w:vAlign w:val="bottom"/>
          </w:tcPr>
          <w:p>
            <w:pPr>
              <w:ind w:left="220"/>
              <w:spacing w:after="0"/>
              <w:rPr>
                <w:sz w:val="20"/>
                <w:szCs w:val="20"/>
                <w:color w:val="auto"/>
              </w:rPr>
            </w:pPr>
            <w:r>
              <w:rPr>
                <w:rFonts w:ascii="Arial" w:cs="Arial" w:eastAsia="Arial" w:hAnsi="Arial"/>
                <w:sz w:val="18"/>
                <w:szCs w:val="18"/>
                <w:color w:val="auto"/>
                <w:w w:val="96"/>
              </w:rPr>
              <w:t>Deferred costs and other assets, net of current portion</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8"/>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4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assets</w:t>
            </w:r>
          </w:p>
        </w:tc>
        <w:tc>
          <w:tcPr>
            <w:tcW w:w="3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4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Permanent Equity</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Unearned revenue, current portion</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tax receivable agreements liability</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8"/>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126"/>
        </w:trPr>
        <w:tc>
          <w:tcPr>
            <w:tcW w:w="44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Unearned revenue, net of current portion</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w w:val="96"/>
              </w:rPr>
              <w:t>Tax receivable agreements liability, net of current portion</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3,046.8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3,046.0</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8"/>
        </w:trPr>
        <w:tc>
          <w:tcPr>
            <w:tcW w:w="44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3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4,855.0</w:t>
            </w:r>
          </w:p>
        </w:tc>
        <w:tc>
          <w:tcPr>
            <w:tcW w:w="0" w:type="dxa"/>
            <w:vAlign w:val="bottom"/>
          </w:tcPr>
          <w:p>
            <w:pPr>
              <w:spacing w:after="0"/>
              <w:rPr>
                <w:sz w:val="1"/>
                <w:szCs w:val="1"/>
                <w:color w:val="auto"/>
              </w:rPr>
            </w:pPr>
          </w:p>
        </w:tc>
      </w:tr>
      <w:tr>
        <w:trPr>
          <w:trHeight w:val="139"/>
        </w:trPr>
        <w:tc>
          <w:tcPr>
            <w:tcW w:w="44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Equity:</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Class A common stock, par value $0.01</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1,871.6</w:t>
            </w:r>
          </w:p>
        </w:tc>
        <w:tc>
          <w:tcPr>
            <w:tcW w:w="0" w:type="dxa"/>
            <w:vAlign w:val="bottom"/>
          </w:tcPr>
          <w:p>
            <w:pPr>
              <w:spacing w:after="0"/>
              <w:rPr>
                <w:sz w:val="1"/>
                <w:szCs w:val="1"/>
                <w:color w:val="auto"/>
              </w:rPr>
            </w:pPr>
          </w:p>
        </w:tc>
      </w:tr>
      <w:tr>
        <w:trPr>
          <w:trHeight w:val="238"/>
        </w:trPr>
        <w:tc>
          <w:tcPr>
            <w:tcW w:w="44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31"/>
        </w:trPr>
        <w:tc>
          <w:tcPr>
            <w:tcW w:w="442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3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1,997.9</w:t>
            </w:r>
          </w:p>
        </w:tc>
        <w:tc>
          <w:tcPr>
            <w:tcW w:w="0" w:type="dxa"/>
            <w:vAlign w:val="bottom"/>
          </w:tcPr>
          <w:p>
            <w:pPr>
              <w:spacing w:after="0"/>
              <w:rPr>
                <w:sz w:val="1"/>
                <w:szCs w:val="1"/>
                <w:color w:val="auto"/>
              </w:rPr>
            </w:pPr>
          </w:p>
        </w:tc>
      </w:tr>
      <w:tr>
        <w:trPr>
          <w:trHeight w:val="28"/>
        </w:trPr>
        <w:tc>
          <w:tcPr>
            <w:tcW w:w="44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442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420" w:type="dxa"/>
            <w:vAlign w:val="bottom"/>
          </w:tcPr>
          <w:p>
            <w:pPr>
              <w:ind w:left="460"/>
              <w:spacing w:after="0"/>
              <w:rPr>
                <w:sz w:val="20"/>
                <w:szCs w:val="20"/>
                <w:color w:val="auto"/>
              </w:rPr>
            </w:pPr>
            <w:r>
              <w:rPr>
                <w:rFonts w:ascii="Arial" w:cs="Arial" w:eastAsia="Arial" w:hAnsi="Arial"/>
                <w:sz w:val="18"/>
                <w:szCs w:val="18"/>
                <w:color w:val="auto"/>
              </w:rPr>
              <w:t>Total liabilities and permanent equity</w:t>
            </w:r>
          </w:p>
        </w:tc>
        <w:tc>
          <w:tcPr>
            <w:tcW w:w="3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6,924.2</w:t>
            </w:r>
          </w:p>
        </w:tc>
        <w:tc>
          <w:tcPr>
            <w:tcW w:w="120" w:type="dxa"/>
            <w:vAlign w:val="bottom"/>
          </w:tcPr>
          <w:p>
            <w:pPr>
              <w:spacing w:after="0"/>
              <w:rPr>
                <w:sz w:val="22"/>
                <w:szCs w:val="22"/>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6,852.9</w:t>
            </w: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3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4420" w:type="dxa"/>
            <w:vAlign w:val="bottom"/>
            <w:vMerge w:val="continue"/>
          </w:tcPr>
          <w:p>
            <w:pPr>
              <w:spacing w:after="0"/>
              <w:rPr>
                <w:sz w:val="24"/>
                <w:szCs w:val="24"/>
                <w:color w:val="auto"/>
              </w:rPr>
            </w:pP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firstLine="6"/>
        <w:spacing w:after="0" w:line="247" w:lineRule="auto"/>
        <w:tabs>
          <w:tab w:leader="none" w:pos="205"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Condensed Consolidated Balance Sheet as of December 31, 2021 has been derived from the audited consolidated financial statements at that date but does not include all of the information and footnotes required by generally accepted accounting principles for complete financial statements.</w:t>
      </w:r>
    </w:p>
    <w:p>
      <w:pPr>
        <w:sectPr>
          <w:pgSz w:w="11900" w:h="16838" w:orient="portrait"/>
          <w:cols w:equalWidth="0" w:num="1">
            <w:col w:w="11240"/>
          </w:cols>
          <w:pgMar w:left="320" w:top="121" w:right="339" w:bottom="1039" w:gutter="0" w:footer="0" w:header="0"/>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039"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7800" w:type="dxa"/>
            <w:vAlign w:val="bottom"/>
          </w:tcPr>
          <w:p>
            <w:pPr>
              <w:ind w:left="4020"/>
              <w:spacing w:after="0"/>
              <w:rPr>
                <w:sz w:val="20"/>
                <w:szCs w:val="20"/>
                <w:color w:val="auto"/>
              </w:rPr>
            </w:pPr>
            <w:r>
              <w:rPr>
                <w:rFonts w:ascii="Arial" w:cs="Arial" w:eastAsia="Arial" w:hAnsi="Arial"/>
                <w:sz w:val="14"/>
                <w:szCs w:val="14"/>
                <w:i w:val="1"/>
                <w:iCs w:val="1"/>
                <w:color w:val="auto"/>
              </w:rPr>
              <w:t>(in millions, except per share amounts; unaudited)</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65"/>
        </w:trPr>
        <w:tc>
          <w:tcPr>
            <w:tcW w:w="7800" w:type="dxa"/>
            <w:vAlign w:val="bottom"/>
          </w:tcPr>
          <w:p>
            <w:pPr>
              <w:spacing w:after="0"/>
              <w:rPr>
                <w:sz w:val="23"/>
                <w:szCs w:val="23"/>
                <w:color w:val="auto"/>
              </w:rPr>
            </w:pPr>
          </w:p>
        </w:tc>
        <w:tc>
          <w:tcPr>
            <w:tcW w:w="2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23"/>
                <w:szCs w:val="23"/>
                <w:color w:val="auto"/>
              </w:rPr>
            </w:pPr>
          </w:p>
        </w:tc>
      </w:tr>
      <w:tr>
        <w:trPr>
          <w:trHeight w:val="24"/>
        </w:trPr>
        <w:tc>
          <w:tcPr>
            <w:tcW w:w="78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1"/>
        </w:trPr>
        <w:tc>
          <w:tcPr>
            <w:tcW w:w="78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r>
      <w:tr>
        <w:trPr>
          <w:trHeight w:val="24"/>
        </w:trPr>
        <w:tc>
          <w:tcPr>
            <w:tcW w:w="78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39"/>
        </w:trPr>
        <w:tc>
          <w:tcPr>
            <w:tcW w:w="7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4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153.3</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Cost of service:</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8"/>
        </w:trPr>
        <w:tc>
          <w:tcPr>
            <w:tcW w:w="7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5"/>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7"/>
        </w:trPr>
        <w:tc>
          <w:tcPr>
            <w:tcW w:w="7800" w:type="dxa"/>
            <w:vAlign w:val="bottom"/>
          </w:tcPr>
          <w:p>
            <w:pPr>
              <w:ind w:left="220"/>
              <w:spacing w:after="0"/>
              <w:rPr>
                <w:sz w:val="20"/>
                <w:szCs w:val="20"/>
                <w:color w:val="auto"/>
              </w:rPr>
            </w:pPr>
            <w:r>
              <w:rPr>
                <w:rFonts w:ascii="Arial" w:cs="Arial" w:eastAsia="Arial" w:hAnsi="Arial"/>
                <w:sz w:val="18"/>
                <w:szCs w:val="18"/>
                <w:color w:val="auto"/>
              </w:rPr>
              <w:t>Amortization of acquired technology</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8"/>
        </w:trPr>
        <w:tc>
          <w:tcPr>
            <w:tcW w:w="78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197.7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125.2</w:t>
            </w:r>
          </w:p>
        </w:tc>
      </w:tr>
      <w:tr>
        <w:trPr>
          <w:trHeight w:val="238"/>
        </w:trPr>
        <w:tc>
          <w:tcPr>
            <w:tcW w:w="7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8"/>
        </w:trPr>
        <w:tc>
          <w:tcPr>
            <w:tcW w:w="7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5"/>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65"/>
        </w:trPr>
        <w:tc>
          <w:tcPr>
            <w:tcW w:w="7800" w:type="dxa"/>
            <w:vAlign w:val="bottom"/>
          </w:tcPr>
          <w:p>
            <w:pPr>
              <w:ind w:left="2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9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65"/>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8"/>
        </w:trPr>
        <w:tc>
          <w:tcPr>
            <w:tcW w:w="7800" w:type="dxa"/>
            <w:vAlign w:val="bottom"/>
          </w:tcPr>
          <w:p>
            <w:pPr>
              <w:ind w:left="220"/>
              <w:spacing w:after="0"/>
              <w:rPr>
                <w:sz w:val="20"/>
                <w:szCs w:val="20"/>
                <w:color w:val="auto"/>
              </w:rPr>
            </w:pPr>
            <w:r>
              <w:rPr>
                <w:rFonts w:ascii="Arial" w:cs="Arial" w:eastAsia="Arial" w:hAnsi="Arial"/>
                <w:sz w:val="18"/>
                <w:szCs w:val="18"/>
                <w:color w:val="auto"/>
              </w:rPr>
              <w:t>Amortization of other acquired intangibles</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8"/>
        </w:trPr>
        <w:tc>
          <w:tcPr>
            <w:tcW w:w="7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5"/>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Restructuring and transaction-related expenses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1"/>
        </w:trPr>
        <w:tc>
          <w:tcPr>
            <w:tcW w:w="780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165.3</w:t>
            </w: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w:t>
            </w:r>
          </w:p>
        </w:tc>
      </w:tr>
      <w:tr>
        <w:trPr>
          <w:trHeight w:val="28"/>
        </w:trPr>
        <w:tc>
          <w:tcPr>
            <w:tcW w:w="78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7"/>
        </w:trPr>
        <w:tc>
          <w:tcPr>
            <w:tcW w:w="780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8"/>
        </w:trPr>
        <w:tc>
          <w:tcPr>
            <w:tcW w:w="7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5"/>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debt modification and extinguishment</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8"/>
        </w:trPr>
        <w:tc>
          <w:tcPr>
            <w:tcW w:w="78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8"/>
        </w:trPr>
        <w:tc>
          <w:tcPr>
            <w:tcW w:w="78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8"/>
        </w:trPr>
        <w:tc>
          <w:tcPr>
            <w:tcW w:w="78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8"/>
        </w:trPr>
        <w:tc>
          <w:tcPr>
            <w:tcW w:w="78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8"/>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(loss)</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8"/>
        </w:trPr>
        <w:tc>
          <w:tcPr>
            <w:tcW w:w="7800" w:type="dxa"/>
            <w:vAlign w:val="bottom"/>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96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8"/>
        </w:trPr>
        <w:tc>
          <w:tcPr>
            <w:tcW w:w="78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83"/>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(loss) attributable to ZoomInfo Technologies Inc.</w:t>
            </w: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4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of Class A and Class C common stock:</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8"/>
        </w:trPr>
        <w:tc>
          <w:tcPr>
            <w:tcW w:w="780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8"/>
        </w:trPr>
        <w:tc>
          <w:tcPr>
            <w:tcW w:w="7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8"/>
        </w:trPr>
        <w:tc>
          <w:tcPr>
            <w:tcW w:w="78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8"/>
        </w:trPr>
        <w:tc>
          <w:tcPr>
            <w:tcW w:w="78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58"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2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840" w:type="dxa"/>
            <w:vAlign w:val="bottom"/>
          </w:tcPr>
          <w:p>
            <w:pPr>
              <w:spacing w:after="0"/>
              <w:rPr>
                <w:sz w:val="15"/>
                <w:szCs w:val="15"/>
                <w:color w:val="auto"/>
              </w:rPr>
            </w:pPr>
          </w:p>
        </w:tc>
        <w:tc>
          <w:tcPr>
            <w:tcW w:w="260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5"/>
                <w:szCs w:val="15"/>
                <w:color w:val="auto"/>
              </w:rPr>
            </w:pPr>
          </w:p>
        </w:tc>
      </w:tr>
      <w:tr>
        <w:trPr>
          <w:trHeight w:val="24"/>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1"/>
        </w:trPr>
        <w:tc>
          <w:tcPr>
            <w:tcW w:w="7840" w:type="dxa"/>
            <w:vAlign w:val="bottom"/>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5"/>
                <w:szCs w:val="15"/>
                <w:color w:val="auto"/>
              </w:rPr>
            </w:pPr>
          </w:p>
        </w:tc>
      </w:tr>
      <w:tr>
        <w:trPr>
          <w:trHeight w:val="24"/>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020" w:type="dxa"/>
            <w:vAlign w:val="bottom"/>
            <w:tcBorders>
              <w:bottom w:val="single" w:sz="8" w:color="CCEEFF"/>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8"/>
        </w:trPr>
        <w:tc>
          <w:tcPr>
            <w:tcW w:w="78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4"/>
        </w:trPr>
        <w:tc>
          <w:tcPr>
            <w:tcW w:w="7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92"/>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8"/>
        </w:trPr>
        <w:tc>
          <w:tcPr>
            <w:tcW w:w="78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4"/>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millions; 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5"/>
                <w:szCs w:val="15"/>
                <w:color w:val="auto"/>
              </w:rPr>
            </w:pPr>
          </w:p>
        </w:tc>
        <w:tc>
          <w:tcPr>
            <w:tcW w:w="2720" w:type="dxa"/>
            <w:vAlign w:val="bottom"/>
            <w:gridSpan w:val="4"/>
          </w:tcPr>
          <w:p>
            <w:pPr>
              <w:jc w:val="right"/>
              <w:ind w:right="3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5"/>
                <w:szCs w:val="15"/>
                <w:color w:val="auto"/>
              </w:rPr>
            </w:pPr>
          </w:p>
        </w:tc>
      </w:tr>
      <w:tr>
        <w:trPr>
          <w:trHeight w:val="24"/>
        </w:trPr>
        <w:tc>
          <w:tcPr>
            <w:tcW w:w="7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1"/>
        </w:trPr>
        <w:tc>
          <w:tcPr>
            <w:tcW w:w="79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r>
      <w:tr>
        <w:trPr>
          <w:trHeight w:val="24"/>
        </w:trPr>
        <w:tc>
          <w:tcPr>
            <w:tcW w:w="7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86"/>
        </w:trPr>
        <w:tc>
          <w:tcPr>
            <w:tcW w:w="79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245"/>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8"/>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8"/>
        </w:trPr>
        <w:tc>
          <w:tcPr>
            <w:tcW w:w="7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5"/>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8"/>
        </w:trPr>
        <w:tc>
          <w:tcPr>
            <w:tcW w:w="7940" w:type="dxa"/>
            <w:vAlign w:val="bottom"/>
          </w:tcPr>
          <w:p>
            <w:pPr>
              <w:ind w:left="220"/>
              <w:spacing w:after="0"/>
              <w:rPr>
                <w:sz w:val="20"/>
                <w:szCs w:val="20"/>
                <w:color w:val="auto"/>
              </w:rPr>
            </w:pPr>
            <w:r>
              <w:rPr>
                <w:rFonts w:ascii="Arial" w:cs="Arial" w:eastAsia="Arial" w:hAnsi="Arial"/>
                <w:sz w:val="18"/>
                <w:szCs w:val="18"/>
                <w:color w:val="auto"/>
              </w:rPr>
              <w:t>Realized loss on settlement of cash flow hedges</w:t>
            </w:r>
          </w:p>
        </w:tc>
        <w:tc>
          <w:tcPr>
            <w:tcW w:w="10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
        </w:trPr>
        <w:tc>
          <w:tcPr>
            <w:tcW w:w="79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8"/>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before tax</w:t>
            </w:r>
          </w:p>
        </w:tc>
        <w:tc>
          <w:tcPr>
            <w:tcW w:w="10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1"/>
        </w:trPr>
        <w:tc>
          <w:tcPr>
            <w:tcW w:w="7940" w:type="dxa"/>
            <w:vAlign w:val="bottom"/>
          </w:tcPr>
          <w:p>
            <w:pPr>
              <w:ind w:left="560"/>
              <w:spacing w:after="0"/>
              <w:rPr>
                <w:sz w:val="20"/>
                <w:szCs w:val="20"/>
                <w:color w:val="auto"/>
              </w:rPr>
            </w:pPr>
            <w:r>
              <w:rPr>
                <w:rFonts w:ascii="Arial" w:cs="Arial" w:eastAsia="Arial" w:hAnsi="Arial"/>
                <w:sz w:val="18"/>
                <w:szCs w:val="18"/>
                <w:color w:val="auto"/>
              </w:rPr>
              <w:t>Tax effect</w:t>
            </w: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8"/>
        </w:trPr>
        <w:tc>
          <w:tcPr>
            <w:tcW w:w="79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8"/>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comprehensive income (loss), net of tax</w:t>
            </w:r>
          </w:p>
        </w:tc>
        <w:tc>
          <w:tcPr>
            <w:tcW w:w="10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1"/>
        </w:trPr>
        <w:tc>
          <w:tcPr>
            <w:tcW w:w="7940" w:type="dxa"/>
            <w:vAlign w:val="bottom"/>
          </w:tcPr>
          <w:p>
            <w:pPr>
              <w:ind w:left="440"/>
              <w:spacing w:after="0"/>
              <w:rPr>
                <w:sz w:val="20"/>
                <w:szCs w:val="20"/>
                <w:color w:val="auto"/>
              </w:rPr>
            </w:pPr>
            <w:r>
              <w:rPr>
                <w:rFonts w:ascii="Arial" w:cs="Arial" w:eastAsia="Arial" w:hAnsi="Arial"/>
                <w:sz w:val="18"/>
                <w:szCs w:val="18"/>
                <w:color w:val="auto"/>
              </w:rPr>
              <w:t>Comprehensive income (loss)</w:t>
            </w: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8"/>
        </w:trPr>
        <w:tc>
          <w:tcPr>
            <w:tcW w:w="7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65"/>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58"/>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attributable to ZoomInfo Technologies Inc.</w:t>
            </w:r>
          </w:p>
        </w:tc>
        <w:tc>
          <w:tcPr>
            <w:tcW w:w="1080" w:type="dxa"/>
            <w:vAlign w:val="bottom"/>
            <w:tcBorders>
              <w:top w:val="single" w:sz="8" w:color="auto"/>
              <w:bottom w:val="single" w:sz="8" w:color="auto"/>
            </w:tcBorders>
          </w:tcPr>
          <w:p>
            <w:pPr>
              <w:jc w:val="right"/>
              <w:ind w:right="90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Changes in Equity (Deficit)</w:t>
      </w:r>
    </w:p>
    <w:p>
      <w:pPr>
        <w:spacing w:after="0" w:line="6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(in millions, except share data)</w:t>
      </w:r>
    </w:p>
    <w:p>
      <w:pPr>
        <w:spacing w:after="0" w:line="154"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080" w:type="dxa"/>
            <w:vAlign w:val="bottom"/>
          </w:tcPr>
          <w:p>
            <w:pPr>
              <w:spacing w:after="0"/>
              <w:rPr>
                <w:sz w:val="15"/>
                <w:szCs w:val="15"/>
                <w:color w:val="auto"/>
              </w:rPr>
            </w:pPr>
          </w:p>
        </w:tc>
        <w:tc>
          <w:tcPr>
            <w:tcW w:w="2360" w:type="dxa"/>
            <w:vAlign w:val="bottom"/>
            <w:gridSpan w:val="5"/>
          </w:tcPr>
          <w:p>
            <w:pPr>
              <w:ind w:left="200"/>
              <w:spacing w:after="0"/>
              <w:rPr>
                <w:sz w:val="20"/>
                <w:szCs w:val="20"/>
                <w:color w:val="auto"/>
              </w:rPr>
            </w:pPr>
            <w:r>
              <w:rPr>
                <w:rFonts w:ascii="Arial" w:cs="Arial" w:eastAsia="Arial" w:hAnsi="Arial"/>
                <w:sz w:val="14"/>
                <w:szCs w:val="14"/>
                <w:b w:val="1"/>
                <w:bCs w:val="1"/>
                <w:color w:val="auto"/>
              </w:rPr>
              <w:t>New ZoomInfo Common Stock</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Additional paid-</w:t>
            </w:r>
          </w:p>
        </w:tc>
        <w:tc>
          <w:tcPr>
            <w:tcW w:w="180" w:type="dxa"/>
            <w:vAlign w:val="bottom"/>
          </w:tcPr>
          <w:p>
            <w:pPr>
              <w:spacing w:after="0"/>
              <w:rPr>
                <w:sz w:val="2"/>
                <w:szCs w:val="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4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 capital</w:t>
            </w:r>
          </w:p>
        </w:tc>
        <w:tc>
          <w:tcPr>
            <w:tcW w:w="1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AOCI</w:t>
            </w:r>
          </w:p>
        </w:tc>
        <w:tc>
          <w:tcPr>
            <w:tcW w:w="12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24"/>
        </w:trPr>
        <w:tc>
          <w:tcPr>
            <w:tcW w:w="4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403,315,989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1,871.6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1,997.9</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Arial" w:cs="Arial" w:eastAsia="Arial" w:hAnsi="Arial"/>
                <w:sz w:val="14"/>
                <w:szCs w:val="14"/>
                <w:color w:val="auto"/>
              </w:rPr>
              <w:t>Issuance of Class A common stock upon vesting of RSUs</w:t>
            </w:r>
          </w:p>
        </w:tc>
        <w:tc>
          <w:tcPr>
            <w:tcW w:w="1100" w:type="dxa"/>
            <w:vAlign w:val="bottom"/>
          </w:tcPr>
          <w:p>
            <w:pPr>
              <w:jc w:val="right"/>
              <w:spacing w:after="0"/>
              <w:rPr>
                <w:sz w:val="20"/>
                <w:szCs w:val="20"/>
                <w:color w:val="auto"/>
              </w:rPr>
            </w:pPr>
            <w:r>
              <w:rPr>
                <w:rFonts w:ascii="Arial" w:cs="Arial" w:eastAsia="Arial" w:hAnsi="Arial"/>
                <w:sz w:val="14"/>
                <w:szCs w:val="14"/>
                <w:color w:val="auto"/>
              </w:rPr>
              <w:t>187,659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Shares withheld related to net share settlement and other</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(80,067)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4"/>
                <w:szCs w:val="14"/>
                <w:color w:val="auto"/>
              </w:rPr>
              <w:t>14,790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Forfeitures / cancellations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(43,210)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8"/>
        </w:trPr>
        <w:tc>
          <w:tcPr>
            <w:tcW w:w="408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4"/>
        </w:trPr>
        <w:tc>
          <w:tcPr>
            <w:tcW w:w="4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403,395,161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2,059.4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Changes in Equity (Deficit)</w:t>
      </w:r>
    </w:p>
    <w:p>
      <w:pPr>
        <w:spacing w:after="0" w:line="64"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(in millions, except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5"/>
          </w:tcPr>
          <w:p>
            <w:pPr>
              <w:ind w:left="200"/>
              <w:spacing w:after="0"/>
              <w:rPr>
                <w:sz w:val="20"/>
                <w:szCs w:val="20"/>
                <w:color w:val="auto"/>
              </w:rPr>
            </w:pPr>
            <w:r>
              <w:rPr>
                <w:rFonts w:ascii="Arial" w:cs="Arial" w:eastAsia="Arial" w:hAnsi="Arial"/>
                <w:sz w:val="14"/>
                <w:szCs w:val="14"/>
                <w:b w:val="1"/>
                <w:bCs w:val="1"/>
                <w:color w:val="auto"/>
              </w:rPr>
              <w:t>New ZoomInfo</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Old ZoomInfo</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spacing w:after="0"/>
              <w:rPr>
                <w:sz w:val="13"/>
                <w:szCs w:val="13"/>
                <w:color w:val="auto"/>
              </w:rPr>
            </w:pPr>
          </w:p>
        </w:tc>
        <w:tc>
          <w:tcPr>
            <w:tcW w:w="84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89"/>
              </w:rPr>
              <w:t>Class A</w:t>
            </w:r>
          </w:p>
        </w:tc>
        <w:tc>
          <w:tcPr>
            <w:tcW w:w="70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Class A</w:t>
            </w:r>
          </w:p>
        </w:tc>
        <w:tc>
          <w:tcPr>
            <w:tcW w:w="8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89"/>
              </w:rPr>
              <w:t>Class B</w:t>
            </w:r>
          </w:p>
        </w:tc>
        <w:tc>
          <w:tcPr>
            <w:tcW w:w="700" w:type="dxa"/>
            <w:vAlign w:val="bottom"/>
            <w:gridSpan w:val="3"/>
          </w:tcPr>
          <w:p>
            <w:pPr>
              <w:ind w:left="80"/>
              <w:spacing w:after="0" w:line="159" w:lineRule="exact"/>
              <w:rPr>
                <w:sz w:val="20"/>
                <w:szCs w:val="20"/>
                <w:color w:val="auto"/>
              </w:rPr>
            </w:pPr>
            <w:r>
              <w:rPr>
                <w:rFonts w:ascii="Arial" w:cs="Arial" w:eastAsia="Arial" w:hAnsi="Arial"/>
                <w:sz w:val="14"/>
                <w:szCs w:val="14"/>
                <w:b w:val="1"/>
                <w:bCs w:val="1"/>
                <w:color w:val="auto"/>
              </w:rPr>
              <w:t>Class B</w:t>
            </w:r>
          </w:p>
        </w:tc>
        <w:tc>
          <w:tcPr>
            <w:tcW w:w="78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89"/>
              </w:rPr>
              <w:t>Class C</w:t>
            </w:r>
          </w:p>
        </w:tc>
        <w:tc>
          <w:tcPr>
            <w:tcW w:w="720" w:type="dxa"/>
            <w:vAlign w:val="bottom"/>
            <w:tcBorders>
              <w:right w:val="single" w:sz="8" w:color="auto"/>
            </w:tcBorders>
            <w:gridSpan w:val="3"/>
          </w:tcPr>
          <w:p>
            <w:pPr>
              <w:ind w:left="80"/>
              <w:spacing w:after="0" w:line="159" w:lineRule="exact"/>
              <w:rPr>
                <w:sz w:val="20"/>
                <w:szCs w:val="20"/>
                <w:color w:val="auto"/>
              </w:rPr>
            </w:pPr>
            <w:r>
              <w:rPr>
                <w:rFonts w:ascii="Arial" w:cs="Arial" w:eastAsia="Arial" w:hAnsi="Arial"/>
                <w:sz w:val="14"/>
                <w:szCs w:val="14"/>
                <w:b w:val="1"/>
                <w:bCs w:val="1"/>
                <w:color w:val="auto"/>
              </w:rPr>
              <w:t>Class C</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paid-in</w:t>
            </w:r>
          </w:p>
        </w:tc>
        <w:tc>
          <w:tcPr>
            <w:tcW w:w="72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w w:val="98"/>
              </w:rPr>
              <w:t>Noncontrolling</w:t>
            </w:r>
          </w:p>
        </w:tc>
        <w:tc>
          <w:tcPr>
            <w:tcW w:w="100" w:type="dxa"/>
            <w:vAlign w:val="bottom"/>
          </w:tcPr>
          <w:p>
            <w:pPr>
              <w:spacing w:after="0"/>
              <w:rPr>
                <w:sz w:val="13"/>
                <w:szCs w:val="13"/>
                <w:color w:val="auto"/>
              </w:rPr>
            </w:pPr>
          </w:p>
        </w:tc>
        <w:tc>
          <w:tcPr>
            <w:tcW w:w="500" w:type="dxa"/>
            <w:vAlign w:val="bottom"/>
          </w:tcPr>
          <w:p>
            <w:pPr>
              <w:jc w:val="right"/>
              <w:ind w:right="69"/>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42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5"/>
                <w:szCs w:val="15"/>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4"/>
        </w:trPr>
        <w:tc>
          <w:tcPr>
            <w:tcW w:w="14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Balance, December</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31, 2020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87,697,381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216,652,704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4"/>
              </w:rPr>
              <w:t>86,123,230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939.6</w:t>
            </w:r>
          </w:p>
        </w:tc>
        <w:tc>
          <w:tcPr>
            <w:tcW w:w="0" w:type="dxa"/>
            <w:vAlign w:val="bottom"/>
          </w:tcPr>
          <w:p>
            <w:pPr>
              <w:spacing w:after="0"/>
              <w:rPr>
                <w:sz w:val="1"/>
                <w:szCs w:val="1"/>
                <w:color w:val="auto"/>
              </w:rPr>
            </w:pPr>
          </w:p>
        </w:tc>
      </w:tr>
      <w:tr>
        <w:trPr>
          <w:trHeight w:val="167"/>
        </w:trPr>
        <w:tc>
          <w:tcPr>
            <w:tcW w:w="1420" w:type="dxa"/>
            <w:vAlign w:val="bottom"/>
          </w:tcPr>
          <w:p>
            <w:pPr>
              <w:ind w:left="20"/>
              <w:spacing w:after="0"/>
              <w:rPr>
                <w:sz w:val="20"/>
                <w:szCs w:val="20"/>
                <w:color w:val="auto"/>
              </w:rPr>
            </w:pPr>
            <w:r>
              <w:rPr>
                <w:rFonts w:ascii="Arial" w:cs="Arial" w:eastAsia="Arial" w:hAnsi="Arial"/>
                <w:sz w:val="14"/>
                <w:szCs w:val="14"/>
                <w:color w:val="auto"/>
              </w:rPr>
              <w:t>Effect of LLC Unit</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20" w:type="dxa"/>
            <w:vAlign w:val="bottom"/>
          </w:tcPr>
          <w:p>
            <w:pPr>
              <w:ind w:left="20"/>
              <w:spacing w:after="0"/>
              <w:rPr>
                <w:sz w:val="20"/>
                <w:szCs w:val="20"/>
                <w:color w:val="auto"/>
              </w:rPr>
            </w:pPr>
            <w:r>
              <w:rPr>
                <w:rFonts w:ascii="Arial" w:cs="Arial" w:eastAsia="Arial" w:hAnsi="Arial"/>
                <w:sz w:val="14"/>
                <w:szCs w:val="14"/>
                <w:color w:val="auto"/>
              </w:rPr>
              <w:t>Exchanges</w:t>
            </w:r>
          </w:p>
        </w:tc>
        <w:tc>
          <w:tcPr>
            <w:tcW w:w="760" w:type="dxa"/>
            <w:vAlign w:val="bottom"/>
          </w:tcPr>
          <w:p>
            <w:pPr>
              <w:jc w:val="right"/>
              <w:spacing w:after="0"/>
              <w:rPr>
                <w:sz w:val="20"/>
                <w:szCs w:val="20"/>
                <w:color w:val="auto"/>
              </w:rPr>
            </w:pPr>
            <w:r>
              <w:rPr>
                <w:rFonts w:ascii="Arial" w:cs="Arial" w:eastAsia="Arial" w:hAnsi="Arial"/>
                <w:sz w:val="14"/>
                <w:szCs w:val="14"/>
                <w:color w:val="auto"/>
                <w:w w:val="96"/>
              </w:rPr>
              <w:t>14,500,582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(9,776,683)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7"/>
              </w:rPr>
              <w:t>(0.1)</w:t>
            </w:r>
          </w:p>
        </w:tc>
        <w:tc>
          <w:tcPr>
            <w:tcW w:w="8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w w:val="92"/>
              </w:rPr>
              <w:t>(3,869,894)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Class A</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common stock upon</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RSUs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20,439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420" w:type="dxa"/>
            <w:vAlign w:val="bottom"/>
          </w:tcPr>
          <w:p>
            <w:pPr>
              <w:ind w:left="20"/>
              <w:spacing w:after="0"/>
              <w:rPr>
                <w:sz w:val="20"/>
                <w:szCs w:val="20"/>
                <w:color w:val="auto"/>
              </w:rPr>
            </w:pPr>
            <w:r>
              <w:rPr>
                <w:rFonts w:ascii="Arial" w:cs="Arial" w:eastAsia="Arial" w:hAnsi="Arial"/>
                <w:sz w:val="14"/>
                <w:szCs w:val="14"/>
                <w:color w:val="auto"/>
              </w:rPr>
              <w:t>Shares withheld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20"/>
              <w:spacing w:after="0" w:line="159" w:lineRule="exact"/>
              <w:rPr>
                <w:sz w:val="20"/>
                <w:szCs w:val="20"/>
                <w:color w:val="auto"/>
              </w:rPr>
            </w:pPr>
            <w:r>
              <w:rPr>
                <w:rFonts w:ascii="Arial" w:cs="Arial" w:eastAsia="Arial" w:hAnsi="Arial"/>
                <w:sz w:val="14"/>
                <w:szCs w:val="14"/>
                <w:color w:val="auto"/>
              </w:rPr>
              <w:t>related to net share</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20" w:type="dxa"/>
            <w:vAlign w:val="bottom"/>
          </w:tcPr>
          <w:p>
            <w:pPr>
              <w:ind w:left="20"/>
              <w:spacing w:after="0"/>
              <w:rPr>
                <w:sz w:val="20"/>
                <w:szCs w:val="20"/>
                <w:color w:val="auto"/>
              </w:rPr>
            </w:pPr>
            <w:r>
              <w:rPr>
                <w:rFonts w:ascii="Arial" w:cs="Arial" w:eastAsia="Arial" w:hAnsi="Arial"/>
                <w:sz w:val="14"/>
                <w:szCs w:val="14"/>
                <w:color w:val="auto"/>
              </w:rPr>
              <w:t>settlement and other</w:t>
            </w:r>
          </w:p>
        </w:tc>
        <w:tc>
          <w:tcPr>
            <w:tcW w:w="760" w:type="dxa"/>
            <w:vAlign w:val="bottom"/>
          </w:tcPr>
          <w:p>
            <w:pPr>
              <w:jc w:val="right"/>
              <w:spacing w:after="0"/>
              <w:rPr>
                <w:sz w:val="20"/>
                <w:szCs w:val="20"/>
                <w:color w:val="auto"/>
              </w:rPr>
            </w:pPr>
            <w:r>
              <w:rPr>
                <w:rFonts w:ascii="Arial" w:cs="Arial" w:eastAsia="Arial" w:hAnsi="Arial"/>
                <w:sz w:val="14"/>
                <w:szCs w:val="14"/>
                <w:color w:val="auto"/>
              </w:rPr>
              <w:t>(30,936)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24,758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7"/>
        </w:trPr>
        <w:tc>
          <w:tcPr>
            <w:tcW w:w="1420" w:type="dxa"/>
            <w:vAlign w:val="bottom"/>
          </w:tcPr>
          <w:p>
            <w:pPr>
              <w:ind w:left="20"/>
              <w:spacing w:after="0"/>
              <w:rPr>
                <w:sz w:val="20"/>
                <w:szCs w:val="20"/>
                <w:color w:val="auto"/>
              </w:rPr>
            </w:pPr>
            <w:r>
              <w:rPr>
                <w:rFonts w:ascii="Arial" w:cs="Arial" w:eastAsia="Arial" w:hAnsi="Arial"/>
                <w:sz w:val="14"/>
                <w:szCs w:val="14"/>
                <w:color w:val="auto"/>
              </w:rPr>
              <w:t>Forfeitures /</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20" w:type="dxa"/>
            <w:vAlign w:val="bottom"/>
          </w:tcPr>
          <w:p>
            <w:pPr>
              <w:ind w:left="20"/>
              <w:spacing w:after="0"/>
              <w:rPr>
                <w:sz w:val="20"/>
                <w:szCs w:val="20"/>
                <w:color w:val="auto"/>
              </w:rPr>
            </w:pPr>
            <w:r>
              <w:rPr>
                <w:rFonts w:ascii="Arial" w:cs="Arial" w:eastAsia="Arial" w:hAnsi="Arial"/>
                <w:sz w:val="14"/>
                <w:szCs w:val="14"/>
                <w:color w:val="auto"/>
              </w:rPr>
              <w:t>cancellations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(7,852)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67"/>
        </w:trPr>
        <w:tc>
          <w:tcPr>
            <w:tcW w:w="1420" w:type="dxa"/>
            <w:vAlign w:val="bottom"/>
          </w:tcPr>
          <w:p>
            <w:pPr>
              <w:ind w:left="20"/>
              <w:spacing w:after="0"/>
              <w:rPr>
                <w:sz w:val="20"/>
                <w:szCs w:val="20"/>
                <w:color w:val="auto"/>
              </w:rPr>
            </w:pPr>
            <w:r>
              <w:rPr>
                <w:rFonts w:ascii="Arial" w:cs="Arial" w:eastAsia="Arial" w:hAnsi="Arial"/>
                <w:sz w:val="14"/>
                <w:szCs w:val="14"/>
                <w:color w:val="auto"/>
              </w:rPr>
              <w:t>Other comprehensive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20" w:type="dxa"/>
            <w:vAlign w:val="bottom"/>
          </w:tcPr>
          <w:p>
            <w:pPr>
              <w:ind w:left="20"/>
              <w:spacing w:after="0"/>
              <w:rPr>
                <w:sz w:val="20"/>
                <w:szCs w:val="20"/>
                <w:color w:val="auto"/>
              </w:rPr>
            </w:pPr>
            <w:r>
              <w:rPr>
                <w:rFonts w:ascii="Arial" w:cs="Arial" w:eastAsia="Arial" w:hAnsi="Arial"/>
                <w:sz w:val="14"/>
                <w:szCs w:val="14"/>
                <w:color w:val="auto"/>
              </w:rPr>
              <w:t>income</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Paid and accrued tax</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7"/>
        </w:trPr>
        <w:tc>
          <w:tcPr>
            <w:tcW w:w="1420" w:type="dxa"/>
            <w:vAlign w:val="bottom"/>
          </w:tcPr>
          <w:p>
            <w:pPr>
              <w:ind w:left="20"/>
              <w:spacing w:after="0"/>
              <w:rPr>
                <w:sz w:val="20"/>
                <w:szCs w:val="20"/>
                <w:color w:val="auto"/>
              </w:rPr>
            </w:pPr>
            <w:r>
              <w:rPr>
                <w:rFonts w:ascii="Arial" w:cs="Arial" w:eastAsia="Arial" w:hAnsi="Arial"/>
                <w:sz w:val="14"/>
                <w:szCs w:val="14"/>
                <w:color w:val="auto"/>
              </w:rPr>
              <w:t>Equity-based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420" w:type="dxa"/>
            <w:vAlign w:val="bottom"/>
          </w:tcPr>
          <w:p>
            <w:pPr>
              <w:ind w:left="20"/>
              <w:spacing w:after="0"/>
              <w:rPr>
                <w:sz w:val="20"/>
                <w:szCs w:val="20"/>
                <w:color w:val="auto"/>
              </w:rPr>
            </w:pPr>
            <w:r>
              <w:rPr>
                <w:rFonts w:ascii="Arial" w:cs="Arial" w:eastAsia="Arial" w:hAnsi="Arial"/>
                <w:sz w:val="14"/>
                <w:szCs w:val="14"/>
                <w:color w:val="auto"/>
              </w:rPr>
              <w:t>compensation</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4"/>
        </w:trPr>
        <w:tc>
          <w:tcPr>
            <w:tcW w:w="14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14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b w:val="1"/>
                <w:bCs w:val="1"/>
                <w:color w:val="auto"/>
                <w:w w:val="99"/>
              </w:rPr>
              <w:t>Balance at March 31,</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102,212,224</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206,868,169</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82,253,336</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549.6</w:t>
            </w:r>
          </w:p>
        </w:tc>
        <w:tc>
          <w:tcPr>
            <w:tcW w:w="8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392.6</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946.9</w:t>
            </w:r>
          </w:p>
        </w:tc>
        <w:tc>
          <w:tcPr>
            <w:tcW w:w="0" w:type="dxa"/>
            <w:vAlign w:val="bottom"/>
          </w:tcPr>
          <w:p>
            <w:pPr>
              <w:spacing w:after="0"/>
              <w:rPr>
                <w:sz w:val="1"/>
                <w:szCs w:val="1"/>
                <w:color w:val="auto"/>
              </w:rPr>
            </w:pPr>
          </w:p>
        </w:tc>
      </w:tr>
      <w:tr>
        <w:trPr>
          <w:trHeight w:val="202"/>
        </w:trPr>
        <w:tc>
          <w:tcPr>
            <w:tcW w:w="1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unaudited)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5"/>
                <w:szCs w:val="15"/>
                <w:color w:val="auto"/>
              </w:rPr>
            </w:pPr>
          </w:p>
        </w:tc>
      </w:tr>
      <w:tr>
        <w:trPr>
          <w:trHeight w:val="24"/>
        </w:trPr>
        <w:tc>
          <w:tcPr>
            <w:tcW w:w="8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1"/>
        </w:trPr>
        <w:tc>
          <w:tcPr>
            <w:tcW w:w="80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r>
      <w:tr>
        <w:trPr>
          <w:trHeight w:val="24"/>
        </w:trPr>
        <w:tc>
          <w:tcPr>
            <w:tcW w:w="8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9"/>
                <w:szCs w:val="19"/>
                <w:color w:val="auto"/>
              </w:rPr>
            </w:pP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48"/>
        </w:trPr>
        <w:tc>
          <w:tcPr>
            <w:tcW w:w="8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discounts and issuance costs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Amortization of deferred commissions costs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Asset impairments</w:t>
            </w:r>
          </w:p>
        </w:tc>
        <w:tc>
          <w:tcPr>
            <w:tcW w:w="10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Loss on debt modification and extinguishment</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consideration valuation adjustments</w:t>
            </w:r>
          </w:p>
        </w:tc>
        <w:tc>
          <w:tcPr>
            <w:tcW w:w="10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Equity-based compensation expense</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Tax receivable agreement remeasurement</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bad debt expense</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acquisitions: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costs and other assets, net of current portion</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Income tax receivable</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29"/>
        </w:trPr>
        <w:tc>
          <w:tcPr>
            <w:tcW w:w="8040" w:type="dxa"/>
            <w:vAlign w:val="bottom"/>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48"/>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Unearned revenue</w:t>
            </w:r>
          </w:p>
        </w:tc>
        <w:tc>
          <w:tcPr>
            <w:tcW w:w="10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25"/>
        </w:trPr>
        <w:tc>
          <w:tcPr>
            <w:tcW w:w="80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operating activities</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r>
      <w:tr>
        <w:trPr>
          <w:trHeight w:val="185"/>
        </w:trPr>
        <w:tc>
          <w:tcPr>
            <w:tcW w:w="8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Maturities of short-term investments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property and equipment and other assets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Purchase of convertible note receivable</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(received) for acquisitions, net of cash acquired</w:t>
            </w:r>
          </w:p>
        </w:tc>
        <w:tc>
          <w:tcPr>
            <w:tcW w:w="10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25"/>
        </w:trPr>
        <w:tc>
          <w:tcPr>
            <w:tcW w:w="80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investing activities</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r>
      <w:tr>
        <w:trPr>
          <w:trHeight w:val="185"/>
        </w:trPr>
        <w:tc>
          <w:tcPr>
            <w:tcW w:w="8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deferred consideration</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Proceeds from debt</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350.0</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debt</w:t>
            </w:r>
          </w:p>
        </w:tc>
        <w:tc>
          <w:tcPr>
            <w:tcW w:w="10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Payments of debt issuance and modification costs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equity issuance costs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Tax receivable agreement payments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distributions</w:t>
            </w:r>
          </w:p>
        </w:tc>
        <w:tc>
          <w:tcPr>
            <w:tcW w:w="10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25"/>
        </w:trPr>
        <w:tc>
          <w:tcPr>
            <w:tcW w:w="80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(used in) financing activities</w:t>
            </w:r>
          </w:p>
        </w:tc>
        <w:tc>
          <w:tcPr>
            <w:tcW w:w="10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w:t>
            </w:r>
          </w:p>
        </w:tc>
      </w:tr>
      <w:tr>
        <w:trPr>
          <w:trHeight w:val="185"/>
        </w:trPr>
        <w:tc>
          <w:tcPr>
            <w:tcW w:w="80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4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0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271.0</w:t>
            </w:r>
          </w:p>
        </w:tc>
      </w:tr>
      <w:tr>
        <w:trPr>
          <w:trHeight w:val="232"/>
        </w:trPr>
        <w:tc>
          <w:tcPr>
            <w:tcW w:w="80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02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400.2</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2"/>
        </w:trPr>
        <w:tc>
          <w:tcPr>
            <w:tcW w:w="8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8"/>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w:t>
            </w:r>
          </w:p>
        </w:tc>
      </w:tr>
      <w:tr>
        <w:trPr>
          <w:trHeight w:val="229"/>
        </w:trPr>
        <w:tc>
          <w:tcPr>
            <w:tcW w:w="8040" w:type="dxa"/>
            <w:vAlign w:val="bottom"/>
          </w:tcPr>
          <w:p>
            <w:pPr>
              <w:ind w:left="340"/>
              <w:spacing w:after="0"/>
              <w:rPr>
                <w:sz w:val="20"/>
                <w:szCs w:val="20"/>
                <w:color w:val="auto"/>
              </w:rPr>
            </w:pPr>
            <w:r>
              <w:rPr>
                <w:rFonts w:ascii="Arial" w:cs="Arial" w:eastAsia="Arial" w:hAnsi="Arial"/>
                <w:sz w:val="16"/>
                <w:szCs w:val="16"/>
                <w:color w:val="auto"/>
              </w:rPr>
              <w:t>Restricted cash, current</w:t>
            </w:r>
          </w:p>
        </w:tc>
        <w:tc>
          <w:tcPr>
            <w:tcW w:w="10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1"/>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 non-current</w:t>
            </w:r>
          </w:p>
        </w:tc>
        <w:tc>
          <w:tcPr>
            <w:tcW w:w="10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2"/>
        </w:trPr>
        <w:tc>
          <w:tcPr>
            <w:tcW w:w="8040" w:type="dxa"/>
            <w:vAlign w:val="bottom"/>
          </w:tcPr>
          <w:p>
            <w:pPr>
              <w:ind w:left="560"/>
              <w:spacing w:after="0"/>
              <w:rPr>
                <w:sz w:val="20"/>
                <w:szCs w:val="20"/>
                <w:color w:val="auto"/>
              </w:rPr>
            </w:pPr>
            <w:r>
              <w:rPr>
                <w:rFonts w:ascii="Arial" w:cs="Arial" w:eastAsia="Arial" w:hAnsi="Arial"/>
                <w:sz w:val="16"/>
                <w:szCs w:val="16"/>
                <w:color w:val="auto"/>
              </w:rPr>
              <w:t>Total cash, cash equivalents, and restricted cash</w:t>
            </w:r>
          </w:p>
        </w:tc>
        <w:tc>
          <w:tcPr>
            <w:tcW w:w="1020" w:type="dxa"/>
            <w:vAlign w:val="bottom"/>
            <w:tcBorders>
              <w:bottom w:val="single" w:sz="8" w:color="auto"/>
            </w:tcBorders>
          </w:tcPr>
          <w:p>
            <w:pPr>
              <w:jc w:val="right"/>
              <w:ind w:right="8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400.2</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2"/>
        </w:trPr>
        <w:tc>
          <w:tcPr>
            <w:tcW w:w="80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2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258"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unaudited)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20" w:type="dxa"/>
            <w:vAlign w:val="bottom"/>
            <w:gridSpan w:val="4"/>
          </w:tcPr>
          <w:p>
            <w:pPr>
              <w:jc w:val="right"/>
              <w:ind w:right="54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8040" w:type="dxa"/>
            <w:vAlign w:val="bottom"/>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paid in cash</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9"/>
        </w:trPr>
        <w:tc>
          <w:tcPr>
            <w:tcW w:w="8040" w:type="dxa"/>
            <w:vAlign w:val="bottom"/>
          </w:tcPr>
          <w:p>
            <w:pPr>
              <w:ind w:left="340"/>
              <w:spacing w:after="0"/>
              <w:rPr>
                <w:sz w:val="20"/>
                <w:szCs w:val="20"/>
                <w:color w:val="auto"/>
              </w:rPr>
            </w:pPr>
            <w:r>
              <w:rPr>
                <w:rFonts w:ascii="Arial" w:cs="Arial" w:eastAsia="Arial" w:hAnsi="Arial"/>
                <w:sz w:val="16"/>
                <w:szCs w:val="16"/>
                <w:color w:val="auto"/>
              </w:rPr>
              <w:t>Cash paid for taxes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variable consideration from acquisition of a business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040" w:type="dxa"/>
            <w:vAlign w:val="bottom"/>
          </w:tcPr>
          <w:p>
            <w:pPr>
              <w:ind w:left="340"/>
              <w:spacing w:after="0"/>
              <w:rPr>
                <w:sz w:val="20"/>
                <w:szCs w:val="20"/>
                <w:color w:val="auto"/>
              </w:rPr>
            </w:pPr>
            <w:r>
              <w:rPr>
                <w:rFonts w:ascii="Arial" w:cs="Arial" w:eastAsia="Arial" w:hAnsi="Arial"/>
                <w:sz w:val="16"/>
                <w:szCs w:val="16"/>
                <w:color w:val="auto"/>
              </w:rPr>
              <w:t>Property and equipment included in accounts payable and accrued expenses and other current liabilities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ZoomInfo Technologies Inc.</w:t>
      </w:r>
    </w:p>
    <w:p>
      <w:pPr>
        <w:spacing w:after="0" w:line="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millions, except share/unit data and per share/unit amounts, unless otherwise noted)</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80" w:type="dxa"/>
            <w:vAlign w:val="bottom"/>
          </w:tcPr>
          <w:p>
            <w:pPr>
              <w:spacing w:after="0"/>
              <w:rPr>
                <w:rFonts w:ascii="Arial" w:cs="Arial" w:eastAsia="Arial" w:hAnsi="Arial"/>
                <w:sz w:val="18"/>
                <w:szCs w:val="18"/>
                <w:color w:val="0000FF"/>
                <w:w w:val="86"/>
              </w:rPr>
            </w:pPr>
            <w:hyperlink w:anchor="page15">
              <w:r>
                <w:rPr>
                  <w:rFonts w:ascii="Arial" w:cs="Arial" w:eastAsia="Arial" w:hAnsi="Arial"/>
                  <w:sz w:val="18"/>
                  <w:szCs w:val="18"/>
                  <w:color w:val="0000FF"/>
                  <w:w w:val="86"/>
                </w:rPr>
                <w:t>Note 1</w:t>
              </w:r>
            </w:hyperlink>
          </w:p>
        </w:tc>
        <w:tc>
          <w:tcPr>
            <w:tcW w:w="80" w:type="dxa"/>
            <w:vAlign w:val="bottom"/>
          </w:tcPr>
          <w:p>
            <w:pPr>
              <w:spacing w:after="0"/>
              <w:rPr>
                <w:sz w:val="17"/>
                <w:szCs w:val="17"/>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15">
              <w:r>
                <w:rPr>
                  <w:rFonts w:ascii="Arial" w:cs="Arial" w:eastAsia="Arial" w:hAnsi="Arial"/>
                  <w:sz w:val="18"/>
                  <w:szCs w:val="18"/>
                  <w:color w:val="0000FF"/>
                </w:rPr>
                <w:t>Organization and Background</w:t>
              </w:r>
            </w:hyperlink>
          </w:p>
        </w:tc>
        <w:tc>
          <w:tcPr>
            <w:tcW w:w="2280" w:type="dxa"/>
            <w:vAlign w:val="bottom"/>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18">
              <w:r>
                <w:rPr>
                  <w:rFonts w:ascii="Arial" w:cs="Arial" w:eastAsia="Arial" w:hAnsi="Arial"/>
                  <w:sz w:val="18"/>
                  <w:szCs w:val="18"/>
                  <w:color w:val="0000FF"/>
                  <w:w w:val="86"/>
                </w:rPr>
                <w:t>Note 2</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18">
              <w:r>
                <w:rPr>
                  <w:rFonts w:ascii="Arial" w:cs="Arial" w:eastAsia="Arial" w:hAnsi="Arial"/>
                  <w:sz w:val="18"/>
                  <w:szCs w:val="18"/>
                  <w:color w:val="0000FF"/>
                </w:rPr>
                <w:t>Basis of Presentation and Summary of Significant Accounting Policies</w:t>
              </w:r>
            </w:hyperlink>
          </w:p>
        </w:tc>
        <w:tc>
          <w:tcPr>
            <w:tcW w:w="2280" w:type="dxa"/>
            <w:vAlign w:val="bottom"/>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26">
              <w:r>
                <w:rPr>
                  <w:rFonts w:ascii="Arial" w:cs="Arial" w:eastAsia="Arial" w:hAnsi="Arial"/>
                  <w:sz w:val="18"/>
                  <w:szCs w:val="18"/>
                  <w:color w:val="0000FF"/>
                  <w:w w:val="86"/>
                </w:rPr>
                <w:t>Note 3</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26">
              <w:r>
                <w:rPr>
                  <w:rFonts w:ascii="Arial" w:cs="Arial" w:eastAsia="Arial" w:hAnsi="Arial"/>
                  <w:sz w:val="18"/>
                  <w:szCs w:val="18"/>
                  <w:color w:val="0000FF"/>
                </w:rPr>
                <w:t>Revenue from Contracts with Customers</w:t>
              </w:r>
            </w:hyperlink>
          </w:p>
        </w:tc>
        <w:tc>
          <w:tcPr>
            <w:tcW w:w="2280" w:type="dxa"/>
            <w:vAlign w:val="bottom"/>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27">
              <w:r>
                <w:rPr>
                  <w:rFonts w:ascii="Arial" w:cs="Arial" w:eastAsia="Arial" w:hAnsi="Arial"/>
                  <w:sz w:val="18"/>
                  <w:szCs w:val="18"/>
                  <w:color w:val="0000FF"/>
                  <w:w w:val="86"/>
                </w:rPr>
                <w:t>Note 4</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27">
              <w:r>
                <w:rPr>
                  <w:rFonts w:ascii="Arial" w:cs="Arial" w:eastAsia="Arial" w:hAnsi="Arial"/>
                  <w:sz w:val="18"/>
                  <w:szCs w:val="18"/>
                  <w:color w:val="0000FF"/>
                </w:rPr>
                <w:t>Business Combinations</w:t>
              </w:r>
            </w:hyperlink>
          </w:p>
        </w:tc>
        <w:tc>
          <w:tcPr>
            <w:tcW w:w="2280" w:type="dxa"/>
            <w:vAlign w:val="bottom"/>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30">
              <w:r>
                <w:rPr>
                  <w:rFonts w:ascii="Arial" w:cs="Arial" w:eastAsia="Arial" w:hAnsi="Arial"/>
                  <w:sz w:val="18"/>
                  <w:szCs w:val="18"/>
                  <w:color w:val="0000FF"/>
                  <w:w w:val="86"/>
                </w:rPr>
                <w:t>Note 5</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30">
              <w:r>
                <w:rPr>
                  <w:rFonts w:ascii="Arial" w:cs="Arial" w:eastAsia="Arial" w:hAnsi="Arial"/>
                  <w:sz w:val="18"/>
                  <w:szCs w:val="18"/>
                  <w:color w:val="0000FF"/>
                </w:rPr>
                <w:t>Cash, Cash Equivalents, and Short-term Investments</w:t>
              </w:r>
            </w:hyperlink>
          </w:p>
        </w:tc>
        <w:tc>
          <w:tcPr>
            <w:tcW w:w="228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31">
              <w:r>
                <w:rPr>
                  <w:rFonts w:ascii="Arial" w:cs="Arial" w:eastAsia="Arial" w:hAnsi="Arial"/>
                  <w:sz w:val="18"/>
                  <w:szCs w:val="18"/>
                  <w:color w:val="0000FF"/>
                  <w:w w:val="86"/>
                </w:rPr>
                <w:t>Note 6</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31">
              <w:r>
                <w:rPr>
                  <w:rFonts w:ascii="Arial" w:cs="Arial" w:eastAsia="Arial" w:hAnsi="Arial"/>
                  <w:sz w:val="18"/>
                  <w:szCs w:val="18"/>
                  <w:color w:val="0000FF"/>
                </w:rPr>
                <w:t>Property and Equipment</w:t>
              </w:r>
            </w:hyperlink>
          </w:p>
        </w:tc>
        <w:tc>
          <w:tcPr>
            <w:tcW w:w="2280" w:type="dxa"/>
            <w:vAlign w:val="bottom"/>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32">
              <w:r>
                <w:rPr>
                  <w:rFonts w:ascii="Arial" w:cs="Arial" w:eastAsia="Arial" w:hAnsi="Arial"/>
                  <w:sz w:val="18"/>
                  <w:szCs w:val="18"/>
                  <w:color w:val="0000FF"/>
                  <w:w w:val="86"/>
                </w:rPr>
                <w:t>Note 7</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32">
              <w:r>
                <w:rPr>
                  <w:rFonts w:ascii="Arial" w:cs="Arial" w:eastAsia="Arial" w:hAnsi="Arial"/>
                  <w:sz w:val="18"/>
                  <w:szCs w:val="18"/>
                  <w:color w:val="0000FF"/>
                </w:rPr>
                <w:t>Goodwill and Acquired Intangible Assets</w:t>
              </w:r>
            </w:hyperlink>
          </w:p>
        </w:tc>
        <w:tc>
          <w:tcPr>
            <w:tcW w:w="2280" w:type="dxa"/>
            <w:vAlign w:val="bottom"/>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32">
              <w:r>
                <w:rPr>
                  <w:rFonts w:ascii="Arial" w:cs="Arial" w:eastAsia="Arial" w:hAnsi="Arial"/>
                  <w:sz w:val="18"/>
                  <w:szCs w:val="18"/>
                  <w:color w:val="0000FF"/>
                  <w:w w:val="86"/>
                </w:rPr>
                <w:t>Note 8</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32">
              <w:r>
                <w:rPr>
                  <w:rFonts w:ascii="Arial" w:cs="Arial" w:eastAsia="Arial" w:hAnsi="Arial"/>
                  <w:sz w:val="18"/>
                  <w:szCs w:val="18"/>
                  <w:color w:val="0000FF"/>
                </w:rPr>
                <w:t>Financing Arrangements</w:t>
              </w:r>
            </w:hyperlink>
          </w:p>
        </w:tc>
        <w:tc>
          <w:tcPr>
            <w:tcW w:w="2280" w:type="dxa"/>
            <w:vAlign w:val="bottom"/>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480" w:type="dxa"/>
            <w:vAlign w:val="bottom"/>
          </w:tcPr>
          <w:p>
            <w:pPr>
              <w:spacing w:after="0"/>
              <w:rPr>
                <w:rFonts w:ascii="Arial" w:cs="Arial" w:eastAsia="Arial" w:hAnsi="Arial"/>
                <w:sz w:val="18"/>
                <w:szCs w:val="18"/>
                <w:color w:val="0000FF"/>
                <w:w w:val="86"/>
              </w:rPr>
            </w:pPr>
            <w:hyperlink w:anchor="page34">
              <w:r>
                <w:rPr>
                  <w:rFonts w:ascii="Arial" w:cs="Arial" w:eastAsia="Arial" w:hAnsi="Arial"/>
                  <w:sz w:val="18"/>
                  <w:szCs w:val="18"/>
                  <w:color w:val="0000FF"/>
                  <w:w w:val="86"/>
                </w:rPr>
                <w:t>Note 9</w:t>
              </w:r>
            </w:hyperlink>
          </w:p>
        </w:tc>
        <w:tc>
          <w:tcPr>
            <w:tcW w:w="80" w:type="dxa"/>
            <w:vAlign w:val="bottom"/>
          </w:tcPr>
          <w:p>
            <w:pPr>
              <w:spacing w:after="0"/>
              <w:rPr>
                <w:sz w:val="21"/>
                <w:szCs w:val="21"/>
                <w:color w:val="auto"/>
              </w:rPr>
            </w:pPr>
          </w:p>
        </w:tc>
        <w:tc>
          <w:tcPr>
            <w:tcW w:w="7840" w:type="dxa"/>
            <w:vAlign w:val="bottom"/>
            <w:gridSpan w:val="17"/>
          </w:tcPr>
          <w:p>
            <w:pPr>
              <w:ind w:left="640"/>
              <w:spacing w:after="0"/>
              <w:rPr>
                <w:rFonts w:ascii="Arial" w:cs="Arial" w:eastAsia="Arial" w:hAnsi="Arial"/>
                <w:sz w:val="18"/>
                <w:szCs w:val="18"/>
                <w:color w:val="0000FF"/>
              </w:rPr>
            </w:pPr>
            <w:hyperlink w:anchor="page34">
              <w:r>
                <w:rPr>
                  <w:rFonts w:ascii="Arial" w:cs="Arial" w:eastAsia="Arial" w:hAnsi="Arial"/>
                  <w:sz w:val="18"/>
                  <w:szCs w:val="18"/>
                  <w:color w:val="0000FF"/>
                </w:rPr>
                <w:t>Derivatives and Hedging Activities</w:t>
              </w:r>
            </w:hyperlink>
          </w:p>
        </w:tc>
        <w:tc>
          <w:tcPr>
            <w:tcW w:w="2280" w:type="dxa"/>
            <w:vAlign w:val="bottom"/>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2</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Note 10</w:t>
              </w:r>
            </w:hyperlink>
          </w:p>
        </w:tc>
        <w:tc>
          <w:tcPr>
            <w:tcW w:w="7840" w:type="dxa"/>
            <w:vAlign w:val="bottom"/>
            <w:gridSpan w:val="17"/>
          </w:tcPr>
          <w:p>
            <w:pPr>
              <w:ind w:left="640"/>
              <w:spacing w:after="0"/>
              <w:rPr>
                <w:rFonts w:ascii="Arial" w:cs="Arial" w:eastAsia="Arial" w:hAnsi="Arial"/>
                <w:sz w:val="18"/>
                <w:szCs w:val="18"/>
                <w:color w:val="0000FF"/>
              </w:rPr>
            </w:pPr>
            <w:hyperlink w:anchor="page36">
              <w:r>
                <w:rPr>
                  <w:rFonts w:ascii="Arial" w:cs="Arial" w:eastAsia="Arial" w:hAnsi="Arial"/>
                  <w:sz w:val="18"/>
                  <w:szCs w:val="18"/>
                  <w:color w:val="0000FF"/>
                </w:rPr>
                <w:t>Fair Value</w:t>
              </w:r>
            </w:hyperlink>
          </w:p>
        </w:tc>
        <w:tc>
          <w:tcPr>
            <w:tcW w:w="2280" w:type="dxa"/>
            <w:vAlign w:val="bottom"/>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Note 11</w:t>
              </w:r>
            </w:hyperlink>
          </w:p>
        </w:tc>
        <w:tc>
          <w:tcPr>
            <w:tcW w:w="7840" w:type="dxa"/>
            <w:vAlign w:val="bottom"/>
            <w:gridSpan w:val="17"/>
          </w:tcPr>
          <w:p>
            <w:pPr>
              <w:ind w:left="640"/>
              <w:spacing w:after="0"/>
              <w:rPr>
                <w:rFonts w:ascii="Arial" w:cs="Arial" w:eastAsia="Arial" w:hAnsi="Arial"/>
                <w:sz w:val="18"/>
                <w:szCs w:val="18"/>
                <w:color w:val="0000FF"/>
              </w:rPr>
            </w:pPr>
            <w:hyperlink w:anchor="page39">
              <w:r>
                <w:rPr>
                  <w:rFonts w:ascii="Arial" w:cs="Arial" w:eastAsia="Arial" w:hAnsi="Arial"/>
                  <w:sz w:val="18"/>
                  <w:szCs w:val="18"/>
                  <w:color w:val="0000FF"/>
                </w:rPr>
                <w:t>Commitments and Contingencies</w:t>
              </w:r>
            </w:hyperlink>
          </w:p>
        </w:tc>
        <w:tc>
          <w:tcPr>
            <w:tcW w:w="2280" w:type="dxa"/>
            <w:vAlign w:val="bottom"/>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Note 12</w:t>
              </w:r>
            </w:hyperlink>
          </w:p>
        </w:tc>
        <w:tc>
          <w:tcPr>
            <w:tcW w:w="7840" w:type="dxa"/>
            <w:vAlign w:val="bottom"/>
            <w:gridSpan w:val="17"/>
          </w:tcPr>
          <w:p>
            <w:pPr>
              <w:ind w:left="640"/>
              <w:spacing w:after="0"/>
              <w:rPr>
                <w:rFonts w:ascii="Arial" w:cs="Arial" w:eastAsia="Arial" w:hAnsi="Arial"/>
                <w:sz w:val="18"/>
                <w:szCs w:val="18"/>
                <w:color w:val="0000FF"/>
              </w:rPr>
            </w:pPr>
            <w:hyperlink w:anchor="page40">
              <w:r>
                <w:rPr>
                  <w:rFonts w:ascii="Arial" w:cs="Arial" w:eastAsia="Arial" w:hAnsi="Arial"/>
                  <w:sz w:val="18"/>
                  <w:szCs w:val="18"/>
                  <w:color w:val="0000FF"/>
                </w:rPr>
                <w:t>Noncontrolling Interest</w:t>
              </w:r>
            </w:hyperlink>
          </w:p>
        </w:tc>
        <w:tc>
          <w:tcPr>
            <w:tcW w:w="228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Note 13</w:t>
              </w:r>
            </w:hyperlink>
          </w:p>
        </w:tc>
        <w:tc>
          <w:tcPr>
            <w:tcW w:w="7840" w:type="dxa"/>
            <w:vAlign w:val="bottom"/>
            <w:gridSpan w:val="17"/>
          </w:tcPr>
          <w:p>
            <w:pPr>
              <w:ind w:left="640"/>
              <w:spacing w:after="0"/>
              <w:rPr>
                <w:rFonts w:ascii="Arial" w:cs="Arial" w:eastAsia="Arial" w:hAnsi="Arial"/>
                <w:sz w:val="18"/>
                <w:szCs w:val="18"/>
                <w:color w:val="0000FF"/>
              </w:rPr>
            </w:pPr>
            <w:hyperlink w:anchor="page40">
              <w:r>
                <w:rPr>
                  <w:rFonts w:ascii="Arial" w:cs="Arial" w:eastAsia="Arial" w:hAnsi="Arial"/>
                  <w:sz w:val="18"/>
                  <w:szCs w:val="18"/>
                  <w:color w:val="0000FF"/>
                </w:rPr>
                <w:t>Earnings Per Share</w:t>
              </w:r>
            </w:hyperlink>
          </w:p>
        </w:tc>
        <w:tc>
          <w:tcPr>
            <w:tcW w:w="2280" w:type="dxa"/>
            <w:vAlign w:val="bottom"/>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43">
              <w:r>
                <w:rPr>
                  <w:rFonts w:ascii="Arial" w:cs="Arial" w:eastAsia="Arial" w:hAnsi="Arial"/>
                  <w:sz w:val="18"/>
                  <w:szCs w:val="18"/>
                  <w:color w:val="0000FF"/>
                  <w:w w:val="85"/>
                </w:rPr>
                <w:t>Note 14</w:t>
              </w:r>
            </w:hyperlink>
          </w:p>
        </w:tc>
        <w:tc>
          <w:tcPr>
            <w:tcW w:w="7840" w:type="dxa"/>
            <w:vAlign w:val="bottom"/>
            <w:gridSpan w:val="17"/>
          </w:tcPr>
          <w:p>
            <w:pPr>
              <w:ind w:left="640"/>
              <w:spacing w:after="0"/>
              <w:rPr>
                <w:rFonts w:ascii="Arial" w:cs="Arial" w:eastAsia="Arial" w:hAnsi="Arial"/>
                <w:sz w:val="18"/>
                <w:szCs w:val="18"/>
                <w:color w:val="0000FF"/>
              </w:rPr>
            </w:pPr>
            <w:hyperlink w:anchor="page43">
              <w:r>
                <w:rPr>
                  <w:rFonts w:ascii="Arial" w:cs="Arial" w:eastAsia="Arial" w:hAnsi="Arial"/>
                  <w:sz w:val="18"/>
                  <w:szCs w:val="18"/>
                  <w:color w:val="0000FF"/>
                </w:rPr>
                <w:t>Leases</w:t>
              </w:r>
            </w:hyperlink>
          </w:p>
        </w:tc>
        <w:tc>
          <w:tcPr>
            <w:tcW w:w="2280" w:type="dxa"/>
            <w:vAlign w:val="bottom"/>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45">
              <w:r>
                <w:rPr>
                  <w:rFonts w:ascii="Arial" w:cs="Arial" w:eastAsia="Arial" w:hAnsi="Arial"/>
                  <w:sz w:val="18"/>
                  <w:szCs w:val="18"/>
                  <w:color w:val="0000FF"/>
                  <w:w w:val="85"/>
                </w:rPr>
                <w:t>Note 15</w:t>
              </w:r>
            </w:hyperlink>
          </w:p>
        </w:tc>
        <w:tc>
          <w:tcPr>
            <w:tcW w:w="7840" w:type="dxa"/>
            <w:vAlign w:val="bottom"/>
            <w:gridSpan w:val="17"/>
          </w:tcPr>
          <w:p>
            <w:pPr>
              <w:ind w:left="640"/>
              <w:spacing w:after="0"/>
              <w:rPr>
                <w:rFonts w:ascii="Arial" w:cs="Arial" w:eastAsia="Arial" w:hAnsi="Arial"/>
                <w:sz w:val="18"/>
                <w:szCs w:val="18"/>
                <w:color w:val="0000FF"/>
              </w:rPr>
            </w:pPr>
            <w:hyperlink w:anchor="page45">
              <w:r>
                <w:rPr>
                  <w:rFonts w:ascii="Arial" w:cs="Arial" w:eastAsia="Arial" w:hAnsi="Arial"/>
                  <w:sz w:val="18"/>
                  <w:szCs w:val="18"/>
                  <w:color w:val="0000FF"/>
                </w:rPr>
                <w:t>Equity-Based Compensation</w:t>
              </w:r>
            </w:hyperlink>
          </w:p>
        </w:tc>
        <w:tc>
          <w:tcPr>
            <w:tcW w:w="2280" w:type="dxa"/>
            <w:vAlign w:val="bottom"/>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3</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5220" w:type="dxa"/>
            <w:vAlign w:val="bottom"/>
            <w:tcBorders>
              <w:left w:val="single" w:sz="8" w:color="0000FF"/>
            </w:tcBorders>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49">
              <w:r>
                <w:rPr>
                  <w:rFonts w:ascii="Arial" w:cs="Arial" w:eastAsia="Arial" w:hAnsi="Arial"/>
                  <w:sz w:val="18"/>
                  <w:szCs w:val="18"/>
                  <w:color w:val="0000FF"/>
                  <w:w w:val="85"/>
                </w:rPr>
                <w:t>Note 16</w:t>
              </w:r>
            </w:hyperlink>
          </w:p>
        </w:tc>
        <w:tc>
          <w:tcPr>
            <w:tcW w:w="7840" w:type="dxa"/>
            <w:vAlign w:val="bottom"/>
            <w:gridSpan w:val="17"/>
          </w:tcPr>
          <w:p>
            <w:pPr>
              <w:ind w:left="640"/>
              <w:spacing w:after="0"/>
              <w:rPr>
                <w:rFonts w:ascii="Arial" w:cs="Arial" w:eastAsia="Arial" w:hAnsi="Arial"/>
                <w:sz w:val="18"/>
                <w:szCs w:val="18"/>
                <w:color w:val="0000FF"/>
              </w:rPr>
            </w:pPr>
            <w:hyperlink w:anchor="page49">
              <w:r>
                <w:rPr>
                  <w:rFonts w:ascii="Arial" w:cs="Arial" w:eastAsia="Arial" w:hAnsi="Arial"/>
                  <w:sz w:val="18"/>
                  <w:szCs w:val="18"/>
                  <w:color w:val="0000FF"/>
                </w:rPr>
                <w:t>Tax Receivable Agreements</w:t>
              </w:r>
            </w:hyperlink>
          </w:p>
        </w:tc>
        <w:tc>
          <w:tcPr>
            <w:tcW w:w="228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Note 17</w:t>
              </w:r>
            </w:hyperlink>
          </w:p>
        </w:tc>
        <w:tc>
          <w:tcPr>
            <w:tcW w:w="7840" w:type="dxa"/>
            <w:vAlign w:val="bottom"/>
            <w:gridSpan w:val="17"/>
          </w:tcPr>
          <w:p>
            <w:pPr>
              <w:ind w:left="640"/>
              <w:spacing w:after="0"/>
              <w:rPr>
                <w:rFonts w:ascii="Arial" w:cs="Arial" w:eastAsia="Arial" w:hAnsi="Arial"/>
                <w:sz w:val="18"/>
                <w:szCs w:val="18"/>
                <w:color w:val="0000FF"/>
              </w:rPr>
            </w:pPr>
            <w:hyperlink w:anchor="page50">
              <w:r>
                <w:rPr>
                  <w:rFonts w:ascii="Arial" w:cs="Arial" w:eastAsia="Arial" w:hAnsi="Arial"/>
                  <w:sz w:val="18"/>
                  <w:szCs w:val="18"/>
                  <w:color w:val="0000FF"/>
                </w:rPr>
                <w:t>Income Taxes</w:t>
              </w:r>
            </w:hyperlink>
          </w:p>
        </w:tc>
        <w:tc>
          <w:tcPr>
            <w:tcW w:w="228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60" w:type="dxa"/>
            <w:vAlign w:val="bottom"/>
            <w:gridSpan w:val="1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5"/>
        </w:trPr>
        <w:tc>
          <w:tcPr>
            <w:tcW w:w="560" w:type="dxa"/>
            <w:vAlign w:val="bottom"/>
            <w:gridSpan w:val="2"/>
          </w:tcPr>
          <w:p>
            <w:pPr>
              <w:spacing w:after="0"/>
              <w:rPr>
                <w:rFonts w:ascii="Arial" w:cs="Arial" w:eastAsia="Arial" w:hAnsi="Arial"/>
                <w:sz w:val="18"/>
                <w:szCs w:val="18"/>
                <w:color w:val="0000FF"/>
                <w:w w:val="85"/>
              </w:rPr>
            </w:pPr>
            <w:hyperlink w:anchor="page50">
              <w:r>
                <w:rPr>
                  <w:rFonts w:ascii="Arial" w:cs="Arial" w:eastAsia="Arial" w:hAnsi="Arial"/>
                  <w:sz w:val="18"/>
                  <w:szCs w:val="18"/>
                  <w:color w:val="0000FF"/>
                  <w:w w:val="85"/>
                </w:rPr>
                <w:t>Note 18</w:t>
              </w:r>
            </w:hyperlink>
          </w:p>
        </w:tc>
        <w:tc>
          <w:tcPr>
            <w:tcW w:w="7840" w:type="dxa"/>
            <w:vAlign w:val="bottom"/>
            <w:gridSpan w:val="17"/>
          </w:tcPr>
          <w:p>
            <w:pPr>
              <w:ind w:left="640"/>
              <w:spacing w:after="0"/>
              <w:rPr>
                <w:rFonts w:ascii="Arial" w:cs="Arial" w:eastAsia="Arial" w:hAnsi="Arial"/>
                <w:sz w:val="18"/>
                <w:szCs w:val="18"/>
                <w:color w:val="0000FF"/>
              </w:rPr>
            </w:pPr>
            <w:hyperlink w:anchor="page50">
              <w:r>
                <w:rPr>
                  <w:rFonts w:ascii="Arial" w:cs="Arial" w:eastAsia="Arial" w:hAnsi="Arial"/>
                  <w:sz w:val="18"/>
                  <w:szCs w:val="18"/>
                  <w:color w:val="0000FF"/>
                </w:rPr>
                <w:t>Subsequent Events</w:t>
              </w:r>
            </w:hyperlink>
          </w:p>
        </w:tc>
        <w:tc>
          <w:tcPr>
            <w:tcW w:w="228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ZoomInfo Technologies Inc., through its operating subsidiaries provides a go-to-market intelligence and engagement platform for sales and marketing teams. The Company’s cloud-based platform provides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 Following the consummation of the Holding Company Reorganization, ZoomInfo OpCo became a direct subsidiary of ZoomInfo Technologies Inc. and ZoomInfo Intermediate Inc.</w:t>
      </w:r>
    </w:p>
    <w:p>
      <w:pPr>
        <w:spacing w:after="0" w:line="126" w:lineRule="exact"/>
        <w:rPr>
          <w:sz w:val="20"/>
          <w:szCs w:val="20"/>
          <w:color w:val="auto"/>
        </w:rPr>
      </w:pPr>
    </w:p>
    <w:p>
      <w:pPr>
        <w:ind w:right="1000" w:firstLine="318"/>
        <w:spacing w:after="0" w:line="430" w:lineRule="auto"/>
        <w:rPr>
          <w:sz w:val="20"/>
          <w:szCs w:val="20"/>
          <w:color w:val="auto"/>
        </w:rPr>
      </w:pPr>
      <w:r>
        <w:rPr>
          <w:rFonts w:ascii="Arial" w:cs="Arial" w:eastAsia="Arial" w:hAnsi="Arial"/>
          <w:sz w:val="18"/>
          <w:szCs w:val="18"/>
          <w:color w:val="auto"/>
        </w:rPr>
        <w:t xml:space="preserve">The Company headquarters are located in Vancouver, WA, and we operate in ten offices throughout the U.S. and four offices internationally. </w:t>
      </w:r>
      <w:r>
        <w:rPr>
          <w:rFonts w:ascii="Arial" w:cs="Arial" w:eastAsia="Arial" w:hAnsi="Arial"/>
          <w:sz w:val="18"/>
          <w:szCs w:val="18"/>
          <w:b w:val="1"/>
          <w:bCs w:val="1"/>
          <w:i w:val="1"/>
          <w:iCs w:val="1"/>
          <w:color w:val="auto"/>
        </w:rPr>
        <w:t>Initial Public Offering</w:t>
      </w:r>
    </w:p>
    <w:p>
      <w:pPr>
        <w:jc w:val="both"/>
        <w:ind w:firstLine="318"/>
        <w:spacing w:after="0" w:line="265" w:lineRule="auto"/>
        <w:rPr>
          <w:sz w:val="20"/>
          <w:szCs w:val="20"/>
          <w:color w:val="auto"/>
        </w:rPr>
      </w:pPr>
      <w:r>
        <w:rPr>
          <w:rFonts w:ascii="Arial" w:cs="Arial" w:eastAsia="Arial" w:hAnsi="Arial"/>
          <w:sz w:val="17"/>
          <w:szCs w:val="17"/>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connection with the IPO, the Company completed the following transactions (“Reorganization Transactions”):</w:t>
      </w:r>
    </w:p>
    <w:p>
      <w:pPr>
        <w:spacing w:after="0" w:line="164"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ZoomInfo OpCo effected a four—for—one reverse unit split;</w:t>
      </w:r>
    </w:p>
    <w:p>
      <w:pPr>
        <w:spacing w:after="0" w:line="164" w:lineRule="exact"/>
        <w:rPr>
          <w:rFonts w:ascii="Arial" w:cs="Arial" w:eastAsia="Arial" w:hAnsi="Arial"/>
          <w:sz w:val="18"/>
          <w:szCs w:val="18"/>
          <w:color w:val="auto"/>
        </w:rPr>
      </w:pPr>
    </w:p>
    <w:p>
      <w:pPr>
        <w:jc w:val="both"/>
        <w:ind w:left="640" w:hanging="316"/>
        <w:spacing w:after="0" w:line="249"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our Class A common stock in the IPO;</w:t>
      </w:r>
    </w:p>
    <w:p>
      <w:pPr>
        <w:spacing w:after="0" w:line="142"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35"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Reorganization Transactions and the IPO, ZoomInfo Technologies Inc. entered into two tax receivable agreements. Refer to Note 16 - Tax Receivable Agreements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Simplification Transactions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 Corporate Structure and Multi-Class Voting Structure Elimination</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21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After the consummation of the Holding Company Reorganization, the only class of common stock of the New ZoomInfo remaining issued and outstanding is the Class A common stock. We do not intend to issue any shares of Class B common stock or Class C common stock of New ZoomInfo.</w:t>
      </w:r>
    </w:p>
    <w:p>
      <w:pPr>
        <w:spacing w:after="0" w:line="158" w:lineRule="exact"/>
        <w:rPr>
          <w:sz w:val="20"/>
          <w:szCs w:val="20"/>
          <w:color w:val="auto"/>
        </w:rPr>
      </w:pPr>
    </w:p>
    <w:p>
      <w:pPr>
        <w:ind w:right="5340"/>
        <w:spacing w:after="0" w:line="433"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has been condensed or omitted pursuant to those rules and regulations. The financial statements included in this report should be read in conjunction with the Company’s audited financial statements for the year ended December 31, 2021.</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results of operations for the three months ended March 31, 2022 are not necessarily indicative of the operating results that may be expected for the full fiscal year ending December 31, 2022 or any future period.</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accompanying unaudited consolidated financial statements contain all adjustments necessary for a fair statement of financial position as of March 31, 2022, and results of operations for the three months ended March 31, 2022 and 2021, and cash flows for the three months ended March 31, 2022 and 2021. The Condensed Consolidated Balance Sheets as of December 31, 2021 was derived from the audited consolidated balance sheets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consolidated financial statements include the accounts of ZoomInfo Technologies Inc. and its subsidiaries. All intercompany transactions and balances have been eliminated in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one to three years and are non-cancelable. We typically bill for services annually, semi-annually, or quarterly in advance of delivery.</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64"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reduces revenue recognized.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on our Condensed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41" w:lineRule="exact"/>
        <w:rPr>
          <w:sz w:val="20"/>
          <w:szCs w:val="20"/>
          <w:color w:val="auto"/>
        </w:rPr>
      </w:pPr>
    </w:p>
    <w:p>
      <w:pPr>
        <w:ind w:left="320" w:right="2820"/>
        <w:spacing w:after="0" w:line="449" w:lineRule="auto"/>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 Level 2 - Other inputs that are directly or indirectly observable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Level 3 - Unobservable inputs that are supported by little or no market activity, including the Company’s own assumptions in determining fair value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inputs or methodology used for valuing financial assets and liabilities are not necessarily an indication of the risk associated with investing in them.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months ended March 31, 2022 and 2021, or accounted for more than 10% of accounts receivable as of March 31, 2022 and December 31, 2021. Long-lived assets located outside of the United States were immaterial as of March 31, 2022 and December 31,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Contract Assets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Accounts receivable is comprised of invoices of revenue, net of allowance for credit losses and does not bear interest. We consider receivables past due based on the contractual payment terms.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March 31, 2022 and December 31, 2021.</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three years to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Arial" w:cs="Arial" w:eastAsia="Arial" w:hAnsi="Arial"/>
          <w:sz w:val="18"/>
          <w:szCs w:val="18"/>
          <w:i w:val="1"/>
          <w:iCs w:val="1"/>
          <w:color w:val="auto"/>
        </w:rPr>
        <w:t>Deferred costs and other assets, net of current portion</w:t>
      </w:r>
      <w:r>
        <w:rPr>
          <w:rFonts w:ascii="Arial" w:cs="Arial" w:eastAsia="Arial" w:hAnsi="Arial"/>
          <w:sz w:val="18"/>
          <w:szCs w:val="18"/>
          <w:color w:val="auto"/>
        </w:rPr>
        <w:t xml:space="preserve"> on our Condensed Consolidated Balance Sheets. Deferred sales commissions are amortized on a straight-line basis over the estimated period of benefit from the customer relationship which we have determined to be one and three years for renewals and new clients, respectively. We determined the period of benefit by taking into consideration our customer contracts, our technology, and other factors. Amortization expense is included in </w:t>
      </w:r>
      <w:r>
        <w:rPr>
          <w:rFonts w:ascii="Arial" w:cs="Arial" w:eastAsia="Arial" w:hAnsi="Arial"/>
          <w:sz w:val="18"/>
          <w:szCs w:val="18"/>
          <w:i w:val="1"/>
          <w:iCs w:val="1"/>
          <w:color w:val="auto"/>
        </w:rPr>
        <w:t>Sales and marketing</w:t>
      </w:r>
      <w:r>
        <w:rPr>
          <w:rFonts w:ascii="Arial" w:cs="Arial" w:eastAsia="Arial" w:hAnsi="Arial"/>
          <w:sz w:val="18"/>
          <w:szCs w:val="18"/>
          <w:color w:val="auto"/>
        </w:rPr>
        <w:t xml:space="preserve"> expense on our Consolidated Statements of Operations.</w:t>
      </w:r>
    </w:p>
    <w:p>
      <w:pPr>
        <w:spacing w:after="0" w:line="1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Commissions payable at March 31, 2022 were $27.3 million, of which the current portion of $23.7 million was included in </w:t>
      </w:r>
      <w:r>
        <w:rPr>
          <w:rFonts w:ascii="Arial" w:cs="Arial" w:eastAsia="Arial" w:hAnsi="Arial"/>
          <w:sz w:val="17"/>
          <w:szCs w:val="17"/>
          <w:i w:val="1"/>
          <w:iCs w:val="1"/>
          <w:color w:val="auto"/>
        </w:rPr>
        <w:t>Accrued expenses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current liabilities </w:t>
      </w:r>
      <w:r>
        <w:rPr>
          <w:rFonts w:ascii="Arial" w:cs="Arial" w:eastAsia="Arial" w:hAnsi="Arial"/>
          <w:sz w:val="17"/>
          <w:szCs w:val="17"/>
          <w:color w:val="auto"/>
        </w:rPr>
        <w:t>on our Condensed Consolidated Balance Sheets, and the long-term portion of $3.6 million was included in</w:t>
      </w:r>
      <w:r>
        <w:rPr>
          <w:rFonts w:ascii="Arial" w:cs="Arial" w:eastAsia="Arial" w:hAnsi="Arial"/>
          <w:sz w:val="17"/>
          <w:szCs w:val="17"/>
          <w:i w:val="1"/>
          <w:iCs w:val="1"/>
          <w:color w:val="auto"/>
        </w:rPr>
        <w:t xml:space="preserve"> Other long-term liabilities </w:t>
      </w:r>
      <w:r>
        <w:rPr>
          <w:rFonts w:ascii="Arial" w:cs="Arial" w:eastAsia="Arial" w:hAnsi="Arial"/>
          <w:sz w:val="17"/>
          <w:szCs w:val="17"/>
          <w:color w:val="auto"/>
        </w:rPr>
        <w:t>on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Condensed Consolidated Balance Sheets. Commissions payable at December 31, 2021 were $34.1 million, of which the current portion of $31.4 million was included 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on our Condensed Consolidated Balance Sheets, and the long-term portion of $2.7 million was included in </w:t>
      </w:r>
      <w:r>
        <w:rPr>
          <w:rFonts w:ascii="Arial" w:cs="Arial" w:eastAsia="Arial" w:hAnsi="Arial"/>
          <w:sz w:val="17"/>
          <w:szCs w:val="17"/>
          <w:i w:val="1"/>
          <w:iCs w:val="1"/>
          <w:color w:val="auto"/>
        </w:rPr>
        <w:t>Other long-term liabilities</w:t>
      </w:r>
      <w:r>
        <w:rPr>
          <w:rFonts w:ascii="Arial" w:cs="Arial" w:eastAsia="Arial" w:hAnsi="Arial"/>
          <w:sz w:val="17"/>
          <w:szCs w:val="17"/>
          <w:color w:val="auto"/>
        </w:rPr>
        <w:t xml:space="preserve"> on our Condensed Consolidated Balance Sheets.</w:t>
      </w:r>
    </w:p>
    <w:p>
      <w:pPr>
        <w:spacing w:after="0" w:line="128" w:lineRule="exact"/>
        <w:rPr>
          <w:sz w:val="20"/>
          <w:szCs w:val="20"/>
          <w:color w:val="auto"/>
        </w:rPr>
      </w:pPr>
    </w:p>
    <w:p>
      <w:pPr>
        <w:ind w:right="220" w:firstLine="318"/>
        <w:spacing w:after="0" w:line="430" w:lineRule="auto"/>
        <w:rPr>
          <w:sz w:val="20"/>
          <w:szCs w:val="20"/>
          <w:color w:val="auto"/>
        </w:rPr>
      </w:pPr>
      <w:r>
        <w:rPr>
          <w:rFonts w:ascii="Arial" w:cs="Arial" w:eastAsia="Arial" w:hAnsi="Arial"/>
          <w:sz w:val="18"/>
          <w:szCs w:val="18"/>
          <w:color w:val="auto"/>
        </w:rPr>
        <w:t xml:space="preserve">Certain commissions are not capitalized as they do not represent incremental costs of obtaining a contract. Such commissions are expensed as incurred. </w:t>
      </w:r>
      <w:r>
        <w:rPr>
          <w:rFonts w:ascii="Arial" w:cs="Arial" w:eastAsia="Arial" w:hAnsi="Arial"/>
          <w:sz w:val="18"/>
          <w:szCs w:val="18"/>
          <w:b w:val="1"/>
          <w:bCs w:val="1"/>
          <w:i w:val="1"/>
          <w:iCs w:val="1"/>
          <w:color w:val="auto"/>
        </w:rPr>
        <w:t>Advertising and Promotional Expenses</w:t>
      </w:r>
    </w:p>
    <w:p>
      <w:pPr>
        <w:jc w:val="both"/>
        <w:ind w:firstLine="318"/>
        <w:spacing w:after="0" w:line="365" w:lineRule="auto"/>
        <w:rPr>
          <w:sz w:val="20"/>
          <w:szCs w:val="20"/>
          <w:color w:val="auto"/>
        </w:rPr>
      </w:pPr>
      <w:r>
        <w:rPr>
          <w:rFonts w:ascii="Arial" w:cs="Arial" w:eastAsia="Arial" w:hAnsi="Arial"/>
          <w:sz w:val="15"/>
          <w:szCs w:val="15"/>
          <w:color w:val="auto"/>
        </w:rPr>
        <w:t xml:space="preserve">The Company expenses advertising costs as incurred. Advertising expenses of $7.5 million and $3.9 million were recorded for the three months ended March 31, 2022 and 2021 respectively. Advertising expenses are included in </w:t>
      </w:r>
      <w:r>
        <w:rPr>
          <w:rFonts w:ascii="Arial" w:cs="Arial" w:eastAsia="Arial" w:hAnsi="Arial"/>
          <w:sz w:val="15"/>
          <w:szCs w:val="15"/>
          <w:i w:val="1"/>
          <w:iCs w:val="1"/>
          <w:color w:val="auto"/>
        </w:rPr>
        <w:t>Sales and marketing</w:t>
      </w:r>
      <w:r>
        <w:rPr>
          <w:rFonts w:ascii="Arial" w:cs="Arial" w:eastAsia="Arial" w:hAnsi="Arial"/>
          <w:sz w:val="15"/>
          <w:szCs w:val="15"/>
          <w:color w:val="auto"/>
        </w:rPr>
        <w:t xml:space="preserve"> on our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Transaction-Related Expenses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expense is recorded when the employees are entitled to receive such benefits and the amount can be reasonably estimated. Transaction related bonuses and related employee retention costs are recognized over the relevant service period. Contract termination fees and penalties and other exit and disposal costs are generally recorded when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(refer to Note 7 - Goodwill and Acquired Intangible Assets).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three month periods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year ended December 31, 2021, we recorded impairment charges of $1.5 million to reduce the carrying value of our existing Waltham right-of-use asset and $1.2 million to reduce the carrying value of the related leasehold improvements to their respective fair values.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do not have any finance leases. Operating leases are recorded on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 term leases, defined as leases having an original lease term less than or equal to one year, are excluded from our right-of-use assets and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Arial" w:cs="Arial" w:eastAsia="Arial" w:hAnsi="Arial"/>
          <w:sz w:val="18"/>
          <w:szCs w:val="18"/>
          <w:i w:val="1"/>
          <w:iCs w:val="1"/>
          <w:color w:val="auto"/>
        </w:rPr>
        <w:t>Unearned revenue, current portion</w:t>
      </w:r>
      <w:r>
        <w:rPr>
          <w:rFonts w:ascii="Arial" w:cs="Arial" w:eastAsia="Arial" w:hAnsi="Arial"/>
          <w:sz w:val="18"/>
          <w:szCs w:val="18"/>
          <w:color w:val="auto"/>
        </w:rPr>
        <w:t xml:space="preserve"> and the remaining portion is included in </w:t>
      </w:r>
      <w:r>
        <w:rPr>
          <w:rFonts w:ascii="Arial" w:cs="Arial" w:eastAsia="Arial" w:hAnsi="Arial"/>
          <w:sz w:val="18"/>
          <w:szCs w:val="18"/>
          <w:i w:val="1"/>
          <w:iCs w:val="1"/>
          <w:color w:val="auto"/>
        </w:rPr>
        <w:t xml:space="preserve">Unearned revenue, net of current portion </w:t>
      </w:r>
      <w:r>
        <w:rPr>
          <w:rFonts w:ascii="Arial" w:cs="Arial" w:eastAsia="Arial" w:hAnsi="Arial"/>
          <w:sz w:val="18"/>
          <w:szCs w:val="18"/>
          <w:color w:val="auto"/>
        </w:rPr>
        <w:t>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Condensed Consolidated Balance Sheets as a direct deduction from the carrying amount of the outstanding borrowings, consistent with debt discounts. However, the Company classifies the debt issuance costs related to its first lien revolving credit facility within </w:t>
      </w:r>
      <w:r>
        <w:rPr>
          <w:rFonts w:ascii="Arial" w:cs="Arial" w:eastAsia="Arial" w:hAnsi="Arial"/>
          <w:sz w:val="15"/>
          <w:szCs w:val="15"/>
          <w:i w:val="1"/>
          <w:iCs w:val="1"/>
          <w:color w:val="auto"/>
        </w:rPr>
        <w:t>Deferred costs and other assets, net of current portion</w:t>
      </w:r>
      <w:r>
        <w:rPr>
          <w:rFonts w:ascii="Arial" w:cs="Arial" w:eastAsia="Arial" w:hAnsi="Arial"/>
          <w:sz w:val="15"/>
          <w:szCs w:val="15"/>
          <w:color w:val="auto"/>
        </w:rPr>
        <w:t xml:space="preserve"> on our Condensed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have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Arial" w:cs="Arial" w:eastAsia="Arial" w:hAnsi="Arial"/>
          <w:sz w:val="15"/>
          <w:szCs w:val="15"/>
          <w:i w:val="1"/>
          <w:iCs w:val="1"/>
          <w:color w:val="auto"/>
        </w:rPr>
        <w:t>Loss on debt modification and extinguishment</w:t>
      </w:r>
      <w:r>
        <w:rPr>
          <w:rFonts w:ascii="Arial" w:cs="Arial" w:eastAsia="Arial" w:hAnsi="Arial"/>
          <w:sz w:val="15"/>
          <w:szCs w:val="15"/>
          <w:color w:val="auto"/>
        </w:rPr>
        <w: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on our Condensed Consolidated Balance Sheets under the captions </w:t>
      </w:r>
      <w:r>
        <w:rPr>
          <w:rFonts w:ascii="Arial" w:cs="Arial" w:eastAsia="Arial" w:hAnsi="Arial"/>
          <w:sz w:val="17"/>
          <w:szCs w:val="17"/>
          <w:i w:val="1"/>
          <w:iCs w:val="1"/>
          <w:color w:val="auto"/>
        </w:rPr>
        <w:t>Current portion of tax receivable agreements liability</w:t>
      </w:r>
      <w:r>
        <w:rPr>
          <w:rFonts w:ascii="Arial" w:cs="Arial" w:eastAsia="Arial" w:hAnsi="Arial"/>
          <w:sz w:val="17"/>
          <w:szCs w:val="17"/>
          <w:color w:val="auto"/>
        </w:rPr>
        <w:t xml:space="preserve"> and </w:t>
      </w:r>
      <w:r>
        <w:rPr>
          <w:rFonts w:ascii="Arial" w:cs="Arial" w:eastAsia="Arial" w:hAnsi="Arial"/>
          <w:sz w:val="17"/>
          <w:szCs w:val="17"/>
          <w:i w:val="1"/>
          <w:iCs w:val="1"/>
          <w:color w:val="auto"/>
        </w:rPr>
        <w:t>Tax receivable agreements liability, net of current portion,</w:t>
      </w:r>
      <w:r>
        <w:rPr>
          <w:rFonts w:ascii="Arial" w:cs="Arial" w:eastAsia="Arial" w:hAnsi="Arial"/>
          <w:sz w:val="17"/>
          <w:szCs w:val="17"/>
          <w:color w:val="auto"/>
        </w:rPr>
        <w:t xml:space="preserve"> respectively. Subsequent changes to the measurement of the TRA liability are recognized on our Consolidated Statements of Operations as a component of </w:t>
      </w:r>
      <w:r>
        <w:rPr>
          <w:rFonts w:ascii="Arial" w:cs="Arial" w:eastAsia="Arial" w:hAnsi="Arial"/>
          <w:sz w:val="17"/>
          <w:szCs w:val="17"/>
          <w:i w:val="1"/>
          <w:iCs w:val="1"/>
          <w:color w:val="auto"/>
        </w:rPr>
        <w:t>Other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expense, net</w:t>
      </w:r>
      <w:r>
        <w:rPr>
          <w:rFonts w:ascii="Arial" w:cs="Arial" w:eastAsia="Arial" w:hAnsi="Arial"/>
          <w:sz w:val="17"/>
          <w:szCs w:val="17"/>
          <w:color w:val="auto"/>
        </w:rPr>
        <w:t>. Refer to Note 16 - Tax Receivable Agreements for further details on the TRA liability.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ZoomInfo Technologies Inc. is a corporation and has historically been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individually on their share of earnings for U.S. federal and state income tax purposes. During the three months ended December 31, 2021, ZoomInfo Technologies LLC, our operating entity below ZoomInfo Holdings LLC, made an election to be classified as a corporation for U.S. federal and state income taxes. As such, ZoomInfo Technologies LLC is now subject to U.S. federal and state income tax as a result of our operations. Refer to Note 17 - Income Taxes for additional information regarding income taxes.</w:t>
      </w:r>
    </w:p>
    <w:p>
      <w:pPr>
        <w:spacing w:after="0" w:line="1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periodically grants incentive awards to employees and non-employees, which generally vest over periods up to four years. Incentive awards may be in the form of various equity-based awards such as Restricted Stock and Restricted Stock Units, and Class A Common Stock Options. Historically, the Company also granted awards in one of the Company’s legacy subsidiary partnerships and such awards were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was determined by reference to the closing price of our Class A common stock from the preceding trading day. The holders of profits interests had the right to participate in distributions of profits only in excess of the participation threshold. Previously awarded profits interests were converted into Restricted Stock awards in connection with the elimination of the UP-C Corporate Structure and Multi-Class Voting Structure Elimination (refer to Note 1 - Organization and Background).</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4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1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March 2020, the Financial Accounting Standards Board (“FASB”) issued Accounting Standards Update (“ASU”) 2020-04, which provides optional expedients and exceptions for applying U.S.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Derivatives and Hedging,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In January 2021, the FASB issued ASU 2021-01, Reference Rate Reform (Topic 848): Scope, to provide supplemental guidance and to further clarify the scope of the amended guidance. The standards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requires contract assets and contract liabilities acquired in a business combination to be recognized and measured in accordance with ASC 606, Revenue from Contracts with Customers, as if the acquirer had originated the contract. The Update is intended to improve the accounting for acquired revenue contracts with customers in a business combination, related to the recognition of an acquired contract liability, and to payment terms and their effect on subsequent revenue recognized by the acquirer. The amendment also provides certain practical expedients when applying the guidance. ASU 2021-08 is effective for interim and annual periods beginning after December 15, 2022, on a prospective basis, with early adoption permitted. The company has elected to early adopt this standard, effective January 1, 2022. The adoption of this guidance did not have a material impact on our financial position, results of operations and cash flows.</w:t>
      </w:r>
    </w:p>
    <w:p>
      <w:pPr>
        <w:spacing w:after="0" w:line="12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The amendments in ASU 2019-12 introduce the following new guidance: (1) provides a policy election to not allocate consolidated income taxes when a member of a consolidated tax return is not subject to income tax; and (2) provides guidance to evaluate whether a step-up in tax basis of goodwill relates to a business combination in which book goodwill was recognized or a separate transaction. The amendments in ASU 2019-12 make changes to the following current guidance: (1) making an intraperiod allocation if there is a loss in continuing operations and a gain outside of continuing operations; (2) determining when a deferred tax liability is recognized after an investor in a foreign entity transitions to or from the equity method of accounting; (3) accounting for tax law changes and year-to-date losses in interim periods; and (4) determining how to apply the income tax guidance to franchise taxes that are partially based on income. ASU 2019-12 is effective for public business entities' fiscal years, including interim periods within those fiscal years, beginning after December 15, 2020 with early adoption permitted. During Q3 2021, the Company liquidated Insent, creating a step-up in the tax basis separate from the acquisition. In accordance with ASU2019-12, the Company recorded a DTA on this step-up in tax basis. The additional DTA recognized as of December 31, 2021 was $6.3 million as a result of the adoption of this standard.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 comprised the following service offerings: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4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ind w:right="69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tcPr>
          <w:p>
            <w:pPr>
              <w:jc w:val="right"/>
              <w:ind w:right="7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7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38"/>
        </w:trPr>
        <w:tc>
          <w:tcPr>
            <w:tcW w:w="7400" w:type="dxa"/>
            <w:vAlign w:val="bottom"/>
          </w:tcPr>
          <w:p>
            <w:pPr>
              <w:ind w:left="20"/>
              <w:spacing w:after="0"/>
              <w:rPr>
                <w:sz w:val="20"/>
                <w:szCs w:val="20"/>
                <w:color w:val="auto"/>
              </w:rPr>
            </w:pPr>
            <w:r>
              <w:rPr>
                <w:rFonts w:ascii="Arial" w:cs="Arial" w:eastAsia="Arial" w:hAnsi="Arial"/>
                <w:sz w:val="18"/>
                <w:szCs w:val="18"/>
                <w:color w:val="auto"/>
              </w:rPr>
              <w:t>Usage-based</w:t>
            </w:r>
          </w:p>
        </w:tc>
        <w:tc>
          <w:tcPr>
            <w:tcW w:w="4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
        </w:trPr>
        <w:tc>
          <w:tcPr>
            <w:tcW w:w="74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Usage-based revenue is comprised largely of email verification and intent-driven audience and targeting services,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Of the total revenue recognized in the three months ended March 31, 2022 and 2021, $172.6 million and $108.3 million were included in the unearned revenue balance as of December 31, 2021, and 2020 respectively. Revenue recognized from performance obligations satisfied (or partially satisfied) in previous periods was not material.</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Revenues derived from customers and partners located outside the United States, as determined based on the address provided by our customers and partners, accounted for approximately 12% and 10% of our total revenues for the three months ended March 31, 2022 and 2021, respectively. Contracts denominated in currencies other than U.S. Dollar were not material for the three months ended March 31, 2022 and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Unearned Revenue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As of March 31, 2022 and December 31, 2021, the Company had contract assets of $4.6 million and $3.7 million, respectively, which are recorded as current assets within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on our Condensed Consolidated Balance Sheets. As of March 31, 2022 and December 31, 2021, the Company had unearned revenue of $406.1 million and $364.2 million, respectively.</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45 months.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Recognized within one</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year</w:t>
            </w:r>
          </w:p>
        </w:tc>
        <w:tc>
          <w:tcPr>
            <w:tcW w:w="260" w:type="dxa"/>
            <w:vAlign w:val="bottom"/>
          </w:tcPr>
          <w:p>
            <w:pPr>
              <w:spacing w:after="0"/>
              <w:rPr>
                <w:sz w:val="15"/>
                <w:szCs w:val="15"/>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Pr>
          <w:p>
            <w:pPr>
              <w:spacing w:after="0"/>
              <w:rPr>
                <w:sz w:val="15"/>
                <w:szCs w:val="15"/>
                <w:color w:val="auto"/>
              </w:rPr>
            </w:pPr>
          </w:p>
        </w:tc>
        <w:tc>
          <w:tcPr>
            <w:tcW w:w="1200" w:type="dxa"/>
            <w:vAlign w:val="bottom"/>
          </w:tcPr>
          <w:p>
            <w:pPr>
              <w:jc w:val="right"/>
              <w:ind w:right="5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March 31, 2022</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715.0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8"/>
        </w:trPr>
        <w:tc>
          <w:tcPr>
            <w:tcW w:w="6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twelve months ended December 31, 2021, the Company consummated the following acquisitions (collectively, “2021 Acquired Companies”) which have been accounted for as business combinations under ASC Topic 805.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35" w:lineRule="exact"/>
        <w:rPr>
          <w:sz w:val="20"/>
          <w:szCs w:val="20"/>
          <w:color w:val="auto"/>
        </w:rPr>
      </w:pPr>
    </w:p>
    <w:p>
      <w:pPr>
        <w:jc w:val="both"/>
        <w:ind w:left="640" w:hanging="316"/>
        <w:spacing w:after="0" w:line="250"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June 7, 2021, the Company acquired all of the outstanding equity interests of Insent, Inc. (“Insent”) for total purchase consideration of $34.0 million, consisting of $32.9 million in cash and estimated deferred purchase consideration of $1.1 million. The purchase accounting for this transaction has been finalized. As part of the acquisition, the Company issued 36,118 RSUs, at a total grant date fair value of $2.4 million, and agreed to pay $2.0 million of incentive compensation to acquired employees, subject to continued employment, to be recognized in the post-combination periods.</w:t>
      </w:r>
    </w:p>
    <w:p>
      <w:pPr>
        <w:spacing w:after="0" w:line="140" w:lineRule="exact"/>
        <w:rPr>
          <w:rFonts w:ascii="Arial" w:cs="Arial" w:eastAsia="Arial" w:hAnsi="Arial"/>
          <w:sz w:val="18"/>
          <w:szCs w:val="18"/>
          <w:color w:val="auto"/>
        </w:rPr>
      </w:pPr>
    </w:p>
    <w:p>
      <w:pPr>
        <w:jc w:val="both"/>
        <w:ind w:left="640" w:hanging="316"/>
        <w:spacing w:after="0" w:line="264"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On July 12, 2021, the Company acquired substantially all of the net assets of AffectLayer, Inc. (d/b/a Chorus.ai) (“Chorus.ai”). At the time of purchase, the Company reserved a portion of cash transferred to settle the Seller’s estimated tax liability arising from the sale of Chorus.ai’s net assets. The Seller has since completed the final determination of its tax liability, resulting in a refund to the Company of approximately $33.9 million in cash, which was received in the fourth quarter of 2021 and previously included in the </w:t>
      </w:r>
      <w:r>
        <w:rPr>
          <w:rFonts w:ascii="Arial" w:cs="Arial" w:eastAsia="Arial" w:hAnsi="Arial"/>
          <w:sz w:val="17"/>
          <w:szCs w:val="17"/>
          <w:i w:val="1"/>
          <w:iCs w:val="1"/>
          <w:color w:val="auto"/>
        </w:rPr>
        <w:t>Prepaid expenses and other current assets</w:t>
      </w:r>
      <w:r>
        <w:rPr>
          <w:rFonts w:ascii="Arial" w:cs="Arial" w:eastAsia="Arial" w:hAnsi="Arial"/>
          <w:sz w:val="17"/>
          <w:szCs w:val="17"/>
          <w:color w:val="auto"/>
        </w:rPr>
        <w:t xml:space="preserve"> balance. After adjustment for this refund, purchase consideration transferred for the assets of Chorus.ai is $547.4 million in cash. The total purchase consideration includes $31.8 million attributable to certain unvested options issued by Chorus.ai that were accelerated in contemplation of the acquisition by ZoomInfo. The purchase accounting for this transaction has been finalized. As part of the acquisition, the Company issued 572,921 RSUs that replaced previously unvested equity in Chorus.ai or were issued as incremental incentive grants at a total grant date fair value of $30.3 million, and agreed to pay $6.0 million of compensation to acquired employees, subject to continued employment, to be recognized in the post-combination periods.</w:t>
      </w:r>
    </w:p>
    <w:p>
      <w:pPr>
        <w:spacing w:after="0" w:line="128" w:lineRule="exact"/>
        <w:rPr>
          <w:rFonts w:ascii="Arial" w:cs="Arial" w:eastAsia="Arial" w:hAnsi="Arial"/>
          <w:sz w:val="17"/>
          <w:szCs w:val="17"/>
          <w:color w:val="auto"/>
        </w:rPr>
      </w:pPr>
    </w:p>
    <w:p>
      <w:pPr>
        <w:jc w:val="both"/>
        <w:ind w:left="640" w:hanging="316"/>
        <w:spacing w:after="0" w:line="250"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September 8, 2021, the Company acquired substantially all of the net assets of RingLead, Inc. (“RingLead”) for total purchase consideration of $116.0 million, consisting of $114.9 million in cash and estimated deferred purchase consideration of $1.1 million. The purchase accounting for this transaction has been finalized. As part of the acquisition, the Company issued 42,854 replacement RSUs, at a total grant date fair value of $2.8 million and agreed to pay $3.7 million of incentive compensation to acquired employees, subject to continued employment, to be recognized in the post-combination periods.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included the financial results of the 2021 Acquired Companies in the consolidated financial statements from each date of acquisition. During the twelve months ended December 31, 2021, the 2021 Acquired Companies contributed $13.2 million to revenue. Due to the integration of the 2021 Acquired Companies into the operations of ZoomInfo, the Company cannot practicably determine the contribution of the 2021 Acquired Companies to consolidated net earnings. Transaction costs associated with each acquisition were not material.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Preliminary Fair Value</w:t>
            </w:r>
          </w:p>
        </w:tc>
        <w:tc>
          <w:tcPr>
            <w:tcW w:w="14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Measurement Period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Adjusted Fair Value at</w:t>
            </w:r>
          </w:p>
        </w:tc>
      </w:tr>
      <w:tr>
        <w:trPr>
          <w:trHeight w:val="184"/>
        </w:trPr>
        <w:tc>
          <w:tcPr>
            <w:tcW w:w="6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at Acquisition Date</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5"/>
                <w:szCs w:val="15"/>
                <w:color w:val="auto"/>
              </w:rPr>
            </w:pPr>
          </w:p>
        </w:tc>
        <w:tc>
          <w:tcPr>
            <w:tcW w:w="1360" w:type="dxa"/>
            <w:vAlign w:val="bottom"/>
          </w:tcPr>
          <w:p>
            <w:pPr>
              <w:jc w:val="right"/>
              <w:ind w:right="176"/>
              <w:spacing w:after="0"/>
              <w:rPr>
                <w:sz w:val="20"/>
                <w:szCs w:val="20"/>
                <w:color w:val="auto"/>
              </w:rPr>
            </w:pPr>
            <w:r>
              <w:rPr>
                <w:rFonts w:ascii="Arial" w:cs="Arial" w:eastAsia="Arial" w:hAnsi="Arial"/>
                <w:sz w:val="14"/>
                <w:szCs w:val="14"/>
                <w:b w:val="1"/>
                <w:bCs w:val="1"/>
                <w:color w:val="auto"/>
                <w:w w:val="97"/>
              </w:rPr>
              <w:t>Acquisition Date</w:t>
            </w:r>
          </w:p>
        </w:tc>
      </w:tr>
      <w:tr>
        <w:trPr>
          <w:trHeight w:val="24"/>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695.2</w:t>
            </w: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Deferred purchase consideration</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6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purchase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aggregate fair values of the assets acquired and liabilities assumed, as of the dates of the acquisition for the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Acquired Companies, as adjusted in the fourth quarter of 2021 and the first quarter of 2022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Preliminary Fair Value</w:t>
            </w:r>
          </w:p>
        </w:tc>
        <w:tc>
          <w:tcPr>
            <w:tcW w:w="14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Measurement Period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Adjusted Fair Value at</w:t>
            </w:r>
          </w:p>
        </w:tc>
      </w:tr>
      <w:tr>
        <w:trPr>
          <w:trHeight w:val="184"/>
        </w:trPr>
        <w:tc>
          <w:tcPr>
            <w:tcW w:w="6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at Acquisition Date</w:t>
            </w: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5"/>
                <w:szCs w:val="15"/>
                <w:color w:val="auto"/>
              </w:rPr>
            </w:pPr>
          </w:p>
        </w:tc>
        <w:tc>
          <w:tcPr>
            <w:tcW w:w="1360" w:type="dxa"/>
            <w:vAlign w:val="bottom"/>
          </w:tcPr>
          <w:p>
            <w:pPr>
              <w:jc w:val="right"/>
              <w:ind w:right="173"/>
              <w:spacing w:after="0"/>
              <w:rPr>
                <w:sz w:val="20"/>
                <w:szCs w:val="20"/>
                <w:color w:val="auto"/>
              </w:rPr>
            </w:pPr>
            <w:r>
              <w:rPr>
                <w:rFonts w:ascii="Arial" w:cs="Arial" w:eastAsia="Arial" w:hAnsi="Arial"/>
                <w:sz w:val="14"/>
                <w:szCs w:val="14"/>
                <w:b w:val="1"/>
                <w:bCs w:val="1"/>
                <w:color w:val="auto"/>
                <w:w w:val="97"/>
              </w:rPr>
              <w:t>Acquisition Date</w:t>
            </w:r>
          </w:p>
        </w:tc>
      </w:tr>
      <w:tr>
        <w:trPr>
          <w:trHeight w:val="24"/>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8"/>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8"/>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8"/>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1"/>
        </w:trPr>
        <w:tc>
          <w:tcPr>
            <w:tcW w:w="6400" w:type="dxa"/>
            <w:vAlign w:val="bottom"/>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124.2</w:t>
            </w:r>
          </w:p>
        </w:tc>
      </w:tr>
      <w:tr>
        <w:trPr>
          <w:trHeight w:val="28"/>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r>
      <w:tr>
        <w:trPr>
          <w:trHeight w:val="231"/>
        </w:trPr>
        <w:tc>
          <w:tcPr>
            <w:tcW w:w="6400" w:type="dxa"/>
            <w:vAlign w:val="bottom"/>
          </w:tcPr>
          <w:p>
            <w:pPr>
              <w:ind w:left="240"/>
              <w:spacing w:after="0"/>
              <w:rPr>
                <w:sz w:val="20"/>
                <w:szCs w:val="20"/>
                <w:color w:val="auto"/>
              </w:rPr>
            </w:pPr>
            <w:r>
              <w:rPr>
                <w:rFonts w:ascii="Arial" w:cs="Arial" w:eastAsia="Arial" w:hAnsi="Arial"/>
                <w:sz w:val="18"/>
                <w:szCs w:val="18"/>
                <w:color w:val="auto"/>
              </w:rPr>
              <w:t>Total consideration</w:t>
            </w: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699.9</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697.4</w:t>
            </w:r>
          </w:p>
        </w:tc>
      </w:tr>
      <w:tr>
        <w:trPr>
          <w:trHeight w:val="28"/>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refund from Chorus.ai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Deferred consideration</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Accruals from adjustments to working capital balances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400" w:type="dxa"/>
            <w:vAlign w:val="bottom"/>
          </w:tcPr>
          <w:p>
            <w:pPr>
              <w:ind w:left="340"/>
              <w:spacing w:after="0"/>
              <w:rPr>
                <w:sz w:val="20"/>
                <w:szCs w:val="20"/>
                <w:color w:val="auto"/>
              </w:rPr>
            </w:pPr>
            <w:r>
              <w:rPr>
                <w:rFonts w:ascii="Arial" w:cs="Arial" w:eastAsia="Arial" w:hAnsi="Arial"/>
                <w:sz w:val="18"/>
                <w:szCs w:val="18"/>
                <w:color w:val="auto"/>
              </w:rPr>
              <w:t>Accruals from adjustments to tax liabilities</w:t>
            </w:r>
          </w:p>
        </w:tc>
        <w:tc>
          <w:tcPr>
            <w:tcW w:w="16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8"/>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acquired</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1"/>
        </w:trPr>
        <w:tc>
          <w:tcPr>
            <w:tcW w:w="640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717.2</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681.8</w:t>
            </w:r>
          </w:p>
        </w:tc>
      </w:tr>
      <w:tr>
        <w:trPr>
          <w:trHeight w:val="28"/>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6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Cash paid (received) for acquisitions in 2021</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683.9</w:t>
            </w:r>
          </w:p>
        </w:tc>
      </w:tr>
      <w:tr>
        <w:trPr>
          <w:trHeight w:val="28"/>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(received) for acquisitions in 2022</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8"/>
        </w:trPr>
        <w:tc>
          <w:tcPr>
            <w:tcW w:w="64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Preliminary Fair Value</w:t>
            </w:r>
          </w:p>
        </w:tc>
        <w:tc>
          <w:tcPr>
            <w:tcW w:w="14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Measurement Period</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7"/>
              </w:rPr>
              <w:t>Adjusted Fair Value at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r>
      <w:tr>
        <w:trPr>
          <w:trHeight w:val="184"/>
        </w:trPr>
        <w:tc>
          <w:tcPr>
            <w:tcW w:w="4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at Acquisition Date</w:t>
            </w:r>
          </w:p>
        </w:tc>
        <w:tc>
          <w:tcPr>
            <w:tcW w:w="14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5"/>
                <w:szCs w:val="15"/>
                <w:color w:val="auto"/>
              </w:rPr>
            </w:pPr>
          </w:p>
        </w:tc>
        <w:tc>
          <w:tcPr>
            <w:tcW w:w="1360" w:type="dxa"/>
            <w:vAlign w:val="bottom"/>
          </w:tcPr>
          <w:p>
            <w:pPr>
              <w:jc w:val="right"/>
              <w:ind w:right="195"/>
              <w:spacing w:after="0"/>
              <w:rPr>
                <w:sz w:val="20"/>
                <w:szCs w:val="20"/>
                <w:color w:val="auto"/>
              </w:rPr>
            </w:pPr>
            <w:r>
              <w:rPr>
                <w:rFonts w:ascii="Arial" w:cs="Arial" w:eastAsia="Arial" w:hAnsi="Arial"/>
                <w:sz w:val="14"/>
                <w:szCs w:val="14"/>
                <w:b w:val="1"/>
                <w:bCs w:val="1"/>
                <w:color w:val="auto"/>
                <w:w w:val="95"/>
              </w:rPr>
              <w:t>Acquisition Date</w:t>
            </w: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4"/>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r>
      <w:tr>
        <w:trPr>
          <w:trHeight w:val="238"/>
        </w:trPr>
        <w:tc>
          <w:tcPr>
            <w:tcW w:w="47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6.1 years</w:t>
            </w:r>
          </w:p>
        </w:tc>
      </w:tr>
      <w:tr>
        <w:trPr>
          <w:trHeight w:val="28"/>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7.7 years</w:t>
            </w:r>
          </w:p>
        </w:tc>
      </w:tr>
      <w:tr>
        <w:trPr>
          <w:trHeight w:val="258"/>
        </w:trPr>
        <w:tc>
          <w:tcPr>
            <w:tcW w:w="470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twelve months ended December 31, 2021 is expected to be deductible for U.S.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 for the 2021 Acquisitions</w:t>
      </w:r>
    </w:p>
    <w:p>
      <w:pPr>
        <w:spacing w:after="0" w:line="164" w:lineRule="exact"/>
        <w:rPr>
          <w:sz w:val="20"/>
          <w:szCs w:val="20"/>
          <w:color w:val="auto"/>
        </w:rPr>
      </w:pPr>
    </w:p>
    <w:p>
      <w:pPr>
        <w:jc w:val="both"/>
        <w:ind w:right="80" w:firstLine="318"/>
        <w:spacing w:after="0" w:line="309" w:lineRule="auto"/>
        <w:rPr>
          <w:sz w:val="20"/>
          <w:szCs w:val="20"/>
          <w:color w:val="auto"/>
        </w:rPr>
      </w:pPr>
      <w:r>
        <w:rPr>
          <w:rFonts w:ascii="Arial" w:cs="Arial" w:eastAsia="Arial" w:hAnsi="Arial"/>
          <w:sz w:val="15"/>
          <w:szCs w:val="15"/>
          <w:color w:val="auto"/>
        </w:rPr>
        <w:t>The following table presents the unaudited pro forma results for the years ended December 31, 2021 and 2020. The unaudited pro forma financial information combines the results of operations of the 2021 Acquired Companies and ZoomInfo as though each of the acquisitions had been completed on January 1, 2020. The pro forma information is presented for informational purposes only and is not indicative of the results of operations that would have been achieved if the acquisitions had taken place at such time. The unaudited pro forma results presented below primarily include adjustments for amortization of identifiable intangible assets, the valuation of deferred revenue assumed in the acquisitions (“the deferred revenue write-down”), interest expense, aggregate transaction expenses and transaction success bonuses of $12.6 million, equity-based compensation, and related tax effects of the adjustments: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7400" w:type="dxa"/>
            <w:vAlign w:val="bottom"/>
            <w:vMerge w:val="continue"/>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jc w:val="right"/>
              <w:ind w:right="71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
        </w:trPr>
        <w:tc>
          <w:tcPr>
            <w:tcW w:w="74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00" w:type="dxa"/>
            <w:vAlign w:val="bottom"/>
            <w:tcBorders>
              <w:bottom w:val="single" w:sz="8" w:color="CCEEFF"/>
            </w:tcBorders>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7"/>
              </w:rPr>
              <w:t>490.6</w:t>
            </w:r>
          </w:p>
        </w:tc>
        <w:tc>
          <w:tcPr>
            <w:tcW w:w="0" w:type="dxa"/>
            <w:vAlign w:val="bottom"/>
          </w:tcPr>
          <w:p>
            <w:pPr>
              <w:spacing w:after="0"/>
              <w:rPr>
                <w:sz w:val="1"/>
                <w:szCs w:val="1"/>
                <w:color w:val="auto"/>
              </w:rPr>
            </w:pPr>
          </w:p>
        </w:tc>
      </w:tr>
      <w:tr>
        <w:trPr>
          <w:trHeight w:val="238"/>
        </w:trPr>
        <w:tc>
          <w:tcPr>
            <w:tcW w:w="7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640"/>
              <w:spacing w:after="0"/>
              <w:rPr>
                <w:sz w:val="20"/>
                <w:szCs w:val="20"/>
                <w:color w:val="auto"/>
              </w:rPr>
            </w:pPr>
            <w:r>
              <w:rPr>
                <w:rFonts w:ascii="Arial" w:cs="Arial" w:eastAsia="Arial" w:hAnsi="Arial"/>
                <w:sz w:val="18"/>
                <w:szCs w:val="18"/>
                <w:color w:val="auto"/>
                <w:w w:val="93"/>
              </w:rPr>
              <w:t>(78.8)</w:t>
            </w:r>
          </w:p>
        </w:tc>
        <w:tc>
          <w:tcPr>
            <w:tcW w:w="0" w:type="dxa"/>
            <w:vAlign w:val="bottom"/>
          </w:tcPr>
          <w:p>
            <w:pPr>
              <w:spacing w:after="0"/>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short-term investments consisted of the following as of March 31, 2022:</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360" w:type="dxa"/>
            <w:vAlign w:val="bottom"/>
            <w:vMerge w:val="restart"/>
          </w:tcPr>
          <w:p>
            <w:pPr>
              <w:ind w:left="10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Estimated Fair</w:t>
            </w:r>
          </w:p>
        </w:tc>
        <w:tc>
          <w:tcPr>
            <w:tcW w:w="0" w:type="dxa"/>
            <w:vAlign w:val="bottom"/>
          </w:tcPr>
          <w:p>
            <w:pPr>
              <w:spacing w:after="0"/>
              <w:rPr>
                <w:sz w:val="1"/>
                <w:szCs w:val="1"/>
                <w:color w:val="auto"/>
              </w:rPr>
            </w:pPr>
          </w:p>
        </w:tc>
      </w:tr>
      <w:tr>
        <w:trPr>
          <w:trHeight w:val="184"/>
        </w:trPr>
        <w:tc>
          <w:tcPr>
            <w:tcW w:w="5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8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15"/>
                <w:szCs w:val="15"/>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30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8"/>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4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Money market mutual funds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8"/>
        </w:trPr>
        <w:tc>
          <w:tcPr>
            <w:tcW w:w="5360" w:type="dxa"/>
            <w:vAlign w:val="bottom"/>
          </w:tcPr>
          <w:p>
            <w:pPr>
              <w:ind w:left="400"/>
              <w:spacing w:after="0"/>
              <w:rPr>
                <w:sz w:val="20"/>
                <w:szCs w:val="20"/>
                <w:color w:val="auto"/>
              </w:rPr>
            </w:pPr>
            <w:r>
              <w:rPr>
                <w:rFonts w:ascii="Arial" w:cs="Arial" w:eastAsia="Arial" w:hAnsi="Arial"/>
                <w:sz w:val="18"/>
                <w:szCs w:val="18"/>
                <w:color w:val="auto"/>
              </w:rPr>
              <w:t>Securities guaranteed by U.S. government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1"/>
        </w:trPr>
        <w:tc>
          <w:tcPr>
            <w:tcW w:w="5360" w:type="dxa"/>
            <w:vAlign w:val="bottom"/>
          </w:tcPr>
          <w:p>
            <w:pPr>
              <w:ind w:left="40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8"/>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40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8"/>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Securities guaranteed by U.S. government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8"/>
        </w:trPr>
        <w:tc>
          <w:tcPr>
            <w:tcW w:w="5360" w:type="dxa"/>
            <w:vAlign w:val="bottom"/>
          </w:tcPr>
          <w:p>
            <w:pPr>
              <w:ind w:left="400"/>
              <w:spacing w:after="0"/>
              <w:rPr>
                <w:sz w:val="20"/>
                <w:szCs w:val="20"/>
                <w:color w:val="auto"/>
              </w:rPr>
            </w:pPr>
            <w:r>
              <w:rPr>
                <w:rFonts w:ascii="Arial" w:cs="Arial" w:eastAsia="Arial" w:hAnsi="Arial"/>
                <w:sz w:val="18"/>
                <w:szCs w:val="18"/>
                <w:color w:val="auto"/>
              </w:rPr>
              <w:t>Other governmental securities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8"/>
        </w:trPr>
        <w:tc>
          <w:tcPr>
            <w:tcW w:w="5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short-term investments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8"/>
        </w:trPr>
        <w:tc>
          <w:tcPr>
            <w:tcW w:w="5360" w:type="dxa"/>
            <w:vAlign w:val="bottom"/>
          </w:tcPr>
          <w:p>
            <w:pPr>
              <w:ind w:left="100"/>
              <w:spacing w:after="0"/>
              <w:rPr>
                <w:sz w:val="20"/>
                <w:szCs w:val="20"/>
                <w:color w:val="auto"/>
              </w:rPr>
            </w:pPr>
            <w:r>
              <w:rPr>
                <w:rFonts w:ascii="Arial" w:cs="Arial" w:eastAsia="Arial" w:hAnsi="Arial"/>
                <w:sz w:val="18"/>
                <w:szCs w:val="18"/>
                <w:color w:val="auto"/>
              </w:rPr>
              <w:t>Total cash, cash equivalents, and short-term investments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short-term investments consisted of the following as of December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24"/>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18"/>
        </w:trPr>
        <w:tc>
          <w:tcPr>
            <w:tcW w:w="556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8"/>
        </w:trPr>
        <w:tc>
          <w:tcPr>
            <w:tcW w:w="5560" w:type="dxa"/>
            <w:vAlign w:val="bottom"/>
          </w:tcPr>
          <w:p>
            <w:pPr>
              <w:ind w:left="320"/>
              <w:spacing w:after="0"/>
              <w:rPr>
                <w:sz w:val="20"/>
                <w:szCs w:val="20"/>
                <w:color w:val="auto"/>
              </w:rPr>
            </w:pPr>
            <w:r>
              <w:rPr>
                <w:rFonts w:ascii="Arial" w:cs="Arial" w:eastAsia="Arial" w:hAnsi="Arial"/>
                <w:sz w:val="18"/>
                <w:szCs w:val="18"/>
                <w:color w:val="auto"/>
              </w:rPr>
              <w:t>Money market mutual funds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8"/>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1"/>
        </w:trPr>
        <w:tc>
          <w:tcPr>
            <w:tcW w:w="5560" w:type="dxa"/>
            <w:vAlign w:val="bottom"/>
          </w:tcPr>
          <w:p>
            <w:pPr>
              <w:ind w:left="3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8"/>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60" w:type="dxa"/>
            <w:vAlign w:val="bottom"/>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8"/>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8"/>
        </w:trPr>
        <w:tc>
          <w:tcPr>
            <w:tcW w:w="5560" w:type="dxa"/>
            <w:vAlign w:val="bottom"/>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Refer to Note 10 - Fair Value for further information regarding the fair value of our financial instruments.</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unrealized losses on our available-for sale securities were immaterial at March 31, 2022 and December 31, 2021.</w:t>
      </w:r>
    </w:p>
    <w:p>
      <w:pPr>
        <w:spacing w:after="0" w:line="2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cost and estimated fair value of the securities classified as short-term investments based on stated effective maturities as of March 31, 2022 and December 31, 2021:</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5"/>
                <w:szCs w:val="15"/>
                <w:color w:val="auto"/>
              </w:rPr>
            </w:pPr>
          </w:p>
        </w:tc>
        <w:tc>
          <w:tcPr>
            <w:tcW w:w="4020" w:type="dxa"/>
            <w:vAlign w:val="bottom"/>
            <w:gridSpan w:val="4"/>
          </w:tcPr>
          <w:p>
            <w:pPr>
              <w:ind w:left="1500"/>
              <w:spacing w:after="0"/>
              <w:rPr>
                <w:sz w:val="20"/>
                <w:szCs w:val="20"/>
                <w:color w:val="auto"/>
              </w:rPr>
            </w:pPr>
            <w:r>
              <w:rPr>
                <w:rFonts w:ascii="Arial" w:cs="Arial" w:eastAsia="Arial" w:hAnsi="Arial"/>
                <w:sz w:val="14"/>
                <w:szCs w:val="14"/>
                <w:b w:val="1"/>
                <w:bCs w:val="1"/>
                <w:color w:val="auto"/>
              </w:rPr>
              <w:t>March 31, 2022</w:t>
            </w:r>
          </w:p>
        </w:tc>
        <w:tc>
          <w:tcPr>
            <w:tcW w:w="3940" w:type="dxa"/>
            <w:vAlign w:val="bottom"/>
            <w:gridSpan w:val="3"/>
          </w:tcPr>
          <w:p>
            <w:pPr>
              <w:jc w:val="right"/>
              <w:ind w:right="131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3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280" w:type="dxa"/>
            <w:vAlign w:val="bottom"/>
            <w:vMerge w:val="continue"/>
          </w:tcPr>
          <w:p>
            <w:pPr>
              <w:spacing w:after="0"/>
              <w:rPr>
                <w:sz w:val="19"/>
                <w:szCs w:val="19"/>
                <w:color w:val="auto"/>
              </w:rPr>
            </w:pPr>
          </w:p>
        </w:tc>
        <w:tc>
          <w:tcPr>
            <w:tcW w:w="2020" w:type="dxa"/>
            <w:vAlign w:val="bottom"/>
            <w:gridSpan w:val="2"/>
          </w:tcPr>
          <w:p>
            <w:pPr>
              <w:ind w:left="480"/>
              <w:spacing w:after="0"/>
              <w:rPr>
                <w:sz w:val="20"/>
                <w:szCs w:val="20"/>
                <w:color w:val="auto"/>
              </w:rPr>
            </w:pPr>
            <w:r>
              <w:rPr>
                <w:rFonts w:ascii="Arial" w:cs="Arial" w:eastAsia="Arial" w:hAnsi="Arial"/>
                <w:sz w:val="14"/>
                <w:szCs w:val="14"/>
                <w:b w:val="1"/>
                <w:bCs w:val="1"/>
                <w:color w:val="auto"/>
              </w:rPr>
              <w:t>Amortized Cost</w:t>
            </w:r>
          </w:p>
        </w:tc>
        <w:tc>
          <w:tcPr>
            <w:tcW w:w="2000" w:type="dxa"/>
            <w:vAlign w:val="bottom"/>
            <w:gridSpan w:val="2"/>
          </w:tcPr>
          <w:p>
            <w:pPr>
              <w:ind w:left="320"/>
              <w:spacing w:after="0"/>
              <w:rPr>
                <w:sz w:val="20"/>
                <w:szCs w:val="20"/>
                <w:color w:val="auto"/>
              </w:rPr>
            </w:pPr>
            <w:r>
              <w:rPr>
                <w:rFonts w:ascii="Arial" w:cs="Arial" w:eastAsia="Arial" w:hAnsi="Arial"/>
                <w:sz w:val="14"/>
                <w:szCs w:val="14"/>
                <w:b w:val="1"/>
                <w:bCs w:val="1"/>
                <w:color w:val="auto"/>
              </w:rPr>
              <w:t>Estimated Fair Value</w:t>
            </w:r>
          </w:p>
        </w:tc>
        <w:tc>
          <w:tcPr>
            <w:tcW w:w="2020" w:type="dxa"/>
            <w:vAlign w:val="bottom"/>
            <w:gridSpan w:val="2"/>
          </w:tcPr>
          <w:p>
            <w:pPr>
              <w:ind w:left="500"/>
              <w:spacing w:after="0"/>
              <w:rPr>
                <w:sz w:val="20"/>
                <w:szCs w:val="20"/>
                <w:color w:val="auto"/>
              </w:rPr>
            </w:pPr>
            <w:r>
              <w:rPr>
                <w:rFonts w:ascii="Arial" w:cs="Arial" w:eastAsia="Arial" w:hAnsi="Arial"/>
                <w:sz w:val="14"/>
                <w:szCs w:val="14"/>
                <w:b w:val="1"/>
                <w:bCs w:val="1"/>
                <w:color w:val="auto"/>
              </w:rPr>
              <w:t>Amortized Cost</w:t>
            </w:r>
          </w:p>
        </w:tc>
        <w:tc>
          <w:tcPr>
            <w:tcW w:w="1920" w:type="dxa"/>
            <w:vAlign w:val="bottom"/>
          </w:tcPr>
          <w:p>
            <w:pPr>
              <w:jc w:val="right"/>
              <w:ind w:right="238"/>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4"/>
        </w:trPr>
        <w:tc>
          <w:tcPr>
            <w:tcW w:w="32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92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w w:val="88"/>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58"/>
        </w:trPr>
        <w:tc>
          <w:tcPr>
            <w:tcW w:w="3280" w:type="dxa"/>
            <w:vAlign w:val="bottom"/>
          </w:tcPr>
          <w:p>
            <w:pPr>
              <w:ind w:left="20"/>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tcPr>
          <w:p>
            <w:pPr>
              <w:ind w:left="1500"/>
              <w:spacing w:after="0"/>
              <w:rPr>
                <w:sz w:val="20"/>
                <w:szCs w:val="20"/>
                <w:color w:val="auto"/>
              </w:rPr>
            </w:pPr>
            <w:r>
              <w:rPr>
                <w:rFonts w:ascii="Arial" w:cs="Arial" w:eastAsia="Arial" w:hAnsi="Arial"/>
                <w:sz w:val="18"/>
                <w:szCs w:val="18"/>
                <w:color w:val="auto"/>
                <w:w w:val="88"/>
              </w:rPr>
              <w:t>$12.4</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fixed assets consist of the following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5"/>
                <w:szCs w:val="15"/>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r>
      <w:tr>
        <w:trPr>
          <w:trHeight w:val="212"/>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4"/>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8"/>
        </w:trPr>
        <w:tc>
          <w:tcPr>
            <w:tcW w:w="82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8"/>
        </w:trPr>
        <w:tc>
          <w:tcPr>
            <w:tcW w:w="8240" w:type="dxa"/>
            <w:vAlign w:val="bottom"/>
          </w:tcPr>
          <w:p>
            <w:pPr>
              <w:ind w:left="20"/>
              <w:spacing w:after="0"/>
              <w:rPr>
                <w:sz w:val="20"/>
                <w:szCs w:val="20"/>
                <w:color w:val="auto"/>
              </w:rPr>
            </w:pPr>
            <w:r>
              <w:rPr>
                <w:rFonts w:ascii="Arial" w:cs="Arial" w:eastAsia="Arial" w:hAnsi="Arial"/>
                <w:sz w:val="18"/>
                <w:szCs w:val="18"/>
                <w:color w:val="auto"/>
              </w:rPr>
              <w:t>Internal use developed software</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1"/>
        </w:trPr>
        <w:tc>
          <w:tcPr>
            <w:tcW w:w="82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w:t>
            </w:r>
          </w:p>
        </w:tc>
      </w:tr>
      <w:tr>
        <w:trPr>
          <w:trHeight w:val="28"/>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58"/>
        </w:trPr>
        <w:tc>
          <w:tcPr>
            <w:tcW w:w="824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During the fiscal year ending December 31, 2021, in relation to our Waltham office relocation, we recorded an impairment charge of $2.7 million, comprised of $1.5 million relating to the operating lease right-of-use asset, and $1.2 million relating to the leasehold improvements. We also recorded accelerated depreciation of furniture and fixtures of $2.1 million, of which $1.3 million was recorded during the three months ended March 31, 2021. These charges were recognized within </w:t>
      </w:r>
      <w:r>
        <w:rPr>
          <w:rFonts w:ascii="Arial" w:cs="Arial" w:eastAsia="Arial" w:hAnsi="Arial"/>
          <w:sz w:val="17"/>
          <w:szCs w:val="17"/>
          <w:i w:val="1"/>
          <w:iCs w:val="1"/>
          <w:color w:val="auto"/>
        </w:rPr>
        <w:t>Restructuring and transaction-related expenses</w:t>
      </w:r>
      <w:r>
        <w:rPr>
          <w:rFonts w:ascii="Arial" w:cs="Arial" w:eastAsia="Arial" w:hAnsi="Arial"/>
          <w:sz w:val="17"/>
          <w:szCs w:val="17"/>
          <w:color w:val="auto"/>
        </w:rPr>
        <w:t xml:space="preserve"> on our Consolidated Statements of Operations.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Depreciation expense was $3.5 million and $3.9 million for the three months ended March 31, 2022 and 2021,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consisted of the following as of March 31,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59"/>
        </w:trPr>
        <w:tc>
          <w:tcPr>
            <w:tcW w:w="46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40"/>
              <w:spacing w:after="0" w:line="159" w:lineRule="exact"/>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Amortization Period in</w:t>
            </w:r>
          </w:p>
        </w:tc>
        <w:tc>
          <w:tcPr>
            <w:tcW w:w="0" w:type="dxa"/>
            <w:vAlign w:val="bottom"/>
          </w:tcPr>
          <w:p>
            <w:pPr>
              <w:spacing w:after="0"/>
              <w:rPr>
                <w:sz w:val="1"/>
                <w:szCs w:val="1"/>
                <w:color w:val="auto"/>
              </w:rPr>
            </w:pPr>
          </w:p>
        </w:tc>
      </w:tr>
      <w:tr>
        <w:trPr>
          <w:trHeight w:val="184"/>
        </w:trPr>
        <w:tc>
          <w:tcPr>
            <w:tcW w:w="4640" w:type="dxa"/>
            <w:vAlign w:val="bottom"/>
            <w:vMerge w:val="continue"/>
          </w:tcPr>
          <w:p>
            <w:pPr>
              <w:spacing w:after="0"/>
              <w:rPr>
                <w:sz w:val="15"/>
                <w:szCs w:val="15"/>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Pr>
          <w:p>
            <w:pPr>
              <w:spacing w:after="0"/>
              <w:rPr>
                <w:sz w:val="15"/>
                <w:szCs w:val="15"/>
                <w:color w:val="auto"/>
              </w:rPr>
            </w:pPr>
          </w:p>
        </w:tc>
        <w:tc>
          <w:tcPr>
            <w:tcW w:w="13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Net</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4"/>
        </w:trPr>
        <w:tc>
          <w:tcPr>
            <w:tcW w:w="4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5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284.2</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207.4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640" w:type="dxa"/>
            <w:vAlign w:val="bottom"/>
          </w:tcPr>
          <w:p>
            <w:pPr>
              <w:ind w:left="220"/>
              <w:spacing w:after="0"/>
              <w:rPr>
                <w:sz w:val="20"/>
                <w:szCs w:val="20"/>
                <w:color w:val="auto"/>
              </w:rPr>
            </w:pPr>
            <w:r>
              <w:rPr>
                <w:rFonts w:ascii="Arial" w:cs="Arial" w:eastAsia="Arial" w:hAnsi="Arial"/>
                <w:sz w:val="18"/>
                <w:szCs w:val="18"/>
                <w:color w:val="auto"/>
              </w:rPr>
              <w:t>Brand portfolio</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8"/>
        </w:trPr>
        <w:tc>
          <w:tcPr>
            <w:tcW w:w="4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4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29"/>
        </w:trPr>
        <w:tc>
          <w:tcPr>
            <w:tcW w:w="9740" w:type="dxa"/>
            <w:vAlign w:val="bottom"/>
            <w:gridSpan w:val="12"/>
          </w:tcPr>
          <w:p>
            <w:pPr>
              <w:ind w:left="320"/>
              <w:spacing w:after="0"/>
              <w:rPr>
                <w:sz w:val="20"/>
                <w:szCs w:val="20"/>
                <w:color w:val="auto"/>
              </w:rPr>
            </w:pPr>
            <w:r>
              <w:rPr>
                <w:rFonts w:ascii="Arial" w:cs="Arial" w:eastAsia="Arial" w:hAnsi="Arial"/>
                <w:sz w:val="18"/>
                <w:szCs w:val="18"/>
                <w:color w:val="auto"/>
                <w:w w:val="94"/>
              </w:rPr>
              <w:t>Amortization expense was $16.5 million and $11.6 million for the three months ended March 31, 2022 and 2021, respectively.</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320" w:type="dxa"/>
            <w:vAlign w:val="bottom"/>
            <w:gridSpan w:val="4"/>
          </w:tcPr>
          <w:p>
            <w:pPr>
              <w:ind w:left="320"/>
              <w:spacing w:after="0"/>
              <w:rPr>
                <w:sz w:val="20"/>
                <w:szCs w:val="20"/>
                <w:color w:val="auto"/>
              </w:rPr>
            </w:pPr>
            <w:r>
              <w:rPr>
                <w:rFonts w:ascii="Arial" w:cs="Arial" w:eastAsia="Arial" w:hAnsi="Arial"/>
                <w:sz w:val="18"/>
                <w:szCs w:val="18"/>
                <w:color w:val="auto"/>
                <w:w w:val="99"/>
              </w:rPr>
              <w:t>The following summarized changes to the Company’s goodwill (in millions):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gridSpan w:val="2"/>
          </w:tcPr>
          <w:p>
            <w:pPr>
              <w:spacing w:after="0"/>
              <w:rPr>
                <w:sz w:val="23"/>
                <w:szCs w:val="23"/>
                <w:color w:val="auto"/>
              </w:rPr>
            </w:pPr>
          </w:p>
        </w:tc>
        <w:tc>
          <w:tcPr>
            <w:tcW w:w="140" w:type="dxa"/>
            <w:vAlign w:val="bottom"/>
            <w:gridSpan w:val="2"/>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38"/>
        </w:trPr>
        <w:tc>
          <w:tcPr>
            <w:tcW w:w="4640" w:type="dxa"/>
            <w:vAlign w:val="bottom"/>
          </w:tcPr>
          <w:p>
            <w:pPr>
              <w:ind w:left="240"/>
              <w:spacing w:after="0"/>
              <w:rPr>
                <w:sz w:val="20"/>
                <w:szCs w:val="20"/>
                <w:color w:val="auto"/>
              </w:rPr>
            </w:pPr>
            <w:r>
              <w:rPr>
                <w:rFonts w:ascii="Arial" w:cs="Arial" w:eastAsia="Arial" w:hAnsi="Arial"/>
                <w:sz w:val="18"/>
                <w:szCs w:val="18"/>
                <w:color w:val="auto"/>
              </w:rPr>
              <w:t>Adjustments from 2021 acquisitions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5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three months ended March 31, 2022 or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2022 and December 31, 2021, the carrying values of the Company’s borrowings were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4"/>
          </w:tcPr>
          <w:p>
            <w:pPr>
              <w:jc w:val="right"/>
              <w:ind w:right="794"/>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24"/>
        </w:trPr>
        <w:tc>
          <w:tcPr>
            <w:tcW w:w="21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Instrument</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Date of Issuance</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Maturity Date</w:t>
            </w: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Elected Interest Rate</w:t>
            </w: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180" w:type="dxa"/>
            <w:vAlign w:val="bottom"/>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5"/>
                <w:szCs w:val="15"/>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4"/>
        </w:trPr>
        <w:tc>
          <w:tcPr>
            <w:tcW w:w="21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Lien Term Loan</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2026</w:t>
            </w: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LIBOR + 3.00%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38"/>
        </w:trPr>
        <w:tc>
          <w:tcPr>
            <w:tcW w:w="2180" w:type="dxa"/>
            <w:vAlign w:val="bottom"/>
          </w:tcPr>
          <w:p>
            <w:pPr>
              <w:ind w:left="20"/>
              <w:spacing w:after="0"/>
              <w:rPr>
                <w:sz w:val="20"/>
                <w:szCs w:val="20"/>
                <w:color w:val="auto"/>
              </w:rPr>
            </w:pPr>
            <w:r>
              <w:rPr>
                <w:rFonts w:ascii="Arial" w:cs="Arial" w:eastAsia="Arial" w:hAnsi="Arial"/>
                <w:sz w:val="18"/>
                <w:szCs w:val="18"/>
                <w:color w:val="auto"/>
              </w:rPr>
              <w:t>First Lien Revolver</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November 2, 2025</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LIBOR + 2.00%</w:t>
            </w:r>
          </w:p>
        </w:tc>
        <w:tc>
          <w:tcPr>
            <w:tcW w:w="18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2, 2021</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2029</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3.875%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Arial" w:cs="Arial" w:eastAsia="Arial" w:hAnsi="Arial"/>
                <w:sz w:val="18"/>
                <w:szCs w:val="18"/>
                <w:color w:val="auto"/>
              </w:rPr>
              <w:t>Total Carrying Value of</w:t>
            </w: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20"/>
              <w:spacing w:after="0"/>
              <w:rPr>
                <w:sz w:val="20"/>
                <w:szCs w:val="20"/>
                <w:color w:val="auto"/>
              </w:rPr>
            </w:pPr>
            <w:r>
              <w:rPr>
                <w:rFonts w:ascii="Arial" w:cs="Arial" w:eastAsia="Arial" w:hAnsi="Arial"/>
                <w:sz w:val="18"/>
                <w:szCs w:val="18"/>
                <w:color w:val="auto"/>
              </w:rPr>
              <w:t>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1,233.6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8"/>
        </w:trPr>
        <w:tc>
          <w:tcPr>
            <w:tcW w:w="2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current portion</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2180" w:type="dxa"/>
            <w:vAlign w:val="bottom"/>
          </w:tcPr>
          <w:p>
            <w:pPr>
              <w:ind w:left="20"/>
              <w:spacing w:after="0"/>
              <w:rPr>
                <w:sz w:val="20"/>
                <w:szCs w:val="20"/>
                <w:color w:val="auto"/>
              </w:rPr>
            </w:pPr>
            <w:r>
              <w:rPr>
                <w:rFonts w:ascii="Arial" w:cs="Arial" w:eastAsia="Arial" w:hAnsi="Arial"/>
                <w:sz w:val="18"/>
                <w:szCs w:val="18"/>
                <w:color w:val="auto"/>
              </w:rPr>
              <w:t>Total Long Term Debt</w:t>
            </w: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Term Loan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February 2021, we used all of the net proceeds from issuance of the Senior Notes, along with cash on hand, to prepay $356.4 million aggregate principal amount of our first lien term loans outstanding under the First Lien Credit Agreement (the “Debt Prepayment”). Following the Debt Prepayment, $400.0 million aggregate principal amount of first lien term loans were outstanding under our First Lien Credit Agreement. In February 2021, we entered into an amendment to our First Lien Credit Agreement (the “Second Amendment”), pursuant to which the Company completed a repricing of its First Lien Term Loan Facility, which decreased the interest rate from LIBOR plus 3.75% per annum to LIBOR plus 3.00% per annum. The Company recognized $7.7 million in the twelve months ended December 31, 2021 within </w:t>
      </w:r>
      <w:r>
        <w:rPr>
          <w:rFonts w:ascii="Arial" w:cs="Arial" w:eastAsia="Arial" w:hAnsi="Arial"/>
          <w:sz w:val="17"/>
          <w:szCs w:val="17"/>
          <w:i w:val="1"/>
          <w:iCs w:val="1"/>
          <w:color w:val="auto"/>
        </w:rPr>
        <w:t>Loss on debt modification and extinguishment</w:t>
      </w:r>
      <w:r>
        <w:rPr>
          <w:rFonts w:ascii="Arial" w:cs="Arial" w:eastAsia="Arial" w:hAnsi="Arial"/>
          <w:sz w:val="17"/>
          <w:szCs w:val="17"/>
          <w:color w:val="auto"/>
        </w:rPr>
        <w:t xml:space="preserve"> on our Consolidated Statements of Operations, primarily comprised of the write-off of unamortized issuance costs associated with the Debt Prepayment.</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2021, we entered into an amendment to our existing First Lien Credit Agreement, that provided for the incurrence of an additional $200.0 million aggregate principal amount of additional term loans under our existing First Lien Credit Agreement.</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first lien term debt has a variable interest rate whereby the Company can elect to use a Base Rate or LIBOR plus an applicable rate. The applicable rate is 2.00% for Base Rate loans or 3.00% for LIBOR Based Loans. The effective interest rate on the first lien debt was 3.51% and 3.41% as of March 31, 2022 and December 31, 2021,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Revolving Credit Facility</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Pursuant to the Second Amendment to the First Lien Credit Agreement entered into in February 2021, the Company increased the aggregate commitments to $250.0 million under our first lien revolving credit facility. The Second Amendment also provided an extension of the maturity date of our first lien revolving credit facility to November 2025.</w:t>
      </w:r>
    </w:p>
    <w:p>
      <w:pPr>
        <w:spacing w:after="0" w:line="13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first lien revolving debt has a variable interest rate whereby the Company can elect to use a Base Rate or LIBOR plus an applicable rate. The applicable margin is 1.00% to 1.25% for Base Rate loans or 2.00% to 2.25% for LIBOR Based Loans, depending on the Company’s 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In July 2021, the Company drew down $225.0 million under the revolving credit facility and then paid off the outstanding $225.0 million balance of the revolving credit facility with proceeds from the Credit Agreement Amendment and proceeds from the Senior Notes. The effective interest rate was 4.4% as of the repayment date. Immaterial debt issuance costs were incurred in connection with these entries into the revolving credit facility. These debt issuance costs are amortized into interest expense over the expected life of the arrangement. Unamortized debt issuance costs included in </w:t>
      </w:r>
      <w:r>
        <w:rPr>
          <w:rFonts w:ascii="Arial" w:cs="Arial" w:eastAsia="Arial" w:hAnsi="Arial"/>
          <w:sz w:val="15"/>
          <w:szCs w:val="15"/>
          <w:i w:val="1"/>
          <w:iCs w:val="1"/>
          <w:color w:val="auto"/>
        </w:rPr>
        <w:t>Deferred costs and other assets, net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current portion </w:t>
      </w:r>
      <w:r>
        <w:rPr>
          <w:rFonts w:ascii="Arial" w:cs="Arial" w:eastAsia="Arial" w:hAnsi="Arial"/>
          <w:sz w:val="15"/>
          <w:szCs w:val="15"/>
          <w:color w:val="auto"/>
        </w:rPr>
        <w:t>on our Condensed Consolidated Balance Sheets were immaterial as of March 31, 2022 and December 31,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28"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February 2021, ZoomInfo Technologies LLC and ZoomInfo Finance Corp., indirect subsidiaries of ZoomInfo Technologies Inc., issued $350.0 million in aggregate principal amount of 3.875% Senior Notes due February 2029 to qualified institutional buyers pursuant to Rule 144A under the Securities Act of 1933, as amended. Interest on the Senior Notes is payable semi-annually in arrears beginning on August 1, 2021. The Issuers may redeem all or a part of the Notes at any time prior to February 1, 2024 at a price equal to the present value of the redemption price as of February 1, 2024, defined below, plus unaccrued and unpaid interest to February 1, 2024. In addition, beginning on February 1, 2024, the Issuers may redeem all or a part of the Notes at a redemption price equal to 101.938% of the principal amount redeemed. The redemption price decreases to 100.969% and 100.000% of the principal amount redeemed on February 1, 2025 and February 1, 2026, respectively. In addition, at any time prior to February 1, 2024, the Issuers may redeem up to 40% of the Notes from the proceeds of certain equity offerings at a redemption price equal to 103.875% of the principal amount of the Senior Notes, plus accrued and unpaid interest.</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July 2021, ZoomInfo Technologies LLC and ZoomInfo Finance Corp., indirect subsidiaries of ZoomInfo Technologies Inc., issued and sold $300.0 million in aggregate principal amount of additional 3.875% senior notes due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8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We recognize derivative instruments and hedging activities on a gross basis as either assets or liabilities on our Condensed Consolidated Balance Sheets and measure them at fair value. Hedge accounting generally provides for the matching of the timing of gain or loss recognition on the hedging instrument with the earnings effect of the hedged forecasted transactions in a cash flow hedge. For derivatives designated as cash flow hedges, the change in the estimated fair value of the effective portion of the derivative is recognized in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 xml:space="preserve"> on our Condensed Consolidated Balance Sheets. To receive hedge accounting treatment, all hedging relationships are formally documented at the inception of the hedge, and the hedges must be highly effective in offsetting changes to future cash flows on hedged transactions.</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In the first quarter of 2021, concurrent with the prepayment of $356.4 million aggregate principal amount of the first lien term loans outstanding under the First Lien Credit Agreement, we fully dedesignated the interest rate cap contract and partially dedesignated $100.0 million of the notional amount of one of the forward-starting interest rate swap contracts. In the third quarter of 2021, the Company redesignated $100.0 million of available notional of the partially dedesignated forward-starting interest rate swap contract and redesignated $100.0 million of available notional of the interest-rate cap contract in connection with the incurrence of an incremental $200.0 million of variable-rate debt under the First Lien Credit Agreement. As of March 31, 2022, $400.0 million of the notional amount of the interest rate cap contract is not designated as an accounting hedge. Gains and losses resulting from valuation adjustments on dedesignated portions of our derivative contract subsequent to dedesignation of hedge accounting are recorded within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on our Consolidated Statements of Operations. As it is not probable the forecasted transaction will not occur, the amounts in </w:t>
      </w:r>
      <w:r>
        <w:rPr>
          <w:rFonts w:ascii="Arial" w:cs="Arial" w:eastAsia="Arial" w:hAnsi="Arial"/>
          <w:sz w:val="17"/>
          <w:szCs w:val="17"/>
          <w:i w:val="1"/>
          <w:iCs w:val="1"/>
          <w:color w:val="auto"/>
        </w:rPr>
        <w:t>Accumulated other 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(loss) </w:t>
      </w:r>
      <w:r>
        <w:rPr>
          <w:rFonts w:ascii="Arial" w:cs="Arial" w:eastAsia="Arial" w:hAnsi="Arial"/>
          <w:sz w:val="17"/>
          <w:szCs w:val="17"/>
          <w:color w:val="auto"/>
        </w:rPr>
        <w:t>as of the date of dedesignation will be released based on our original forecast.</w:t>
      </w:r>
    </w:p>
    <w:p>
      <w:pPr>
        <w:spacing w:after="0" w:line="132"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As of March 31, 2022, the Company had the following outstanding interest rate derivatives that were designated as cash flow hedges of interest rate risk ($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gridSpan w:val="2"/>
          </w:tcPr>
          <w:p>
            <w:pPr>
              <w:ind w:left="1020"/>
              <w:spacing w:after="0"/>
              <w:rPr>
                <w:sz w:val="20"/>
                <w:szCs w:val="20"/>
                <w:color w:val="auto"/>
              </w:rPr>
            </w:pPr>
            <w:r>
              <w:rPr>
                <w:rFonts w:ascii="Arial" w:cs="Arial" w:eastAsia="Arial" w:hAnsi="Arial"/>
                <w:sz w:val="14"/>
                <w:szCs w:val="14"/>
                <w:b w:val="1"/>
                <w:bCs w:val="1"/>
                <w:color w:val="auto"/>
              </w:rPr>
              <w:t>Interest Rate Derivatives</w:t>
            </w: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Notional Aggregate</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84"/>
        </w:trPr>
        <w:tc>
          <w:tcPr>
            <w:tcW w:w="3640" w:type="dxa"/>
            <w:vAlign w:val="bottom"/>
            <w:gridSpan w:val="2"/>
          </w:tcPr>
          <w:p>
            <w:pPr>
              <w:ind w:left="1500"/>
              <w:spacing w:after="0"/>
              <w:rPr>
                <w:sz w:val="20"/>
                <w:szCs w:val="20"/>
                <w:color w:val="auto"/>
              </w:rPr>
            </w:pPr>
            <w:r>
              <w:rPr>
                <w:rFonts w:ascii="Arial" w:cs="Arial" w:eastAsia="Arial" w:hAnsi="Arial"/>
                <w:sz w:val="14"/>
                <w:szCs w:val="14"/>
                <w:b w:val="1"/>
                <w:bCs w:val="1"/>
                <w:color w:val="auto"/>
              </w:rPr>
              <w:t>(Level 2)</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Number of Instruments</w:t>
            </w:r>
          </w:p>
        </w:tc>
        <w:tc>
          <w:tcPr>
            <w:tcW w:w="20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Principal Amount</w:t>
            </w:r>
          </w:p>
        </w:tc>
        <w:tc>
          <w:tcPr>
            <w:tcW w:w="20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 Cap / Swap Rate</w:t>
            </w:r>
          </w:p>
        </w:tc>
        <w:tc>
          <w:tcPr>
            <w:tcW w:w="1760" w:type="dxa"/>
            <w:vAlign w:val="bottom"/>
          </w:tcPr>
          <w:p>
            <w:pPr>
              <w:jc w:val="right"/>
              <w:ind w:right="376"/>
              <w:spacing w:after="0"/>
              <w:rPr>
                <w:sz w:val="20"/>
                <w:szCs w:val="20"/>
                <w:color w:val="auto"/>
              </w:rPr>
            </w:pPr>
            <w:r>
              <w:rPr>
                <w:rFonts w:ascii="Arial" w:cs="Arial" w:eastAsia="Arial" w:hAnsi="Arial"/>
                <w:sz w:val="14"/>
                <w:szCs w:val="14"/>
                <w:b w:val="1"/>
                <w:bCs w:val="1"/>
                <w:color w:val="auto"/>
              </w:rPr>
              <w:t>Maturity Date</w:t>
            </w:r>
          </w:p>
        </w:tc>
      </w:tr>
      <w:tr>
        <w:trPr>
          <w:trHeight w:val="24"/>
        </w:trPr>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 contract</w:t>
            </w:r>
          </w:p>
        </w:tc>
        <w:tc>
          <w:tcPr>
            <w:tcW w:w="1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2"/>
              </w:rPr>
              <w:t>One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30, 2024</w:t>
            </w:r>
          </w:p>
        </w:tc>
      </w:tr>
      <w:tr>
        <w:trPr>
          <w:trHeight w:val="238"/>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Two</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2.301 %</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April 29, 2022</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6"/>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Forward-starting interest rate swap contracts -</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2022</w:t>
            </w:r>
          </w:p>
        </w:tc>
        <w:tc>
          <w:tcPr>
            <w:tcW w:w="19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Two</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0.370 %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30, 2026</w:t>
            </w:r>
          </w:p>
        </w:tc>
      </w:tr>
      <w:tr>
        <w:trPr>
          <w:trHeight w:val="28"/>
        </w:trPr>
        <w:tc>
          <w:tcPr>
            <w:tcW w:w="3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fair value and presentation on our Condensed Consolidated Balance Sheets for derivatives as of March 31, 2022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80" w:type="dxa"/>
            <w:vAlign w:val="bottom"/>
            <w:gridSpan w:val="5"/>
          </w:tcPr>
          <w:p>
            <w:pPr>
              <w:ind w:left="520"/>
              <w:spacing w:after="0"/>
              <w:rPr>
                <w:sz w:val="20"/>
                <w:szCs w:val="20"/>
                <w:color w:val="auto"/>
              </w:rPr>
            </w:pPr>
            <w:r>
              <w:rPr>
                <w:rFonts w:ascii="Arial" w:cs="Arial" w:eastAsia="Arial" w:hAnsi="Arial"/>
                <w:sz w:val="14"/>
                <w:szCs w:val="14"/>
                <w:b w:val="1"/>
                <w:bCs w:val="1"/>
                <w:color w:val="auto"/>
              </w:rPr>
              <w:t>Fair Value of Derivative Liabilities</w:t>
            </w: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80" w:type="dxa"/>
            <w:vAlign w:val="bottom"/>
            <w:gridSpan w:val="2"/>
            <w:vMerge w:val="restart"/>
          </w:tcPr>
          <w:p>
            <w:pPr>
              <w:ind w:left="1740"/>
              <w:spacing w:after="0"/>
              <w:rPr>
                <w:sz w:val="20"/>
                <w:szCs w:val="20"/>
                <w:color w:val="auto"/>
              </w:rPr>
            </w:pPr>
            <w:r>
              <w:rPr>
                <w:rFonts w:ascii="Arial" w:cs="Arial" w:eastAsia="Arial" w:hAnsi="Arial"/>
                <w:sz w:val="14"/>
                <w:szCs w:val="14"/>
                <w:b w:val="1"/>
                <w:bCs w:val="1"/>
                <w:color w:val="auto"/>
              </w:rPr>
              <w:t>Instrument</w:t>
            </w:r>
          </w:p>
        </w:tc>
        <w:tc>
          <w:tcPr>
            <w:tcW w:w="22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3320" w:type="dxa"/>
            <w:vAlign w:val="bottom"/>
            <w:gridSpan w:val="5"/>
          </w:tcPr>
          <w:p>
            <w:pPr>
              <w:ind w:left="104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5"/>
                <w:szCs w:val="15"/>
                <w:color w:val="auto"/>
              </w:rPr>
            </w:pPr>
          </w:p>
        </w:tc>
        <w:tc>
          <w:tcPr>
            <w:tcW w:w="322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4"/>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 Assets</w:t>
            </w:r>
          </w:p>
        </w:tc>
        <w:tc>
          <w:tcPr>
            <w:tcW w:w="160" w:type="dxa"/>
            <w:vAlign w:val="bottom"/>
          </w:tcPr>
          <w:p>
            <w:pPr>
              <w:spacing w:after="0"/>
              <w:rPr>
                <w:sz w:val="15"/>
                <w:szCs w:val="15"/>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Liabilities</w:t>
            </w:r>
          </w:p>
        </w:tc>
        <w:tc>
          <w:tcPr>
            <w:tcW w:w="20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 Assets</w:t>
            </w:r>
          </w:p>
        </w:tc>
        <w:tc>
          <w:tcPr>
            <w:tcW w:w="140" w:type="dxa"/>
            <w:vAlign w:val="bottom"/>
          </w:tcPr>
          <w:p>
            <w:pPr>
              <w:spacing w:after="0"/>
              <w:rPr>
                <w:sz w:val="15"/>
                <w:szCs w:val="15"/>
                <w:color w:val="auto"/>
              </w:rPr>
            </w:pPr>
          </w:p>
        </w:tc>
        <w:tc>
          <w:tcPr>
            <w:tcW w:w="15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Derivative Liabilities</w:t>
            </w:r>
          </w:p>
        </w:tc>
        <w:tc>
          <w:tcPr>
            <w:tcW w:w="0" w:type="dxa"/>
            <w:vAlign w:val="bottom"/>
          </w:tcPr>
          <w:p>
            <w:pPr>
              <w:spacing w:after="0"/>
              <w:rPr>
                <w:sz w:val="1"/>
                <w:szCs w:val="1"/>
                <w:color w:val="auto"/>
              </w:rPr>
            </w:pPr>
          </w:p>
        </w:tc>
      </w:tr>
      <w:tr>
        <w:trPr>
          <w:trHeight w:val="24"/>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28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(1)</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65"/>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(3)</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280" w:type="dxa"/>
            <w:vAlign w:val="bottom"/>
            <w:gridSpan w:val="2"/>
          </w:tcPr>
          <w:p>
            <w:pPr>
              <w:ind w:left="240"/>
              <w:spacing w:after="0"/>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(1)</w:t>
            </w:r>
          </w:p>
        </w:tc>
        <w:tc>
          <w:tcPr>
            <w:tcW w:w="22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5"/>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280" w:type="dxa"/>
            <w:vAlign w:val="bottom"/>
            <w:gridSpan w:val="2"/>
          </w:tcPr>
          <w:p>
            <w:pPr>
              <w:ind w:left="240"/>
              <w:spacing w:after="0"/>
              <w:rPr>
                <w:sz w:val="20"/>
                <w:szCs w:val="20"/>
                <w:color w:val="auto"/>
              </w:rPr>
            </w:pPr>
            <w:r>
              <w:rPr>
                <w:rFonts w:ascii="Arial" w:cs="Arial" w:eastAsia="Arial" w:hAnsi="Arial"/>
                <w:sz w:val="18"/>
                <w:szCs w:val="18"/>
                <w:color w:val="auto"/>
              </w:rPr>
              <w:t>Forward-starting interest rate swap contracts</w:t>
            </w:r>
            <w:r>
              <w:rPr>
                <w:rFonts w:ascii="Arial" w:cs="Arial" w:eastAsia="Arial" w:hAnsi="Arial"/>
                <w:sz w:val="22"/>
                <w:szCs w:val="22"/>
                <w:color w:val="auto"/>
                <w:vertAlign w:val="superscript"/>
              </w:rPr>
              <w:t>(3)</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8"/>
        </w:trPr>
        <w:tc>
          <w:tcPr>
            <w:tcW w:w="4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designated derivative fair value</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28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(1)</w:t>
            </w:r>
          </w:p>
        </w:tc>
        <w:tc>
          <w:tcPr>
            <w:tcW w:w="22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5"/>
        </w:trPr>
        <w:tc>
          <w:tcPr>
            <w:tcW w:w="4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(3)</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Total undesignated derivative fair value</w:t>
            </w: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 fair value</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8" w:lineRule="exact"/>
        <w:rPr>
          <w:sz w:val="20"/>
          <w:szCs w:val="20"/>
          <w:color w:val="auto"/>
        </w:rPr>
      </w:pPr>
    </w:p>
    <w:p>
      <w:pPr>
        <w:ind w:left="200" w:hanging="194"/>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Accrued expenses and other current liabilities</w:t>
      </w:r>
      <w:r>
        <w:rPr>
          <w:rFonts w:ascii="Arial" w:cs="Arial" w:eastAsia="Arial" w:hAnsi="Arial"/>
          <w:sz w:val="14"/>
          <w:szCs w:val="14"/>
          <w:color w:val="auto"/>
        </w:rPr>
        <w:t xml:space="preserve"> on our Condensed Consolidated Balance Sheets.</w:t>
      </w:r>
    </w:p>
    <w:p>
      <w:pPr>
        <w:ind w:left="200" w:hanging="194"/>
        <w:spacing w:after="0" w:line="237" w:lineRule="auto"/>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Prepaid expenses and other current assets</w:t>
      </w:r>
      <w:r>
        <w:rPr>
          <w:rFonts w:ascii="Arial" w:cs="Arial" w:eastAsia="Arial" w:hAnsi="Arial"/>
          <w:sz w:val="14"/>
          <w:szCs w:val="14"/>
          <w:color w:val="auto"/>
        </w:rPr>
        <w:t xml:space="preserve"> on our Condensed Consolidated Balance Sheets.</w:t>
      </w:r>
    </w:p>
    <w:p>
      <w:pPr>
        <w:ind w:left="200" w:hanging="194"/>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Deferred costs and other assets, net of current portion</w:t>
      </w:r>
      <w:r>
        <w:rPr>
          <w:rFonts w:ascii="Arial" w:cs="Arial" w:eastAsia="Arial" w:hAnsi="Arial"/>
          <w:sz w:val="14"/>
          <w:szCs w:val="14"/>
          <w:color w:val="auto"/>
        </w:rPr>
        <w:t xml:space="preserve"> on our Condensed Consolidated Balance Sheets.</w:t>
      </w:r>
    </w:p>
    <w:p>
      <w:pPr>
        <w:spacing w:after="0" w:line="25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 change in fair value of any derivative instruments was recorded, net of income tax, in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(“AOCI”) on our Condensed Consolidated Balance Sheets to the extent the agreements were designated as effective hedges. In the period that the hedged item affects earnings, such as when interest payments are made on the Company’s variable-rate debt, we reclassify the related gain or loss on the interest rate swap cash flow hedges and any receipts on the cap to </w:t>
      </w:r>
      <w:r>
        <w:rPr>
          <w:rFonts w:ascii="Arial" w:cs="Arial" w:eastAsia="Arial" w:hAnsi="Arial"/>
          <w:sz w:val="15"/>
          <w:szCs w:val="15"/>
          <w:i w:val="1"/>
          <w:iCs w:val="1"/>
          <w:color w:val="auto"/>
        </w:rPr>
        <w:t>Interest expense, net</w:t>
      </w:r>
      <w:r>
        <w:rPr>
          <w:rFonts w:ascii="Arial" w:cs="Arial" w:eastAsia="Arial" w:hAnsi="Arial"/>
          <w:sz w:val="15"/>
          <w:szCs w:val="15"/>
          <w:color w:val="auto"/>
        </w:rPr>
        <w:t xml:space="preserve"> and as operating cash flows on our Consolidated Statements of Cash Flows in the period settled in cash. Income tax effects from changes in fair value of derivative instruments are recorded on our Consolidated Statements of Operations when the derivative instruments are settled. Over the next 12 months, we expect to reclassify approximately $6.1 million into interest income from AOCI.</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of the fair value hierarchy. We classify our corporate debt securities, securities guaranteed by U.S. government, and other governmental securities as Level 2 of the fair value hierarchy. The carrying values of the Company's debt instruments approximate their fair value based on Level 2 inputs since the instruments carry variable interest rates based on LIBOR or other applicable reference rates.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2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5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(in millions) of our financial assets and (liabilities) was determined using the following inputs: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 March 31, 2022</w:t>
            </w:r>
          </w:p>
        </w:tc>
        <w:tc>
          <w:tcPr>
            <w:tcW w:w="110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0"/>
                <w:szCs w:val="20"/>
                <w:color w:val="auto"/>
              </w:rPr>
            </w:pPr>
          </w:p>
        </w:tc>
        <w:tc>
          <w:tcPr>
            <w:tcW w:w="1240" w:type="dxa"/>
            <w:vAlign w:val="bottom"/>
          </w:tcPr>
          <w:p>
            <w:pPr>
              <w:ind w:left="240"/>
              <w:spacing w:after="0"/>
              <w:rPr>
                <w:sz w:val="20"/>
                <w:szCs w:val="20"/>
                <w:color w:val="auto"/>
              </w:rPr>
            </w:pPr>
            <w:r>
              <w:rPr>
                <w:rFonts w:ascii="Arial" w:cs="Arial" w:eastAsia="Arial" w:hAnsi="Arial"/>
                <w:sz w:val="14"/>
                <w:szCs w:val="14"/>
                <w:b w:val="1"/>
                <w:bCs w:val="1"/>
                <w:color w:val="auto"/>
              </w:rPr>
              <w:t>Level 3</w:t>
            </w:r>
          </w:p>
        </w:tc>
      </w:tr>
      <w:tr>
        <w:trPr>
          <w:trHeight w:val="24"/>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8"/>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Other governmental securities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Derivative contracts: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146"/>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45"/>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628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94"/>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Note 10 - Fair Value (continued)</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92"/>
        </w:trPr>
        <w:tc>
          <w:tcPr>
            <w:tcW w:w="628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 at December 31, 2021</w:t>
            </w:r>
          </w:p>
        </w:tc>
        <w:tc>
          <w:tcPr>
            <w:tcW w:w="110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4"/>
                <w:szCs w:val="24"/>
                <w:color w:val="auto"/>
              </w:rPr>
            </w:pPr>
          </w:p>
        </w:tc>
        <w:tc>
          <w:tcPr>
            <w:tcW w:w="1240" w:type="dxa"/>
            <w:vAlign w:val="bottom"/>
          </w:tcPr>
          <w:p>
            <w:pPr>
              <w:jc w:val="right"/>
              <w:ind w:right="473"/>
              <w:spacing w:after="0"/>
              <w:rPr>
                <w:sz w:val="20"/>
                <w:szCs w:val="20"/>
                <w:color w:val="auto"/>
              </w:rPr>
            </w:pPr>
            <w:r>
              <w:rPr>
                <w:rFonts w:ascii="Arial" w:cs="Arial" w:eastAsia="Arial" w:hAnsi="Arial"/>
                <w:sz w:val="14"/>
                <w:szCs w:val="14"/>
                <w:b w:val="1"/>
                <w:bCs w:val="1"/>
                <w:color w:val="auto"/>
              </w:rPr>
              <w:t>Level 3</w:t>
            </w:r>
          </w:p>
        </w:tc>
      </w:tr>
      <w:tr>
        <w:trPr>
          <w:trHeight w:val="24"/>
        </w:trPr>
        <w:tc>
          <w:tcPr>
            <w:tcW w:w="6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8"/>
        </w:trPr>
        <w:tc>
          <w:tcPr>
            <w:tcW w:w="6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8"/>
        </w:trPr>
        <w:tc>
          <w:tcPr>
            <w:tcW w:w="6280" w:type="dxa"/>
            <w:vAlign w:val="bottom"/>
            <w:gridSpan w:val="3"/>
          </w:tcPr>
          <w:p>
            <w:pPr>
              <w:ind w:left="20"/>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3"/>
          </w:tcPr>
          <w:p>
            <w:pPr>
              <w:ind w:left="240"/>
              <w:spacing w:after="0"/>
              <w:rPr>
                <w:sz w:val="20"/>
                <w:szCs w:val="20"/>
                <w:color w:val="auto"/>
              </w:rPr>
            </w:pPr>
            <w:r>
              <w:rPr>
                <w:rFonts w:ascii="Arial" w:cs="Arial" w:eastAsia="Arial" w:hAnsi="Arial"/>
                <w:sz w:val="18"/>
                <w:szCs w:val="18"/>
                <w:color w:val="auto"/>
              </w:rPr>
              <w:t>Corporate debt securities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3"/>
          </w:tcPr>
          <w:p>
            <w:pPr>
              <w:ind w:left="120"/>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3"/>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3"/>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3"/>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8"/>
        </w:trPr>
        <w:tc>
          <w:tcPr>
            <w:tcW w:w="6280" w:type="dxa"/>
            <w:vAlign w:val="bottom"/>
            <w:gridSpan w:val="3"/>
          </w:tcPr>
          <w:p>
            <w:pPr>
              <w:ind w:left="120"/>
              <w:spacing w:after="0"/>
              <w:rPr>
                <w:sz w:val="20"/>
                <w:szCs w:val="20"/>
                <w:color w:val="auto"/>
              </w:rPr>
            </w:pPr>
            <w:r>
              <w:rPr>
                <w:rFonts w:ascii="Arial" w:cs="Arial" w:eastAsia="Arial" w:hAnsi="Arial"/>
                <w:sz w:val="18"/>
                <w:szCs w:val="18"/>
                <w:color w:val="auto"/>
              </w:rPr>
              <w:t>Derivative contracts: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5"/>
        </w:trPr>
        <w:tc>
          <w:tcPr>
            <w:tcW w:w="62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10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6280" w:type="dxa"/>
            <w:vAlign w:val="bottom"/>
            <w:gridSpan w:val="3"/>
          </w:tcPr>
          <w:p>
            <w:pPr>
              <w:ind w:left="240"/>
              <w:spacing w:after="0"/>
              <w:rPr>
                <w:sz w:val="20"/>
                <w:szCs w:val="20"/>
                <w:color w:val="auto"/>
              </w:rPr>
            </w:pPr>
            <w:r>
              <w:rPr>
                <w:rFonts w:ascii="Arial" w:cs="Arial" w:eastAsia="Arial" w:hAnsi="Arial"/>
                <w:sz w:val="18"/>
                <w:szCs w:val="18"/>
                <w:color w:val="auto"/>
              </w:rPr>
              <w:t>Interest rate swap contracts</w:t>
            </w:r>
          </w:p>
        </w:tc>
        <w:tc>
          <w:tcPr>
            <w:tcW w:w="1100" w:type="dxa"/>
            <w:vAlign w:val="bottom"/>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6"/>
        </w:trPr>
        <w:tc>
          <w:tcPr>
            <w:tcW w:w="61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238"/>
        </w:trPr>
        <w:tc>
          <w:tcPr>
            <w:tcW w:w="6280" w:type="dxa"/>
            <w:vAlign w:val="bottom"/>
            <w:gridSpan w:val="3"/>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
        </w:trPr>
        <w:tc>
          <w:tcPr>
            <w:tcW w:w="6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8"/>
        </w:trPr>
        <w:tc>
          <w:tcPr>
            <w:tcW w:w="6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Impaired lease-related assets</w:t>
            </w:r>
          </w:p>
        </w:tc>
        <w:tc>
          <w:tcPr>
            <w:tcW w:w="110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8"/>
        </w:trPr>
        <w:tc>
          <w:tcPr>
            <w:tcW w:w="100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transfers between fair value measurements levels during the three months ended March 31, 2022.</w:t>
      </w:r>
    </w:p>
    <w:p>
      <w:pPr>
        <w:spacing w:after="0" w:line="2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Refer to Note 5 - Cash, Cash Equivalents, and Short-term Investments for further information regarding the fair value of our financial instruments. Refer to Note 15 - Leases, “recent leasing activity” of our 2021 Form 10-K for further information regarding the impairment of our Waltham operating lease.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March 31, 2022, we had additional outstanding non-cancelable purchase obligations with a term of 12 months or longer of $30.9 million over the corresponding amount disclosed in the audited financial statements in our 10-K for the year ended December 31, 2021, mainly related to third-party cloud hosting and software as a service arrangements. For information regarding financing-related obligations, refer to Note 8 - Financing Arrangements. For information regarding lease-related obligations, refer to Note 14 - Leases.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The Company has conducted an assessment of sales and use tax exposure in states where the Company has established nexus. Based on this assessment, the Company has recorded a liability for taxes owed and related penalties and interest in the amount of $2.6 million and $3.1 million at March 31, 2022 and December 31, 2021, respectively. This liability is included in </w:t>
      </w:r>
      <w:r>
        <w:rPr>
          <w:rFonts w:ascii="Arial" w:cs="Arial" w:eastAsia="Arial" w:hAnsi="Arial"/>
          <w:sz w:val="15"/>
          <w:szCs w:val="15"/>
          <w:i w:val="1"/>
          <w:iCs w:val="1"/>
          <w:color w:val="auto"/>
        </w:rPr>
        <w:t>Accrued expenses and other current liabilities</w:t>
      </w:r>
      <w:r>
        <w:rPr>
          <w:rFonts w:ascii="Arial" w:cs="Arial" w:eastAsia="Arial" w:hAnsi="Arial"/>
          <w:sz w:val="15"/>
          <w:szCs w:val="15"/>
          <w:color w:val="auto"/>
        </w:rPr>
        <w:t xml:space="preserve">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acquisition-related payments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acquisition of Insent, the Company expects to pay an additional $3.0 million in December 2022, of which $1.1 million represents deferred consideration. Refer to Note 4 - Business Combinations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it is not possible to provide an estimated amount of any loss or range of loss that may occur with respect to these matters, including without limitation the matters described below.</w:t>
      </w:r>
    </w:p>
    <w:p>
      <w:pPr>
        <w:spacing w:after="0" w:line="9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The Company intends to vigorously defend against this lawsuit.</w:t>
      </w:r>
    </w:p>
    <w:p>
      <w:pPr>
        <w:spacing w:after="0" w:line="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The Company intends to vigorously defend against this lawsuit.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Noncontrolling Interest</w:t>
      </w:r>
    </w:p>
    <w:p>
      <w:pPr>
        <w:spacing w:after="0" w:line="17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ZoomInfo Technologies Inc. operates and controls all of the business and affairs, and consolidates the financial results through ZoomInfo OpCo and its subsidiaries, conducts our business. Accordingly, ZoomInfo Technologies Inc. consolidates the financial results of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redemptions or direct exchanges of HoldCo Units or OpCo Units by Continuing Members resulted in a change in ownership and reduced or increased the amount recorded as </w:t>
      </w:r>
      <w:r>
        <w:rPr>
          <w:rFonts w:ascii="Arial" w:cs="Arial" w:eastAsia="Arial" w:hAnsi="Arial"/>
          <w:sz w:val="15"/>
          <w:szCs w:val="15"/>
          <w:i w:val="1"/>
          <w:iCs w:val="1"/>
          <w:color w:val="auto"/>
        </w:rPr>
        <w:t>Noncontrolling interests</w:t>
      </w:r>
      <w:r>
        <w:rPr>
          <w:rFonts w:ascii="Arial" w:cs="Arial" w:eastAsia="Arial" w:hAnsi="Arial"/>
          <w:sz w:val="15"/>
          <w:szCs w:val="15"/>
          <w:color w:val="auto"/>
        </w:rPr>
        <w:t xml:space="preserve"> and increased or decreased </w:t>
      </w:r>
      <w:r>
        <w:rPr>
          <w:rFonts w:ascii="Arial" w:cs="Arial" w:eastAsia="Arial" w:hAnsi="Arial"/>
          <w:sz w:val="15"/>
          <w:szCs w:val="15"/>
          <w:i w:val="1"/>
          <w:iCs w:val="1"/>
          <w:color w:val="auto"/>
        </w:rPr>
        <w:t>Additional paid-in capital</w:t>
      </w:r>
      <w:r>
        <w:rPr>
          <w:rFonts w:ascii="Arial" w:cs="Arial" w:eastAsia="Arial" w:hAnsi="Arial"/>
          <w:sz w:val="15"/>
          <w:szCs w:val="15"/>
          <w:color w:val="auto"/>
        </w:rPr>
        <w:t xml:space="preserve"> on our Condensed Consolidated Balance Sheets. During the third quarter of 2021, all remaining HoldCo Units held by Continuing Members were exchanged for shares in ZoomInfo Technologies Inc. followed by the merger of HoldCo into ZoomInfo Technologies Inc. During the fourth quarter of 2021, all remaining OpCo Units held by Continuing Members were converted into Class A shares in connection with the merger of ZoomInfo OpCo into a newly formed subsidiary of ZoomInfo Technologies, Inc.</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2022, ZoomInfo Technologies Inc. held units resulting in an ownership interest of 100% in the consolidated subsidiaries.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holders of OpCo Units may be subject to U.S. federal, state and local income taxes on their proportionate share of any taxable income of ZoomInfo OpCo. Net profits and net losses of ZoomInfo OpCo will generally be allocated to its holders pro rata in accordance with the percentages of their respective limited liability company interests. The amended and restated limited liability company agreement of ZoomInfo OpCo provides for cash distributions (“tax distributions”) to the holders of OpCo Units and Class P Units. During the three months ended March 31, 2021, the Company paid $10.8 million in tax distributions to the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42424"/>
        </w:rPr>
        <w:t xml:space="preserve">For the periods in which we had multiple classes of stock participating in earnings, we use the two-class method in calculating earnings per share. 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 As of the fourth quarter of 2021, as a result of the </w:t>
      </w:r>
      <w:r>
        <w:rPr>
          <w:rFonts w:ascii="Arial" w:cs="Arial" w:eastAsia="Arial" w:hAnsi="Arial"/>
          <w:sz w:val="17"/>
          <w:szCs w:val="17"/>
          <w:color w:val="000000"/>
        </w:rPr>
        <w:t>UP-C Corporate Structure and Multi-Class Voting Structure Elimination</w:t>
      </w:r>
      <w:r>
        <w:rPr>
          <w:rFonts w:ascii="Arial" w:cs="Arial" w:eastAsia="Arial" w:hAnsi="Arial"/>
          <w:sz w:val="17"/>
          <w:szCs w:val="17"/>
          <w:color w:val="242424"/>
        </w:rPr>
        <w:t xml:space="preserve"> discussed in Note 1 - Organization and Background, the only remaining class of common stock issued and outstanding is the Class A common stock, and as such, the two-class method is not presented for subsequent periods.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42424"/>
        </w:rPr>
        <w:t>The followin</w:t>
      </w:r>
      <w:r>
        <w:rPr>
          <w:rFonts w:ascii="Arial" w:cs="Arial" w:eastAsia="Arial" w:hAnsi="Arial"/>
          <w:sz w:val="18"/>
          <w:szCs w:val="18"/>
          <w:color w:val="000000"/>
        </w:rPr>
        <w:t>g table sets forth reconciliations of the numerators and denominators used (in millions) to compute basic and diluted earnings (los</w:t>
      </w:r>
      <w:r>
        <w:rPr>
          <w:rFonts w:ascii="Arial" w:cs="Arial" w:eastAsia="Arial" w:hAnsi="Arial"/>
          <w:sz w:val="18"/>
          <w:szCs w:val="18"/>
          <w:color w:val="242424"/>
        </w:rPr>
        <w:t>s) per share of Class A and Class C (as applicable) common stock for the three months ended March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5"/>
                <w:szCs w:val="15"/>
                <w:color w:val="auto"/>
              </w:rPr>
            </w:pPr>
          </w:p>
        </w:tc>
        <w:tc>
          <w:tcPr>
            <w:tcW w:w="288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5"/>
                <w:szCs w:val="15"/>
                <w:color w:val="auto"/>
              </w:rPr>
            </w:pPr>
          </w:p>
        </w:tc>
      </w:tr>
      <w:tr>
        <w:trPr>
          <w:trHeight w:val="24"/>
        </w:trPr>
        <w:tc>
          <w:tcPr>
            <w:tcW w:w="7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1"/>
        </w:trPr>
        <w:tc>
          <w:tcPr>
            <w:tcW w:w="7780" w:type="dxa"/>
            <w:vAlign w:val="bottom"/>
          </w:tcPr>
          <w:p>
            <w:pPr>
              <w:spacing w:after="0"/>
              <w:rPr>
                <w:sz w:val="15"/>
                <w:szCs w:val="15"/>
                <w:color w:val="auto"/>
              </w:rPr>
            </w:pPr>
          </w:p>
        </w:tc>
        <w:tc>
          <w:tcPr>
            <w:tcW w:w="1200" w:type="dxa"/>
            <w:vAlign w:val="bottom"/>
          </w:tcPr>
          <w:p>
            <w:pPr>
              <w:jc w:val="right"/>
              <w:ind w:right="141"/>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38"/>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r>
      <w:tr>
        <w:trPr>
          <w:trHeight w:val="24"/>
        </w:trPr>
        <w:tc>
          <w:tcPr>
            <w:tcW w:w="7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r>
      <w:tr>
        <w:trPr>
          <w:trHeight w:val="238"/>
        </w:trPr>
        <w:tc>
          <w:tcPr>
            <w:tcW w:w="77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0" w:type="dxa"/>
            <w:vAlign w:val="bottom"/>
          </w:tcPr>
          <w:p>
            <w:pPr>
              <w:jc w:val="right"/>
              <w:ind w:right="1021"/>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8"/>
        </w:trPr>
        <w:tc>
          <w:tcPr>
            <w:tcW w:w="7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6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Net (income) loss attributable to noncontrolling interests</w:t>
            </w:r>
          </w:p>
        </w:tc>
        <w:tc>
          <w:tcPr>
            <w:tcW w:w="1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31"/>
        </w:trPr>
        <w:tc>
          <w:tcPr>
            <w:tcW w:w="7780" w:type="dxa"/>
            <w:vAlign w:val="bottom"/>
          </w:tcPr>
          <w:p>
            <w:pPr>
              <w:ind w:left="20"/>
              <w:spacing w:after="0"/>
              <w:rPr>
                <w:sz w:val="20"/>
                <w:szCs w:val="20"/>
                <w:color w:val="auto"/>
              </w:rPr>
            </w:pPr>
            <w:r>
              <w:rPr>
                <w:rFonts w:ascii="Arial" w:cs="Arial" w:eastAsia="Arial" w:hAnsi="Arial"/>
                <w:sz w:val="18"/>
                <w:szCs w:val="18"/>
                <w:color w:val="auto"/>
              </w:rPr>
              <w:t>Net income (loss) attributable to ZoomInfo Technologies Inc.</w:t>
            </w:r>
          </w:p>
        </w:tc>
        <w:tc>
          <w:tcPr>
            <w:tcW w:w="1200" w:type="dxa"/>
            <w:vAlign w:val="bottom"/>
            <w:tcBorders>
              <w:top w:val="single" w:sz="8" w:color="auto"/>
            </w:tcBorders>
          </w:tcPr>
          <w:p>
            <w:pPr>
              <w:jc w:val="right"/>
              <w:ind w:right="1021"/>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ind w:right="918"/>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8"/>
        </w:trPr>
        <w:tc>
          <w:tcPr>
            <w:tcW w:w="7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tables set forth the computation of basic and diluted net income per share of Class A and Class C (as applicable) common stock (in millions, except share amounts, and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Three Months Ended March</w:t>
            </w:r>
          </w:p>
        </w:tc>
      </w:tr>
      <w:tr>
        <w:trPr>
          <w:trHeight w:val="184"/>
        </w:trPr>
        <w:tc>
          <w:tcPr>
            <w:tcW w:w="9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31, 2022</w:t>
            </w:r>
          </w:p>
        </w:tc>
      </w:tr>
      <w:tr>
        <w:trPr>
          <w:trHeight w:val="24"/>
        </w:trPr>
        <w:tc>
          <w:tcPr>
            <w:tcW w:w="9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1"/>
        </w:trPr>
        <w:tc>
          <w:tcPr>
            <w:tcW w:w="9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Class A</w:t>
            </w:r>
          </w:p>
        </w:tc>
      </w:tr>
      <w:tr>
        <w:trPr>
          <w:trHeight w:val="24"/>
        </w:trPr>
        <w:tc>
          <w:tcPr>
            <w:tcW w:w="9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3"/>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5"/>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(loss) per share attributable to common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38"/>
        </w:trPr>
        <w:tc>
          <w:tcPr>
            <w:tcW w:w="928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8"/>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5"/>
        </w:trPr>
        <w:tc>
          <w:tcPr>
            <w:tcW w:w="9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Allocation of net income (loss) attributable to ZoomInfo Technologies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38"/>
        </w:trPr>
        <w:tc>
          <w:tcPr>
            <w:tcW w:w="928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8"/>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5"/>
        </w:trPr>
        <w:tc>
          <w:tcPr>
            <w:tcW w:w="9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number of shares of Class A and Class C common stock outstanding</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400,217,928</w:t>
            </w:r>
          </w:p>
        </w:tc>
      </w:tr>
      <w:tr>
        <w:trPr>
          <w:trHeight w:val="231"/>
        </w:trPr>
        <w:tc>
          <w:tcPr>
            <w:tcW w:w="9280" w:type="dxa"/>
            <w:vAlign w:val="bottom"/>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9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26"/>
        </w:trPr>
        <w:tc>
          <w:tcPr>
            <w:tcW w:w="9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r>
      <w:tr>
        <w:trPr>
          <w:trHeight w:val="238"/>
        </w:trPr>
        <w:tc>
          <w:tcPr>
            <w:tcW w:w="9280" w:type="dxa"/>
            <w:vAlign w:val="bottom"/>
          </w:tcPr>
          <w:p>
            <w:pPr>
              <w:ind w:left="20"/>
              <w:spacing w:after="0"/>
              <w:rPr>
                <w:sz w:val="20"/>
                <w:szCs w:val="20"/>
                <w:color w:val="auto"/>
              </w:rPr>
            </w:pPr>
            <w:r>
              <w:rPr>
                <w:rFonts w:ascii="Arial" w:cs="Arial" w:eastAsia="Arial" w:hAnsi="Arial"/>
                <w:sz w:val="18"/>
                <w:szCs w:val="18"/>
                <w:b w:val="1"/>
                <w:bCs w:val="1"/>
                <w:color w:val="auto"/>
              </w:rPr>
              <w:t>Diluted net income (loss) per share attributable to common stockholders</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8"/>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5"/>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38"/>
        </w:trPr>
        <w:tc>
          <w:tcPr>
            <w:tcW w:w="9280" w:type="dxa"/>
            <w:vAlign w:val="bottom"/>
          </w:tcPr>
          <w:p>
            <w:pPr>
              <w:ind w:left="240"/>
              <w:spacing w:after="0"/>
              <w:rPr>
                <w:sz w:val="20"/>
                <w:szCs w:val="20"/>
                <w:color w:val="auto"/>
              </w:rPr>
            </w:pPr>
            <w:r>
              <w:rPr>
                <w:rFonts w:ascii="Arial" w:cs="Arial" w:eastAsia="Arial" w:hAnsi="Arial"/>
                <w:sz w:val="18"/>
                <w:szCs w:val="18"/>
                <w:color w:val="auto"/>
              </w:rPr>
              <w:t>Allocation of undistributed earnings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8"/>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5"/>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38"/>
        </w:trPr>
        <w:tc>
          <w:tcPr>
            <w:tcW w:w="9280" w:type="dxa"/>
            <w:vAlign w:val="bottom"/>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400,217,928</w:t>
            </w:r>
          </w:p>
        </w:tc>
      </w:tr>
      <w:tr>
        <w:trPr>
          <w:trHeight w:val="28"/>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5"/>
        </w:trPr>
        <w:tc>
          <w:tcPr>
            <w:tcW w:w="9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weighted-average effect of dilutive securities exchangeable for Class A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38"/>
        </w:trPr>
        <w:tc>
          <w:tcPr>
            <w:tcW w:w="9280" w:type="dxa"/>
            <w:vAlign w:val="bottom"/>
          </w:tcPr>
          <w:p>
            <w:pPr>
              <w:ind w:left="240"/>
              <w:spacing w:after="0"/>
              <w:rPr>
                <w:sz w:val="20"/>
                <w:szCs w:val="20"/>
                <w:color w:val="auto"/>
              </w:rPr>
            </w:pPr>
            <w:r>
              <w:rPr>
                <w:rFonts w:ascii="Arial" w:cs="Arial" w:eastAsia="Arial" w:hAnsi="Arial"/>
                <w:sz w:val="18"/>
                <w:szCs w:val="18"/>
                <w:color w:val="auto"/>
              </w:rPr>
              <w:t>Restricted Stock Awards</w:t>
            </w:r>
          </w:p>
        </w:tc>
        <w:tc>
          <w:tcPr>
            <w:tcW w:w="1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2,677,597</w:t>
            </w:r>
          </w:p>
        </w:tc>
      </w:tr>
      <w:tr>
        <w:trPr>
          <w:trHeight w:val="28"/>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65"/>
        </w:trPr>
        <w:tc>
          <w:tcPr>
            <w:tcW w:w="9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 of Class A Common Stock Options</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242,963</w:t>
            </w:r>
          </w:p>
        </w:tc>
      </w:tr>
      <w:tr>
        <w:trPr>
          <w:trHeight w:val="206"/>
        </w:trPr>
        <w:tc>
          <w:tcPr>
            <w:tcW w:w="9280" w:type="dxa"/>
            <w:vAlign w:val="bottom"/>
          </w:tcPr>
          <w:p>
            <w:pPr>
              <w:ind w:left="240"/>
              <w:spacing w:after="0"/>
              <w:rPr>
                <w:sz w:val="20"/>
                <w:szCs w:val="20"/>
                <w:color w:val="auto"/>
              </w:rPr>
            </w:pPr>
            <w:r>
              <w:rPr>
                <w:rFonts w:ascii="Arial" w:cs="Arial" w:eastAsia="Arial" w:hAnsi="Arial"/>
                <w:sz w:val="18"/>
                <w:szCs w:val="18"/>
                <w:color w:val="auto"/>
                <w:w w:val="91"/>
              </w:rPr>
              <w:t>Weighted average shares of Class A and Class C common stock outstanding used to calculate diluted net income (loss) per</w:t>
            </w: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r>
      <w:tr>
        <w:trPr>
          <w:trHeight w:val="223"/>
        </w:trPr>
        <w:tc>
          <w:tcPr>
            <w:tcW w:w="9280" w:type="dxa"/>
            <w:vAlign w:val="bottom"/>
          </w:tcPr>
          <w:p>
            <w:pPr>
              <w:ind w:left="240"/>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403,138,488</w:t>
            </w:r>
          </w:p>
        </w:tc>
      </w:tr>
      <w:tr>
        <w:trPr>
          <w:trHeight w:val="27"/>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9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 attributable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0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March 31, 2021</w:t>
            </w:r>
          </w:p>
        </w:tc>
      </w:tr>
      <w:tr>
        <w:trPr>
          <w:trHeight w:val="24"/>
        </w:trPr>
        <w:tc>
          <w:tcPr>
            <w:tcW w:w="7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1"/>
        </w:trPr>
        <w:tc>
          <w:tcPr>
            <w:tcW w:w="7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w:t>
            </w:r>
          </w:p>
        </w:tc>
        <w:tc>
          <w:tcPr>
            <w:tcW w:w="360" w:type="dxa"/>
            <w:vAlign w:val="bottom"/>
          </w:tcPr>
          <w:p>
            <w:pPr>
              <w:spacing w:after="0"/>
              <w:rPr>
                <w:sz w:val="15"/>
                <w:szCs w:val="15"/>
                <w:color w:val="auto"/>
              </w:rPr>
            </w:pPr>
          </w:p>
        </w:tc>
        <w:tc>
          <w:tcPr>
            <w:tcW w:w="1320" w:type="dxa"/>
            <w:vAlign w:val="bottom"/>
          </w:tcPr>
          <w:p>
            <w:pPr>
              <w:jc w:val="right"/>
              <w:ind w:right="513"/>
              <w:spacing w:after="0"/>
              <w:rPr>
                <w:sz w:val="20"/>
                <w:szCs w:val="20"/>
                <w:color w:val="auto"/>
              </w:rPr>
            </w:pPr>
            <w:r>
              <w:rPr>
                <w:rFonts w:ascii="Arial" w:cs="Arial" w:eastAsia="Arial" w:hAnsi="Arial"/>
                <w:sz w:val="14"/>
                <w:szCs w:val="14"/>
                <w:b w:val="1"/>
                <w:bCs w:val="1"/>
                <w:color w:val="auto"/>
              </w:rPr>
              <w:t>Class C</w:t>
            </w:r>
          </w:p>
        </w:tc>
      </w:tr>
      <w:tr>
        <w:trPr>
          <w:trHeight w:val="24"/>
        </w:trPr>
        <w:tc>
          <w:tcPr>
            <w:tcW w:w="7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(loss) per share attributable to common stockholders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8"/>
        </w:trPr>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8"/>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Allocation of net income (loss) attributable to ZoomInfo Technologies Inc.</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8"/>
        </w:trPr>
        <w:tc>
          <w:tcPr>
            <w:tcW w:w="778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8"/>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number of shares of Class A and Class C common stock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94,572,525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84,231,282</w:t>
            </w:r>
          </w:p>
        </w:tc>
      </w:tr>
      <w:tr>
        <w:trPr>
          <w:trHeight w:val="231"/>
        </w:trPr>
        <w:tc>
          <w:tcPr>
            <w:tcW w:w="7780" w:type="dxa"/>
            <w:vAlign w:val="bottom"/>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3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8"/>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9"/>
        </w:trPr>
        <w:tc>
          <w:tcPr>
            <w:tcW w:w="7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38"/>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Diluted net income (loss) per share attributable to common stockholders</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8"/>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8"/>
        </w:trPr>
        <w:tc>
          <w:tcPr>
            <w:tcW w:w="7780" w:type="dxa"/>
            <w:vAlign w:val="bottom"/>
          </w:tcPr>
          <w:p>
            <w:pPr>
              <w:ind w:left="240"/>
              <w:spacing w:after="0"/>
              <w:rPr>
                <w:sz w:val="20"/>
                <w:szCs w:val="20"/>
                <w:color w:val="auto"/>
              </w:rPr>
            </w:pPr>
            <w:r>
              <w:rPr>
                <w:rFonts w:ascii="Arial" w:cs="Arial" w:eastAsia="Arial" w:hAnsi="Arial"/>
                <w:sz w:val="18"/>
                <w:szCs w:val="18"/>
                <w:color w:val="auto"/>
              </w:rPr>
              <w:t>Undistributed earnings for basic computation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6"/>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Increase in earnings attributable to common shareholders upon conversion of potentially dilutive</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1"/>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instruments</w:t>
            </w: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7780" w:type="dxa"/>
            <w:vAlign w:val="bottom"/>
          </w:tcPr>
          <w:p>
            <w:pPr>
              <w:ind w:left="240"/>
              <w:spacing w:after="0"/>
              <w:rPr>
                <w:sz w:val="20"/>
                <w:szCs w:val="20"/>
                <w:color w:val="auto"/>
              </w:rPr>
            </w:pPr>
            <w:r>
              <w:rPr>
                <w:rFonts w:ascii="Arial" w:cs="Arial" w:eastAsia="Arial" w:hAnsi="Arial"/>
                <w:sz w:val="18"/>
                <w:szCs w:val="18"/>
                <w:color w:val="auto"/>
              </w:rPr>
              <w:t>Reallocation of earnings as a result of conversion of potentially dilutive instruments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8"/>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Reallocation of undistributed earnings as a result of conversion of Class C to Class A shares</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7780" w:type="dxa"/>
            <w:vAlign w:val="bottom"/>
          </w:tcPr>
          <w:p>
            <w:pPr>
              <w:ind w:left="20"/>
              <w:spacing w:after="0"/>
              <w:rPr>
                <w:sz w:val="20"/>
                <w:szCs w:val="20"/>
                <w:color w:val="auto"/>
              </w:rPr>
            </w:pPr>
            <w:r>
              <w:rPr>
                <w:rFonts w:ascii="Arial" w:cs="Arial" w:eastAsia="Arial" w:hAnsi="Arial"/>
                <w:sz w:val="18"/>
                <w:szCs w:val="18"/>
                <w:color w:val="auto"/>
              </w:rPr>
              <w:t>Allocation of undistributed earnings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2"/>
        </w:trPr>
        <w:tc>
          <w:tcPr>
            <w:tcW w:w="778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Denominator:</w:t>
            </w:r>
          </w:p>
        </w:tc>
        <w:tc>
          <w:tcPr>
            <w:tcW w:w="3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38"/>
        </w:trPr>
        <w:tc>
          <w:tcPr>
            <w:tcW w:w="7780" w:type="dxa"/>
            <w:vAlign w:val="bottom"/>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94,572,525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84,231,282</w:t>
            </w:r>
          </w:p>
        </w:tc>
      </w:tr>
      <w:tr>
        <w:trPr>
          <w:trHeight w:val="28"/>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weighted-average effect of dilutive securities exchangeable for Class A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8"/>
        </w:trPr>
        <w:tc>
          <w:tcPr>
            <w:tcW w:w="7780" w:type="dxa"/>
            <w:vAlign w:val="bottom"/>
          </w:tcPr>
          <w:p>
            <w:pPr>
              <w:ind w:left="240"/>
              <w:spacing w:after="0"/>
              <w:rPr>
                <w:sz w:val="20"/>
                <w:szCs w:val="20"/>
                <w:color w:val="auto"/>
              </w:rPr>
            </w:pPr>
            <w:r>
              <w:rPr>
                <w:rFonts w:ascii="Arial" w:cs="Arial" w:eastAsia="Arial" w:hAnsi="Arial"/>
                <w:sz w:val="18"/>
                <w:szCs w:val="18"/>
                <w:color w:val="auto"/>
              </w:rPr>
              <w:t>Class P Units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11,199,562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8"/>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HoldCo Units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38"/>
        </w:trPr>
        <w:tc>
          <w:tcPr>
            <w:tcW w:w="7780" w:type="dxa"/>
            <w:vAlign w:val="bottom"/>
          </w:tcPr>
          <w:p>
            <w:pPr>
              <w:ind w:left="240"/>
              <w:spacing w:after="0"/>
              <w:rPr>
                <w:sz w:val="20"/>
                <w:szCs w:val="20"/>
                <w:color w:val="auto"/>
              </w:rPr>
            </w:pPr>
            <w:r>
              <w:rPr>
                <w:rFonts w:ascii="Arial" w:cs="Arial" w:eastAsia="Arial" w:hAnsi="Arial"/>
                <w:sz w:val="18"/>
                <w:szCs w:val="18"/>
                <w:color w:val="auto"/>
              </w:rPr>
              <w:t>Restricted Stock Units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287,829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 of Class A Common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780" w:type="dxa"/>
            <w:vAlign w:val="bottom"/>
          </w:tcPr>
          <w:p>
            <w:pPr>
              <w:ind w:left="240"/>
              <w:spacing w:after="0"/>
              <w:rPr>
                <w:sz w:val="20"/>
                <w:szCs w:val="20"/>
                <w:color w:val="auto"/>
              </w:rPr>
            </w:pPr>
            <w:r>
              <w:rPr>
                <w:rFonts w:ascii="Arial" w:cs="Arial" w:eastAsia="Arial" w:hAnsi="Arial"/>
                <w:sz w:val="18"/>
                <w:szCs w:val="18"/>
                <w:color w:val="auto"/>
              </w:rPr>
              <w:t>Conversion of Class C to Class A common shares outstanding</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84,231,282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Weighted average shares of Class A and Class C common stock outstanding used to calculate diluted net</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51"/>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192,062,142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84,231,282</w:t>
            </w:r>
          </w:p>
        </w:tc>
      </w:tr>
      <w:tr>
        <w:trPr>
          <w:trHeight w:val="258"/>
        </w:trPr>
        <w:tc>
          <w:tcPr>
            <w:tcW w:w="7780" w:type="dxa"/>
            <w:vAlign w:val="bottom"/>
          </w:tcPr>
          <w:p>
            <w:pPr>
              <w:ind w:left="20"/>
              <w:spacing w:after="0"/>
              <w:rPr>
                <w:sz w:val="20"/>
                <w:szCs w:val="20"/>
                <w:color w:val="auto"/>
              </w:rPr>
            </w:pPr>
            <w:r>
              <w:rPr>
                <w:rFonts w:ascii="Arial" w:cs="Arial" w:eastAsia="Arial" w:hAnsi="Arial"/>
                <w:sz w:val="18"/>
                <w:szCs w:val="18"/>
                <w:color w:val="auto"/>
              </w:rPr>
              <w:t>Diluted net income (loss) per share attributable to common stockholders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42424"/>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(continued)</w:t>
      </w:r>
    </w:p>
    <w:p>
      <w:pPr>
        <w:spacing w:after="0" w:line="200" w:lineRule="exact"/>
        <w:rPr>
          <w:sz w:val="20"/>
          <w:szCs w:val="20"/>
          <w:color w:val="auto"/>
        </w:rPr>
      </w:pPr>
    </w:p>
    <w:p>
      <w:pPr>
        <w:spacing w:after="0" w:line="2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242424"/>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5"/>
                <w:szCs w:val="15"/>
                <w:color w:val="auto"/>
              </w:rPr>
            </w:pPr>
          </w:p>
        </w:tc>
        <w:tc>
          <w:tcPr>
            <w:tcW w:w="3460" w:type="dxa"/>
            <w:vAlign w:val="bottom"/>
            <w:gridSpan w:val="3"/>
          </w:tcPr>
          <w:p>
            <w:pPr>
              <w:jc w:val="right"/>
              <w:ind w:right="674"/>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7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1"/>
        </w:trPr>
        <w:tc>
          <w:tcPr>
            <w:tcW w:w="7780" w:type="dxa"/>
            <w:vAlign w:val="bottom"/>
          </w:tcPr>
          <w:p>
            <w:pPr>
              <w:spacing w:after="0"/>
              <w:rPr>
                <w:sz w:val="15"/>
                <w:szCs w:val="15"/>
                <w:color w:val="auto"/>
              </w:rPr>
            </w:pPr>
          </w:p>
        </w:tc>
        <w:tc>
          <w:tcPr>
            <w:tcW w:w="1680" w:type="dxa"/>
            <w:vAlign w:val="bottom"/>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6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24"/>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Units</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198,968,184</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HSKB I Class 1 Units</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8,498,402</w:t>
            </w:r>
          </w:p>
        </w:tc>
      </w:tr>
      <w:tr>
        <w:trPr>
          <w:trHeight w:val="28"/>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HSKB II Class 1 Units</w:t>
            </w: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449,005</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color w:val="auto"/>
              </w:rPr>
              <w:t>HSKB II Phantom Units</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1,357,538</w:t>
            </w:r>
          </w:p>
        </w:tc>
      </w:tr>
      <w:tr>
        <w:trPr>
          <w:trHeight w:val="28"/>
        </w:trPr>
        <w:tc>
          <w:tcPr>
            <w:tcW w:w="7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6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5,983,638</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8"/>
        </w:trPr>
        <w:tc>
          <w:tcPr>
            <w:tcW w:w="778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5,983,638</w:t>
            </w:r>
          </w:p>
        </w:tc>
        <w:tc>
          <w:tcPr>
            <w:tcW w:w="10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209,273,129</w:t>
            </w:r>
          </w:p>
        </w:tc>
      </w:tr>
      <w:tr>
        <w:trPr>
          <w:trHeight w:val="20"/>
        </w:trPr>
        <w:tc>
          <w:tcPr>
            <w:tcW w:w="77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adoption of Topic 842.</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The Company subleases two offices. The subleases have remaining lease terms of less than four years. Sublease income, which is recorded as a reduction of rent expense and allocated to the appropriate financial statement line items to arrive at </w:t>
      </w:r>
      <w:r>
        <w:rPr>
          <w:rFonts w:ascii="Arial" w:cs="Arial" w:eastAsia="Arial" w:hAnsi="Arial"/>
          <w:sz w:val="18"/>
          <w:szCs w:val="18"/>
          <w:i w:val="1"/>
          <w:iCs w:val="1"/>
          <w:color w:val="auto"/>
        </w:rPr>
        <w:t>Income (loss) from operations</w:t>
      </w:r>
      <w:r>
        <w:rPr>
          <w:rFonts w:ascii="Arial" w:cs="Arial" w:eastAsia="Arial" w:hAnsi="Arial"/>
          <w:sz w:val="18"/>
          <w:szCs w:val="18"/>
          <w:color w:val="auto"/>
        </w:rPr>
        <w:t xml:space="preserve"> on our Consolidated Statements of Operations was immaterial for the three months ended March 31, 2022 and 2021.</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are additional details related to operating leases recorded on our Condensed Consolidated Balance Sheets as of March 31, 2022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5"/>
                <w:szCs w:val="15"/>
                <w:color w:val="auto"/>
              </w:rPr>
            </w:pPr>
          </w:p>
        </w:tc>
        <w:tc>
          <w:tcPr>
            <w:tcW w:w="1520" w:type="dxa"/>
            <w:vAlign w:val="bottom"/>
          </w:tcPr>
          <w:p>
            <w:pPr>
              <w:jc w:val="right"/>
              <w:ind w:right="41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
        </w:trPr>
        <w:tc>
          <w:tcPr>
            <w:tcW w:w="7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6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75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5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2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7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8"/>
        </w:trPr>
        <w:tc>
          <w:tcPr>
            <w:tcW w:w="75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Rent expense was $3.3 million and $2.4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 (continued)</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leases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6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6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6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1260" w:type="dxa"/>
            <w:vAlign w:val="bottom"/>
            <w:tcBorders>
              <w:bottom w:val="single" w:sz="8" w:color="CCEEFF"/>
            </w:tcBorders>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2"/>
        </w:trPr>
        <w:tc>
          <w:tcPr>
            <w:tcW w:w="66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From new and existing lease agreements and modifications</w:t>
            </w: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126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666"/>
        </w:trPr>
        <w:tc>
          <w:tcPr>
            <w:tcW w:w="6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March 31, 2022</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December 31, 2021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6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8"/>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table below reconciles the undiscounted future minimum lease payments under non-cancelable leases to the total lease liabilities recognized as of March 31, 2022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138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Operating Leases</w:t>
            </w:r>
          </w:p>
        </w:tc>
      </w:tr>
      <w:tr>
        <w:trPr>
          <w:trHeight w:val="24"/>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(excluding three months ended March 31, 2022)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8"/>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8"/>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8"/>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less effects of discounting</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8"/>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9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Reported as of March 31, 2022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8"/>
        </w:trPr>
        <w:tc>
          <w:tcPr>
            <w:tcW w:w="968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8"/>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58"/>
        </w:trPr>
        <w:tc>
          <w:tcPr>
            <w:tcW w:w="9680" w:type="dxa"/>
            <w:vAlign w:val="bottom"/>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above does not include any legally binding minimum lease payments for leases signed but not yet commenced.</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Expense associated with short term leases and variable lease costs were immaterial for the three months ended March 31, 2022. The expense related to short-term leases reasonably reflected our short-term lease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Leasing Activity</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During the three months ended March 31, 2022, the Company executed a seven year lease for office space in Ra’anana, Israel, with the rent payments for the first phase expected to commence at the earliest in July 2023, and the rent payments for the additional phases expected to commence between August 2023 and January 2024. Upon execution of the lease, the Company paid rent in advance of $1.7 million. The lease contains two options extend for an additional three and five years, respectively, for which the company is not reasonably certain of exercising as of March 31, 2022. The lease is subject to fixed rate rent with the addition of VAT and certain future increases of the Israel Consumer Price Index. The lease provides for $15.4 million in tenant improvements. The Company determined that it is the accounting owner of all tenant improvements. As the commencement of this lease is expected to occur in the future, the Company has not recorded operating lease right-of-use assets or lease liabilities as of March 31, 2022.</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Undiscounted lease payments under all leases executed and not yet commenced are anticipated to be $331.4 million, which are not included in the tabular disclosure of undiscounted future minimum lease payments under non-cancelable leases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w:t>
      </w:r>
    </w:p>
    <w:p>
      <w:pPr>
        <w:spacing w:after="0" w:line="164"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b w:val="1"/>
          <w:bCs w:val="1"/>
          <w:color w:val="auto"/>
        </w:rPr>
        <w:t xml:space="preserve">2020 Omnibus Incentive Plan </w:t>
      </w:r>
      <w:r>
        <w:rPr>
          <w:rFonts w:ascii="Arial" w:cs="Arial" w:eastAsia="Arial" w:hAnsi="Arial"/>
          <w:sz w:val="15"/>
          <w:szCs w:val="15"/>
          <w:color w:val="auto"/>
        </w:rPr>
        <w:t>- On May 27, 2020, the Board of Directors of the Company (the “Board”) adopted the ZoomInfo Technologies Inc. 2020</w:t>
      </w:r>
      <w:r>
        <w:rPr>
          <w:rFonts w:ascii="Arial" w:cs="Arial" w:eastAsia="Arial" w:hAnsi="Arial"/>
          <w:sz w:val="15"/>
          <w:szCs w:val="15"/>
          <w:b w:val="1"/>
          <w:bCs w:val="1"/>
          <w:color w:val="auto"/>
        </w:rPr>
        <w:t xml:space="preserve"> </w:t>
      </w:r>
      <w:r>
        <w:rPr>
          <w:rFonts w:ascii="Arial" w:cs="Arial" w:eastAsia="Arial" w:hAnsi="Arial"/>
          <w:sz w:val="15"/>
          <w:szCs w:val="15"/>
          <w:color w:val="auto"/>
        </w:rPr>
        <w:t>Omnibus Incentive Plan (the “Omnibus Plan”). The 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9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maximum aggregate number of shares of the Company’s Class A common stock that may be issued pursuant to awards under the Omnibus Plan shall not exceed 18,650,000 shares (including OpCo Units or other securities which have been issued under the plan and were converted into awards based on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 (x) 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currently has equity-based compensation awards outstanding as follows: Restricted Stock Units, Class A Common Stock Options, and Restricted Stock. In addition, the Company recognizes equity-based compensation expense from awards granted to employees as further described below under HSKB Incentive Units.</w:t>
      </w:r>
    </w:p>
    <w:p>
      <w:pPr>
        <w:spacing w:after="0" w:line="13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years anniversary of the grant date of the award and the remainder vesting monthly thereafter. For awards made after May 2020 to existing employees, the service vesting condition is generally four years with 25% vesting on the one year anniversary of the grant date of the award and 6.25% vesting quarterly thereafter. Certain additional grants have other vesting periods approved by the Compensation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Unit (“RSU”)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Three Months Ended</w:t>
            </w:r>
          </w:p>
        </w:tc>
      </w:tr>
      <w:tr>
        <w:trPr>
          <w:trHeight w:val="184"/>
        </w:trPr>
        <w:tc>
          <w:tcPr>
            <w:tcW w:w="5840" w:type="dxa"/>
            <w:vAlign w:val="bottom"/>
          </w:tcPr>
          <w:p>
            <w:pPr>
              <w:spacing w:after="0"/>
              <w:rPr>
                <w:sz w:val="15"/>
                <w:szCs w:val="15"/>
                <w:color w:val="auto"/>
              </w:rPr>
            </w:pPr>
          </w:p>
        </w:tc>
        <w:tc>
          <w:tcPr>
            <w:tcW w:w="3660" w:type="dxa"/>
            <w:vAlign w:val="bottom"/>
            <w:gridSpan w:val="5"/>
          </w:tcPr>
          <w:p>
            <w:pPr>
              <w:ind w:left="660"/>
              <w:spacing w:after="0"/>
              <w:rPr>
                <w:sz w:val="20"/>
                <w:szCs w:val="20"/>
                <w:color w:val="auto"/>
              </w:rPr>
            </w:pPr>
            <w:r>
              <w:rPr>
                <w:rFonts w:ascii="Arial" w:cs="Arial" w:eastAsia="Arial" w:hAnsi="Arial"/>
                <w:sz w:val="14"/>
                <w:szCs w:val="14"/>
                <w:b w:val="1"/>
                <w:bCs w:val="1"/>
                <w:color w:val="auto"/>
              </w:rPr>
              <w:t>Three Months Ended March 31, 2022</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2021</w:t>
            </w:r>
          </w:p>
        </w:tc>
      </w:tr>
      <w:tr>
        <w:trPr>
          <w:trHeight w:val="24"/>
        </w:trPr>
        <w:tc>
          <w:tcPr>
            <w:tcW w:w="584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56"/>
        </w:trPr>
        <w:tc>
          <w:tcPr>
            <w:tcW w:w="5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w w:val="91"/>
              </w:rPr>
              <w:t>Weighted Average Grant</w:t>
            </w:r>
          </w:p>
        </w:tc>
        <w:tc>
          <w:tcPr>
            <w:tcW w:w="1740" w:type="dxa"/>
            <w:vAlign w:val="bottom"/>
          </w:tcPr>
          <w:p>
            <w:pPr>
              <w:spacing w:after="0"/>
              <w:rPr>
                <w:sz w:val="13"/>
                <w:szCs w:val="13"/>
                <w:color w:val="auto"/>
              </w:rPr>
            </w:pPr>
          </w:p>
        </w:tc>
      </w:tr>
      <w:tr>
        <w:trPr>
          <w:trHeight w:val="184"/>
        </w:trPr>
        <w:tc>
          <w:tcPr>
            <w:tcW w:w="5840" w:type="dxa"/>
            <w:vAlign w:val="bottom"/>
          </w:tcPr>
          <w:p>
            <w:pPr>
              <w:spacing w:after="0"/>
              <w:rPr>
                <w:sz w:val="15"/>
                <w:szCs w:val="15"/>
                <w:color w:val="auto"/>
              </w:rPr>
            </w:pPr>
          </w:p>
        </w:tc>
        <w:tc>
          <w:tcPr>
            <w:tcW w:w="1740" w:type="dxa"/>
            <w:vAlign w:val="bottom"/>
          </w:tcPr>
          <w:p>
            <w:pPr>
              <w:jc w:val="right"/>
              <w:ind w:right="97"/>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Date Fair Value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Restricted Stock Units</w:t>
            </w:r>
          </w:p>
        </w:tc>
      </w:tr>
      <w:tr>
        <w:trPr>
          <w:trHeight w:val="24"/>
        </w:trPr>
        <w:tc>
          <w:tcPr>
            <w:tcW w:w="58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4,853,795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985,398</w:t>
            </w:r>
          </w:p>
        </w:tc>
      </w:tr>
      <w:tr>
        <w:trPr>
          <w:trHeight w:val="237"/>
        </w:trPr>
        <w:tc>
          <w:tcPr>
            <w:tcW w:w="5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1,650,785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54.50</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365,759</w:t>
            </w:r>
          </w:p>
        </w:tc>
      </w:tr>
      <w:tr>
        <w:trPr>
          <w:trHeight w:val="28"/>
        </w:trPr>
        <w:tc>
          <w:tcPr>
            <w:tcW w:w="5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5"/>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(187,659)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(20,439)</w:t>
            </w:r>
          </w:p>
        </w:tc>
      </w:tr>
      <w:tr>
        <w:trPr>
          <w:trHeight w:val="237"/>
        </w:trPr>
        <w:tc>
          <w:tcPr>
            <w:tcW w:w="5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(333,283)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59.31</w:t>
            </w: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(35,050)</w:t>
            </w:r>
          </w:p>
        </w:tc>
      </w:tr>
      <w:tr>
        <w:trPr>
          <w:trHeight w:val="28"/>
        </w:trPr>
        <w:tc>
          <w:tcPr>
            <w:tcW w:w="58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3"/>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5,983,638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8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1,295,668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year ended December 31, 2021, the Company issued shares of Restricted Stock in exchange for all unvested HoldCo Units, Class P Units, and LTIP Units owned directly by employees of the Company (refer to Note 1 - Organization and Background). The exchanged shares of Restricted Stock remain subject to the same service vesting requirements of the original units. Upon fulfillment of the original employment service conditions, the restrictions will be lifted and the Restricted Stock will convert to unrestricted Class A Shares.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84"/>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gridSpan w:val="5"/>
          </w:tcPr>
          <w:p>
            <w:pPr>
              <w:ind w:left="640"/>
              <w:spacing w:after="0"/>
              <w:rPr>
                <w:sz w:val="20"/>
                <w:szCs w:val="20"/>
                <w:color w:val="auto"/>
              </w:rPr>
            </w:pPr>
            <w:r>
              <w:rPr>
                <w:rFonts w:ascii="Arial" w:cs="Arial" w:eastAsia="Arial" w:hAnsi="Arial"/>
                <w:sz w:val="14"/>
                <w:szCs w:val="14"/>
                <w:b w:val="1"/>
                <w:bCs w:val="1"/>
                <w:color w:val="auto"/>
                <w:w w:val="96"/>
              </w:rPr>
              <w:t>Three Months Ended March 31, 2022</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4"/>
          </w:tcPr>
          <w:p>
            <w:pPr>
              <w:jc w:val="center"/>
              <w:ind w:right="120"/>
              <w:spacing w:after="0" w:line="156" w:lineRule="exact"/>
              <w:rPr>
                <w:sz w:val="20"/>
                <w:szCs w:val="20"/>
                <w:color w:val="auto"/>
              </w:rPr>
            </w:pPr>
            <w:r>
              <w:rPr>
                <w:rFonts w:ascii="Arial" w:cs="Arial" w:eastAsia="Arial" w:hAnsi="Arial"/>
                <w:sz w:val="14"/>
                <w:szCs w:val="14"/>
                <w:b w:val="1"/>
                <w:bCs w:val="1"/>
                <w:color w:val="auto"/>
                <w:w w:val="93"/>
              </w:rPr>
              <w:t>Weighted Average Grant</w:t>
            </w: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3"/>
          </w:tcPr>
          <w:p>
            <w:pPr>
              <w:ind w:left="360"/>
              <w:spacing w:after="0"/>
              <w:rPr>
                <w:sz w:val="20"/>
                <w:szCs w:val="20"/>
                <w:color w:val="auto"/>
              </w:rPr>
            </w:pPr>
            <w:r>
              <w:rPr>
                <w:rFonts w:ascii="Arial" w:cs="Arial" w:eastAsia="Arial" w:hAnsi="Arial"/>
                <w:sz w:val="14"/>
                <w:szCs w:val="14"/>
                <w:b w:val="1"/>
                <w:bCs w:val="1"/>
                <w:color w:val="auto"/>
              </w:rPr>
              <w:t>Restricted stock</w:t>
            </w:r>
          </w:p>
        </w:tc>
        <w:tc>
          <w:tcPr>
            <w:tcW w:w="20" w:type="dxa"/>
            <w:vAlign w:val="bottom"/>
          </w:tcPr>
          <w:p>
            <w:pPr>
              <w:spacing w:after="0"/>
              <w:rPr>
                <w:sz w:val="15"/>
                <w:szCs w:val="15"/>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Date Fair Value</w:t>
            </w:r>
          </w:p>
        </w:tc>
        <w:tc>
          <w:tcPr>
            <w:tcW w:w="20" w:type="dxa"/>
            <w:vAlign w:val="bottom"/>
          </w:tcPr>
          <w:p>
            <w:pPr>
              <w:spacing w:after="0"/>
              <w:rPr>
                <w:sz w:val="15"/>
                <w:szCs w:val="15"/>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Restricted stock</w:t>
            </w: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top w:val="single" w:sz="8" w:color="auto"/>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8"/>
                <w:szCs w:val="18"/>
                <w:color w:val="auto"/>
              </w:rPr>
              <w:t>3,525,373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gridSpan w:val="2"/>
            <w:shd w:val="clear" w:color="auto" w:fill="CCEEFF"/>
          </w:tcPr>
          <w:p>
            <w:pPr>
              <w:jc w:val="right"/>
              <w:ind w:right="100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(790,054)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00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92"/>
              </w:rPr>
              <w:t>(43,210)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top w:val="single" w:sz="8" w:color="auto"/>
              <w:bottom w:val="single" w:sz="8" w:color="auto"/>
            </w:tcBorders>
            <w:gridSpan w:val="2"/>
          </w:tcPr>
          <w:p>
            <w:pPr>
              <w:jc w:val="right"/>
              <w:ind w:right="9"/>
              <w:spacing w:after="0"/>
              <w:rPr>
                <w:sz w:val="20"/>
                <w:szCs w:val="20"/>
                <w:color w:val="auto"/>
              </w:rPr>
            </w:pPr>
            <w:r>
              <w:rPr>
                <w:rFonts w:ascii="Arial" w:cs="Arial" w:eastAsia="Arial" w:hAnsi="Arial"/>
                <w:sz w:val="18"/>
                <w:szCs w:val="18"/>
                <w:color w:val="auto"/>
              </w:rPr>
              <w:t>2,692,109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tcPr>
          <w:p>
            <w:pPr>
              <w:jc w:val="right"/>
              <w:ind w:right="100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10.77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Class A Common Stock Options</w:t>
            </w: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5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20" w:type="dxa"/>
            <w:vAlign w:val="bottom"/>
          </w:tcPr>
          <w:p>
            <w:pPr>
              <w:ind w:left="320"/>
              <w:spacing w:after="0"/>
              <w:rPr>
                <w:sz w:val="20"/>
                <w:szCs w:val="20"/>
                <w:color w:val="auto"/>
              </w:rPr>
            </w:pPr>
            <w:r>
              <w:rPr>
                <w:rFonts w:ascii="Arial" w:cs="Arial" w:eastAsia="Arial" w:hAnsi="Arial"/>
                <w:sz w:val="18"/>
                <w:szCs w:val="18"/>
                <w:color w:val="auto"/>
              </w:rPr>
              <w:t>Options activity was as follows during the period indicated:</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84"/>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gridSpan w:val="5"/>
          </w:tcPr>
          <w:p>
            <w:pPr>
              <w:jc w:val="right"/>
              <w:ind w:right="9"/>
              <w:spacing w:after="0"/>
              <w:rPr>
                <w:sz w:val="20"/>
                <w:szCs w:val="20"/>
                <w:color w:val="auto"/>
              </w:rPr>
            </w:pPr>
            <w:r>
              <w:rPr>
                <w:rFonts w:ascii="Arial" w:cs="Arial" w:eastAsia="Arial" w:hAnsi="Arial"/>
                <w:sz w:val="14"/>
                <w:szCs w:val="14"/>
                <w:b w:val="1"/>
                <w:bCs w:val="1"/>
                <w:color w:val="auto"/>
              </w:rPr>
              <w:t>Three Months Ended March 31, 2022</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24"/>
        </w:trPr>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4"/>
          </w:tcPr>
          <w:p>
            <w:pPr>
              <w:ind w:left="40"/>
              <w:spacing w:after="0" w:line="156" w:lineRule="exact"/>
              <w:rPr>
                <w:sz w:val="20"/>
                <w:szCs w:val="20"/>
                <w:color w:val="auto"/>
              </w:rPr>
            </w:pPr>
            <w:r>
              <w:rPr>
                <w:rFonts w:ascii="Arial" w:cs="Arial" w:eastAsia="Arial" w:hAnsi="Arial"/>
                <w:sz w:val="14"/>
                <w:szCs w:val="14"/>
                <w:b w:val="1"/>
                <w:bCs w:val="1"/>
                <w:color w:val="auto"/>
                <w:w w:val="94"/>
              </w:rPr>
              <w:t>Weighted Average Exercise</w:t>
            </w:r>
          </w:p>
        </w:tc>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3"/>
          </w:tcPr>
          <w:p>
            <w:pPr>
              <w:ind w:left="64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b w:val="1"/>
                <w:bCs w:val="1"/>
                <w:color w:val="auto"/>
              </w:rPr>
              <w:t>Price</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24"/>
        </w:trPr>
        <w:tc>
          <w:tcPr>
            <w:tcW w:w="5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740" w:type="dxa"/>
            <w:vAlign w:val="bottom"/>
            <w:tcBorders>
              <w:bottom w:val="single" w:sz="8" w:color="CCEEFF"/>
            </w:tcBorders>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89"/>
              </w:rPr>
              <w:t>417,085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98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552,440</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(14,790)</w:t>
            </w:r>
          </w:p>
        </w:tc>
        <w:tc>
          <w:tcPr>
            <w:tcW w:w="80" w:type="dxa"/>
            <w:vAlign w:val="bottom"/>
          </w:tcPr>
          <w:p>
            <w:pPr>
              <w:spacing w:after="0"/>
              <w:rPr>
                <w:sz w:val="20"/>
                <w:szCs w:val="20"/>
                <w:color w:val="auto"/>
              </w:rPr>
            </w:pPr>
          </w:p>
        </w:tc>
        <w:tc>
          <w:tcPr>
            <w:tcW w:w="1180" w:type="dxa"/>
            <w:vAlign w:val="bottom"/>
            <w:gridSpan w:val="2"/>
          </w:tcPr>
          <w:p>
            <w:pPr>
              <w:jc w:val="right"/>
              <w:ind w:right="98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(24,758)</w:t>
            </w:r>
          </w:p>
        </w:tc>
        <w:tc>
          <w:tcPr>
            <w:tcW w:w="0" w:type="dxa"/>
            <w:vAlign w:val="bottom"/>
          </w:tcPr>
          <w:p>
            <w:pPr>
              <w:spacing w:after="0"/>
              <w:rPr>
                <w:sz w:val="1"/>
                <w:szCs w:val="1"/>
                <w:color w:val="auto"/>
              </w:rPr>
            </w:pPr>
          </w:p>
        </w:tc>
      </w:tr>
      <w:tr>
        <w:trPr>
          <w:trHeight w:val="28"/>
        </w:trPr>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(1,824)</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98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82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(4,968)</w:t>
            </w:r>
          </w:p>
        </w:tc>
        <w:tc>
          <w:tcPr>
            <w:tcW w:w="80" w:type="dxa"/>
            <w:vAlign w:val="bottom"/>
          </w:tcPr>
          <w:p>
            <w:pPr>
              <w:spacing w:after="0"/>
              <w:rPr>
                <w:sz w:val="20"/>
                <w:szCs w:val="20"/>
                <w:color w:val="auto"/>
              </w:rPr>
            </w:pPr>
          </w:p>
        </w:tc>
        <w:tc>
          <w:tcPr>
            <w:tcW w:w="1180" w:type="dxa"/>
            <w:vAlign w:val="bottom"/>
            <w:gridSpan w:val="2"/>
          </w:tcPr>
          <w:p>
            <w:pPr>
              <w:jc w:val="right"/>
              <w:ind w:right="98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60" w:type="dxa"/>
            <w:vAlign w:val="bottom"/>
            <w:gridSpan w:val="3"/>
          </w:tcPr>
          <w:p>
            <w:pPr>
              <w:jc w:val="right"/>
              <w:ind w:right="20"/>
              <w:spacing w:after="0"/>
              <w:rPr>
                <w:sz w:val="20"/>
                <w:szCs w:val="20"/>
                <w:color w:val="auto"/>
              </w:rPr>
            </w:pPr>
            <w:r>
              <w:rPr>
                <w:rFonts w:ascii="Arial" w:cs="Arial" w:eastAsia="Arial" w:hAnsi="Arial"/>
                <w:sz w:val="18"/>
                <w:szCs w:val="18"/>
                <w:color w:val="auto"/>
              </w:rPr>
              <w:t>(3,561)</w:t>
            </w:r>
          </w:p>
        </w:tc>
        <w:tc>
          <w:tcPr>
            <w:tcW w:w="0" w:type="dxa"/>
            <w:vAlign w:val="bottom"/>
          </w:tcPr>
          <w:p>
            <w:pPr>
              <w:spacing w:after="0"/>
              <w:rPr>
                <w:sz w:val="1"/>
                <w:szCs w:val="1"/>
                <w:color w:val="auto"/>
              </w:rPr>
            </w:pPr>
          </w:p>
        </w:tc>
      </w:tr>
      <w:tr>
        <w:trPr>
          <w:trHeight w:val="28"/>
        </w:trPr>
        <w:tc>
          <w:tcPr>
            <w:tcW w:w="5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1740" w:type="dxa"/>
            <w:vAlign w:val="bottom"/>
            <w:gridSpan w:val="2"/>
            <w:shd w:val="clear" w:color="auto" w:fill="CCEEFF"/>
          </w:tcPr>
          <w:p>
            <w:pPr>
              <w:jc w:val="center"/>
              <w:ind w:left="992"/>
              <w:spacing w:after="0"/>
              <w:rPr>
                <w:sz w:val="20"/>
                <w:szCs w:val="20"/>
                <w:color w:val="auto"/>
              </w:rPr>
            </w:pPr>
            <w:r>
              <w:rPr>
                <w:rFonts w:ascii="Arial" w:cs="Arial" w:eastAsia="Arial" w:hAnsi="Arial"/>
                <w:sz w:val="18"/>
                <w:szCs w:val="18"/>
                <w:color w:val="auto"/>
                <w:w w:val="89"/>
              </w:rPr>
              <w:t>395,503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524,121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Options have a maximum contractual term of ten years. The aggregate intrinsic value and weighted average remaining contractual terms of Options outstanding and Options exercisable were as follows as of March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tcPr>
          <w:p>
            <w:pPr>
              <w:jc w:val="right"/>
              <w:ind w:right="695"/>
              <w:spacing w:after="0"/>
              <w:rPr>
                <w:sz w:val="20"/>
                <w:szCs w:val="20"/>
                <w:color w:val="auto"/>
              </w:rPr>
            </w:pPr>
            <w:r>
              <w:rPr>
                <w:rFonts w:ascii="Arial" w:cs="Arial" w:eastAsia="Arial" w:hAnsi="Arial"/>
                <w:sz w:val="14"/>
                <w:szCs w:val="14"/>
                <w:b w:val="1"/>
                <w:bCs w:val="1"/>
                <w:color w:val="auto"/>
              </w:rPr>
              <w:t>March 31, 2022</w:t>
            </w:r>
          </w:p>
        </w:tc>
      </w:tr>
      <w:tr>
        <w:trPr>
          <w:trHeight w:val="24"/>
        </w:trPr>
        <w:tc>
          <w:tcPr>
            <w:tcW w:w="87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5"/>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intrinsic value (in millions)</w:t>
            </w:r>
          </w:p>
        </w:tc>
        <w:tc>
          <w:tcPr>
            <w:tcW w:w="44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38"/>
        </w:trPr>
        <w:tc>
          <w:tcPr>
            <w:tcW w:w="8740" w:type="dxa"/>
            <w:vAlign w:val="bottom"/>
          </w:tcPr>
          <w:p>
            <w:pPr>
              <w:ind w:left="120"/>
              <w:spacing w:after="0"/>
              <w:rPr>
                <w:sz w:val="20"/>
                <w:szCs w:val="20"/>
                <w:color w:val="auto"/>
              </w:rPr>
            </w:pPr>
            <w:r>
              <w:rPr>
                <w:rFonts w:ascii="Arial" w:cs="Arial" w:eastAsia="Arial" w:hAnsi="Arial"/>
                <w:sz w:val="18"/>
                <w:szCs w:val="18"/>
                <w:color w:val="auto"/>
              </w:rPr>
              <w:t>Unit Options outstanding</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8"/>
        </w:trPr>
        <w:tc>
          <w:tcPr>
            <w:tcW w:w="8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5"/>
        </w:trPr>
        <w:tc>
          <w:tcPr>
            <w:tcW w:w="8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 Options exercisable</w:t>
            </w: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8"/>
        </w:trPr>
        <w:tc>
          <w:tcPr>
            <w:tcW w:w="8740" w:type="dxa"/>
            <w:vAlign w:val="bottom"/>
          </w:tcPr>
          <w:p>
            <w:pPr>
              <w:ind w:left="20"/>
              <w:spacing w:after="0"/>
              <w:rPr>
                <w:sz w:val="20"/>
                <w:szCs w:val="20"/>
                <w:color w:val="auto"/>
              </w:rPr>
            </w:pPr>
            <w:r>
              <w:rPr>
                <w:rFonts w:ascii="Arial" w:cs="Arial" w:eastAsia="Arial" w:hAnsi="Arial"/>
                <w:sz w:val="18"/>
                <w:szCs w:val="18"/>
                <w:color w:val="auto"/>
              </w:rPr>
              <w:t>Weighted average remaining contractual life (in years)</w:t>
            </w:r>
          </w:p>
        </w:tc>
        <w:tc>
          <w:tcPr>
            <w:tcW w:w="4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8"/>
        </w:trPr>
        <w:tc>
          <w:tcPr>
            <w:tcW w:w="8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5"/>
        </w:trPr>
        <w:tc>
          <w:tcPr>
            <w:tcW w:w="8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 Options outstanding</w:t>
            </w:r>
          </w:p>
        </w:tc>
        <w:tc>
          <w:tcPr>
            <w:tcW w:w="4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years</w:t>
            </w:r>
          </w:p>
        </w:tc>
      </w:tr>
      <w:tr>
        <w:trPr>
          <w:trHeight w:val="238"/>
        </w:trPr>
        <w:tc>
          <w:tcPr>
            <w:tcW w:w="8740" w:type="dxa"/>
            <w:vAlign w:val="bottom"/>
          </w:tcPr>
          <w:p>
            <w:pPr>
              <w:ind w:left="120"/>
              <w:spacing w:after="0"/>
              <w:rPr>
                <w:sz w:val="20"/>
                <w:szCs w:val="20"/>
                <w:color w:val="auto"/>
              </w:rPr>
            </w:pPr>
            <w:r>
              <w:rPr>
                <w:rFonts w:ascii="Arial" w:cs="Arial" w:eastAsia="Arial" w:hAnsi="Arial"/>
                <w:sz w:val="18"/>
                <w:szCs w:val="18"/>
                <w:color w:val="auto"/>
              </w:rPr>
              <w:t>Unit Options exercisable</w:t>
            </w:r>
          </w:p>
        </w:tc>
        <w:tc>
          <w:tcPr>
            <w:tcW w:w="4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8.1 years</w:t>
            </w:r>
          </w:p>
        </w:tc>
      </w:tr>
    </w:tbl>
    <w:p>
      <w:pPr>
        <w:spacing w:after="0" w:line="33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All Options outstanding were issued at the time of the IPO in 2020. No additional options have been issued to date. The fair value of Class A Common Stock Options granted at the time of the IPO was determined using the Black-Scholes option pricing model. 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HoldCo Units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year ended December 31, 2021, ZoomInfo HoldCo waived the restriction on exchanges of unvested HoldCo Units on condition that such holders accept shares of our Class A common stock subject to the same vesting terms as the corresponding exchanged HoldCo Units. Subsequently, all unvested HoldCo Units, along with the same number of corresponding share of our Class B common stock held directly by employees of the Company were voluntarily exchanged for shares of Restricted Stock.</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HoldCo Unit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Three Months Ended</w:t>
            </w:r>
          </w:p>
        </w:tc>
      </w:tr>
      <w:tr>
        <w:trPr>
          <w:trHeight w:val="184"/>
        </w:trPr>
        <w:tc>
          <w:tcPr>
            <w:tcW w:w="5840" w:type="dxa"/>
            <w:vAlign w:val="bottom"/>
          </w:tcPr>
          <w:p>
            <w:pPr>
              <w:spacing w:after="0"/>
              <w:rPr>
                <w:sz w:val="15"/>
                <w:szCs w:val="15"/>
                <w:color w:val="auto"/>
              </w:rPr>
            </w:pPr>
          </w:p>
        </w:tc>
        <w:tc>
          <w:tcPr>
            <w:tcW w:w="3660" w:type="dxa"/>
            <w:vAlign w:val="bottom"/>
            <w:gridSpan w:val="6"/>
          </w:tcPr>
          <w:p>
            <w:pPr>
              <w:ind w:left="660"/>
              <w:spacing w:after="0"/>
              <w:rPr>
                <w:sz w:val="20"/>
                <w:szCs w:val="20"/>
                <w:color w:val="auto"/>
              </w:rPr>
            </w:pPr>
            <w:r>
              <w:rPr>
                <w:rFonts w:ascii="Arial" w:cs="Arial" w:eastAsia="Arial" w:hAnsi="Arial"/>
                <w:sz w:val="14"/>
                <w:szCs w:val="14"/>
                <w:b w:val="1"/>
                <w:bCs w:val="1"/>
                <w:color w:val="auto"/>
              </w:rPr>
              <w:t>Three Months Ended March 31, 2022</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2021</w:t>
            </w:r>
          </w:p>
        </w:tc>
      </w:tr>
      <w:tr>
        <w:trPr>
          <w:trHeight w:val="24"/>
        </w:trPr>
        <w:tc>
          <w:tcPr>
            <w:tcW w:w="58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56"/>
        </w:trPr>
        <w:tc>
          <w:tcPr>
            <w:tcW w:w="5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Weighted Average Grant</w:t>
            </w:r>
          </w:p>
        </w:tc>
        <w:tc>
          <w:tcPr>
            <w:tcW w:w="1740" w:type="dxa"/>
            <w:vAlign w:val="bottom"/>
          </w:tcPr>
          <w:p>
            <w:pPr>
              <w:spacing w:after="0"/>
              <w:rPr>
                <w:sz w:val="13"/>
                <w:szCs w:val="13"/>
                <w:color w:val="auto"/>
              </w:rPr>
            </w:pPr>
          </w:p>
        </w:tc>
      </w:tr>
      <w:tr>
        <w:trPr>
          <w:trHeight w:val="184"/>
        </w:trPr>
        <w:tc>
          <w:tcPr>
            <w:tcW w:w="5840" w:type="dxa"/>
            <w:vAlign w:val="bottom"/>
          </w:tcPr>
          <w:p>
            <w:pPr>
              <w:spacing w:after="0"/>
              <w:rPr>
                <w:sz w:val="15"/>
                <w:szCs w:val="15"/>
                <w:color w:val="auto"/>
              </w:rPr>
            </w:pPr>
          </w:p>
        </w:tc>
        <w:tc>
          <w:tcPr>
            <w:tcW w:w="1380" w:type="dxa"/>
            <w:vAlign w:val="bottom"/>
          </w:tcPr>
          <w:p>
            <w:pPr>
              <w:ind w:left="440"/>
              <w:spacing w:after="0"/>
              <w:rPr>
                <w:sz w:val="20"/>
                <w:szCs w:val="20"/>
                <w:color w:val="auto"/>
              </w:rPr>
            </w:pPr>
            <w:r>
              <w:rPr>
                <w:rFonts w:ascii="Arial" w:cs="Arial" w:eastAsia="Arial" w:hAnsi="Arial"/>
                <w:sz w:val="14"/>
                <w:szCs w:val="14"/>
                <w:b w:val="1"/>
                <w:bCs w:val="1"/>
                <w:color w:val="auto"/>
              </w:rPr>
              <w:t>HoldCo Units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 Fair Value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HoldCo Units</w:t>
            </w:r>
          </w:p>
        </w:tc>
      </w:tr>
      <w:tr>
        <w:trPr>
          <w:trHeight w:val="24"/>
        </w:trPr>
        <w:tc>
          <w:tcPr>
            <w:tcW w:w="58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8"/>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1,214,105</w:t>
            </w:r>
          </w:p>
        </w:tc>
      </w:tr>
      <w:tr>
        <w:trPr>
          <w:trHeight w:val="238"/>
        </w:trPr>
        <w:tc>
          <w:tcPr>
            <w:tcW w:w="7220" w:type="dxa"/>
            <w:vAlign w:val="bottom"/>
            <w:gridSpan w:val="2"/>
          </w:tcPr>
          <w:p>
            <w:pPr>
              <w:ind w:left="120"/>
              <w:spacing w:after="0"/>
              <w:rPr>
                <w:sz w:val="20"/>
                <w:szCs w:val="20"/>
                <w:color w:val="auto"/>
              </w:rPr>
            </w:pPr>
            <w:r>
              <w:rPr>
                <w:rFonts w:ascii="Arial" w:cs="Arial" w:eastAsia="Arial" w:hAnsi="Arial"/>
                <w:sz w:val="18"/>
                <w:szCs w:val="18"/>
                <w:color w:val="auto"/>
              </w:rPr>
              <w:t>Vested</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(246,445)</w:t>
            </w:r>
          </w:p>
        </w:tc>
      </w:tr>
      <w:tr>
        <w:trPr>
          <w:trHeight w:val="28"/>
        </w:trPr>
        <w:tc>
          <w:tcPr>
            <w:tcW w:w="58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5"/>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r>
      <w:tr>
        <w:trPr>
          <w:trHeight w:val="258"/>
        </w:trPr>
        <w:tc>
          <w:tcPr>
            <w:tcW w:w="584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959,808</w:t>
            </w:r>
          </w:p>
        </w:tc>
      </w:tr>
      <w:tr>
        <w:trPr>
          <w:trHeight w:val="20"/>
        </w:trPr>
        <w:tc>
          <w:tcPr>
            <w:tcW w:w="58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P Units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During the year ended December 31, 2021, the Company permitted employees to exercise the exchange rights on unvested Class P Units, pursuant to Board approval. Subsequently, the Company exercised the exchange rights on unvested Class P Units due to the elimination of the UP-C Corporate Structure and Multi-Class Voting Structure Elimination (refer to Note 1 - Organization and Background). The recipients received a number of shares of Restricted Stock equal in value to the implied “spread value” of the corresponding Class P Units, calculated based on the excess of the public trading price of Class A common stock at the time of the exchange over the per unit participation threshold of such Class P Units. The shares of Restricted Stock received are subject to the same vesting terms as the corresponding exchanged unvested Class P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Class P Unit activity was as follows during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Three Months Ended</w:t>
            </w:r>
          </w:p>
        </w:tc>
      </w:tr>
      <w:tr>
        <w:trPr>
          <w:trHeight w:val="184"/>
        </w:trPr>
        <w:tc>
          <w:tcPr>
            <w:tcW w:w="5800" w:type="dxa"/>
            <w:vAlign w:val="bottom"/>
          </w:tcPr>
          <w:p>
            <w:pPr>
              <w:spacing w:after="0"/>
              <w:rPr>
                <w:sz w:val="15"/>
                <w:szCs w:val="15"/>
                <w:color w:val="auto"/>
              </w:rPr>
            </w:pPr>
          </w:p>
        </w:tc>
        <w:tc>
          <w:tcPr>
            <w:tcW w:w="3700" w:type="dxa"/>
            <w:vAlign w:val="bottom"/>
            <w:gridSpan w:val="6"/>
          </w:tcPr>
          <w:p>
            <w:pPr>
              <w:ind w:left="680"/>
              <w:spacing w:after="0"/>
              <w:rPr>
                <w:sz w:val="20"/>
                <w:szCs w:val="20"/>
                <w:color w:val="auto"/>
              </w:rPr>
            </w:pPr>
            <w:r>
              <w:rPr>
                <w:rFonts w:ascii="Arial" w:cs="Arial" w:eastAsia="Arial" w:hAnsi="Arial"/>
                <w:sz w:val="14"/>
                <w:szCs w:val="14"/>
                <w:b w:val="1"/>
                <w:bCs w:val="1"/>
                <w:color w:val="auto"/>
              </w:rPr>
              <w:t>Three Months Ended March 31, 2022</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March 31, 2021</w:t>
            </w:r>
          </w:p>
        </w:tc>
      </w:tr>
      <w:tr>
        <w:trPr>
          <w:trHeight w:val="24"/>
        </w:trPr>
        <w:tc>
          <w:tcPr>
            <w:tcW w:w="58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56"/>
        </w:trPr>
        <w:tc>
          <w:tcPr>
            <w:tcW w:w="5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ind w:left="180"/>
              <w:spacing w:after="0" w:line="156" w:lineRule="exact"/>
              <w:rPr>
                <w:sz w:val="20"/>
                <w:szCs w:val="20"/>
                <w:color w:val="auto"/>
              </w:rPr>
            </w:pPr>
            <w:r>
              <w:rPr>
                <w:rFonts w:ascii="Arial" w:cs="Arial" w:eastAsia="Arial" w:hAnsi="Arial"/>
                <w:sz w:val="14"/>
                <w:szCs w:val="14"/>
                <w:b w:val="1"/>
                <w:bCs w:val="1"/>
                <w:color w:val="auto"/>
              </w:rPr>
              <w:t>Weighted Average</w:t>
            </w:r>
          </w:p>
        </w:tc>
        <w:tc>
          <w:tcPr>
            <w:tcW w:w="1740" w:type="dxa"/>
            <w:vAlign w:val="bottom"/>
          </w:tcPr>
          <w:p>
            <w:pPr>
              <w:spacing w:after="0"/>
              <w:rPr>
                <w:sz w:val="13"/>
                <w:szCs w:val="13"/>
                <w:color w:val="auto"/>
              </w:rPr>
            </w:pPr>
          </w:p>
        </w:tc>
      </w:tr>
      <w:tr>
        <w:trPr>
          <w:trHeight w:val="184"/>
        </w:trPr>
        <w:tc>
          <w:tcPr>
            <w:tcW w:w="5800" w:type="dxa"/>
            <w:vAlign w:val="bottom"/>
          </w:tcPr>
          <w:p>
            <w:pPr>
              <w:spacing w:after="0"/>
              <w:rPr>
                <w:sz w:val="15"/>
                <w:szCs w:val="15"/>
                <w:color w:val="auto"/>
              </w:rPr>
            </w:pPr>
          </w:p>
        </w:tc>
        <w:tc>
          <w:tcPr>
            <w:tcW w:w="1380" w:type="dxa"/>
            <w:vAlign w:val="bottom"/>
          </w:tcPr>
          <w:p>
            <w:pPr>
              <w:ind w:left="480"/>
              <w:spacing w:after="0"/>
              <w:rPr>
                <w:sz w:val="20"/>
                <w:szCs w:val="20"/>
                <w:color w:val="auto"/>
              </w:rPr>
            </w:pPr>
            <w:r>
              <w:rPr>
                <w:rFonts w:ascii="Arial" w:cs="Arial" w:eastAsia="Arial" w:hAnsi="Arial"/>
                <w:sz w:val="14"/>
                <w:szCs w:val="14"/>
                <w:b w:val="1"/>
                <w:bCs w:val="1"/>
                <w:color w:val="auto"/>
                <w:w w:val="98"/>
              </w:rPr>
              <w:t>Class P Units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Participation Threshold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Class P Units</w:t>
            </w:r>
          </w:p>
        </w:tc>
      </w:tr>
      <w:tr>
        <w:trPr>
          <w:trHeight w:val="24"/>
        </w:trPr>
        <w:tc>
          <w:tcPr>
            <w:tcW w:w="58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8,796,642</w:t>
            </w:r>
          </w:p>
        </w:tc>
      </w:tr>
      <w:tr>
        <w:trPr>
          <w:trHeight w:val="237"/>
        </w:trPr>
        <w:tc>
          <w:tcPr>
            <w:tcW w:w="7180" w:type="dxa"/>
            <w:vAlign w:val="bottom"/>
            <w:gridSpan w:val="2"/>
          </w:tcPr>
          <w:p>
            <w:pPr>
              <w:ind w:left="120"/>
              <w:spacing w:after="0"/>
              <w:rPr>
                <w:sz w:val="20"/>
                <w:szCs w:val="20"/>
                <w:color w:val="auto"/>
              </w:rPr>
            </w:pPr>
            <w:r>
              <w:rPr>
                <w:rFonts w:ascii="Arial" w:cs="Arial" w:eastAsia="Arial" w:hAnsi="Arial"/>
                <w:sz w:val="18"/>
                <w:szCs w:val="18"/>
                <w:color w:val="auto"/>
              </w:rPr>
              <w:t>Vested</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(2,760,688)</w:t>
            </w:r>
          </w:p>
        </w:tc>
      </w:tr>
      <w:tr>
        <w:trPr>
          <w:trHeight w:val="28"/>
        </w:trPr>
        <w:tc>
          <w:tcPr>
            <w:tcW w:w="58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5"/>
        </w:trPr>
        <w:tc>
          <w:tcPr>
            <w:tcW w:w="5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(16,805)</w:t>
            </w:r>
          </w:p>
        </w:tc>
      </w:tr>
      <w:tr>
        <w:trPr>
          <w:trHeight w:val="258"/>
        </w:trPr>
        <w:tc>
          <w:tcPr>
            <w:tcW w:w="580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6,019,149</w:t>
            </w:r>
          </w:p>
        </w:tc>
      </w:tr>
      <w:tr>
        <w:trPr>
          <w:trHeight w:val="20"/>
        </w:trPr>
        <w:tc>
          <w:tcPr>
            <w:tcW w:w="5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Units</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During the year ended December 31, 2021, the Company exercised the exchange rights on unvested LTIP Units due to the elimination of the UP-C Corporate Structure and Multi-Class Voting Structure Elimination (refer to Note 1 - Organization and Background).</w:t>
      </w:r>
    </w:p>
    <w:p>
      <w:pPr>
        <w:sectPr>
          <w:pgSz w:w="11900" w:h="16838" w:orient="portrait"/>
          <w:cols w:equalWidth="0" w:num="1">
            <w:col w:w="11240"/>
          </w:cols>
          <w:pgMar w:left="320" w:top="122" w:right="339" w:bottom="1440" w:gutter="0" w:footer="0" w:header="0"/>
        </w:sectPr>
      </w:pP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LTIP Unit activity was as follows during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beginning of period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Granted</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end of period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 Ended March</w:t>
            </w:r>
          </w:p>
        </w:tc>
      </w:tr>
      <w:tr>
        <w:trPr>
          <w:trHeight w:val="184"/>
        </w:trPr>
        <w:tc>
          <w:tcPr>
            <w:tcW w:w="3680" w:type="dxa"/>
            <w:vAlign w:val="bottom"/>
            <w:gridSpan w:val="5"/>
          </w:tcPr>
          <w:p>
            <w:pPr>
              <w:ind w:left="660"/>
              <w:spacing w:after="0"/>
              <w:rPr>
                <w:sz w:val="20"/>
                <w:szCs w:val="20"/>
                <w:color w:val="auto"/>
              </w:rPr>
            </w:pPr>
            <w:r>
              <w:rPr>
                <w:rFonts w:ascii="Arial" w:cs="Arial" w:eastAsia="Arial" w:hAnsi="Arial"/>
                <w:sz w:val="14"/>
                <w:szCs w:val="14"/>
                <w:b w:val="1"/>
                <w:bCs w:val="1"/>
                <w:color w:val="auto"/>
              </w:rPr>
              <w:t>Three Months Ended March 31, 2022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8"/>
              </w:rPr>
              <w:t>31, 2021</w:t>
            </w:r>
          </w:p>
        </w:tc>
      </w:tr>
      <w:tr>
        <w:trPr>
          <w:trHeight w:val="24"/>
        </w:trPr>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56"/>
        </w:trPr>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0"/>
              </w:rPr>
              <w:t>Weighted Average</w:t>
            </w:r>
          </w:p>
        </w:tc>
        <w:tc>
          <w:tcPr>
            <w:tcW w:w="1800" w:type="dxa"/>
            <w:vAlign w:val="bottom"/>
          </w:tcPr>
          <w:p>
            <w:pPr>
              <w:spacing w:after="0"/>
              <w:rPr>
                <w:sz w:val="13"/>
                <w:szCs w:val="13"/>
                <w:color w:val="auto"/>
              </w:rPr>
            </w:pPr>
          </w:p>
        </w:tc>
      </w:tr>
      <w:tr>
        <w:trPr>
          <w:trHeight w:val="184"/>
        </w:trPr>
        <w:tc>
          <w:tcPr>
            <w:tcW w:w="1740" w:type="dxa"/>
            <w:vAlign w:val="bottom"/>
          </w:tcPr>
          <w:p>
            <w:pPr>
              <w:ind w:left="520"/>
              <w:spacing w:after="0"/>
              <w:rPr>
                <w:sz w:val="20"/>
                <w:szCs w:val="20"/>
                <w:color w:val="auto"/>
              </w:rPr>
            </w:pPr>
            <w:r>
              <w:rPr>
                <w:rFonts w:ascii="Arial" w:cs="Arial" w:eastAsia="Arial" w:hAnsi="Arial"/>
                <w:sz w:val="14"/>
                <w:szCs w:val="14"/>
                <w:b w:val="1"/>
                <w:bCs w:val="1"/>
                <w:color w:val="auto"/>
              </w:rPr>
              <w:t>LTIP Units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Participation Threshold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LTIP Units</w:t>
            </w:r>
          </w:p>
        </w:tc>
      </w:tr>
      <w:tr>
        <w:trPr>
          <w:trHeight w:val="24"/>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47,620</w:t>
            </w:r>
          </w:p>
        </w:tc>
      </w:tr>
      <w:tr>
        <w:trPr>
          <w:trHeight w:val="265"/>
        </w:trPr>
        <w:tc>
          <w:tcPr>
            <w:tcW w:w="1740" w:type="dxa"/>
            <w:vAlign w:val="bottom"/>
          </w:tcPr>
          <w:p>
            <w:pPr>
              <w:ind w:left="14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247,045</w:t>
            </w:r>
          </w:p>
        </w:tc>
      </w:tr>
      <w:tr>
        <w:trPr>
          <w:trHeight w:val="292"/>
        </w:trPr>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294,665</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-546100</wp:posOffset>
            </wp:positionV>
            <wp:extent cx="7134860" cy="176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76530"/>
                    </a:xfrm>
                    <a:prstGeom prst="rect">
                      <a:avLst/>
                    </a:prstGeom>
                    <a:noFill/>
                  </pic:spPr>
                </pic:pic>
              </a:graphicData>
            </a:graphic>
          </wp:anchor>
        </w:drawing>
        <w:drawing>
          <wp:anchor simplePos="0" relativeHeight="251657728" behindDoc="1" locked="0" layoutInCell="0" allowOverlap="1">
            <wp:simplePos x="0" y="0"/>
            <wp:positionH relativeFrom="column">
              <wp:posOffset>-3653155</wp:posOffset>
            </wp:positionH>
            <wp:positionV relativeFrom="paragraph">
              <wp:posOffset>-201295</wp:posOffset>
            </wp:positionV>
            <wp:extent cx="7134860" cy="1854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85420"/>
                    </a:xfrm>
                    <a:prstGeom prst="rect">
                      <a:avLst/>
                    </a:prstGeom>
                    <a:noFill/>
                  </pic:spPr>
                </pic:pic>
              </a:graphicData>
            </a:graphic>
          </wp:anchor>
        </w:drawing>
      </w:r>
    </w:p>
    <w:p>
      <w:pPr>
        <w:spacing w:after="0" w:line="623" w:lineRule="exact"/>
        <w:rPr>
          <w:sz w:val="20"/>
          <w:szCs w:val="20"/>
          <w:color w:val="auto"/>
        </w:rPr>
      </w:pPr>
    </w:p>
    <w:p>
      <w:pPr>
        <w:sectPr>
          <w:pgSz w:w="11900" w:h="16838" w:orient="portrait"/>
          <w:cols w:equalWidth="0" w:num="2">
            <w:col w:w="5040" w:space="720"/>
            <w:col w:w="5480"/>
          </w:cols>
          <w:pgMar w:left="320" w:top="122" w:right="339" w:bottom="1440" w:gutter="0" w:footer="0" w:header="0"/>
          <w:type w:val="continuous"/>
        </w:sectPr>
      </w:pPr>
    </w:p>
    <w:p>
      <w:pPr>
        <w:jc w:val="both"/>
        <w:ind w:firstLine="318"/>
        <w:spacing w:after="0" w:line="255" w:lineRule="auto"/>
        <w:rPr>
          <w:sz w:val="20"/>
          <w:szCs w:val="20"/>
          <w:color w:val="auto"/>
        </w:rPr>
      </w:pPr>
      <w:r>
        <w:rPr>
          <w:rFonts w:ascii="Arial" w:cs="Arial" w:eastAsia="Arial" w:hAnsi="Arial"/>
          <w:sz w:val="18"/>
          <w:szCs w:val="18"/>
          <w:color w:val="auto"/>
        </w:rPr>
        <w:t>There are no OpCo Units that are unvested and all vested OpCo Units have been converted into shares of our Class A common stock due to the elimination of the UP-C Corporate Structure and Multi-Class Voting Structure Elimination (refer to Note 1 - Organization and Background). There was no OpCo Unit activity during the three months ended March 31, 2022 and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Incentive Units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During the year ended December 31, 2021, HSKB II exchanged their HoldCo Units and paired shares of Class B common stock of the Company for share of Class A common stock of the Company pursuant to the terms of the limited liability company agreement of HoldCo. Subsequently, HSKB I exchanged their OpCo Units and paired shares of Class B common stock of the Company for share of Class A common stock of the Company.</w:t>
      </w:r>
    </w:p>
    <w:p>
      <w:pPr>
        <w:spacing w:after="0" w:line="11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HSKB has issued LLC units to the employees of the Company (“HSKB Grant”) in the form of Class 1 units and Class 2 units. Such units may be exchangeable into one share of Class A common stock of the Company upon vesting. HSKB awards are recorded as compensation expense of the Company in accordance with the measurement and recognition criteria of ASC 718 for awards made by economic interest holders to employees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36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HSKB has also allocated $31.3 million to be paid in cash over three years from 2019 to 2021 if the holder of an HSKB Grant remains employed by the Company as of the payment date. This pool was further expanded in March 31, 2020, when HSKB allocated an additional $5.3 million to be paid out over four years, starting with March 31, 2020, to holders of HSKB Grants who received grants after the March 2018 Carlyle Investment, subject to the holder’s continued employment by the Company. HSKB has $2.8 million remaining to be paid through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Phantom Units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2019, HSKB I adopted the HSKB Funds, LLC 2019 Phantom Unit Plan wherein HSKB may grant Phantom Units (“HSKB Phantom Units”) to employees of the Company. HSKB Phantom Units are recorded as compensation expense of the Company in accordance with the measurement and recognition criteria of ASC 718 for awards made by economic interest holders to employees of the Company. HSKB Phantom Units represent the economic equivalent of one share of Class A common stock in the Company. In connection with the Reorganization Transactions, all HSKB Phantom Units were moved from HSKB I to HSKB II. Within 30 days of the later of the date upon which a Phantom Unit vests , HSKB II must settle the HSKB Phantom Unit in exchange for either (1) cash or (2) Class A Common Stock as determined by the HSKB Manager, in each case, equal to the fair market value of such Common Unit at the time of such exchange.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Unamortized Equity-based Compensation</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March 31, 2022, unamortized equity-based compensation costs related to each equity-based incentive award described above is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 period in years)</w:t>
            </w: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jc w:val="right"/>
              <w:ind w:right="249"/>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4"/>
        </w:trPr>
        <w:tc>
          <w:tcPr>
            <w:tcW w:w="76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53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74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Remaining Service Period</w:t>
            </w:r>
          </w:p>
        </w:tc>
        <w:tc>
          <w:tcPr>
            <w:tcW w:w="0" w:type="dxa"/>
            <w:vAlign w:val="bottom"/>
          </w:tcPr>
          <w:p>
            <w:pPr>
              <w:spacing w:after="0"/>
              <w:rPr>
                <w:sz w:val="1"/>
                <w:szCs w:val="1"/>
                <w:color w:val="auto"/>
              </w:rPr>
            </w:pPr>
          </w:p>
        </w:tc>
      </w:tr>
      <w:tr>
        <w:trPr>
          <w:trHeight w:val="24"/>
        </w:trPr>
        <w:tc>
          <w:tcPr>
            <w:tcW w:w="7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Arial" w:cs="Arial" w:eastAsia="Arial" w:hAnsi="Arial"/>
                <w:sz w:val="18"/>
                <w:szCs w:val="18"/>
                <w:color w:val="auto"/>
              </w:rPr>
              <w:t>Class A Common Stock Options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Arial" w:cs="Arial" w:eastAsia="Arial" w:hAnsi="Arial"/>
                <w:sz w:val="18"/>
                <w:szCs w:val="18"/>
                <w:color w:val="auto"/>
              </w:rPr>
              <w:t>HSKB Incentive Units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HSKB Phantom Units</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6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8"/>
        </w:trPr>
        <w:tc>
          <w:tcPr>
            <w:tcW w:w="7660" w:type="dxa"/>
            <w:vAlign w:val="bottom"/>
          </w:tcPr>
          <w:p>
            <w:pPr>
              <w:ind w:left="240"/>
              <w:spacing w:after="0"/>
              <w:rPr>
                <w:sz w:val="20"/>
                <w:szCs w:val="20"/>
                <w:color w:val="auto"/>
              </w:rPr>
            </w:pPr>
            <w:r>
              <w:rPr>
                <w:rFonts w:ascii="Arial" w:cs="Arial" w:eastAsia="Arial" w:hAnsi="Arial"/>
                <w:sz w:val="18"/>
                <w:szCs w:val="18"/>
                <w:color w:val="auto"/>
              </w:rPr>
              <w:t>Total unamortized equity-based compensation cost</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Tax Receivable Agreements</w:t>
      </w:r>
    </w:p>
    <w:p>
      <w:pPr>
        <w:spacing w:after="0" w:line="170"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the “ZoomInfo Tax Group” to such Pre-IPO Owners and certain Pre-IPO HoldCo Unitholders of 85.0% of the benefits, if any, the ZoomInfo Tax Group actually realizes, or is deemed to realize in certain circumstances, as a result of certain tax attributes and benefits covered by the Tax Receivable Agreements. The Exchange Tax Receivable Agreement provides for the payment by members of the ZoomInfo Tax Group to certain Pre-IPO OpCo Unitholders and certain Pre-IPO HoldCo Unitholders of 85.0% of the benefits, if any, that the ZoomInfo Tax Group realizes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During the three months ended December 31, 2021, all remaining units subjects to the Exchange Tax Receivable Agreement had been converted into Class A common stock. The Reorganization Tax Receivable Agreement provides for the payment by ZoomInfo Intermediate Inc. to the Pre-IPO Blocker Holders and certain Pre-IPO HoldCo Unitholders of 85.0% of the benefits, if any, that the ZoomInfo Tax Group realizes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The Company expects to benefit from the remaining 15.0% of any of cash savings that it realizes.</w:t>
      </w:r>
    </w:p>
    <w:p>
      <w:pPr>
        <w:spacing w:after="0" w:line="3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expects to obtain an increase in its share of the tax basis in the net assets of ZoomInfo HoldCo when OpCo Units are exchanged by Pre-IPO OpCo Unitholders. The Company intends to treat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9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As of March 31, 2022, the Company had a liability of $3,052.2 million related to its projected obligations under the Tax Receivable Agreements in connection with the Reorganization Transactions and OpCo Units exchanged. Tax Receivable Agreements related liabilities are classified as current or noncurrent based on the expected date of payment and are included on our Condensed Consolidated Balance Sheets under the captions </w:t>
      </w:r>
      <w:r>
        <w:rPr>
          <w:rFonts w:ascii="Arial" w:cs="Arial" w:eastAsia="Arial" w:hAnsi="Arial"/>
          <w:sz w:val="18"/>
          <w:szCs w:val="18"/>
          <w:i w:val="1"/>
          <w:iCs w:val="1"/>
          <w:color w:val="auto"/>
        </w:rPr>
        <w:t>Current portion of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receivable agreements liability </w:t>
      </w:r>
      <w:r>
        <w:rPr>
          <w:rFonts w:ascii="Arial" w:cs="Arial" w:eastAsia="Arial" w:hAnsi="Arial"/>
          <w:sz w:val="18"/>
          <w:szCs w:val="18"/>
          <w:color w:val="auto"/>
        </w:rPr>
        <w:t>and</w:t>
      </w:r>
      <w:r>
        <w:rPr>
          <w:rFonts w:ascii="Arial" w:cs="Arial" w:eastAsia="Arial" w:hAnsi="Arial"/>
          <w:sz w:val="18"/>
          <w:szCs w:val="18"/>
          <w:i w:val="1"/>
          <w:iCs w:val="1"/>
          <w:color w:val="auto"/>
        </w:rPr>
        <w:t xml:space="preserve"> Tax receivable agreements liability, net of current portion</w:t>
      </w:r>
      <w:r>
        <w:rPr>
          <w:rFonts w:ascii="Arial" w:cs="Arial" w:eastAsia="Arial" w:hAnsi="Arial"/>
          <w:sz w:val="18"/>
          <w:szCs w:val="18"/>
          <w:color w:val="auto"/>
        </w:rPr>
        <w:t>, respectively. During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we paid a total of $5.0 million pursuant to the Tax Receivable Agreements. During the three months ended March 31, 2022, we recognized a TRA measurement loss of $0.9 million due to legislation passed in Q1 2022 that impact our blended state tax rate within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on our Consolidated Statements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recorded $13.0 million of income tax expense and $49.7 million of income tax expense for the three months ended March 31, 2022 and 2021, respectively. The Company’s estimated effective tax rate for the three months ended March 31, 2022 was 67.6%. The Company’s estimated annual effective tax rate differs from the statutory rate of 21.0% primarily due to certain compensation expenses that will not have a corresponding deduction for tax.</w:t>
      </w:r>
    </w:p>
    <w:p>
      <w:pPr>
        <w:spacing w:after="0" w:line="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does not believe it has any significant uncertain tax positions and therefore has no unrecognized tax benefits as of March 31, 2022, that if recognized, would affect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April 2022, the Company acquired Comparably, Inc., a leading provider of employee insights, company ratings, and reviews and substantially all the assets and certain specified liabilities of Dogpatch Advisors, LLC, a go-to-market consultancy with expertise in scaling revenue teams. In connection with these acquisitions, the Company expects to pay approximately $145 million, inclusive of the purchase of a convertible promissory note and cash, net of cash acquired, subject to adjustments for working capital, transaction-related equity awards, and other customary adjustments. Consistent with the terms of the acquisition agreements, and in addition to the consideration referenced above, the Company has agreed to pay up to $28 million to certain acquired employees in the form of equity awards, subject to continued employment and/or attainment of certain financial metrics. The initial accounting of the business combinations is incomplete as of the issuance date of these financial statements. The Company has not yet determined the acquisition date fair value of the assets acquired and liabilities assumed.</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In the first quarter of 2022, the Company purchased a convertible promissory note issued by Comparably, Inc. with a principal amount of $10 million. The convertible note is recorded in </w:t>
      </w:r>
      <w:r>
        <w:rPr>
          <w:rFonts w:ascii="Arial" w:cs="Arial" w:eastAsia="Arial" w:hAnsi="Arial"/>
          <w:sz w:val="17"/>
          <w:szCs w:val="17"/>
          <w:i w:val="1"/>
          <w:iCs w:val="1"/>
          <w:color w:val="auto"/>
        </w:rPr>
        <w:t>Deferred costs and other assets, net of current portion</w:t>
      </w:r>
      <w:r>
        <w:rPr>
          <w:rFonts w:ascii="Arial" w:cs="Arial" w:eastAsia="Arial" w:hAnsi="Arial"/>
          <w:sz w:val="17"/>
          <w:szCs w:val="17"/>
          <w:color w:val="auto"/>
        </w:rPr>
        <w:t xml:space="preserve"> on our Condensed Consolidated Balance Sheets as of March 31, 2022. The convertible note accrued interest at 3.25% per annum, with principal and interest due in full at maturity in July 2023. Upon the Company’s acquisition of Comparably, Inc. in April 2022, the convertible promissory note was cancelled, reducing total cash consideration due to sellers in the amount of the principal and accrued interest at the date of acquisition, totaling approximately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included in our 2021 Form 10-K, the information included under “Management’s Discussion and Analysis of Financial Condition and Results of Operations” in Part II, Item 7 of our 2021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2021 Form 10-K.</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 have been subject to rounding adjustments. Accordingly, numerical figures shown as totals in various tables may not be arithmetic aggregations of the figures that precede them.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ZoomInfo is a global leader in modern go-to-market software, data, and intelligence for sales, marketing, operations and recruiting professionals teams.</w:t>
      </w:r>
    </w:p>
    <w:p>
      <w:pPr>
        <w:spacing w:after="0" w:line="1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RevOS – our modern, cloud-based operating system for revenue professionals allows sales, marketing, operations, and recruiting teams to shorten sales cycles and increase win rates by delivering the right message to the right person, at the right time, in the right way. We do this by delivering timely competitive intelligence and offering services that make reaching prospects fast and easy.</w:t>
      </w:r>
    </w:p>
    <w:p>
      <w:pPr>
        <w:spacing w:after="0" w:line="13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ZoomInfo, formerly known as DiscoverOrg, was co-founded in 2007 by our CEO, Henry Schuck. We have grown our company by developing innovative ways of gathering and improving our data and insights, and using intelligent automation to put those insights into action.</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Today, our company defines the modern go-to-market technology stack across three distinct layers that build upon each other:</w:t>
      </w:r>
    </w:p>
    <w:p>
      <w:pPr>
        <w:spacing w:after="0" w:line="164" w:lineRule="exact"/>
        <w:rPr>
          <w:sz w:val="20"/>
          <w:szCs w:val="20"/>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Intelligence Layer is the foundation of our data-driven strategies. Our best-in-class data, curated through first- and third-party sources, includes billions of data points about companies and contacts, such as intent, hierarchy, location, and financial information.</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Orchestration Layer stitches together and enriches our data sources. At this stage, our products assign and route data, leads, and insights to the appropriate people. This creates a “living” dataset that is continuously updated and can be used to power automated business workflows. Our services connect with major CRM providers.</w:t>
      </w:r>
    </w:p>
    <w:p>
      <w:pPr>
        <w:spacing w:after="0" w:line="135" w:lineRule="exact"/>
        <w:rPr>
          <w:rFonts w:ascii="Arial" w:cs="Arial" w:eastAsia="Arial" w:hAnsi="Arial"/>
          <w:sz w:val="18"/>
          <w:szCs w:val="18"/>
          <w:color w:val="auto"/>
        </w:rPr>
      </w:pPr>
    </w:p>
    <w:p>
      <w:pPr>
        <w:jc w:val="both"/>
        <w:ind w:left="640" w:hanging="316"/>
        <w:spacing w:after="0" w:line="268"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Engagement Layer allows sales, marketing, operations, and recruiting professionals to put data-driven insights into action to reach, influence, and communicate with prospects and customers. In MarketingOS, marketers drive awareness, lead generation, and deal acceleration campaigns through account-based-marketing, advertising, and onsite conversion optimization tools as well as Chat for intelligent onsite experiences through live chat and chatbots. In SalesOS, frontline teams, managers, and leaders use Engage for multi-touch and multi-channel sales engagement as well as Chorus for call and web meeting recording, transcription, insight generation and coaching.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generate substantially all of our revenue from sales of subscriptions to our platform. Our subscription fees include the use of our platform and access to customer support. Subscriptions generally range from one to three years in length, and over 35% of our contracts (based on annualized value) are multi-year agreements. We typically bill our customers at the beginning of each annual, semi-annual, or quarterly period and recognize revenue ratably over the term of the subscription period.</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sell our software to both new and existing customers. A limited number of customers continue to renew their subscriptions to pre-acquisition versions of the Pre-Acquisition ZI and DiscoverOrg solutions. We price our subscriptions based on the functionality, users, and records under management that are included in each product edition. Our paid platforms are SalesOS, MarketingOS, OperationsOS, TalentOS (with add-on options for some platforms), and we have a free Community Edition.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ongoing COVID-19 pandemic continues to have unpredictable and rapidly shifting impacts on global financial markets, economies, and business practices. The extent and continued impact of the pandemic on our operational and financial condition will depend on certain developments, including, but not limited to: the duration and spread of the outbreak, including the impact of new variants of the COVID-19 virus; global government responses to the pandemic, including continued vaccine availability, deployment, and efficacy; the impact on the health and welfare of our employees and their families; the impact on our customers and our sales cycles; the impact on customer, industry, or employee events; delays in hiring and onboarding new employees; and the effects on our partners, vendors, the labor market, and supply chains, all of which are uncertain and cannot be predicted. Furthermore, because of our largely subscription-based business model, the effect of the pandemic may not be fully reflected in our results of operations and overall financial condition until future periods, if at all.</w:t>
      </w:r>
    </w:p>
    <w:p>
      <w:pPr>
        <w:spacing w:after="0" w:line="1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To address the safety and health of our employees during the pandemic, in the first quarter of 2020 we temporarily closed all of our offices and enabled our entire workforce to work remotely. Throughout 2021 and the first quarter of 2022, most of our workforce continued to work remotely.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“Human Capital” in Part I, Item 1 and “Risk Factors” in Part I, Item 1A of our 2021 Form 10-K.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Simplification Transactions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ZoomInfo HoldCo.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 Corporate Structure and Multi-Class Voting Structure Elimination</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with and into ZoomInfo Intermediate Inc. (“Old ZoomInfo”), formerly known as ZoomInfo Technologies Inc., which resulted in New ZoomInfo becoming the direct parent company of Old ZoomInfo, and (ii) immediately thereafter, another subsidiary of New ZoomInfo merged with and into ZoomInfo Holdings LLC (“ZoomInfo OpCo”), which resulted in ZoomInfo OpCo becoming a subsidiary of New ZoomInfo (the combined transaction described in (i) and (ii),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21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After the consummation of the Holding Company Reorganization, the only class of common stock of the New ZoomInfo remaining issued and outstanding is the Class A common stock. We do not intend to issue any shares of Class B common stock or Class C common stock of New ZoomInfo.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Acquire New Customers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focused on continuing to grow the number of customers that use our platform. The majority of revenue growth when comparing the three months ended March 31, 2022 to the three months ended March 31, 2021 was the result of new customers added over the last 12 months. Our operating results and growth prospects will depend in part on our ability to continue to attract new customers. Additionally, acquiring new customers strengthens the power of our contributory network. We plan to continue to invest in our efficient go-to-market effort to acquire new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Delivering Additional High-Value Solutions to Our Existing Customers</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an annual metric that we calculate based on customers that were contracted for services at the beginning of the year, or, for those that became customers through an acquisition, at the time of the acquisition. Net revenue retention is calculated as: (a) the annual contract value ("ACV") for those customers at the end of the year divided by (b) ZoomInfo ACV at the beginning of the year plus the ACV of acquired companies at the time of acquisition. Our net annual retention rate was 116% for the year ended December 31, 2021. We also measure our success in expanding relationships with existing customers by the number of customers that contract for more than $100,000 in ACV. As of March 31, 2022, we had 1,623 customers with over $100,000 in ACV.</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Reorganization Transactions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Form 10-Q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in connection with the Reorganization Transactions and the IPO, we entered into the tax receivable agreements described in Note 17 - Income Taxes to our unaudited consolidated financial statements included in Part I, Item 1 of this 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June 2020, the company completed its IPO which significantly impacted our cash, first and second lien indebtedness, and temporary and permanent equity balances. See “—Recent Developments.” The IPO, driven by the associated first and second lien term loan repayments, significantly reduced our interest expense relative to historical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Acquisitions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seek to grow through both internal development and the acquisition of businesses that broaden and strengthen our platform. Our recent acquisitions include Insent in June 2021, Chorus.ai in July 2021, RingLead in September 2021, and Comparably, Inc. and Dogpatch Advisors, LLC in April 2022. As discussed below under “—Results of Operations,” these 2021 acquisitions have been a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New awards and modifications that took place as part of the Reorganization Transactions and the IPO contributed to elevated equity-based compensation expense in 2020 relative to 2019 and 2021 relative to 2020. See Note 15 - Equity-based Compensation for unamortized equity-based compensation costs related to each type of equity-based incentive award.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Holding Company Reorganization</w:t>
      </w:r>
    </w:p>
    <w:p>
      <w:pPr>
        <w:spacing w:after="0" w:line="164" w:lineRule="exact"/>
        <w:rPr>
          <w:sz w:val="20"/>
          <w:szCs w:val="20"/>
          <w:color w:val="auto"/>
        </w:rPr>
      </w:pPr>
    </w:p>
    <w:p>
      <w:pPr>
        <w:ind w:right="100" w:firstLine="318"/>
        <w:spacing w:after="0" w:line="312"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UP-C and multi-class voting structure. In October 2021, the Company implemented the Holding Company Reorganization. As a result of the Holding Company Reorganization, New ZoomInfo became the successor issuer and reporting company to Old ZoomInfo pursuant to Rule 12g-3(a) under the Exchange Act, and replaced Old ZoomInfo as the public company trading on the Nasdaq under Old ZoomInfo’s ticker symbol “ZI.” In addition, New ZoomInfo changed its name to “ZoomInfo Technologies Inc.” and Old ZoomInfo changed its name to “ZoomInfo Intermediate Inc.”</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Accordingly, upon consummation of the Holding Company Reorganization, Old ZoomInfo stockholders automatically became stockholders of New ZoomInfo, on a one-for-one basis, with the same number and ownership percentage of shares they held in Old ZoomInfo immediately prior to the effective time of the Holding Company Reorganization.</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Old ZoomInfo is the predecessor of New ZoomInfo for financial reporting purposes. As a result, the consolidated financial statements of New ZoomInfo recognize the assets and liabilities received in the reorganization at their historical carrying amounts, as reflected in the historical consolidated financial statements of Old ZoomInfo, the accounting predecessor.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9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 Adjusted Operating Income Margin, and Adjusted Net Income</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0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The following table presents a reconciliation of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to Adjusted Net Income and </w:t>
      </w:r>
      <w:r>
        <w:rPr>
          <w:rFonts w:ascii="Arial" w:cs="Arial" w:eastAsia="Arial" w:hAnsi="Arial"/>
          <w:sz w:val="18"/>
          <w:szCs w:val="18"/>
          <w:i w:val="1"/>
          <w:iCs w:val="1"/>
          <w:color w:val="auto"/>
        </w:rPr>
        <w:t>Income (loss) from operations</w:t>
      </w:r>
      <w:r>
        <w:rPr>
          <w:rFonts w:ascii="Arial" w:cs="Arial" w:eastAsia="Arial" w:hAnsi="Arial"/>
          <w:sz w:val="18"/>
          <w:szCs w:val="18"/>
          <w:color w:val="auto"/>
        </w:rPr>
        <w:t xml:space="preserve"> to Adjusted Operating Income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81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Pr>
          <w:p>
            <w:pPr>
              <w:spacing w:after="0"/>
              <w:rPr>
                <w:sz w:val="15"/>
                <w:szCs w:val="15"/>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r>
      <w:tr>
        <w:trPr>
          <w:trHeight w:val="24"/>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8"/>
        </w:trPr>
        <w:tc>
          <w:tcPr>
            <w:tcW w:w="8120" w:type="dxa"/>
            <w:vAlign w:val="bottom"/>
          </w:tcPr>
          <w:p>
            <w:pPr>
              <w:ind w:left="180"/>
              <w:spacing w:after="0"/>
              <w:rPr>
                <w:sz w:val="20"/>
                <w:szCs w:val="20"/>
                <w:color w:val="auto"/>
              </w:rPr>
            </w:pPr>
            <w:r>
              <w:rPr>
                <w:rFonts w:ascii="Arial" w:cs="Arial" w:eastAsia="Arial" w:hAnsi="Arial"/>
                <w:sz w:val="18"/>
                <w:szCs w:val="18"/>
                <w:color w:val="auto"/>
              </w:rPr>
              <w:t>Add (less): Expense (benefit) from income taxes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8"/>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Add: Loss on debt modification and extinguishment</w:t>
            </w:r>
          </w:p>
        </w:tc>
        <w:tc>
          <w:tcPr>
            <w:tcW w:w="3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1"/>
        </w:trPr>
        <w:tc>
          <w:tcPr>
            <w:tcW w:w="8120" w:type="dxa"/>
            <w:vAlign w:val="bottom"/>
          </w:tcPr>
          <w:p>
            <w:pPr>
              <w:ind w:left="420"/>
              <w:spacing w:after="0"/>
              <w:rPr>
                <w:sz w:val="20"/>
                <w:szCs w:val="20"/>
                <w:color w:val="auto"/>
              </w:rPr>
            </w:pPr>
            <w:r>
              <w:rPr>
                <w:rFonts w:ascii="Arial" w:cs="Arial" w:eastAsia="Arial" w:hAnsi="Arial"/>
                <w:sz w:val="18"/>
                <w:szCs w:val="18"/>
                <w:b w:val="1"/>
                <w:bCs w:val="1"/>
                <w:color w:val="auto"/>
              </w:rPr>
              <w:t>Income (loss) from operations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8"/>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Impact of fair value adjustments to acquired unearned revenue</w:t>
            </w:r>
            <w:r>
              <w:rPr>
                <w:rFonts w:ascii="Arial" w:cs="Arial" w:eastAsia="Arial" w:hAnsi="Arial"/>
                <w:sz w:val="22"/>
                <w:szCs w:val="22"/>
                <w:color w:val="auto"/>
                <w:vertAlign w:val="superscript"/>
              </w:rPr>
              <w:t>(b)</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8"/>
        </w:trPr>
        <w:tc>
          <w:tcPr>
            <w:tcW w:w="8120" w:type="dxa"/>
            <w:vAlign w:val="bottom"/>
          </w:tcPr>
          <w:p>
            <w:pPr>
              <w:ind w:left="180"/>
              <w:spacing w:after="0"/>
              <w:rPr>
                <w:sz w:val="20"/>
                <w:szCs w:val="20"/>
                <w:color w:val="auto"/>
              </w:rPr>
            </w:pPr>
            <w:r>
              <w:rPr>
                <w:rFonts w:ascii="Arial" w:cs="Arial" w:eastAsia="Arial" w:hAnsi="Arial"/>
                <w:sz w:val="18"/>
                <w:szCs w:val="18"/>
                <w:color w:val="auto"/>
              </w:rPr>
              <w:t>Add: Amortization of acquired technology</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8"/>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other acquired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8"/>
        </w:trPr>
        <w:tc>
          <w:tcPr>
            <w:tcW w:w="8120" w:type="dxa"/>
            <w:vAlign w:val="bottom"/>
          </w:tcPr>
          <w:p>
            <w:pPr>
              <w:ind w:left="180"/>
              <w:spacing w:after="0"/>
              <w:rPr>
                <w:sz w:val="20"/>
                <w:szCs w:val="20"/>
                <w:color w:val="auto"/>
              </w:rPr>
            </w:pPr>
            <w:r>
              <w:rPr>
                <w:rFonts w:ascii="Arial" w:cs="Arial" w:eastAsia="Arial" w:hAnsi="Arial"/>
                <w:sz w:val="18"/>
                <w:szCs w:val="18"/>
                <w:color w:val="auto"/>
              </w:rPr>
              <w:t>Add: Equity-based compensation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8"/>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Restructuring and transaction-related expenses</w:t>
            </w:r>
            <w:r>
              <w:rPr>
                <w:rFonts w:ascii="Arial" w:cs="Arial" w:eastAsia="Arial" w:hAnsi="Arial"/>
                <w:sz w:val="22"/>
                <w:szCs w:val="22"/>
                <w:color w:val="auto"/>
                <w:vertAlign w:val="superscript"/>
              </w:rPr>
              <w:t>(c)</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65"/>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5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31"/>
        </w:trPr>
        <w:tc>
          <w:tcPr>
            <w:tcW w:w="8120" w:type="dxa"/>
            <w:vAlign w:val="bottom"/>
          </w:tcPr>
          <w:p>
            <w:pPr>
              <w:ind w:left="240"/>
              <w:spacing w:after="0"/>
              <w:rPr>
                <w:sz w:val="20"/>
                <w:szCs w:val="20"/>
                <w:color w:val="auto"/>
              </w:rPr>
            </w:pPr>
            <w:r>
              <w:rPr>
                <w:rFonts w:ascii="Arial" w:cs="Arial" w:eastAsia="Arial" w:hAnsi="Arial"/>
                <w:sz w:val="18"/>
                <w:szCs w:val="18"/>
                <w:color w:val="auto"/>
              </w:rPr>
              <w:t>Less: Interest expense, net</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8"/>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(add): Other expense (income), net, excluding TRA liability remeasurement (benefit)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8"/>
        </w:trPr>
        <w:tc>
          <w:tcPr>
            <w:tcW w:w="8120" w:type="dxa"/>
            <w:vAlign w:val="bottom"/>
          </w:tcPr>
          <w:p>
            <w:pPr>
              <w:ind w:left="240"/>
              <w:spacing w:after="0"/>
              <w:rPr>
                <w:sz w:val="20"/>
                <w:szCs w:val="20"/>
                <w:color w:val="auto"/>
              </w:rPr>
            </w:pPr>
            <w:r>
              <w:rPr>
                <w:rFonts w:ascii="Arial" w:cs="Arial" w:eastAsia="Arial" w:hAnsi="Arial"/>
                <w:sz w:val="18"/>
                <w:szCs w:val="18"/>
                <w:color w:val="auto"/>
              </w:rPr>
              <w:t>Add (less): Benefit (expense) from income taxes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8"/>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5"/>
        </w:trPr>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Tax impacts of adjustments to net income (loss)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58"/>
        </w:trPr>
        <w:tc>
          <w:tcPr>
            <w:tcW w:w="8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Net Income</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6"/>
        </w:trPr>
        <w:tc>
          <w:tcPr>
            <w:tcW w:w="8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65"/>
        </w:trPr>
        <w:tc>
          <w:tcPr>
            <w:tcW w:w="8120" w:type="dxa"/>
            <w:vAlign w:val="bottom"/>
          </w:tcPr>
          <w:p>
            <w:pPr>
              <w:ind w:left="20"/>
              <w:spacing w:after="0"/>
              <w:rPr>
                <w:sz w:val="20"/>
                <w:szCs w:val="20"/>
                <w:color w:val="auto"/>
              </w:rPr>
            </w:pPr>
            <w:r>
              <w:rPr>
                <w:rFonts w:ascii="Arial" w:cs="Arial" w:eastAsia="Arial" w:hAnsi="Arial"/>
                <w:sz w:val="18"/>
                <w:szCs w:val="18"/>
                <w:color w:val="auto"/>
              </w:rPr>
              <w:t>Shares for Adjusted Net Income Per Share</w:t>
            </w:r>
            <w:r>
              <w:rPr>
                <w:rFonts w:ascii="Arial" w:cs="Arial" w:eastAsia="Arial" w:hAnsi="Arial"/>
                <w:sz w:val="22"/>
                <w:szCs w:val="22"/>
                <w:color w:val="auto"/>
                <w:vertAlign w:val="superscript"/>
              </w:rPr>
              <w:t>(e)</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38"/>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Share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8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4"/>
        <w:spacing w:after="0" w:line="237" w:lineRule="auto"/>
        <w:tabs>
          <w:tab w:leader="none" w:pos="3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37" w:lineRule="auto"/>
        <w:tabs>
          <w:tab w:leader="none" w:pos="318"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three months ended March 31, 2022, this expense related primarily to transition and retention payments related to 2021 acquisitions, For the three months ended March 31, 2021, this expense related primarily to impairment and accelerated depreciation related to the Company’s Waltham office relocation.</w:t>
      </w:r>
    </w:p>
    <w:p>
      <w:pPr>
        <w:jc w:val="both"/>
        <w:ind w:left="320" w:hanging="314"/>
        <w:spacing w:after="0"/>
        <w:tabs>
          <w:tab w:leader="none" w:pos="3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three months ended March 31, 2022, this expense related to retention awards from the acquisitions of Clickagy and Everstring, and professional fees relating to integration projects.For the three months ended March 31, 2021,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4"/>
          </w:tcPr>
          <w:p>
            <w:pPr>
              <w:jc w:val="right"/>
              <w:ind w:right="549"/>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7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73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Pr>
          <w:p>
            <w:pPr>
              <w:spacing w:after="0"/>
              <w:rPr>
                <w:sz w:val="15"/>
                <w:szCs w:val="15"/>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24"/>
        </w:trPr>
        <w:tc>
          <w:tcPr>
            <w:tcW w:w="7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0.5</w:t>
            </w:r>
          </w:p>
        </w:tc>
      </w:tr>
      <w:tr>
        <w:trPr>
          <w:trHeight w:val="188"/>
        </w:trPr>
        <w:tc>
          <w:tcPr>
            <w:tcW w:w="73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0.6</w:t>
            </w:r>
          </w:p>
        </w:tc>
      </w:tr>
      <w:tr>
        <w:trPr>
          <w:trHeight w:val="24"/>
        </w:trPr>
        <w:tc>
          <w:tcPr>
            <w:tcW w:w="7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w:t>
            </w:r>
          </w:p>
        </w:tc>
      </w:tr>
      <w:tr>
        <w:trPr>
          <w:trHeight w:val="188"/>
        </w:trPr>
        <w:tc>
          <w:tcPr>
            <w:tcW w:w="73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0.5</w:t>
            </w:r>
          </w:p>
        </w:tc>
      </w:tr>
      <w:tr>
        <w:trPr>
          <w:trHeight w:val="24"/>
        </w:trPr>
        <w:tc>
          <w:tcPr>
            <w:tcW w:w="7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46" w:lineRule="auto"/>
        <w:tabs>
          <w:tab w:leader="none" w:pos="318"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Diluted earnings per share is computed by giving effect to all potential weighted average Class A common stock, Class C common stock, and any securities that are convertible into Class A common stock, including options and restricted stock units. The dilutive effect of outstanding awards and convertible securities is reflected in diluted earnings per share by application of the treasury stock method, excluding deemed repurchases assuming proceeds from unrecognized compensation as required by GAAP. Shares and grants issued in conjunction with the IPO were assumed to be issued at the beginning of the period.</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define Adjusted Operating Income Margin as Adjusted Operating Income divided by the sum of revenue and the impact of fair value adjustments to acquired unearned revenue.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6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1"/>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400" w:type="dxa"/>
            <w:vAlign w:val="bottom"/>
          </w:tcPr>
          <w:p>
            <w:pPr>
              <w:spacing w:after="0"/>
              <w:rPr>
                <w:sz w:val="15"/>
                <w:szCs w:val="15"/>
                <w:color w:val="auto"/>
              </w:rPr>
            </w:pPr>
          </w:p>
        </w:tc>
        <w:tc>
          <w:tcPr>
            <w:tcW w:w="1280" w:type="dxa"/>
            <w:vAlign w:val="bottom"/>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24"/>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Income (loss) from operations</w:t>
            </w: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28.0</w:t>
            </w:r>
          </w:p>
        </w:tc>
      </w:tr>
      <w:tr>
        <w:trPr>
          <w:trHeight w:val="238"/>
        </w:trPr>
        <w:tc>
          <w:tcPr>
            <w:tcW w:w="7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66.1</w:t>
            </w:r>
          </w:p>
        </w:tc>
      </w:tr>
      <w:tr>
        <w:trPr>
          <w:trHeight w:val="28"/>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5"/>
        </w:trPr>
        <w:tc>
          <w:tcPr>
            <w:tcW w:w="77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8"/>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tcPr>
          <w:p>
            <w:pPr>
              <w:spacing w:after="0"/>
              <w:rPr>
                <w:sz w:val="20"/>
                <w:szCs w:val="20"/>
                <w:color w:val="auto"/>
              </w:rPr>
            </w:pP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153.3</w:t>
            </w:r>
          </w:p>
        </w:tc>
      </w:tr>
      <w:tr>
        <w:trPr>
          <w:trHeight w:val="28"/>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5"/>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Impact of fair value adjustments to acquired unearned revenue</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0.6</w:t>
            </w:r>
          </w:p>
        </w:tc>
      </w:tr>
      <w:tr>
        <w:trPr>
          <w:trHeight w:val="258"/>
        </w:trPr>
        <w:tc>
          <w:tcPr>
            <w:tcW w:w="7780" w:type="dxa"/>
            <w:vAlign w:val="bottom"/>
          </w:tcPr>
          <w:p>
            <w:pPr>
              <w:ind w:left="220"/>
              <w:spacing w:after="0"/>
              <w:rPr>
                <w:sz w:val="20"/>
                <w:szCs w:val="20"/>
                <w:color w:val="auto"/>
              </w:rPr>
            </w:pPr>
            <w:r>
              <w:rPr>
                <w:rFonts w:ascii="Arial" w:cs="Arial" w:eastAsia="Arial" w:hAnsi="Arial"/>
                <w:sz w:val="18"/>
                <w:szCs w:val="18"/>
                <w:color w:val="auto"/>
              </w:rPr>
              <w:t>Revenue for adjusted operating margin calculation</w:t>
            </w: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rPr>
              <w:t>154.0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Income Margin</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r>
      <w:tr>
        <w:trPr>
          <w:trHeight w:val="237"/>
        </w:trPr>
        <w:tc>
          <w:tcPr>
            <w:tcW w:w="7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Operating Income Margin</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43 %</w:t>
            </w:r>
          </w:p>
        </w:tc>
      </w:tr>
    </w:tbl>
    <w:p>
      <w:pPr>
        <w:spacing w:after="0" w:line="28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Adjusted Operating Income for the three months ended March 31, 2022 was $95.7 million and represented an Adjusted Operating Income Margin of 39%. Adjusted Operating Income for the three months ended March 31, 2021 was $66.1 million and represented an Adjusted Operating Income Margin of</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43%. The increase of $29.6 million, or 45%, was driven primarily from the growth in revenue driven by additional customers and increasing revenue from existing customers. Adjusted Operating Income Margin decreased to 39% in the three months ended March 31, 2022 from 43% in the three months ended March 31, 2021 due to incremental investment in research &amp; development relative to sales related to new services and acquisitions and incremental investment in sales &amp; marketing capacity that has helped accelerate revenue growth, as well as general and administration costs to support incremental public company related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EBITDA is defined as earnings before debt-related costs, including interest and loss on debt modification and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net income (loss) to Adjusted EBITDA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80" w:type="dxa"/>
            <w:vAlign w:val="bottom"/>
          </w:tcPr>
          <w:p>
            <w:pPr>
              <w:spacing w:after="0"/>
              <w:rPr>
                <w:sz w:val="15"/>
                <w:szCs w:val="15"/>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24"/>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8"/>
        </w:trPr>
        <w:tc>
          <w:tcPr>
            <w:tcW w:w="8020" w:type="dxa"/>
            <w:vAlign w:val="bottom"/>
          </w:tcPr>
          <w:p>
            <w:pPr>
              <w:ind w:left="220"/>
              <w:spacing w:after="0"/>
              <w:rPr>
                <w:sz w:val="20"/>
                <w:szCs w:val="20"/>
                <w:color w:val="auto"/>
              </w:rPr>
            </w:pPr>
            <w:r>
              <w:rPr>
                <w:rFonts w:ascii="Arial" w:cs="Arial" w:eastAsia="Arial" w:hAnsi="Arial"/>
                <w:sz w:val="18"/>
                <w:szCs w:val="18"/>
                <w:color w:val="auto"/>
              </w:rPr>
              <w:t>Add (less): Expense (benefit) from income taxes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8"/>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8"/>
        </w:trPr>
        <w:tc>
          <w:tcPr>
            <w:tcW w:w="8020" w:type="dxa"/>
            <w:vAlign w:val="bottom"/>
          </w:tcPr>
          <w:p>
            <w:pPr>
              <w:ind w:left="220"/>
              <w:spacing w:after="0"/>
              <w:rPr>
                <w:sz w:val="20"/>
                <w:szCs w:val="20"/>
                <w:color w:val="auto"/>
              </w:rPr>
            </w:pPr>
            <w:r>
              <w:rPr>
                <w:rFonts w:ascii="Arial" w:cs="Arial" w:eastAsia="Arial" w:hAnsi="Arial"/>
                <w:sz w:val="18"/>
                <w:szCs w:val="18"/>
                <w:color w:val="auto"/>
              </w:rPr>
              <w:t>Add: Loss on debt modification and extinguishment</w:t>
            </w:r>
          </w:p>
        </w:tc>
        <w:tc>
          <w:tcPr>
            <w:tcW w:w="3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8"/>
        </w:trPr>
        <w:tc>
          <w:tcPr>
            <w:tcW w:w="8020" w:type="dxa"/>
            <w:vAlign w:val="bottom"/>
          </w:tcPr>
          <w:p>
            <w:pPr>
              <w:ind w:left="220"/>
              <w:spacing w:after="0"/>
              <w:rPr>
                <w:sz w:val="20"/>
                <w:szCs w:val="20"/>
                <w:color w:val="auto"/>
              </w:rPr>
            </w:pPr>
            <w:r>
              <w:rPr>
                <w:rFonts w:ascii="Arial" w:cs="Arial" w:eastAsia="Arial" w:hAnsi="Arial"/>
                <w:sz w:val="18"/>
                <w:szCs w:val="18"/>
                <w:color w:val="auto"/>
              </w:rPr>
              <w:t>Add: Amortization of acquired technology</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8"/>
        </w:trPr>
        <w:tc>
          <w:tcPr>
            <w:tcW w:w="8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 Amortization of other acquired intangibles</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1"/>
        </w:trPr>
        <w:tc>
          <w:tcPr>
            <w:tcW w:w="8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EBITDA</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r>
      <w:tr>
        <w:trPr>
          <w:trHeight w:val="28"/>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8"/>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65"/>
        </w:trPr>
        <w:tc>
          <w:tcPr>
            <w:tcW w:w="8020" w:type="dxa"/>
            <w:vAlign w:val="bottom"/>
          </w:tcPr>
          <w:p>
            <w:pPr>
              <w:ind w:left="240"/>
              <w:spacing w:after="0"/>
              <w:rPr>
                <w:sz w:val="20"/>
                <w:szCs w:val="20"/>
                <w:color w:val="auto"/>
              </w:rPr>
            </w:pPr>
            <w:r>
              <w:rPr>
                <w:rFonts w:ascii="Arial" w:cs="Arial" w:eastAsia="Arial" w:hAnsi="Arial"/>
                <w:sz w:val="18"/>
                <w:szCs w:val="18"/>
                <w:color w:val="auto"/>
              </w:rPr>
              <w:t>Add: Impact of fair value adjustments to acquired unearned revenue</w:t>
            </w:r>
            <w:r>
              <w:rPr>
                <w:rFonts w:ascii="Arial" w:cs="Arial" w:eastAsia="Arial" w:hAnsi="Arial"/>
                <w:sz w:val="22"/>
                <w:szCs w:val="22"/>
                <w:color w:val="auto"/>
                <w:vertAlign w:val="superscript"/>
              </w:rPr>
              <w:t>(b)</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45"/>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65"/>
        </w:trPr>
        <w:tc>
          <w:tcPr>
            <w:tcW w:w="8020" w:type="dxa"/>
            <w:vAlign w:val="bottom"/>
          </w:tcPr>
          <w:p>
            <w:pPr>
              <w:ind w:left="240"/>
              <w:spacing w:after="0"/>
              <w:rPr>
                <w:sz w:val="20"/>
                <w:szCs w:val="20"/>
                <w:color w:val="auto"/>
              </w:rPr>
            </w:pPr>
            <w:r>
              <w:rPr>
                <w:rFonts w:ascii="Arial" w:cs="Arial" w:eastAsia="Arial" w:hAnsi="Arial"/>
                <w:sz w:val="18"/>
                <w:szCs w:val="18"/>
                <w:color w:val="auto"/>
              </w:rPr>
              <w:t>Add: Restructuring and transaction related expenses (excluding depreciation)</w:t>
            </w:r>
            <w:r>
              <w:rPr>
                <w:rFonts w:ascii="Arial" w:cs="Arial" w:eastAsia="Arial" w:hAnsi="Arial"/>
                <w:sz w:val="22"/>
                <w:szCs w:val="22"/>
                <w:color w:val="auto"/>
                <w:vertAlign w:val="superscript"/>
              </w:rPr>
              <w:t>(c)</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5"/>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8"/>
        </w:trPr>
        <w:tc>
          <w:tcPr>
            <w:tcW w:w="80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EBITDA</w:t>
            </w: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4"/>
        <w:spacing w:after="0" w:line="237" w:lineRule="auto"/>
        <w:tabs>
          <w:tab w:leader="none" w:pos="312"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37" w:lineRule="auto"/>
        <w:tabs>
          <w:tab w:leader="none" w:pos="318" w:val="left"/>
        </w:tabs>
        <w:numPr>
          <w:ilvl w:val="0"/>
          <w:numId w:val="17"/>
        </w:numPr>
        <w:rPr>
          <w:rFonts w:ascii="Arial" w:cs="Arial" w:eastAsia="Arial" w:hAnsi="Arial"/>
          <w:sz w:val="14"/>
          <w:szCs w:val="14"/>
          <w:i w:val="1"/>
          <w:iCs w:val="1"/>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three months ended March 31, 2022, this expense related primarily to transition and retention payments related to 2021 acquisitions, For the three months ended March 31, 2021, this expense related primarily to impairment and accelerated depreciation related to the Company’s Waltham office relocation.</w:t>
      </w:r>
    </w:p>
    <w:p>
      <w:pPr>
        <w:jc w:val="both"/>
        <w:ind w:left="320" w:hanging="314"/>
        <w:spacing w:after="0"/>
        <w:tabs>
          <w:tab w:leader="none" w:pos="312"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three months March 31, 2022, this expense related to retention awards from the acquisitions of Clickagy and Everstring, and professional fees relating to integration projects.For the three months ended March 31, 2021,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18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4"/>
          </w:tcPr>
          <w:p>
            <w:pPr>
              <w:jc w:val="right"/>
              <w:ind w:right="169"/>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4"/>
        </w:trPr>
        <w:tc>
          <w:tcPr>
            <w:tcW w:w="5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8"/>
        </w:trPr>
        <w:tc>
          <w:tcPr>
            <w:tcW w:w="548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60" w:type="dxa"/>
            <w:vAlign w:val="bottom"/>
          </w:tcPr>
          <w:p>
            <w:pPr>
              <w:spacing w:after="0"/>
              <w:rPr>
                <w:sz w:val="18"/>
                <w:szCs w:val="18"/>
                <w:color w:val="auto"/>
              </w:rPr>
            </w:pPr>
          </w:p>
        </w:tc>
        <w:tc>
          <w:tcPr>
            <w:tcW w:w="1060" w:type="dxa"/>
            <w:vAlign w:val="bottom"/>
          </w:tcPr>
          <w:p>
            <w:pPr>
              <w:jc w:val="right"/>
              <w:ind w:right="40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9"/>
              <w:spacing w:after="0"/>
              <w:rPr>
                <w:sz w:val="20"/>
                <w:szCs w:val="20"/>
                <w:color w:val="auto"/>
              </w:rPr>
            </w:pPr>
            <w:r>
              <w:rPr>
                <w:rFonts w:ascii="Arial" w:cs="Arial" w:eastAsia="Arial" w:hAnsi="Arial"/>
                <w:sz w:val="14"/>
                <w:szCs w:val="14"/>
                <w:b w:val="1"/>
                <w:bCs w:val="1"/>
                <w:color w:val="auto"/>
              </w:rPr>
              <w:t>2021</w:t>
            </w:r>
          </w:p>
        </w:tc>
      </w:tr>
      <w:tr>
        <w:trPr>
          <w:trHeight w:val="24"/>
        </w:trPr>
        <w:tc>
          <w:tcPr>
            <w:tcW w:w="5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0.5</w:t>
            </w: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6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0.6</w:t>
            </w:r>
          </w:p>
        </w:tc>
      </w:tr>
      <w:tr>
        <w:trPr>
          <w:trHeight w:val="24"/>
        </w:trPr>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2"/>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w:t>
            </w: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6"/>
                <w:szCs w:val="16"/>
                <w:color w:val="auto"/>
              </w:rPr>
            </w:pP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0.5</w:t>
            </w:r>
          </w:p>
        </w:tc>
      </w:tr>
      <w:tr>
        <w:trPr>
          <w:trHeight w:val="24"/>
        </w:trPr>
        <w:tc>
          <w:tcPr>
            <w:tcW w:w="5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5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integration costs and acquisition-related compensation</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Adjusted EBITDA for the three months ended March 31, 2022 was $99.1 million, an increase of $30.3 million, or 44%, relative to the three months ended March 31, 2021. This increase was driven primarily from the growth in revenue and additional customers in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non-cancelable subscription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excluding amortization of acquired technology. </w:t>
      </w:r>
      <w:r>
        <w:rPr>
          <w:rFonts w:ascii="Arial" w:cs="Arial" w:eastAsia="Arial" w:hAnsi="Arial"/>
          <w:sz w:val="18"/>
          <w:szCs w:val="18"/>
          <w:color w:val="auto"/>
        </w:rPr>
        <w:t>Cost of service, excluding amortization of acquired technology includes direct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2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i w:val="1"/>
          <w:iCs w:val="1"/>
          <w:color w:val="auto"/>
        </w:rPr>
        <w:t xml:space="preserve">Amortization of acquired technology. </w:t>
      </w:r>
      <w:r>
        <w:rPr>
          <w:rFonts w:ascii="Arial" w:cs="Arial" w:eastAsia="Arial" w:hAnsi="Arial"/>
          <w:sz w:val="18"/>
          <w:szCs w:val="18"/>
          <w:color w:val="auto"/>
        </w:rPr>
        <w:t>Amortization of acquired technology includes amortization expense for technology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acquired technology will increase if we make additional acquisitions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operating expenses consist of sales and marketing, research and development, general and administrative, restructuring and transaction expenses, and amortization of acquired intangibles (other than acquired technology).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3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anticipate that we will continue to invest in sales and marketing capacity to enable future growth. We anticipate that sales and marketing expense excluding equity-based compensation will fluctuate from period to period depending on the interplay of our growing investments in sales and marketing capacity excluding equity-based compensation, the recognition of revenue, and the amortization of contract acquisition costs.</w:t>
      </w:r>
    </w:p>
    <w:p>
      <w:pPr>
        <w:spacing w:after="0" w:line="11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support our efforts to enhance our existing platform and develop new software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4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primarily consist of employee-related costs such as salaries, bonuses,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expect general and administrative expenses as a percentage of revenue to stay consistent or modestly decrease as we realize operating leverage in the business.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Amortization of other acquired intangibles</w:t>
      </w:r>
      <w:r>
        <w:rPr>
          <w:rFonts w:ascii="Arial" w:cs="Arial" w:eastAsia="Arial" w:hAnsi="Arial"/>
          <w:sz w:val="18"/>
          <w:szCs w:val="18"/>
          <w:color w:val="auto"/>
        </w:rPr>
        <w:t>. Amortization of acquired intangibles primarily consists of amortization of customer relationships,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brand portfolios.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other acquired intangibles will increase if we make additional acquisitions in the future.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Restructuring and transaction-related expenses. </w:t>
      </w:r>
      <w:r>
        <w:rPr>
          <w:rFonts w:ascii="Arial" w:cs="Arial" w:eastAsia="Arial" w:hAnsi="Arial"/>
          <w:sz w:val="15"/>
          <w:szCs w:val="15"/>
          <w:color w:val="auto"/>
        </w:rPr>
        <w:t>Restructuring and transaction expenses primarily consist of various restructuring and acquisition</w:t>
      </w:r>
      <w:r>
        <w:rPr>
          <w:rFonts w:ascii="Arial" w:cs="Arial" w:eastAsia="Arial" w:hAnsi="Arial"/>
          <w:sz w:val="15"/>
          <w:szCs w:val="15"/>
          <w:i w:val="1"/>
          <w:iCs w:val="1"/>
          <w:color w:val="auto"/>
        </w:rPr>
        <w:t xml:space="preserve"> </w:t>
      </w:r>
      <w:r>
        <w:rPr>
          <w:rFonts w:ascii="Arial" w:cs="Arial" w:eastAsia="Arial" w:hAnsi="Arial"/>
          <w:sz w:val="15"/>
          <w:szCs w:val="15"/>
          <w:color w:val="auto"/>
        </w:rPr>
        <w:t>activities we 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8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represents the interest payable on our debt obligations and the amortization of debt discounts and debt issuance costs, less interest income.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interest expense could be impacted by changes in variable interest rates or the issuance of additional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Modification and Extinguishment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Loss on debt modification and extinguishment </w:t>
      </w:r>
      <w:r>
        <w:rPr>
          <w:rFonts w:ascii="Arial" w:cs="Arial" w:eastAsia="Arial" w:hAnsi="Arial"/>
          <w:sz w:val="18"/>
          <w:szCs w:val="18"/>
          <w:color w:val="auto"/>
        </w:rPr>
        <w:t>consists of prepayment penalties and impairment of deferred financing costs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or extinguishment of debt, as well as new fees incurred with third parties in connection with debt modifications.</w:t>
      </w:r>
    </w:p>
    <w:p>
      <w:pPr>
        <w:spacing w:after="0" w:line="128" w:lineRule="exact"/>
        <w:rPr>
          <w:sz w:val="20"/>
          <w:szCs w:val="20"/>
          <w:color w:val="auto"/>
        </w:rPr>
      </w:pPr>
    </w:p>
    <w:p>
      <w:pPr>
        <w:ind w:right="920" w:firstLine="318"/>
        <w:spacing w:after="0" w:line="430" w:lineRule="auto"/>
        <w:rPr>
          <w:sz w:val="20"/>
          <w:szCs w:val="20"/>
          <w:color w:val="auto"/>
        </w:rPr>
      </w:pPr>
      <w:r>
        <w:rPr>
          <w:rFonts w:ascii="Arial" w:cs="Arial" w:eastAsia="Arial" w:hAnsi="Arial"/>
          <w:sz w:val="18"/>
          <w:szCs w:val="18"/>
          <w:color w:val="auto"/>
        </w:rPr>
        <w:t xml:space="preserve">We anticipate that losses related to debt extinguishment will only occur if we extinguish indebtedness before the contractual repayment dates. </w:t>
      </w:r>
      <w:r>
        <w:rPr>
          <w:rFonts w:ascii="Arial" w:cs="Arial" w:eastAsia="Arial" w:hAnsi="Arial"/>
          <w:sz w:val="18"/>
          <w:szCs w:val="18"/>
          <w:b w:val="1"/>
          <w:bCs w:val="1"/>
          <w:i w:val="1"/>
          <w:iCs w:val="1"/>
          <w:color w:val="auto"/>
        </w:rPr>
        <w:t>Other (Income) Expense, Net</w:t>
      </w: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consists primarily of the revaluation of tax receivable agreement liabilities and foreign currency realized and unrealized gains</w:t>
      </w:r>
      <w:r>
        <w:rPr>
          <w:rFonts w:ascii="Arial" w:cs="Arial" w:eastAsia="Arial" w:hAnsi="Arial"/>
          <w:sz w:val="18"/>
          <w:szCs w:val="18"/>
          <w:i w:val="1"/>
          <w:iCs w:val="1"/>
          <w:color w:val="auto"/>
        </w:rPr>
        <w:t xml:space="preserve"> </w:t>
      </w:r>
      <w:r>
        <w:rPr>
          <w:rFonts w:ascii="Arial" w:cs="Arial" w:eastAsia="Arial" w:hAnsi="Arial"/>
          <w:sz w:val="18"/>
          <w:szCs w:val="18"/>
          <w:color w:val="auto"/>
        </w:rPr>
        <w:t>and losses related to the impact of transactions denominated in a foreign currency.</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Changes to existing tax law including changes to the corporate income tax rates and the Company’s state tax footprint could lead to substantial revaluations of the tax receivable agreement liability recorded through other income and expense, net.</w:t>
      </w:r>
    </w:p>
    <w:p>
      <w:pPr>
        <w:spacing w:after="0" w:line="128" w:lineRule="exact"/>
        <w:rPr>
          <w:sz w:val="20"/>
          <w:szCs w:val="20"/>
          <w:color w:val="auto"/>
        </w:rPr>
      </w:pPr>
    </w:p>
    <w:p>
      <w:pPr>
        <w:ind w:right="860" w:firstLine="318"/>
        <w:spacing w:after="0" w:line="430" w:lineRule="auto"/>
        <w:rPr>
          <w:sz w:val="20"/>
          <w:szCs w:val="20"/>
          <w:color w:val="auto"/>
        </w:rPr>
      </w:pPr>
      <w:r>
        <w:rPr>
          <w:rFonts w:ascii="Arial" w:cs="Arial" w:eastAsia="Arial" w:hAnsi="Arial"/>
          <w:sz w:val="18"/>
          <w:szCs w:val="18"/>
          <w:color w:val="auto"/>
        </w:rPr>
        <w:t xml:space="preserve">The magnitude of other income and expenses, net may increase as we expand operations internationally and add complexity to our operations. </w:t>
      </w:r>
      <w:r>
        <w:rPr>
          <w:rFonts w:ascii="Arial" w:cs="Arial" w:eastAsia="Arial" w:hAnsi="Arial"/>
          <w:sz w:val="18"/>
          <w:szCs w:val="18"/>
          <w:b w:val="1"/>
          <w:bCs w:val="1"/>
          <w:i w:val="1"/>
          <w:iCs w:val="1"/>
          <w:color w:val="auto"/>
        </w:rPr>
        <w:t>Income Tax Expense (Benefit)</w:t>
      </w:r>
    </w:p>
    <w:p>
      <w:pPr>
        <w:jc w:val="both"/>
        <w:ind w:firstLine="318"/>
        <w:spacing w:after="0" w:line="300" w:lineRule="auto"/>
        <w:rPr>
          <w:sz w:val="20"/>
          <w:szCs w:val="20"/>
          <w:color w:val="auto"/>
        </w:rPr>
      </w:pPr>
      <w:r>
        <w:rPr>
          <w:rFonts w:ascii="Arial" w:cs="Arial" w:eastAsia="Arial" w:hAnsi="Arial"/>
          <w:sz w:val="15"/>
          <w:szCs w:val="15"/>
          <w:color w:val="auto"/>
        </w:rPr>
        <w:t xml:space="preserve">ZoomInfo OpCo is currently treated as a pass-through entity for U.S. federal income tax purposes and most applicable state and local income tax purposes. </w:t>
      </w:r>
      <w:r>
        <w:rPr>
          <w:rFonts w:ascii="Arial" w:cs="Arial" w:eastAsia="Arial" w:hAnsi="Arial"/>
          <w:sz w:val="15"/>
          <w:szCs w:val="15"/>
          <w:i w:val="1"/>
          <w:iCs w:val="1"/>
          <w:color w:val="auto"/>
        </w:rPr>
        <w:t>Income tax expense (benefit)</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tax assets</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tax liabilities</w:t>
      </w:r>
      <w:r>
        <w:rPr>
          <w:rFonts w:ascii="Arial" w:cs="Arial" w:eastAsia="Arial" w:hAnsi="Arial"/>
          <w:sz w:val="15"/>
          <w:szCs w:val="15"/>
          <w:color w:val="auto"/>
        </w:rPr>
        <w:t>,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subsidiary, RKSI Acquisition Corporation, was subject to income taxes in the United States and held a noncontrolling interests in our subsidiary, ZoomInfo Technologies LLC. ZoomInfo Technologies LLC was treated as a partnership for U.S. federal and most applicable state and local income tax purposes. Any taxable income or loss generated by ZoomInfo Technologies LLC is passed through to and included in the taxable income or loss of its partners, including ZoomInfo LLC and RKSI Acquisition Corporation. However, because RKSI Acquisition Corporation is subject to income taxes in the United States, income allocated to such corporate subsidiary for tax purposes reduced the taxable income allocated to and distributions made to ZoomInfo OpCo. During the three months ended September 30, 2021, RKSI Acquisition Corporation was distributed up to ZoomInfo HoldCo followed by the merger of RKSI Acquisition Corporation with and into ZoomInfo HoldCo and the merger of ZoomInfo HoldCo with and into ZoomInfo Technologies Inc. Significant judgments and estimates are required in determining our consolidated income tax expense. Refer to Note 2 - Basis of Presentation and Summary of Significant Accounting Policies to our unaudited consolidated financial statements included in Part I, Item 1 of this Form 10-Q for additional information. During the three months ended December 31, 2021, ZoomInfo Technologies LLC made an election to be taxed as a corporation. Therefore, taxable income from the operations will no longer flow up to ZoomInfo Intermediate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After consummation of the Reorganization Transactions, ZoomInfo Intermediate Inc. became subject to U.S. federal income taxes with respect to our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In addition, because RKSI Acquisition Corporation (prior to its merger with and into ZoomInfo HoldCo) and Zebra Acquisition Corporation (prior to its merger with RKSI Acquisition Corporation) will continue to be subject to income taxes in the United States, income allocated to such corporate subsidiaries for tax purposes will reduce the distributions made to ZoomInfo OpCo, thereby reducing our allocable share of U.S. taxable income of ZoomInfo OpCo. See “Risk Factors - Risks Related to Our Organizational Structure” in Part I, Item 1A of our 2021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three months ended March 31,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82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20" w:type="dxa"/>
            <w:vAlign w:val="bottom"/>
          </w:tcPr>
          <w:p>
            <w:pPr>
              <w:spacing w:after="0"/>
              <w:rPr>
                <w:sz w:val="15"/>
                <w:szCs w:val="15"/>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4"/>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65"/>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5"/>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5"/>
        </w:trPr>
        <w:tc>
          <w:tcPr>
            <w:tcW w:w="8240" w:type="dxa"/>
            <w:vAlign w:val="bottom"/>
          </w:tcPr>
          <w:p>
            <w:pPr>
              <w:ind w:left="140"/>
              <w:spacing w:after="0"/>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(1)</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6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acquired technology</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1"/>
        </w:trPr>
        <w:tc>
          <w:tcPr>
            <w:tcW w:w="8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r>
      <w:tr>
        <w:trPr>
          <w:trHeight w:val="28"/>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5"/>
        </w:trPr>
        <w:tc>
          <w:tcPr>
            <w:tcW w:w="8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8"/>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65"/>
        </w:trPr>
        <w:tc>
          <w:tcPr>
            <w:tcW w:w="8240" w:type="dxa"/>
            <w:vAlign w:val="bottom"/>
          </w:tcPr>
          <w:p>
            <w:pPr>
              <w:ind w:left="1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65"/>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8"/>
        </w:trPr>
        <w:tc>
          <w:tcPr>
            <w:tcW w:w="8240" w:type="dxa"/>
            <w:vAlign w:val="bottom"/>
          </w:tcPr>
          <w:p>
            <w:pPr>
              <w:ind w:left="140"/>
              <w:spacing w:after="0"/>
              <w:rPr>
                <w:sz w:val="20"/>
                <w:szCs w:val="20"/>
                <w:color w:val="auto"/>
              </w:rPr>
            </w:pPr>
            <w:r>
              <w:rPr>
                <w:rFonts w:ascii="Arial" w:cs="Arial" w:eastAsia="Arial" w:hAnsi="Arial"/>
                <w:sz w:val="18"/>
                <w:szCs w:val="18"/>
                <w:color w:val="auto"/>
              </w:rPr>
              <w:t>Amortization of other acquired intangibles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8"/>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Restructuring and transaction-related expenses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1"/>
        </w:trPr>
        <w:tc>
          <w:tcPr>
            <w:tcW w:w="82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w:t>
            </w:r>
          </w:p>
        </w:tc>
      </w:tr>
      <w:tr>
        <w:trPr>
          <w:trHeight w:val="27"/>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5"/>
        </w:trPr>
        <w:tc>
          <w:tcPr>
            <w:tcW w:w="82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4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8"/>
        </w:trPr>
        <w:tc>
          <w:tcPr>
            <w:tcW w:w="8240" w:type="dxa"/>
            <w:vAlign w:val="bottom"/>
          </w:tcPr>
          <w:p>
            <w:pPr>
              <w:ind w:left="140"/>
              <w:spacing w:after="0"/>
              <w:rPr>
                <w:sz w:val="20"/>
                <w:szCs w:val="20"/>
                <w:color w:val="auto"/>
              </w:rPr>
            </w:pPr>
            <w:r>
              <w:rPr>
                <w:rFonts w:ascii="Arial" w:cs="Arial" w:eastAsia="Arial" w:hAnsi="Arial"/>
                <w:sz w:val="18"/>
                <w:szCs w:val="18"/>
                <w:color w:val="auto"/>
              </w:rPr>
              <w:t>Loss on debt modification and extinguishment</w:t>
            </w:r>
          </w:p>
        </w:tc>
        <w:tc>
          <w:tcPr>
            <w:tcW w:w="3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1"/>
        </w:trPr>
        <w:tc>
          <w:tcPr>
            <w:tcW w:w="82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8"/>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31"/>
        </w:trPr>
        <w:tc>
          <w:tcPr>
            <w:tcW w:w="8240" w:type="dxa"/>
            <w:vAlign w:val="bottom"/>
          </w:tcPr>
          <w:p>
            <w:pPr>
              <w:ind w:left="3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5"/>
        </w:trPr>
        <w:tc>
          <w:tcPr>
            <w:tcW w:w="8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58"/>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ZoomInfo Technologies Inc.</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equity-based compensation expense as follows: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0" w:type="dxa"/>
            <w:vAlign w:val="bottom"/>
            <w:gridSpan w:val="4"/>
          </w:tcPr>
          <w:p>
            <w:pPr>
              <w:jc w:val="right"/>
              <w:ind w:right="549"/>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7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74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Pr>
          <w:p>
            <w:pPr>
              <w:spacing w:after="0"/>
              <w:rPr>
                <w:sz w:val="15"/>
                <w:szCs w:val="15"/>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24"/>
        </w:trPr>
        <w:tc>
          <w:tcPr>
            <w:tcW w:w="7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5"/>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3.5</w:t>
            </w:r>
          </w:p>
        </w:tc>
      </w:tr>
      <w:tr>
        <w:trPr>
          <w:trHeight w:val="188"/>
        </w:trPr>
        <w:tc>
          <w:tcPr>
            <w:tcW w:w="74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8.4</w:t>
            </w:r>
          </w:p>
        </w:tc>
      </w:tr>
      <w:tr>
        <w:trPr>
          <w:trHeight w:val="24"/>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2"/>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2.6</w:t>
            </w:r>
          </w:p>
        </w:tc>
      </w:tr>
      <w:tr>
        <w:trPr>
          <w:trHeight w:val="188"/>
        </w:trPr>
        <w:tc>
          <w:tcPr>
            <w:tcW w:w="74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3.6</w:t>
            </w:r>
          </w:p>
        </w:tc>
      </w:tr>
      <w:tr>
        <w:trPr>
          <w:trHeight w:val="24"/>
        </w:trPr>
        <w:tc>
          <w:tcPr>
            <w:tcW w:w="7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equity-based compensation expense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and Three Months Ended March 31, 2021</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Revenue</w:t>
      </w:r>
      <w:r>
        <w:rPr>
          <w:rFonts w:ascii="Arial" w:cs="Arial" w:eastAsia="Arial" w:hAnsi="Arial"/>
          <w:sz w:val="15"/>
          <w:szCs w:val="15"/>
          <w:color w:val="auto"/>
        </w:rPr>
        <w:t>. Revenue was $241.7 million for the three months ended March 31, 2022, an increase of $88.4 million, or 58%, as compared to $153.3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for the three months ended March 31, 2021. This increase was primarily due to the addition of new customers over the past 12 months and net expansion with existing customers. Products acquired within the last 12 months contributed $13.0 million for the three months ended March 31, 2022.</w:t>
      </w:r>
    </w:p>
    <w:p>
      <w:pPr>
        <w:spacing w:after="0" w:line="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$44.0 million for the three months ended March 31, 2022, an increase of $15.9 million, or 57%,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$28.1 million for the three months ended March 31, 2021. The increase was primarily due to additional headcount and related salaries and benefit expenses, increased hosting expense to support new and growing customers, increased amortization of acquired technology related to prior year acquisitions, and increased equity-based compensation expense.</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$165.3 million for the three months ended March 31, 2022, an increase of $68.1 million, or 70%,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$97.2 million for the three months ended March 31, 2021. Excluding equity-based compensation expenses, operating expenses were $127.4 million for the three months ended March 31, 2022, an increase of $44.8 million, or 54%, as compared to $82.6 million for the three months ended March 31, 2021. The increase excluding equity-based compensation was primarily due to:</w:t>
      </w:r>
    </w:p>
    <w:p>
      <w:pPr>
        <w:spacing w:after="0" w:line="138" w:lineRule="exact"/>
        <w:rPr>
          <w:sz w:val="20"/>
          <w:szCs w:val="20"/>
          <w:color w:val="auto"/>
        </w:rPr>
      </w:pPr>
    </w:p>
    <w:p>
      <w:pPr>
        <w:jc w:val="both"/>
        <w:ind w:left="640" w:hanging="316"/>
        <w:spacing w:after="0" w:line="252"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sales and marketing expense (excluding equity-based compensation) of $27.6 million, or 68%, to $68.0 million for the three months ended March 31, 2022, due primarily to additional headcount and related salaries and benefits expenses added to drive continued incremental sales and support acquired products, as well as additional commission expense and amortization of deferred commissions related to obtaining contracts with customers, and advertising expenses;</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equity-based compensation) of $12.2 million, or 69%, to $30.0 million for the three months ended March 31, 2022, due primarily to additional headcount and related salaries and benefits expenses added to support continued innovation of our services and acquired products;</w:t>
      </w:r>
    </w:p>
    <w:p>
      <w:pPr>
        <w:spacing w:after="0" w:line="135"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8"/>
        </w:numPr>
        <w:rPr>
          <w:rFonts w:ascii="Arial" w:cs="Arial" w:eastAsia="Arial" w:hAnsi="Arial"/>
          <w:sz w:val="15"/>
          <w:szCs w:val="15"/>
          <w:i w:val="1"/>
          <w:iCs w:val="1"/>
          <w:color w:val="auto"/>
        </w:rPr>
      </w:pPr>
      <w:r>
        <w:rPr>
          <w:rFonts w:ascii="Arial" w:cs="Arial" w:eastAsia="Arial" w:hAnsi="Arial"/>
          <w:sz w:val="15"/>
          <w:szCs w:val="15"/>
          <w:color w:val="auto"/>
        </w:rPr>
        <w:t>an increase in general and administrative expense (excluding equity-based compensation) of $6.4 million, or 42%, to $21.6 million for the three months ended March 31, 2022, due primarily to additional headcount and related salaries and benefits expenses to support the larger organization;</w:t>
      </w:r>
    </w:p>
    <w:p>
      <w:pPr>
        <w:spacing w:after="0" w:line="58" w:lineRule="exact"/>
        <w:rPr>
          <w:rFonts w:ascii="Arial" w:cs="Arial" w:eastAsia="Arial" w:hAnsi="Arial"/>
          <w:sz w:val="15"/>
          <w:szCs w:val="15"/>
          <w:i w:val="1"/>
          <w:iCs w:val="1"/>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amortization of acquired intangibles expense of $0.5 million, or 10%, to $5.3 million for the three months ended March 31, 2022, due to amortization expense related to intangible assets from 2021 acquisitions; and</w:t>
      </w:r>
    </w:p>
    <w:p>
      <w:pPr>
        <w:spacing w:after="0" w:line="12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and transaction-related expense of $2.5 million for the three months ended March 31, 2022, primarily due to transition and retention payments and other costs incurred related to 2021 acquisitions. This represented a decrease of $1.9 million, or 43%, as compared to expense of $4.4 million for the three months ended March 31, 2021, which largely represented impairment and accelerated depreciation related to the Company’s Waltham office relocation.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$11.8 million for the three months ended March 31, 2022, an increase of $5.3 million, or 82%,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$6.5 million for the three months ended March 31, 2021. The increase was primarily due to increases in the amount of total debt, attributable to the February and July 2021 issuances of Senior Notes.</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Expense from income taxes for the three months ended March 31, 2022 was $13.0 million, representing an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67.6%, as compared to expense from income taxes of $49.7 million for the three months ended March 31, 2021, representing an effective tax rate of 314.5%. The decrease in the effective tax rate was primarily due to the recognition of non-cash tax expense in Q1 2021 resulting from a shift in GAAP basis from a non-taxable entity to a taxable entity.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March 31, 2022, we had $394.4 million of cash and cash equivalents, $12.4 million of short-term investments, and $250.0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8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generally invoice our subscription customers annually, semi-annually, or quarterly in advance of our subscription services. Therefore, a substantial source of our cash is from such prepayments, which are included on our Condensed Consolidated Balance Sheets as unearned revenue. Unearned revenue consists of billed fees for our subscriptions, prior to satisfying the criteria for revenue recognition, which are subsequently recognized as revenue in accordance with our revenue recognition policy. As of March 31, 2022, we had unearned revenue of $406.1 million, of which $403.8 million was recorded as a current liability and is expected to be recorded as revenue in the next 12 months, provided all other revenue recognition criteria have been met.</w:t>
      </w:r>
    </w:p>
    <w:p>
      <w:pPr>
        <w:spacing w:after="0" w:line="9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After the consummation of the Reorganization Transactions, ZoomInfo Intermediate Inc. (formerly known as ZoomInfo Technologies Inc.) became a holding company with no material assets other than its ownership of HoldCo Units, and ZoomInfo HoldCo became a holding company with no material assets other than its ownership of ZoomInfo OpCo Units. During the quarter ended September 20, 2021, ZoomInfo HoldCo was merged with and into ZoomInfo Intermediate Inc. During the quarter ended December 31, 2021, ZoomInfo Intermediate Inc. became a wholly owned subsidiary of ZoomInfo Technologies Inc. ZoomInfo Technologies Inc. and ZoomInfo Intermediate Inc. have no independent means of generating revenue. In the event ZoomInfo Technologies Inc. declares any cash dividend, we expect that ZoomInfo Technologies Inc to cause ZoomInfo MidCo LLC to make distributions to ZoomInfo Technologies Inc. in part through distributions to ZoomInfo Intermediate Inc. and ZoomInfo OpCo, in an amount sufficient to cover such cash dividends declared by us. Deterioration in the financial condition, earnings, or cash flow of ZoomInfo MidCo LLC and its subsidiaries for any reason could limit or impair their ability to pay such distributions. In addition, the terms of our financing arrangements contain covenants that may restrict ZoomInfo MidCo LLC and its subsidiaries from paying such distributions, subject to certain exceptions. Further, ZoomInfo MidCo LLC is generally prohibited under Delaware law from making a distribution to a member to the extent that, at the time of the distribution, after giving effect to the distribution, liabilities of ZoomInfo MidCo LLC (with certain exceptions), as applicable, exceed the fair value of its assets. Subsidiaries of ZoomInfo MidCo LLC are generally subject to similar legal limitations on their ability to make distributions to ZoomInfo MidCo LLC. See “Risk Factors - Risks Related to Our Organizational Structure” in Part I, Item 1A of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2021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6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60" w:type="dxa"/>
            <w:vAlign w:val="bottom"/>
          </w:tcPr>
          <w:p>
            <w:pPr>
              <w:spacing w:after="0"/>
              <w:rPr>
                <w:sz w:val="15"/>
                <w:szCs w:val="15"/>
                <w:color w:val="auto"/>
              </w:rPr>
            </w:pP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4"/>
        </w:trPr>
        <w:tc>
          <w:tcPr>
            <w:tcW w:w="80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center"/>
              <w:ind w:left="655"/>
              <w:spacing w:after="0"/>
              <w:rPr>
                <w:sz w:val="20"/>
                <w:szCs w:val="20"/>
                <w:color w:val="auto"/>
              </w:rPr>
            </w:pPr>
            <w:r>
              <w:rPr>
                <w:rFonts w:ascii="Arial" w:cs="Arial" w:eastAsia="Arial" w:hAnsi="Arial"/>
                <w:sz w:val="18"/>
                <w:szCs w:val="18"/>
                <w:color w:val="auto"/>
                <w:w w:val="85"/>
              </w:rPr>
              <w:t>93.0</w:t>
            </w:r>
          </w:p>
        </w:tc>
      </w:tr>
      <w:tr>
        <w:trPr>
          <w:trHeight w:val="238"/>
        </w:trPr>
        <w:tc>
          <w:tcPr>
            <w:tcW w:w="80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center"/>
              <w:ind w:left="615"/>
              <w:spacing w:after="0"/>
              <w:rPr>
                <w:sz w:val="20"/>
                <w:szCs w:val="20"/>
                <w:color w:val="auto"/>
              </w:rPr>
            </w:pPr>
            <w:r>
              <w:rPr>
                <w:rFonts w:ascii="Arial" w:cs="Arial" w:eastAsia="Arial" w:hAnsi="Arial"/>
                <w:sz w:val="18"/>
                <w:szCs w:val="18"/>
                <w:color w:val="auto"/>
                <w:w w:val="89"/>
              </w:rPr>
              <w:t>(99.0)</w:t>
            </w:r>
          </w:p>
        </w:tc>
      </w:tr>
      <w:tr>
        <w:trPr>
          <w:trHeight w:val="28"/>
        </w:trPr>
        <w:tc>
          <w:tcPr>
            <w:tcW w:w="8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5"/>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615"/>
              <w:spacing w:after="0"/>
              <w:rPr>
                <w:sz w:val="20"/>
                <w:szCs w:val="20"/>
                <w:color w:val="auto"/>
              </w:rPr>
            </w:pPr>
            <w:r>
              <w:rPr>
                <w:rFonts w:ascii="Arial" w:cs="Arial" w:eastAsia="Arial" w:hAnsi="Arial"/>
                <w:sz w:val="18"/>
                <w:szCs w:val="18"/>
                <w:color w:val="auto"/>
                <w:w w:val="89"/>
              </w:rPr>
              <w:t>(33.8)</w:t>
            </w:r>
          </w:p>
        </w:tc>
      </w:tr>
      <w:tr>
        <w:trPr>
          <w:trHeight w:val="258"/>
        </w:trPr>
        <w:tc>
          <w:tcPr>
            <w:tcW w:w="80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center"/>
              <w:ind w:left="615"/>
              <w:spacing w:after="0"/>
              <w:rPr>
                <w:sz w:val="20"/>
                <w:szCs w:val="20"/>
                <w:color w:val="auto"/>
              </w:rPr>
            </w:pPr>
            <w:r>
              <w:rPr>
                <w:rFonts w:ascii="Arial" w:cs="Arial" w:eastAsia="Arial" w:hAnsi="Arial"/>
                <w:sz w:val="18"/>
                <w:szCs w:val="18"/>
                <w:color w:val="auto"/>
                <w:w w:val="89"/>
              </w:rPr>
              <w:t>(39.8)</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Operating Activities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Net cash provided by operations was $105.0 million for the three months ended March 31, 2022 as a result of net income of $6.2 million, adjusted by non-cash charges of $89.3 million and the change in our operating assets net of operating liabilities of $9.5 million. The non-cash charges are primarily comprised of equity-based compensation of $42.5 million, depreciation and amortization of $20.0 million, amortization of deferred commission costs of $14.1 million, and a decrease in deferred tax assets net of deferred tax liabilities of $10.7 million. The change in operating assets net of operating liabilities was primarily the result of an increase in unearned revenue of $41.9 million, and a decrease in accounts receivable of $20.1 million, partially offset by a decrease in accrued expenses and other liabilities of $29.4 million, and an increase in deferred costs and other assets of $18.6 million.</w:t>
      </w:r>
    </w:p>
    <w:p>
      <w:pPr>
        <w:spacing w:after="0" w:line="9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Net cash provided by operations was $93.0 million for the three months ended March 31, 2021 as a result of a net loss of $33.9 million, adjusted by non-cash charges of $99.3 million and partially offset by the change in our operating assets net of operating liabilities of $27.6 million. The non-cash charges were primarily comprised of depreciation and amortization of $15.5 million, equity-based compensation of $18.1 million, loss on early extinguishment of debt of $5.9 million, amortization of deferred commission costs of $8.7 million, and a decrease in deferred tax assets net of deferred tax liabilities of $47.0 million. The change in operating assets net of operating liabilities was primarily the result of an increase in unearned revenue of $39.2 million, an increase in accounts payable of $5.2 million, and a decrease in accounts receivable of $5.1 million, partially offset by a decrease in accrued expenses and other liabilities of $12.6 million and in deferred costs and other assets of $9.8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Restructuring and transaction-related cash costs for the three months ended March 31, 2022 primarily related to transaction costs related to 2021 acquisitions and tax payments related to entity conversions, which are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three months ended March 31, 2022, and 2021, we incurred the following cash expenditures: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4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March 31,</w:t>
            </w:r>
          </w:p>
        </w:tc>
      </w:tr>
      <w:tr>
        <w:trPr>
          <w:trHeight w:val="24"/>
        </w:trPr>
        <w:tc>
          <w:tcPr>
            <w:tcW w:w="8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r>
      <w:tr>
        <w:trPr>
          <w:trHeight w:val="24"/>
        </w:trPr>
        <w:tc>
          <w:tcPr>
            <w:tcW w:w="8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interest expense</w:t>
            </w: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65"/>
        </w:trPr>
        <w:tc>
          <w:tcPr>
            <w:tcW w:w="8020" w:type="dxa"/>
            <w:vAlign w:val="bottom"/>
          </w:tcPr>
          <w:p>
            <w:pPr>
              <w:ind w:left="20"/>
              <w:spacing w:after="0"/>
              <w:rPr>
                <w:sz w:val="20"/>
                <w:szCs w:val="20"/>
                <w:color w:val="auto"/>
              </w:rPr>
            </w:pPr>
            <w:r>
              <w:rPr>
                <w:rFonts w:ascii="Arial" w:cs="Arial" w:eastAsia="Arial" w:hAnsi="Arial"/>
                <w:sz w:val="18"/>
                <w:szCs w:val="18"/>
                <w:color w:val="auto"/>
              </w:rPr>
              <w:t>Restructuring and transaction-related expenses paid in cash</w:t>
            </w:r>
            <w:r>
              <w:rPr>
                <w:rFonts w:ascii="Arial" w:cs="Arial" w:eastAsia="Arial" w:hAnsi="Arial"/>
                <w:sz w:val="22"/>
                <w:szCs w:val="22"/>
                <w:color w:val="auto"/>
                <w:vertAlign w:val="superscript"/>
              </w:rPr>
              <w:t>(a)</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Integration costs and acquisition-related compensation paid in cash</w:t>
            </w:r>
            <w:r>
              <w:rPr>
                <w:rFonts w:ascii="Arial" w:cs="Arial" w:eastAsia="Arial" w:hAnsi="Arial"/>
                <w:sz w:val="22"/>
                <w:szCs w:val="22"/>
                <w:color w:val="auto"/>
                <w:vertAlign w:val="superscript"/>
              </w:rPr>
              <w:t>(b)</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46" w:lineRule="exact"/>
        <w:rPr>
          <w:sz w:val="20"/>
          <w:szCs w:val="20"/>
          <w:color w:val="auto"/>
        </w:rPr>
      </w:pPr>
    </w:p>
    <w:p>
      <w:pPr>
        <w:jc w:val="both"/>
        <w:ind w:left="320" w:hanging="314"/>
        <w:spacing w:after="0" w:line="242" w:lineRule="auto"/>
        <w:tabs>
          <w:tab w:leader="none" w:pos="318"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acquisition or disposal activities, including employee severance and termination benefits, contract termination fees and penalties, and other exit or disposal costs. For the three months ended March 31, 2022, these payments related primarily to transition bonuses paid related to 2021 acquisitions. For the three months ended March 31, 2021, these payments related primarily to settlement of accrued accretion on the Pre-Acquisition ZI deferred consideration balance.</w:t>
      </w:r>
    </w:p>
    <w:p>
      <w:pPr>
        <w:spacing w:after="0" w:line="1" w:lineRule="exact"/>
        <w:rPr>
          <w:rFonts w:ascii="Arial" w:cs="Arial" w:eastAsia="Arial" w:hAnsi="Arial"/>
          <w:sz w:val="14"/>
          <w:szCs w:val="14"/>
          <w:color w:val="auto"/>
        </w:rPr>
      </w:pPr>
    </w:p>
    <w:p>
      <w:pPr>
        <w:ind w:left="320" w:hanging="314"/>
        <w:spacing w:after="0" w:line="247" w:lineRule="auto"/>
        <w:tabs>
          <w:tab w:leader="none" w:pos="312"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integration activities for acquisitions and acquisition-related compensation, which includes transaction bonuses and retention awards. For the three months ended March 31, 2021, these payments related primarily to cash vesting payments from the acquisition of Pre-Acquisition ZI.</w:t>
      </w:r>
    </w:p>
    <w:p>
      <w:pPr>
        <w:spacing w:after="0" w:line="14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Investing Activities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Cash used in investing activities for the three months ended March 31, 2022 was $8.6 million, consisting of purchases of short-term investments of $11.1 million, the purchase of a convertible note receivable of $10.0 million, and purchases of property and equipment and other assets of $6.6 million, partially offset by maturities of short-term investments of $17.0 million, and cash received for acquisitions of $2.1 million.</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used in investing activities for the three months ended March 31, 2021 was $99.0 million, consisting of purchases of short-term investments of $103.6 million and purchases of property and equipment and other assets of $4.7 million, partially offset by maturities of short-term investments of $9.5 million.</w:t>
      </w:r>
    </w:p>
    <w:p>
      <w:pPr>
        <w:spacing w:after="0" w:line="135" w:lineRule="exact"/>
        <w:rPr>
          <w:sz w:val="20"/>
          <w:szCs w:val="20"/>
          <w:color w:val="auto"/>
        </w:rPr>
      </w:pPr>
    </w:p>
    <w:p>
      <w:pPr>
        <w:ind w:right="180" w:firstLine="318"/>
        <w:spacing w:after="0" w:line="430" w:lineRule="auto"/>
        <w:rPr>
          <w:sz w:val="20"/>
          <w:szCs w:val="20"/>
          <w:color w:val="auto"/>
        </w:rPr>
      </w:pPr>
      <w:r>
        <w:rPr>
          <w:rFonts w:ascii="Arial" w:cs="Arial" w:eastAsia="Arial" w:hAnsi="Arial"/>
          <w:sz w:val="18"/>
          <w:szCs w:val="18"/>
          <w:color w:val="auto"/>
        </w:rPr>
        <w:t xml:space="preserve">As we continue to grow and invest in our business, we expect to continue to invest in property and equipment and opportunistically pursue acquisitions. </w:t>
      </w:r>
      <w:r>
        <w:rPr>
          <w:rFonts w:ascii="Arial" w:cs="Arial" w:eastAsia="Arial" w:hAnsi="Arial"/>
          <w:sz w:val="18"/>
          <w:szCs w:val="18"/>
          <w:i w:val="1"/>
          <w:iCs w:val="1"/>
          <w:color w:val="auto"/>
        </w:rPr>
        <w:t>Cash Flows from (used in) Financing Activities</w:t>
      </w:r>
    </w:p>
    <w:p>
      <w:pPr>
        <w:jc w:val="both"/>
        <w:ind w:firstLine="318"/>
        <w:spacing w:after="0" w:line="330" w:lineRule="auto"/>
        <w:rPr>
          <w:sz w:val="20"/>
          <w:szCs w:val="20"/>
          <w:color w:val="auto"/>
        </w:rPr>
      </w:pPr>
      <w:r>
        <w:rPr>
          <w:rFonts w:ascii="Arial" w:cs="Arial" w:eastAsia="Arial" w:hAnsi="Arial"/>
          <w:sz w:val="15"/>
          <w:szCs w:val="15"/>
          <w:color w:val="auto"/>
        </w:rPr>
        <w:t>Cash used in financing activities for the three months ended March 31, 2022 was $10.3 million, primarily comprised of payments related to our tax receivable agreements of $5.0 million, payments of taxes related to net share settlement of equity awards of $3.8 million, payments of deferred consideration of $1.1 million, payments of issuance fees from prior transactions of $0.7 million, partially offset by proceeds from exercise of stock options of $0.3 million.</w:t>
      </w:r>
    </w:p>
    <w:p>
      <w:pPr>
        <w:spacing w:after="0" w:line="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provided by financing activities for the three months ended March 31, 2021 was $33.8 million, consisting of payments on long-term debt of $356.4 million, tax distributions to equity partners of $10.8 million, and payments of deferred consideration of $9.2 million, partially offset by proceeds from debt of $350.0 million.</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Refer to Note 8 - Financing Arrangements of our consolidated financial statements for additional information related to each of our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March 31, 2022, the aggregate remaining balance of $600.0 million of first lien term loans is due, in its entirety, at the contractual maturity date of February 1, 2026. As of March 31, 2022, the aggregate remaining balance of $650.0 million of 3.875% Senior Notes is due, in its entirety, at the contractual maturity date of February 1, 2029. Interest on the Senior Notes is payable semi-annually in arrears beginning on August 1, 2021. The foregoing currently represent the only existing required future debt principal repayment obligations that will require future uses of the Company’s cash.</w:t>
      </w:r>
    </w:p>
    <w:p>
      <w:pPr>
        <w:spacing w:after="0" w:line="9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first lien term debt has a variable interest rate whereby the Company can elect to use a Base Rate or LIBOR plus an applicable rate. The applicable rate is 2.00% for Base Rate loans or 3.00% for LIBOR Based Loans, depending on the Company’s leverage. The first lien revolving debt has a variable interest rate whereby the Company can elect to use a Base Rate or LIBOR plus an applicable rate. The applicable margin is 1.00% to 1.25% for Base Rate loans or 2.00% to 2.25% for LIBOR Based Loans, depending on the Company’s leverage. The effective interest rate on the first lien debt was 3.51% and 3.41% as of March 31, 2022 and December 31, 2021, respectively.</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March 31, 2022 was $348.6 million. Our total net leverage ratio to Adjusted EBITDA as of March 31, 2022 was 2.4x.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4"/>
        </w:trPr>
        <w:tc>
          <w:tcPr>
            <w:tcW w:w="8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maturity of outstanding indebtedness</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Less: Cash and cash equivalents, restricted cash, and short-term investments</w:t>
            </w:r>
          </w:p>
        </w:tc>
        <w:tc>
          <w:tcPr>
            <w:tcW w:w="1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412.6</w:t>
            </w:r>
          </w:p>
        </w:tc>
      </w:tr>
      <w:tr>
        <w:trPr>
          <w:trHeight w:val="28"/>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1180" w:type="dxa"/>
            <w:vAlign w:val="bottom"/>
            <w:tcBorders>
              <w:bottom w:val="single" w:sz="8" w:color="CCEEFF"/>
            </w:tcBorders>
            <w:shd w:val="clear" w:color="auto" w:fill="CCEEFF"/>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color w:val="auto"/>
              </w:rPr>
              <w:t>Trailing Twelve Months (TTM) Adjusted EBITDA</w:t>
            </w:r>
          </w:p>
        </w:tc>
        <w:tc>
          <w:tcPr>
            <w:tcW w:w="1180" w:type="dxa"/>
            <w:vAlign w:val="bottom"/>
            <w:tcBorders>
              <w:top w:val="single" w:sz="8" w:color="auto"/>
            </w:tcBorders>
          </w:tcPr>
          <w:p>
            <w:pPr>
              <w:jc w:val="right"/>
              <w:ind w:right="972"/>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348.6</w:t>
            </w:r>
          </w:p>
        </w:tc>
      </w:tr>
      <w:tr>
        <w:trPr>
          <w:trHeight w:val="28"/>
        </w:trPr>
        <w:tc>
          <w:tcPr>
            <w:tcW w:w="84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leverage ratio to Adjusted EBITDA</w:t>
            </w:r>
          </w:p>
        </w:tc>
        <w:tc>
          <w:tcPr>
            <w:tcW w:w="11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consolidated first lien net leverage ratio is defined in our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March 31, 2022 was $475.6 million. Our consolidated first lien net leverage ratio as of March 31, 2022 was 0.4x.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
        </w:trPr>
        <w:tc>
          <w:tcPr>
            <w:tcW w:w="8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maturity of First Lien indebtedness</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8"/>
        </w:trPr>
        <w:tc>
          <w:tcPr>
            <w:tcW w:w="8400" w:type="dxa"/>
            <w:vAlign w:val="bottom"/>
          </w:tcPr>
          <w:p>
            <w:pPr>
              <w:ind w:left="20"/>
              <w:spacing w:after="0"/>
              <w:rPr>
                <w:sz w:val="20"/>
                <w:szCs w:val="20"/>
                <w:color w:val="auto"/>
              </w:rPr>
            </w:pPr>
            <w:r>
              <w:rPr>
                <w:rFonts w:ascii="Arial" w:cs="Arial" w:eastAsia="Arial" w:hAnsi="Arial"/>
                <w:sz w:val="18"/>
                <w:szCs w:val="18"/>
                <w:color w:val="auto"/>
              </w:rPr>
              <w:t>Less: Cash and cash equivalents, and short-term investments</w:t>
            </w:r>
          </w:p>
        </w:tc>
        <w:tc>
          <w:tcPr>
            <w:tcW w:w="1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406.8</w:t>
            </w:r>
          </w:p>
        </w:tc>
      </w:tr>
      <w:tr>
        <w:trPr>
          <w:trHeight w:val="28"/>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124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color w:val="auto"/>
              </w:rPr>
              <w:t>Trailing Twelve Months (TTM) Cash EBITDA</w:t>
            </w:r>
          </w:p>
        </w:tc>
        <w:tc>
          <w:tcPr>
            <w:tcW w:w="1240" w:type="dxa"/>
            <w:vAlign w:val="bottom"/>
            <w:tcBorders>
              <w:top w:val="single" w:sz="8" w:color="auto"/>
            </w:tcBorders>
          </w:tcPr>
          <w:p>
            <w:pPr>
              <w:jc w:val="right"/>
              <w:ind w:right="1032"/>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w:t>
            </w:r>
          </w:p>
        </w:tc>
      </w:tr>
      <w:tr>
        <w:trPr>
          <w:trHeight w:val="28"/>
        </w:trPr>
        <w:tc>
          <w:tcPr>
            <w:tcW w:w="8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Consolidated first lien net leverage ratio</w:t>
            </w:r>
          </w:p>
        </w:tc>
        <w:tc>
          <w:tcPr>
            <w:tcW w:w="1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March 31, 2022 was $475.6 million. Our total net leverage ratio to Cash EBITDA as of March 31, 2022 was 1.8x.</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 in millions, except leverage ratios)</w:t>
            </w:r>
          </w:p>
        </w:tc>
        <w:tc>
          <w:tcPr>
            <w:tcW w:w="34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4"/>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maturity of outstanding indebtedness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Less: Cash and cash equivalents, restricted cash, and short-term investments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412.6</w:t>
            </w:r>
          </w:p>
        </w:tc>
      </w:tr>
      <w:tr>
        <w:trPr>
          <w:trHeight w:val="28"/>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8"/>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Debt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color w:val="auto"/>
              </w:rPr>
              <w:t>Trailing Twelve Months (TTM) Cash EBITDA</w:t>
            </w: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w:t>
            </w:r>
          </w:p>
        </w:tc>
      </w:tr>
      <w:tr>
        <w:trPr>
          <w:trHeight w:val="28"/>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83"/>
        </w:trPr>
        <w:tc>
          <w:tcPr>
            <w:tcW w:w="8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leverage ratio to Cash EBITDA</w:t>
            </w:r>
          </w:p>
        </w:tc>
        <w:tc>
          <w:tcPr>
            <w:tcW w:w="340" w:type="dxa"/>
            <w:vAlign w:val="bottom"/>
            <w:tcBorders>
              <w:bottom w:val="single" w:sz="8" w:color="auto"/>
            </w:tcBorders>
            <w:shd w:val="clear" w:color="auto" w:fill="CCEEFF"/>
          </w:tcPr>
          <w:p>
            <w:pPr>
              <w:spacing w:after="0"/>
              <w:rPr>
                <w:sz w:val="24"/>
                <w:szCs w:val="24"/>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r>
        <w:trPr>
          <w:trHeight w:val="439"/>
        </w:trPr>
        <w:tc>
          <w:tcPr>
            <w:tcW w:w="8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jc w:val="right"/>
              <w:ind w:right="453"/>
              <w:spacing w:after="0"/>
              <w:rPr>
                <w:sz w:val="20"/>
                <w:szCs w:val="20"/>
                <w:color w:val="auto"/>
              </w:rPr>
            </w:pPr>
            <w:r>
              <w:rPr>
                <w:rFonts w:ascii="Arial" w:cs="Arial" w:eastAsia="Arial" w:hAnsi="Arial"/>
                <w:sz w:val="14"/>
                <w:szCs w:val="14"/>
                <w:b w:val="1"/>
                <w:bCs w:val="1"/>
                <w:color w:val="auto"/>
              </w:rPr>
              <w:t>Trailing Twelve Months as of</w:t>
            </w:r>
          </w:p>
        </w:tc>
      </w:tr>
      <w:tr>
        <w:trPr>
          <w:trHeight w:val="212"/>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8"/>
                <w:szCs w:val="18"/>
                <w:color w:val="auto"/>
              </w:rPr>
            </w:pPr>
          </w:p>
        </w:tc>
        <w:tc>
          <w:tcPr>
            <w:tcW w:w="2500" w:type="dxa"/>
            <w:vAlign w:val="bottom"/>
          </w:tcPr>
          <w:p>
            <w:pPr>
              <w:jc w:val="right"/>
              <w:ind w:right="853"/>
              <w:spacing w:after="0"/>
              <w:rPr>
                <w:sz w:val="20"/>
                <w:szCs w:val="20"/>
                <w:color w:val="auto"/>
              </w:rPr>
            </w:pPr>
            <w:r>
              <w:rPr>
                <w:rFonts w:ascii="Arial" w:cs="Arial" w:eastAsia="Arial" w:hAnsi="Arial"/>
                <w:sz w:val="14"/>
                <w:szCs w:val="14"/>
                <w:b w:val="1"/>
                <w:bCs w:val="1"/>
                <w:color w:val="auto"/>
              </w:rPr>
              <w:t>March 31, 2022</w:t>
            </w:r>
          </w:p>
        </w:tc>
      </w:tr>
      <w:tr>
        <w:trPr>
          <w:trHeight w:val="24"/>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r>
      <w:tr>
        <w:trPr>
          <w:trHeight w:val="237"/>
        </w:trPr>
        <w:tc>
          <w:tcPr>
            <w:tcW w:w="8400" w:type="dxa"/>
            <w:vAlign w:val="bottom"/>
          </w:tcPr>
          <w:p>
            <w:pPr>
              <w:ind w:left="120"/>
              <w:spacing w:after="0"/>
              <w:rPr>
                <w:sz w:val="20"/>
                <w:szCs w:val="20"/>
                <w:color w:val="auto"/>
              </w:rPr>
            </w:pPr>
            <w:r>
              <w:rPr>
                <w:rFonts w:ascii="Arial" w:cs="Arial" w:eastAsia="Arial" w:hAnsi="Arial"/>
                <w:sz w:val="18"/>
                <w:szCs w:val="18"/>
                <w:color w:val="auto"/>
              </w:rPr>
              <w:t>Add (less): Expense (benefit) from income taxes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37"/>
        </w:trPr>
        <w:tc>
          <w:tcPr>
            <w:tcW w:w="8400" w:type="dxa"/>
            <w:vAlign w:val="bottom"/>
          </w:tcPr>
          <w:p>
            <w:pPr>
              <w:ind w:left="120"/>
              <w:spacing w:after="0"/>
              <w:rPr>
                <w:sz w:val="20"/>
                <w:szCs w:val="20"/>
                <w:color w:val="auto"/>
              </w:rPr>
            </w:pPr>
            <w:r>
              <w:rPr>
                <w:rFonts w:ascii="Arial" w:cs="Arial" w:eastAsia="Arial" w:hAnsi="Arial"/>
                <w:sz w:val="18"/>
                <w:szCs w:val="18"/>
                <w:color w:val="auto"/>
              </w:rPr>
              <w:t>Add: Loss on debt modification and extinguishment</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7"/>
        </w:trPr>
        <w:tc>
          <w:tcPr>
            <w:tcW w:w="8400" w:type="dxa"/>
            <w:vAlign w:val="bottom"/>
          </w:tcPr>
          <w:p>
            <w:pPr>
              <w:ind w:left="120"/>
              <w:spacing w:after="0"/>
              <w:rPr>
                <w:sz w:val="20"/>
                <w:szCs w:val="20"/>
                <w:color w:val="auto"/>
              </w:rPr>
            </w:pPr>
            <w:r>
              <w:rPr>
                <w:rFonts w:ascii="Arial" w:cs="Arial" w:eastAsia="Arial" w:hAnsi="Arial"/>
                <w:sz w:val="18"/>
                <w:szCs w:val="18"/>
                <w:color w:val="auto"/>
              </w:rPr>
              <w:t>Add: Amortization of acquired technology</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Amortization of other acquired 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340" w:type="dxa"/>
            <w:vAlign w:val="bottom"/>
            <w:tcBorders>
              <w:top w:val="single" w:sz="8" w:color="auto"/>
            </w:tcBorders>
          </w:tcPr>
          <w:p>
            <w:pPr>
              <w:spacing w:after="0"/>
              <w:rPr>
                <w:sz w:val="20"/>
                <w:szCs w:val="20"/>
                <w:color w:val="auto"/>
              </w:rPr>
            </w:pP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229.2</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2"/>
                <w:szCs w:val="22"/>
                <w:color w:val="auto"/>
                <w:vertAlign w:val="superscript"/>
              </w:rPr>
              <w:t>(a)</w:t>
            </w:r>
          </w:p>
        </w:tc>
        <w:tc>
          <w:tcPr>
            <w:tcW w:w="340" w:type="dxa"/>
            <w:vAlign w:val="bottom"/>
            <w:shd w:val="clear" w:color="auto" w:fill="CCEEFF"/>
          </w:tcPr>
          <w:p>
            <w:pPr>
              <w:spacing w:after="0"/>
              <w:rPr>
                <w:sz w:val="23"/>
                <w:szCs w:val="23"/>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65"/>
        </w:trPr>
        <w:tc>
          <w:tcPr>
            <w:tcW w:w="8400" w:type="dxa"/>
            <w:vAlign w:val="bottom"/>
          </w:tcPr>
          <w:p>
            <w:pPr>
              <w:ind w:left="120"/>
              <w:spacing w:after="0"/>
              <w:rPr>
                <w:sz w:val="20"/>
                <w:szCs w:val="20"/>
                <w:color w:val="auto"/>
              </w:rPr>
            </w:pPr>
            <w:r>
              <w:rPr>
                <w:rFonts w:ascii="Arial" w:cs="Arial" w:eastAsia="Arial" w:hAnsi="Arial"/>
                <w:sz w:val="18"/>
                <w:szCs w:val="18"/>
                <w:color w:val="auto"/>
              </w:rPr>
              <w:t>Add: Impact of fair value adjustments to acquired unearned revenue</w:t>
            </w:r>
            <w:r>
              <w:rPr>
                <w:rFonts w:ascii="Arial" w:cs="Arial" w:eastAsia="Arial" w:hAnsi="Arial"/>
                <w:sz w:val="22"/>
                <w:szCs w:val="22"/>
                <w:color w:val="auto"/>
                <w:vertAlign w:val="superscript"/>
              </w:rPr>
              <w:t>(b)</w:t>
            </w:r>
          </w:p>
        </w:tc>
        <w:tc>
          <w:tcPr>
            <w:tcW w:w="34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Equity-based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65"/>
        </w:trPr>
        <w:tc>
          <w:tcPr>
            <w:tcW w:w="8400" w:type="dxa"/>
            <w:vAlign w:val="bottom"/>
          </w:tcPr>
          <w:p>
            <w:pPr>
              <w:ind w:left="120"/>
              <w:spacing w:after="0"/>
              <w:rPr>
                <w:sz w:val="20"/>
                <w:szCs w:val="20"/>
                <w:color w:val="auto"/>
              </w:rPr>
            </w:pPr>
            <w:r>
              <w:rPr>
                <w:rFonts w:ascii="Arial" w:cs="Arial" w:eastAsia="Arial" w:hAnsi="Arial"/>
                <w:sz w:val="18"/>
                <w:szCs w:val="18"/>
                <w:color w:val="auto"/>
              </w:rPr>
              <w:t>Add: Restructuring and transaction related expenses (excluding depreciation)</w:t>
            </w:r>
            <w:r>
              <w:rPr>
                <w:rFonts w:ascii="Arial" w:cs="Arial" w:eastAsia="Arial" w:hAnsi="Arial"/>
                <w:sz w:val="22"/>
                <w:szCs w:val="22"/>
                <w:color w:val="auto"/>
                <w:vertAlign w:val="superscript"/>
              </w:rPr>
              <w:t>(c)</w:t>
            </w:r>
          </w:p>
        </w:tc>
        <w:tc>
          <w:tcPr>
            <w:tcW w:w="34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6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340" w:type="dxa"/>
            <w:vAlign w:val="bottom"/>
            <w:tcBorders>
              <w:bottom w:val="single" w:sz="8" w:color="auto"/>
            </w:tcBorders>
            <w:shd w:val="clear" w:color="auto" w:fill="CCEEFF"/>
          </w:tcPr>
          <w:p>
            <w:pPr>
              <w:spacing w:after="0"/>
              <w:rPr>
                <w:sz w:val="23"/>
                <w:szCs w:val="23"/>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1"/>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348.6</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Unearned revenue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Pro forma cost savings</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(less): Cash rent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8"/>
        </w:trPr>
        <w:tc>
          <w:tcPr>
            <w:tcW w:w="8400" w:type="dxa"/>
            <w:vAlign w:val="bottom"/>
          </w:tcPr>
          <w:p>
            <w:pPr>
              <w:ind w:left="120"/>
              <w:spacing w:after="0"/>
              <w:rPr>
                <w:sz w:val="20"/>
                <w:szCs w:val="20"/>
                <w:color w:val="auto"/>
              </w:rPr>
            </w:pPr>
            <w:r>
              <w:rPr>
                <w:rFonts w:ascii="Arial" w:cs="Arial" w:eastAsia="Arial" w:hAnsi="Arial"/>
                <w:sz w:val="18"/>
                <w:szCs w:val="18"/>
                <w:color w:val="auto"/>
              </w:rPr>
              <w:t>Add (less): Pre-Acquisition EBITDA</w:t>
            </w:r>
          </w:p>
        </w:tc>
        <w:tc>
          <w:tcPr>
            <w:tcW w:w="34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8"/>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65"/>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 (less): Other lender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8"/>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EBITDA</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w:t>
            </w: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4"/>
        <w:spacing w:after="0" w:line="237" w:lineRule="auto"/>
        <w:tabs>
          <w:tab w:leader="none" w:pos="312"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ind w:left="320" w:hanging="314"/>
        <w:spacing w:after="0" w:line="247" w:lineRule="auto"/>
        <w:tabs>
          <w:tab w:leader="none" w:pos="318"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trailing twelve months ended March 31, 2022, this expense related primarily to deferred acquisition cost revaluations.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320" w:hanging="314"/>
        <w:spacing w:after="0" w:line="251" w:lineRule="auto"/>
        <w:tabs>
          <w:tab w:leader="none" w:pos="312"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trailing twelve months ended March 31, 2022,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11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Trailing Twelve Months as of</w:t>
            </w:r>
          </w:p>
        </w:tc>
      </w:tr>
      <w:tr>
        <w:trPr>
          <w:trHeight w:val="212"/>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8"/>
                <w:szCs w:val="18"/>
                <w:color w:val="auto"/>
              </w:rPr>
            </w:pPr>
          </w:p>
        </w:tc>
        <w:tc>
          <w:tcPr>
            <w:tcW w:w="1540" w:type="dxa"/>
            <w:vAlign w:val="bottom"/>
          </w:tcPr>
          <w:p>
            <w:pPr>
              <w:jc w:val="right"/>
              <w:ind w:right="349"/>
              <w:spacing w:after="0"/>
              <w:rPr>
                <w:sz w:val="20"/>
                <w:szCs w:val="20"/>
                <w:color w:val="auto"/>
              </w:rPr>
            </w:pPr>
            <w:r>
              <w:rPr>
                <w:rFonts w:ascii="Arial" w:cs="Arial" w:eastAsia="Arial" w:hAnsi="Arial"/>
                <w:sz w:val="14"/>
                <w:szCs w:val="14"/>
                <w:b w:val="1"/>
                <w:bCs w:val="1"/>
                <w:color w:val="auto"/>
              </w:rPr>
              <w:t>March 31, 2022</w:t>
            </w:r>
          </w:p>
        </w:tc>
      </w:tr>
      <w:tr>
        <w:trPr>
          <w:trHeight w:val="24"/>
        </w:trPr>
        <w:tc>
          <w:tcPr>
            <w:tcW w:w="6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5"/>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8"/>
        </w:trPr>
        <w:tc>
          <w:tcPr>
            <w:tcW w:w="62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4"/>
        </w:trPr>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92"/>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8"/>
        </w:trPr>
        <w:tc>
          <w:tcPr>
            <w:tcW w:w="62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4"/>
        </w:trPr>
        <w:tc>
          <w:tcPr>
            <w:tcW w:w="6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6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our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ZoomInfo Tax Group’s allocable share of existing tax basis acquired in the IPO and the increase in the ZoomInfo Tax Group’s allocable share of existing tax basis and the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Intermediate Inc. not entered into the tax receivable agreements. The term of each tax receivable agreement will continue until all such tax benefits have been utilized or expired, unless (i) ZoomInfo Intermediate Inc. exercises its right to terminate one or both tax receivable agreements for an amount based on the agreed payments remaining to be made under the agreement, (ii) ZoomInfo Intermediate Inc. breaches any of its material obligations under one or both tax receivable agreements in which case all obligations (including any additional interest due relating to any deferred payments) generally will be accelerated and due as if ZoomInfo Intermediate Inc. had exercised its right to terminate the tax receivable agreements, or (iii) there is a change of control of ZoomInfo Intermediate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our blended federal and state tax rate and the amount and timing of our income.</w:t>
      </w:r>
    </w:p>
    <w:p>
      <w:pPr>
        <w:spacing w:after="0" w:line="3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expect that as a result of the size of the ZoomInfo Tax Group’s allocable share of existing tax basis acquired in the IPO, the increase in the ZoomInfo Tax Group’s allocable share of existing tax basis and the tax basis adjustment of the tangible and intangible assets of the ZoomInfo Tax Group upon the exchange of OpCo Units for shares of Class A common stock and our possible utilization of certain tax attributes, the payments that ZoomInfo Intermediate Inc. may make under the tax receivable agreements will be substantial. As of March 31, 2022, the Company had a liability of $3,052.2 million related to its projected obligations under the Tax Receivable Agreements in connection with the Reorganization Transactions and OpCo Units. During the three months ended March 31, 2022, we paid a total of $5.0 million pursuant to the Tax Receivable Agreements. There were no payments in the three months ended March 31, 2021. The payments under the tax receivable agreements are not conditioned upon continued ownership of us by the exchanging holders of OpCo Units. Refer to Note 16 - Tax Receivable Agreements to our unaudited consolidated financial statements included in Part I, Item 1 of this Form 10-Q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March 31, 2022, we had additional operating leases for office space that have not yet commenced with anticipated undiscounted future lease payments of $331.4 million. Refer to Note 14 - Leases of the notes to our unaudited consolidated financial statements included elsewhere in this Quarterly Report on Form 10-Q for further details.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Except as set forth above and in Note 11 -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Annual Report on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2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2021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2 - Basis of Presentation and Summary of Significant Accounting Policies of our consolidated financial statements included in Part I, Item 1 of this Form 10-Q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operating results are subject to market risk from interest rate fluctuations on our First Lien Term Loan, which bears a variable interest rate based on LIBOR. As of March 31, 2022, the total principal balance outstanding was $600.0 million. We have implemented a hedging strategy to mitigate the interest rate risk by entering into certain derivative instruments (refer to Note 8 - Financing Arrangements of our consolidated financial statements included in Part I, Item 1 of this Form 10-Q). Based on the outstanding balances and interest rates of our debt as of March 31, 2022, a hypothetical relative increase or decrease in our effective interest rate by 100 basis points or 1% would have caused an immaterial corresponding change in interest expense over the next 12 months.</w:t>
      </w:r>
    </w:p>
    <w:p>
      <w:pPr>
        <w:spacing w:after="0" w:line="9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Additionally, from time to time, we have dedesignated certain cash flow hedging relationships due to repricing of the terms and partial prepayment of the outstanding principal of our First Lien Term Loan since loan inception. As of March 31, 2022, $400.0 million of the notional amount of the interest rate cap contract is not designated as an accounting hedge. Future fair value adjustments on this dedesignated instrument are recorded in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on our Consolidated Statements of Operations. A hypothetical 1% relative increase or decrease in interest rates would cause a decrease in interest expense of $6.6 million and $1.6 million, respectively, due to changes in the fair value of these instruments.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To date, our sales contracts have primarily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As of the end of the period covered by this Quarterly Report on Form 10-Q,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March 31, 2022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During the quarter ended March 31, 2022,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 description of certain legal and regulatory proceedings, please read “Legal Matters” in Note 11 (Commitments and Contingencies) to our unaudited consolidated financial statements included in Part I, Item 1 of this Form 10-Q, which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2021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2021 Form 10-K.</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information with respect to shares of our Class A common stock purchased by the Company during the periods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4"/>
              </w:rPr>
              <w:t>Maximum Number (or</w:t>
            </w:r>
          </w:p>
        </w:tc>
      </w:tr>
      <w:tr>
        <w:trPr>
          <w:trHeight w:val="186"/>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Total Number of Shares</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3"/>
              </w:rPr>
              <w:t>Approximate Dollar</w:t>
            </w:r>
          </w:p>
        </w:tc>
      </w:tr>
      <w:tr>
        <w:trPr>
          <w:trHeight w:val="186"/>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Purchased as Part of</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0"/>
              </w:rPr>
              <w:t>Value) of Shares that May</w:t>
            </w:r>
          </w:p>
        </w:tc>
      </w:tr>
      <w:tr>
        <w:trPr>
          <w:trHeight w:val="175"/>
        </w:trPr>
        <w:tc>
          <w:tcPr>
            <w:tcW w:w="3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w w:val="91"/>
              </w:rPr>
              <w:t>Total Number of 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Weighted Average</w:t>
            </w:r>
          </w:p>
        </w:tc>
        <w:tc>
          <w:tcPr>
            <w:tcW w:w="192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8"/>
              </w:rPr>
              <w:t>Publicly Announced Plans</w:t>
            </w:r>
          </w:p>
        </w:tc>
        <w:tc>
          <w:tcPr>
            <w:tcW w:w="18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8"/>
              </w:rPr>
              <w:t>Yet be Purchased Under</w:t>
            </w:r>
          </w:p>
        </w:tc>
      </w:tr>
      <w:tr>
        <w:trPr>
          <w:trHeight w:val="237"/>
        </w:trPr>
        <w:tc>
          <w:tcPr>
            <w:tcW w:w="3800" w:type="dxa"/>
            <w:vAlign w:val="bottom"/>
            <w:tcBorders>
              <w:bottom w:val="single" w:sz="8" w:color="auto"/>
            </w:tcBorders>
          </w:tcPr>
          <w:p>
            <w:pPr>
              <w:ind w:left="1680"/>
              <w:spacing w:after="0"/>
              <w:rPr>
                <w:sz w:val="20"/>
                <w:szCs w:val="20"/>
                <w:color w:val="auto"/>
              </w:rPr>
            </w:pPr>
            <w:r>
              <w:rPr>
                <w:rFonts w:ascii="Arial" w:cs="Arial" w:eastAsia="Arial" w:hAnsi="Arial"/>
                <w:sz w:val="16"/>
                <w:szCs w:val="16"/>
                <w:b w:val="1"/>
                <w:bCs w:val="1"/>
                <w:color w:val="auto"/>
              </w:rPr>
              <w:t>Period</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0"/>
                <w:szCs w:val="20"/>
                <w:b w:val="1"/>
                <w:bCs w:val="1"/>
                <w:color w:val="auto"/>
                <w:vertAlign w:val="superscript"/>
              </w:rPr>
              <w:t>(1)</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Price Paid Per Share</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8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the Plan or Programs</w:t>
            </w:r>
          </w:p>
        </w:tc>
      </w:tr>
      <w:tr>
        <w:trPr>
          <w:trHeight w:val="23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1 through January 31, 2022</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w:t>
            </w:r>
          </w:p>
        </w:tc>
      </w:tr>
      <w:tr>
        <w:trPr>
          <w:trHeight w:val="229"/>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February 1 through February 28, 2022</w:t>
            </w:r>
          </w:p>
        </w:tc>
        <w:tc>
          <w:tcPr>
            <w:tcW w:w="1740" w:type="dxa"/>
            <w:vAlign w:val="bottom"/>
          </w:tcPr>
          <w:p>
            <w:pPr>
              <w:jc w:val="right"/>
              <w:spacing w:after="0"/>
              <w:rPr>
                <w:sz w:val="20"/>
                <w:szCs w:val="20"/>
                <w:color w:val="auto"/>
              </w:rPr>
            </w:pPr>
            <w:r>
              <w:rPr>
                <w:rFonts w:ascii="Arial" w:cs="Arial" w:eastAsia="Arial" w:hAnsi="Arial"/>
                <w:sz w:val="16"/>
                <w:szCs w:val="16"/>
                <w:color w:val="auto"/>
              </w:rPr>
              <w:t>18,935</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56.22</w:t>
            </w:r>
          </w:p>
        </w:tc>
        <w:tc>
          <w:tcPr>
            <w:tcW w:w="100" w:type="dxa"/>
            <w:vAlign w:val="bottom"/>
          </w:tcPr>
          <w:p>
            <w:pPr>
              <w:spacing w:after="0"/>
              <w:rPr>
                <w:sz w:val="19"/>
                <w:szCs w:val="19"/>
                <w:color w:val="auto"/>
              </w:rPr>
            </w:pPr>
          </w:p>
        </w:tc>
        <w:tc>
          <w:tcPr>
            <w:tcW w:w="192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860" w:type="dxa"/>
            <w:vAlign w:val="bottom"/>
          </w:tcPr>
          <w:p>
            <w:pPr>
              <w:ind w:left="1640"/>
              <w:spacing w:after="0"/>
              <w:rPr>
                <w:sz w:val="20"/>
                <w:szCs w:val="20"/>
                <w:color w:val="auto"/>
              </w:rPr>
            </w:pPr>
            <w:r>
              <w:rPr>
                <w:rFonts w:ascii="Arial" w:cs="Arial" w:eastAsia="Arial" w:hAnsi="Arial"/>
                <w:sz w:val="16"/>
                <w:szCs w:val="16"/>
                <w:color w:val="auto"/>
              </w:rPr>
              <w:t>—</w:t>
            </w:r>
          </w:p>
        </w:tc>
      </w:tr>
      <w:tr>
        <w:trPr>
          <w:trHeight w:val="241"/>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 through March 31, 2022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54.69</w:t>
            </w:r>
          </w:p>
        </w:tc>
        <w:tc>
          <w:tcPr>
            <w:tcW w:w="10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ind w:left="1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6"/>
                <w:szCs w:val="16"/>
                <w:color w:val="auto"/>
              </w:rPr>
              <w:t>—</w:t>
            </w:r>
          </w:p>
        </w:tc>
      </w:tr>
      <w:tr>
        <w:trPr>
          <w:trHeight w:val="220"/>
        </w:trPr>
        <w:tc>
          <w:tcPr>
            <w:tcW w:w="390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1740" w:type="dxa"/>
            <w:vAlign w:val="bottom"/>
          </w:tcPr>
          <w:p>
            <w:pPr>
              <w:jc w:val="right"/>
              <w:spacing w:after="0"/>
              <w:rPr>
                <w:sz w:val="20"/>
                <w:szCs w:val="20"/>
                <w:color w:val="auto"/>
              </w:rPr>
            </w:pPr>
            <w:r>
              <w:rPr>
                <w:rFonts w:ascii="Arial" w:cs="Arial" w:eastAsia="Arial" w:hAnsi="Arial"/>
                <w:sz w:val="16"/>
                <w:szCs w:val="16"/>
                <w:color w:val="auto"/>
              </w:rPr>
              <w:t>27,227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1860" w:type="dxa"/>
            <w:vAlign w:val="bottom"/>
          </w:tcPr>
          <w:p>
            <w:pPr>
              <w:ind w:left="1640"/>
              <w:spacing w:after="0"/>
              <w:rPr>
                <w:sz w:val="20"/>
                <w:szCs w:val="20"/>
                <w:color w:val="auto"/>
              </w:rPr>
            </w:pPr>
            <w:r>
              <w:rPr>
                <w:rFonts w:ascii="Arial" w:cs="Arial" w:eastAsia="Arial" w:hAnsi="Arial"/>
                <w:sz w:val="16"/>
                <w:szCs w:val="16"/>
                <w:color w:val="auto"/>
              </w:rPr>
              <w:t>—</w:t>
            </w:r>
          </w:p>
        </w:tc>
      </w:tr>
    </w:tbl>
    <w:p>
      <w:pPr>
        <w:spacing w:after="0" w:line="238" w:lineRule="exact"/>
        <w:rPr>
          <w:sz w:val="20"/>
          <w:szCs w:val="20"/>
          <w:color w:val="auto"/>
        </w:rPr>
      </w:pPr>
    </w:p>
    <w:p>
      <w:pPr>
        <w:ind w:firstLine="6"/>
        <w:spacing w:after="0" w:line="265" w:lineRule="auto"/>
        <w:tabs>
          <w:tab w:leader="none" w:pos="209" w:val="left"/>
        </w:tabs>
        <w:numPr>
          <w:ilvl w:val="0"/>
          <w:numId w:val="22"/>
        </w:numPr>
        <w:rPr>
          <w:rFonts w:ascii="Arial" w:cs="Arial" w:eastAsia="Arial" w:hAnsi="Arial"/>
          <w:sz w:val="14"/>
          <w:szCs w:val="14"/>
          <w:color w:val="auto"/>
        </w:rPr>
      </w:pPr>
      <w:r>
        <w:rPr>
          <w:rFonts w:ascii="Arial" w:cs="Arial" w:eastAsia="Arial" w:hAnsi="Arial"/>
          <w:sz w:val="14"/>
          <w:szCs w:val="14"/>
          <w:color w:val="auto"/>
        </w:rPr>
        <w:t>All of these shares were acquired through the withholding of shares to satisfy tax withholding obligations incurred upon the vesting of HSKB Phantom Units awarded under the HSKB Funds, LLC 2019 Phantom Unit Plan.</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ITEM 6. EXHIBITS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88"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800" w:type="dxa"/>
            <w:vAlign w:val="bottom"/>
          </w:tcPr>
          <w:p>
            <w:pPr>
              <w:jc w:val="center"/>
              <w:ind w:right="87"/>
              <w:spacing w:after="0"/>
              <w:rPr>
                <w:sz w:val="20"/>
                <w:szCs w:val="20"/>
                <w:color w:val="auto"/>
              </w:rPr>
            </w:pPr>
            <w:r>
              <w:rPr>
                <w:rFonts w:ascii="Arial" w:cs="Arial" w:eastAsia="Arial" w:hAnsi="Arial"/>
                <w:sz w:val="18"/>
                <w:szCs w:val="18"/>
                <w:b w:val="1"/>
                <w:bCs w:val="1"/>
                <w:color w:val="auto"/>
                <w:w w:val="93"/>
              </w:rPr>
              <w:t>Exhibit</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ind w:right="4"/>
              <w:spacing w:after="0"/>
              <w:rPr>
                <w:sz w:val="20"/>
                <w:szCs w:val="20"/>
                <w:color w:val="auto"/>
              </w:rPr>
            </w:pPr>
            <w:r>
              <w:rPr>
                <w:rFonts w:ascii="Arial" w:cs="Arial" w:eastAsia="Arial" w:hAnsi="Arial"/>
                <w:sz w:val="18"/>
                <w:szCs w:val="18"/>
                <w:b w:val="1"/>
                <w:bCs w:val="1"/>
                <w:color w:val="auto"/>
                <w:w w:val="90"/>
              </w:rPr>
              <w:t>Report or Registration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SEC File or</w:t>
            </w:r>
          </w:p>
        </w:tc>
        <w:tc>
          <w:tcPr>
            <w:tcW w:w="960" w:type="dxa"/>
            <w:vAlign w:val="bottom"/>
          </w:tcPr>
          <w:p>
            <w:pPr>
              <w:jc w:val="center"/>
              <w:ind w:left="124"/>
              <w:spacing w:after="0"/>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212"/>
        </w:trPr>
        <w:tc>
          <w:tcPr>
            <w:tcW w:w="800" w:type="dxa"/>
            <w:vAlign w:val="bottom"/>
          </w:tcPr>
          <w:p>
            <w:pPr>
              <w:jc w:val="center"/>
              <w:ind w:right="87"/>
              <w:spacing w:after="0"/>
              <w:rPr>
                <w:sz w:val="20"/>
                <w:szCs w:val="20"/>
                <w:color w:val="auto"/>
              </w:rPr>
            </w:pPr>
            <w:r>
              <w:rPr>
                <w:rFonts w:ascii="Arial" w:cs="Arial" w:eastAsia="Arial" w:hAnsi="Arial"/>
                <w:sz w:val="18"/>
                <w:szCs w:val="18"/>
                <w:b w:val="1"/>
                <w:bCs w:val="1"/>
                <w:color w:val="auto"/>
                <w:w w:val="94"/>
              </w:rPr>
              <w:t>Number</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gridSpan w:val="13"/>
            <w:vMerge w:val="restart"/>
          </w:tcPr>
          <w:p>
            <w:pPr>
              <w:ind w:left="640"/>
              <w:spacing w:after="0"/>
              <w:rPr>
                <w:sz w:val="20"/>
                <w:szCs w:val="20"/>
                <w:color w:val="auto"/>
              </w:rPr>
            </w:pPr>
            <w:r>
              <w:rPr>
                <w:rFonts w:ascii="Arial" w:cs="Arial" w:eastAsia="Arial" w:hAnsi="Arial"/>
                <w:sz w:val="18"/>
                <w:szCs w:val="18"/>
                <w:b w:val="1"/>
                <w:bCs w:val="1"/>
                <w:color w:val="auto"/>
              </w:rPr>
              <w:t>Description</w:t>
            </w:r>
          </w:p>
        </w:tc>
        <w:tc>
          <w:tcPr>
            <w:tcW w:w="2000" w:type="dxa"/>
            <w:vAlign w:val="bottom"/>
          </w:tcPr>
          <w:p>
            <w:pPr>
              <w:jc w:val="center"/>
              <w:ind w:right="4"/>
              <w:spacing w:after="0"/>
              <w:rPr>
                <w:sz w:val="20"/>
                <w:szCs w:val="20"/>
                <w:color w:val="auto"/>
              </w:rPr>
            </w:pPr>
            <w:r>
              <w:rPr>
                <w:rFonts w:ascii="Arial" w:cs="Arial" w:eastAsia="Arial" w:hAnsi="Arial"/>
                <w:sz w:val="18"/>
                <w:szCs w:val="18"/>
                <w:b w:val="1"/>
                <w:bCs w:val="1"/>
                <w:color w:val="auto"/>
                <w:w w:val="87"/>
              </w:rPr>
              <w:t>Statement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Registration</w:t>
            </w:r>
          </w:p>
        </w:tc>
        <w:tc>
          <w:tcPr>
            <w:tcW w:w="960" w:type="dxa"/>
            <w:vAlign w:val="bottom"/>
          </w:tcPr>
          <w:p>
            <w:pPr>
              <w:jc w:val="center"/>
              <w:ind w:left="124"/>
              <w:spacing w:after="0"/>
              <w:rPr>
                <w:sz w:val="20"/>
                <w:szCs w:val="20"/>
                <w:color w:val="auto"/>
              </w:rPr>
            </w:pPr>
            <w:r>
              <w:rPr>
                <w:rFonts w:ascii="Arial" w:cs="Arial" w:eastAsia="Arial" w:hAnsi="Arial"/>
                <w:sz w:val="18"/>
                <w:szCs w:val="18"/>
                <w:b w:val="1"/>
                <w:bCs w:val="1"/>
                <w:color w:val="auto"/>
                <w:w w:val="87"/>
              </w:rPr>
              <w:t>Reference</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20" w:type="dxa"/>
            <w:vAlign w:val="bottom"/>
            <w:gridSpan w:val="13"/>
            <w:vMerge w:val="continue"/>
          </w:tcPr>
          <w:p>
            <w:pPr>
              <w:spacing w:after="0"/>
              <w:rPr>
                <w:sz w:val="19"/>
                <w:szCs w:val="19"/>
                <w:color w:val="auto"/>
              </w:rPr>
            </w:pPr>
          </w:p>
        </w:tc>
        <w:tc>
          <w:tcPr>
            <w:tcW w:w="20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800" w:type="dxa"/>
            <w:vAlign w:val="bottom"/>
          </w:tcPr>
          <w:p>
            <w:pPr>
              <w:jc w:val="center"/>
              <w:ind w:right="107"/>
              <w:spacing w:after="0"/>
              <w:rPr>
                <w:sz w:val="20"/>
                <w:szCs w:val="20"/>
                <w:color w:val="auto"/>
              </w:rPr>
            </w:pPr>
            <w:r>
              <w:rPr>
                <w:rFonts w:ascii="Arial" w:cs="Arial" w:eastAsia="Arial" w:hAnsi="Arial"/>
                <w:sz w:val="14"/>
                <w:szCs w:val="14"/>
                <w:color w:val="auto"/>
                <w:w w:val="92"/>
              </w:rPr>
              <w:t>3.1</w:t>
            </w:r>
          </w:p>
        </w:tc>
        <w:tc>
          <w:tcPr>
            <w:tcW w:w="4700" w:type="dxa"/>
            <w:vAlign w:val="bottom"/>
            <w:tcBorders>
              <w:bottom w:val="single" w:sz="8" w:color="0000FF"/>
            </w:tcBorders>
            <w:gridSpan w:val="6"/>
          </w:tcPr>
          <w:p>
            <w:pPr>
              <w:spacing w:after="0"/>
              <w:rPr>
                <w:rFonts w:ascii="Arial" w:cs="Arial" w:eastAsia="Arial" w:hAnsi="Arial"/>
                <w:sz w:val="14"/>
                <w:szCs w:val="14"/>
                <w:color w:val="0000FF"/>
                <w:w w:val="92"/>
              </w:rPr>
            </w:pPr>
            <w:hyperlink r:id="rId93">
              <w:r>
                <w:rPr>
                  <w:rFonts w:ascii="Arial" w:cs="Arial" w:eastAsia="Arial" w:hAnsi="Arial"/>
                  <w:sz w:val="14"/>
                  <w:szCs w:val="14"/>
                  <w:color w:val="0000FF"/>
                  <w:w w:val="92"/>
                </w:rPr>
                <w:t>Amended and Restated Certificate of Incorporation of ZoomInfo Technologies Inc.</w:t>
              </w:r>
            </w:hyperlink>
          </w:p>
        </w:tc>
        <w:tc>
          <w:tcPr>
            <w:tcW w:w="1120" w:type="dxa"/>
            <w:vAlign w:val="bottom"/>
            <w:gridSpan w:val="9"/>
          </w:tcPr>
          <w:p>
            <w:pPr>
              <w:spacing w:after="0"/>
              <w:rPr>
                <w:sz w:val="24"/>
                <w:szCs w:val="24"/>
                <w:color w:val="auto"/>
              </w:rPr>
            </w:pPr>
          </w:p>
        </w:tc>
        <w:tc>
          <w:tcPr>
            <w:tcW w:w="2000" w:type="dxa"/>
            <w:vAlign w:val="bottom"/>
          </w:tcPr>
          <w:p>
            <w:pPr>
              <w:jc w:val="center"/>
              <w:ind w:right="4"/>
              <w:spacing w:after="0"/>
              <w:rPr>
                <w:sz w:val="20"/>
                <w:szCs w:val="20"/>
                <w:color w:val="auto"/>
              </w:rPr>
            </w:pPr>
            <w:r>
              <w:rPr>
                <w:rFonts w:ascii="Arial" w:cs="Arial" w:eastAsia="Arial" w:hAnsi="Arial"/>
                <w:sz w:val="14"/>
                <w:szCs w:val="14"/>
                <w:color w:val="auto"/>
                <w:w w:val="93"/>
              </w:rPr>
              <w:t>8-K filed June 8, 2020</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001-39310</w:t>
            </w:r>
          </w:p>
        </w:tc>
        <w:tc>
          <w:tcPr>
            <w:tcW w:w="960" w:type="dxa"/>
            <w:vAlign w:val="bottom"/>
          </w:tcPr>
          <w:p>
            <w:pPr>
              <w:jc w:val="center"/>
              <w:ind w:left="144"/>
              <w:spacing w:after="0"/>
              <w:rPr>
                <w:sz w:val="20"/>
                <w:szCs w:val="20"/>
                <w:color w:val="auto"/>
              </w:rPr>
            </w:pPr>
            <w:r>
              <w:rPr>
                <w:rFonts w:ascii="Arial" w:cs="Arial" w:eastAsia="Arial" w:hAnsi="Arial"/>
                <w:sz w:val="14"/>
                <w:szCs w:val="14"/>
                <w:color w:val="auto"/>
                <w:w w:val="92"/>
              </w:rPr>
              <w:t>3.1</w:t>
            </w:r>
          </w:p>
        </w:tc>
        <w:tc>
          <w:tcPr>
            <w:tcW w:w="0" w:type="dxa"/>
            <w:vAlign w:val="bottom"/>
          </w:tcPr>
          <w:p>
            <w:pPr>
              <w:spacing w:after="0"/>
              <w:rPr>
                <w:sz w:val="1"/>
                <w:szCs w:val="1"/>
                <w:color w:val="auto"/>
              </w:rPr>
            </w:pPr>
          </w:p>
        </w:tc>
      </w:tr>
      <w:tr>
        <w:trPr>
          <w:trHeight w:val="192"/>
        </w:trPr>
        <w:tc>
          <w:tcPr>
            <w:tcW w:w="800" w:type="dxa"/>
            <w:vAlign w:val="bottom"/>
          </w:tcPr>
          <w:p>
            <w:pPr>
              <w:jc w:val="center"/>
              <w:ind w:right="107"/>
              <w:spacing w:after="0"/>
              <w:rPr>
                <w:sz w:val="20"/>
                <w:szCs w:val="20"/>
                <w:color w:val="auto"/>
              </w:rPr>
            </w:pPr>
            <w:r>
              <w:rPr>
                <w:rFonts w:ascii="Arial" w:cs="Arial" w:eastAsia="Arial" w:hAnsi="Arial"/>
                <w:sz w:val="14"/>
                <w:szCs w:val="14"/>
                <w:color w:val="auto"/>
                <w:w w:val="92"/>
              </w:rPr>
              <w:t>3.2</w:t>
            </w:r>
          </w:p>
        </w:tc>
        <w:tc>
          <w:tcPr>
            <w:tcW w:w="3580" w:type="dxa"/>
            <w:vAlign w:val="bottom"/>
            <w:tcBorders>
              <w:bottom w:val="single" w:sz="8" w:color="0000FF"/>
            </w:tcBorders>
            <w:gridSpan w:val="3"/>
          </w:tcPr>
          <w:p>
            <w:pPr>
              <w:spacing w:after="0"/>
              <w:rPr>
                <w:rFonts w:ascii="Arial" w:cs="Arial" w:eastAsia="Arial" w:hAnsi="Arial"/>
                <w:sz w:val="14"/>
                <w:szCs w:val="14"/>
                <w:color w:val="0000FF"/>
                <w:w w:val="91"/>
              </w:rPr>
            </w:pPr>
            <w:hyperlink r:id="rId94">
              <w:r>
                <w:rPr>
                  <w:rFonts w:ascii="Arial" w:cs="Arial" w:eastAsia="Arial" w:hAnsi="Arial"/>
                  <w:sz w:val="14"/>
                  <w:szCs w:val="14"/>
                  <w:color w:val="0000FF"/>
                  <w:w w:val="91"/>
                </w:rPr>
                <w:t>Amended and Restated Bylaws of ZoomInfo Technologies Inc.</w:t>
              </w:r>
            </w:hyperlink>
          </w:p>
        </w:tc>
        <w:tc>
          <w:tcPr>
            <w:tcW w:w="2240" w:type="dxa"/>
            <w:vAlign w:val="bottom"/>
            <w:gridSpan w:val="12"/>
          </w:tcPr>
          <w:p>
            <w:pPr>
              <w:spacing w:after="0"/>
              <w:rPr>
                <w:sz w:val="16"/>
                <w:szCs w:val="16"/>
                <w:color w:val="auto"/>
              </w:rPr>
            </w:pPr>
          </w:p>
        </w:tc>
        <w:tc>
          <w:tcPr>
            <w:tcW w:w="2000" w:type="dxa"/>
            <w:vAlign w:val="bottom"/>
          </w:tcPr>
          <w:p>
            <w:pPr>
              <w:jc w:val="center"/>
              <w:ind w:right="4"/>
              <w:spacing w:after="0"/>
              <w:rPr>
                <w:sz w:val="20"/>
                <w:szCs w:val="20"/>
                <w:color w:val="auto"/>
              </w:rPr>
            </w:pPr>
            <w:r>
              <w:rPr>
                <w:rFonts w:ascii="Arial" w:cs="Arial" w:eastAsia="Arial" w:hAnsi="Arial"/>
                <w:sz w:val="14"/>
                <w:szCs w:val="14"/>
                <w:color w:val="auto"/>
                <w:w w:val="93"/>
              </w:rPr>
              <w:t>8-K filed June 8, 2020</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001-39310</w:t>
            </w:r>
          </w:p>
        </w:tc>
        <w:tc>
          <w:tcPr>
            <w:tcW w:w="960" w:type="dxa"/>
            <w:vAlign w:val="bottom"/>
          </w:tcPr>
          <w:p>
            <w:pPr>
              <w:jc w:val="center"/>
              <w:ind w:left="144"/>
              <w:spacing w:after="0"/>
              <w:rPr>
                <w:sz w:val="20"/>
                <w:szCs w:val="20"/>
                <w:color w:val="auto"/>
              </w:rPr>
            </w:pPr>
            <w:r>
              <w:rPr>
                <w:rFonts w:ascii="Arial" w:cs="Arial" w:eastAsia="Arial" w:hAnsi="Arial"/>
                <w:sz w:val="14"/>
                <w:szCs w:val="14"/>
                <w:color w:val="auto"/>
                <w:w w:val="92"/>
              </w:rPr>
              <w:t>3.2</w:t>
            </w:r>
          </w:p>
        </w:tc>
        <w:tc>
          <w:tcPr>
            <w:tcW w:w="0" w:type="dxa"/>
            <w:vAlign w:val="bottom"/>
          </w:tcPr>
          <w:p>
            <w:pPr>
              <w:spacing w:after="0"/>
              <w:rPr>
                <w:sz w:val="1"/>
                <w:szCs w:val="1"/>
                <w:color w:val="auto"/>
              </w:rPr>
            </w:pPr>
          </w:p>
        </w:tc>
      </w:tr>
      <w:tr>
        <w:trPr>
          <w:trHeight w:val="192"/>
        </w:trPr>
        <w:tc>
          <w:tcPr>
            <w:tcW w:w="800" w:type="dxa"/>
            <w:vAlign w:val="bottom"/>
          </w:tcPr>
          <w:p>
            <w:pPr>
              <w:jc w:val="center"/>
              <w:ind w:right="107"/>
              <w:spacing w:after="0"/>
              <w:rPr>
                <w:sz w:val="20"/>
                <w:szCs w:val="20"/>
                <w:color w:val="auto"/>
              </w:rPr>
            </w:pPr>
            <w:r>
              <w:rPr>
                <w:rFonts w:ascii="Arial" w:cs="Arial" w:eastAsia="Arial" w:hAnsi="Arial"/>
                <w:sz w:val="14"/>
                <w:szCs w:val="14"/>
                <w:color w:val="auto"/>
                <w:w w:val="92"/>
              </w:rPr>
              <w:t>4.1</w:t>
            </w:r>
          </w:p>
        </w:tc>
        <w:tc>
          <w:tcPr>
            <w:tcW w:w="5820" w:type="dxa"/>
            <w:vAlign w:val="bottom"/>
            <w:gridSpan w:val="15"/>
          </w:tcPr>
          <w:p>
            <w:pPr>
              <w:ind w:left="40"/>
              <w:spacing w:after="0"/>
              <w:rPr>
                <w:rFonts w:ascii="Arial" w:cs="Arial" w:eastAsia="Arial" w:hAnsi="Arial"/>
                <w:sz w:val="14"/>
                <w:szCs w:val="14"/>
                <w:color w:val="0000FF"/>
                <w:w w:val="97"/>
              </w:rPr>
            </w:pPr>
            <w:hyperlink r:id="rId95">
              <w:r>
                <w:rPr>
                  <w:rFonts w:ascii="Arial" w:cs="Arial" w:eastAsia="Arial" w:hAnsi="Arial"/>
                  <w:sz w:val="14"/>
                  <w:szCs w:val="14"/>
                  <w:color w:val="0000FF"/>
                  <w:w w:val="97"/>
                </w:rPr>
                <w:t>Indenture, dated as of February 2, 2021, by and among ZoomInfo Technologies LLC, ZoomInfo</w:t>
              </w:r>
            </w:hyperlink>
          </w:p>
        </w:tc>
        <w:tc>
          <w:tcPr>
            <w:tcW w:w="2000" w:type="dxa"/>
            <w:vAlign w:val="bottom"/>
          </w:tcPr>
          <w:p>
            <w:pPr>
              <w:jc w:val="center"/>
              <w:ind w:right="4"/>
              <w:spacing w:after="0"/>
              <w:rPr>
                <w:sz w:val="20"/>
                <w:szCs w:val="20"/>
                <w:color w:val="auto"/>
              </w:rPr>
            </w:pPr>
            <w:r>
              <w:rPr>
                <w:rFonts w:ascii="Arial" w:cs="Arial" w:eastAsia="Arial" w:hAnsi="Arial"/>
                <w:sz w:val="14"/>
                <w:szCs w:val="14"/>
                <w:color w:val="auto"/>
                <w:w w:val="95"/>
              </w:rPr>
              <w:t>8-K filed July 15, 2021</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001-39310</w:t>
            </w:r>
          </w:p>
        </w:tc>
        <w:tc>
          <w:tcPr>
            <w:tcW w:w="960" w:type="dxa"/>
            <w:vAlign w:val="bottom"/>
          </w:tcPr>
          <w:p>
            <w:pPr>
              <w:jc w:val="center"/>
              <w:ind w:left="144"/>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480" w:type="dxa"/>
            <w:vAlign w:val="bottom"/>
            <w:tcBorders>
              <w:top w:val="single" w:sz="8" w:color="0000FF"/>
            </w:tcBorders>
            <w:gridSpan w:val="12"/>
          </w:tcPr>
          <w:p>
            <w:pPr>
              <w:spacing w:after="0" w:line="139" w:lineRule="exact"/>
              <w:rPr>
                <w:rFonts w:ascii="Arial" w:cs="Arial" w:eastAsia="Arial" w:hAnsi="Arial"/>
                <w:sz w:val="14"/>
                <w:szCs w:val="14"/>
                <w:color w:val="0000FF"/>
                <w:w w:val="92"/>
              </w:rPr>
            </w:pPr>
            <w:hyperlink r:id="rId95">
              <w:r>
                <w:rPr>
                  <w:rFonts w:ascii="Arial" w:cs="Arial" w:eastAsia="Arial" w:hAnsi="Arial"/>
                  <w:sz w:val="14"/>
                  <w:szCs w:val="14"/>
                  <w:color w:val="0000FF"/>
                  <w:w w:val="92"/>
                </w:rPr>
                <w:t>Finance Corp., the guarantors named on the signature pages thereto, and Wells Fargo National</w:t>
              </w:r>
            </w:hyperlink>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1280" w:type="dxa"/>
            <w:vAlign w:val="bottom"/>
            <w:tcBorders>
              <w:top w:val="single" w:sz="8" w:color="0000FF"/>
              <w:bottom w:val="single" w:sz="8" w:color="0000FF"/>
            </w:tcBorders>
          </w:tcPr>
          <w:p>
            <w:pPr>
              <w:spacing w:after="0" w:line="139" w:lineRule="exact"/>
              <w:rPr>
                <w:rFonts w:ascii="Arial" w:cs="Arial" w:eastAsia="Arial" w:hAnsi="Arial"/>
                <w:sz w:val="14"/>
                <w:szCs w:val="14"/>
                <w:color w:val="0000FF"/>
                <w:w w:val="89"/>
              </w:rPr>
            </w:pPr>
            <w:hyperlink r:id="rId95">
              <w:r>
                <w:rPr>
                  <w:rFonts w:ascii="Arial" w:cs="Arial" w:eastAsia="Arial" w:hAnsi="Arial"/>
                  <w:sz w:val="14"/>
                  <w:szCs w:val="14"/>
                  <w:color w:val="0000FF"/>
                  <w:w w:val="89"/>
                </w:rPr>
                <w:t>Association, as trustee</w:t>
              </w:r>
            </w:hyperlink>
          </w:p>
        </w:tc>
        <w:tc>
          <w:tcPr>
            <w:tcW w:w="4040" w:type="dxa"/>
            <w:vAlign w:val="bottom"/>
            <w:tcBorders>
              <w:top w:val="single" w:sz="8" w:color="0000FF"/>
            </w:tcBorders>
            <w:gridSpan w:val="7"/>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center"/>
              <w:ind w:right="107"/>
              <w:spacing w:after="0"/>
              <w:rPr>
                <w:sz w:val="20"/>
                <w:szCs w:val="20"/>
                <w:color w:val="auto"/>
              </w:rPr>
            </w:pPr>
            <w:r>
              <w:rPr>
                <w:rFonts w:ascii="Arial" w:cs="Arial" w:eastAsia="Arial" w:hAnsi="Arial"/>
                <w:sz w:val="14"/>
                <w:szCs w:val="14"/>
                <w:color w:val="auto"/>
                <w:w w:val="92"/>
              </w:rPr>
              <w:t>4.2</w:t>
            </w:r>
          </w:p>
        </w:tc>
        <w:tc>
          <w:tcPr>
            <w:tcW w:w="5820" w:type="dxa"/>
            <w:vAlign w:val="bottom"/>
            <w:gridSpan w:val="15"/>
          </w:tcPr>
          <w:p>
            <w:pPr>
              <w:spacing w:after="0"/>
              <w:rPr>
                <w:rFonts w:ascii="Arial" w:cs="Arial" w:eastAsia="Arial" w:hAnsi="Arial"/>
                <w:sz w:val="14"/>
                <w:szCs w:val="14"/>
                <w:color w:val="0000FF"/>
                <w:w w:val="97"/>
              </w:rPr>
            </w:pPr>
            <w:hyperlink r:id="rId96">
              <w:r>
                <w:rPr>
                  <w:rFonts w:ascii="Arial" w:cs="Arial" w:eastAsia="Arial" w:hAnsi="Arial"/>
                  <w:sz w:val="14"/>
                  <w:szCs w:val="14"/>
                  <w:color w:val="0000FF"/>
                  <w:w w:val="97"/>
                </w:rPr>
                <w:t>Supplemental Indenture, dated as of July 15, 2021, by and among ZoomInfo Technologies LLC,</w:t>
              </w:r>
            </w:hyperlink>
          </w:p>
        </w:tc>
        <w:tc>
          <w:tcPr>
            <w:tcW w:w="2000" w:type="dxa"/>
            <w:vAlign w:val="bottom"/>
          </w:tcPr>
          <w:p>
            <w:pPr>
              <w:jc w:val="center"/>
              <w:ind w:right="4"/>
              <w:spacing w:after="0"/>
              <w:rPr>
                <w:sz w:val="20"/>
                <w:szCs w:val="20"/>
                <w:color w:val="auto"/>
              </w:rPr>
            </w:pPr>
            <w:r>
              <w:rPr>
                <w:rFonts w:ascii="Arial" w:cs="Arial" w:eastAsia="Arial" w:hAnsi="Arial"/>
                <w:sz w:val="14"/>
                <w:szCs w:val="14"/>
                <w:color w:val="auto"/>
                <w:w w:val="95"/>
              </w:rPr>
              <w:t>8-K filed July 15, 2021</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001-39310</w:t>
            </w:r>
          </w:p>
        </w:tc>
        <w:tc>
          <w:tcPr>
            <w:tcW w:w="960" w:type="dxa"/>
            <w:vAlign w:val="bottom"/>
          </w:tcPr>
          <w:p>
            <w:pPr>
              <w:jc w:val="center"/>
              <w:ind w:left="144"/>
              <w:spacing w:after="0"/>
              <w:rPr>
                <w:sz w:val="20"/>
                <w:szCs w:val="20"/>
                <w:color w:val="auto"/>
              </w:rPr>
            </w:pPr>
            <w:r>
              <w:rPr>
                <w:rFonts w:ascii="Arial" w:cs="Arial" w:eastAsia="Arial" w:hAnsi="Arial"/>
                <w:sz w:val="14"/>
                <w:szCs w:val="14"/>
                <w:color w:val="auto"/>
                <w:w w:val="92"/>
              </w:rPr>
              <w:t>4.2</w:t>
            </w: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440" w:type="dxa"/>
            <w:vAlign w:val="bottom"/>
            <w:tcBorders>
              <w:top w:val="single" w:sz="8" w:color="0000FF"/>
            </w:tcBorders>
            <w:gridSpan w:val="11"/>
          </w:tcPr>
          <w:p>
            <w:pPr>
              <w:spacing w:after="0" w:line="139" w:lineRule="exact"/>
              <w:rPr>
                <w:rFonts w:ascii="Arial" w:cs="Arial" w:eastAsia="Arial" w:hAnsi="Arial"/>
                <w:sz w:val="14"/>
                <w:szCs w:val="14"/>
                <w:color w:val="0000FF"/>
                <w:w w:val="90"/>
              </w:rPr>
            </w:pPr>
            <w:hyperlink r:id="rId96">
              <w:r>
                <w:rPr>
                  <w:rFonts w:ascii="Arial" w:cs="Arial" w:eastAsia="Arial" w:hAnsi="Arial"/>
                  <w:sz w:val="14"/>
                  <w:szCs w:val="14"/>
                  <w:color w:val="0000FF"/>
                  <w:w w:val="90"/>
                </w:rPr>
                <w:t>ZoomInfo Finance Corp., the guarantors named on the signature pages thereto, and Wells Fargo</w:t>
              </w:r>
            </w:hyperlink>
          </w:p>
        </w:tc>
        <w:tc>
          <w:tcPr>
            <w:tcW w:w="1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180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0"/>
              </w:rPr>
            </w:pPr>
            <w:hyperlink r:id="rId96">
              <w:r>
                <w:rPr>
                  <w:rFonts w:ascii="Arial" w:cs="Arial" w:eastAsia="Arial" w:hAnsi="Arial"/>
                  <w:sz w:val="14"/>
                  <w:szCs w:val="14"/>
                  <w:color w:val="0000FF"/>
                  <w:w w:val="90"/>
                </w:rPr>
                <w:t>National Association, as trustee</w:t>
              </w:r>
            </w:hyperlink>
          </w:p>
        </w:tc>
        <w:tc>
          <w:tcPr>
            <w:tcW w:w="360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800" w:type="dxa"/>
            <w:vAlign w:val="bottom"/>
          </w:tcPr>
          <w:p>
            <w:pPr>
              <w:jc w:val="center"/>
              <w:ind w:right="107"/>
              <w:spacing w:after="0"/>
              <w:rPr>
                <w:sz w:val="20"/>
                <w:szCs w:val="20"/>
                <w:color w:val="auto"/>
              </w:rPr>
            </w:pPr>
            <w:r>
              <w:rPr>
                <w:rFonts w:ascii="Arial" w:cs="Arial" w:eastAsia="Arial" w:hAnsi="Arial"/>
                <w:sz w:val="14"/>
                <w:szCs w:val="14"/>
                <w:color w:val="auto"/>
                <w:w w:val="92"/>
              </w:rPr>
              <w:t>4.3</w:t>
            </w:r>
          </w:p>
        </w:tc>
        <w:tc>
          <w:tcPr>
            <w:tcW w:w="5820" w:type="dxa"/>
            <w:vAlign w:val="bottom"/>
            <w:gridSpan w:val="15"/>
          </w:tcPr>
          <w:p>
            <w:pPr>
              <w:spacing w:after="0"/>
              <w:rPr>
                <w:sz w:val="20"/>
                <w:szCs w:val="20"/>
                <w:color w:val="auto"/>
              </w:rPr>
            </w:pPr>
            <w:r>
              <w:rPr>
                <w:rFonts w:ascii="Arial" w:cs="Arial" w:eastAsia="Arial" w:hAnsi="Arial"/>
                <w:sz w:val="14"/>
                <w:szCs w:val="14"/>
                <w:color w:val="auto"/>
              </w:rPr>
              <w:t>Form of 3.875% Senior Note due 2029 (included in Exhibit 4.1)</w:t>
            </w:r>
          </w:p>
        </w:tc>
        <w:tc>
          <w:tcPr>
            <w:tcW w:w="2000" w:type="dxa"/>
            <w:vAlign w:val="bottom"/>
          </w:tcPr>
          <w:p>
            <w:pPr>
              <w:jc w:val="center"/>
              <w:ind w:right="4"/>
              <w:spacing w:after="0"/>
              <w:rPr>
                <w:sz w:val="20"/>
                <w:szCs w:val="20"/>
                <w:color w:val="auto"/>
              </w:rPr>
            </w:pPr>
            <w:r>
              <w:rPr>
                <w:rFonts w:ascii="Arial" w:cs="Arial" w:eastAsia="Arial" w:hAnsi="Arial"/>
                <w:sz w:val="14"/>
                <w:szCs w:val="14"/>
                <w:color w:val="auto"/>
                <w:w w:val="95"/>
              </w:rPr>
              <w:t>8-K filed July 15, 2021</w:t>
            </w:r>
          </w:p>
        </w:tc>
        <w:tc>
          <w:tcPr>
            <w:tcW w:w="1320" w:type="dxa"/>
            <w:vAlign w:val="bottom"/>
          </w:tcPr>
          <w:p>
            <w:pPr>
              <w:jc w:val="center"/>
              <w:spacing w:after="0"/>
              <w:rPr>
                <w:sz w:val="20"/>
                <w:szCs w:val="20"/>
                <w:color w:val="auto"/>
              </w:rPr>
            </w:pPr>
            <w:r>
              <w:rPr>
                <w:rFonts w:ascii="Arial" w:cs="Arial" w:eastAsia="Arial" w:hAnsi="Arial"/>
                <w:sz w:val="14"/>
                <w:szCs w:val="14"/>
                <w:color w:val="auto"/>
                <w:w w:val="89"/>
              </w:rPr>
              <w:t>001-39310</w:t>
            </w:r>
          </w:p>
        </w:tc>
        <w:tc>
          <w:tcPr>
            <w:tcW w:w="960" w:type="dxa"/>
            <w:vAlign w:val="bottom"/>
          </w:tcPr>
          <w:p>
            <w:pPr>
              <w:jc w:val="center"/>
              <w:ind w:left="144"/>
              <w:spacing w:after="0"/>
              <w:rPr>
                <w:sz w:val="20"/>
                <w:szCs w:val="20"/>
                <w:color w:val="auto"/>
              </w:rPr>
            </w:pPr>
            <w:r>
              <w:rPr>
                <w:rFonts w:ascii="Arial" w:cs="Arial" w:eastAsia="Arial" w:hAnsi="Arial"/>
                <w:sz w:val="14"/>
                <w:szCs w:val="14"/>
                <w:color w:val="auto"/>
                <w:w w:val="92"/>
              </w:rPr>
              <w:t>4.3</w:t>
            </w:r>
          </w:p>
        </w:tc>
        <w:tc>
          <w:tcPr>
            <w:tcW w:w="0" w:type="dxa"/>
            <w:vAlign w:val="bottom"/>
          </w:tcPr>
          <w:p>
            <w:pPr>
              <w:spacing w:after="0"/>
              <w:rPr>
                <w:sz w:val="1"/>
                <w:szCs w:val="1"/>
                <w:color w:val="auto"/>
              </w:rPr>
            </w:pPr>
          </w:p>
        </w:tc>
      </w:tr>
      <w:tr>
        <w:trPr>
          <w:trHeight w:val="183"/>
        </w:trPr>
        <w:tc>
          <w:tcPr>
            <w:tcW w:w="800" w:type="dxa"/>
            <w:vAlign w:val="bottom"/>
          </w:tcPr>
          <w:p>
            <w:pPr>
              <w:jc w:val="center"/>
              <w:ind w:right="87"/>
              <w:spacing w:after="0"/>
              <w:rPr>
                <w:sz w:val="20"/>
                <w:szCs w:val="20"/>
                <w:color w:val="auto"/>
              </w:rPr>
            </w:pPr>
            <w:r>
              <w:rPr>
                <w:rFonts w:ascii="Arial" w:cs="Arial" w:eastAsia="Arial" w:hAnsi="Arial"/>
                <w:sz w:val="14"/>
                <w:szCs w:val="14"/>
                <w:color w:val="auto"/>
                <w:w w:val="90"/>
              </w:rPr>
              <w:t>+31.1</w:t>
            </w:r>
          </w:p>
        </w:tc>
        <w:tc>
          <w:tcPr>
            <w:tcW w:w="5820" w:type="dxa"/>
            <w:vAlign w:val="bottom"/>
            <w:gridSpan w:val="15"/>
          </w:tcPr>
          <w:p>
            <w:pPr>
              <w:spacing w:after="0"/>
              <w:rPr>
                <w:rFonts w:ascii="Arial" w:cs="Arial" w:eastAsia="Arial" w:hAnsi="Arial"/>
                <w:sz w:val="14"/>
                <w:szCs w:val="14"/>
                <w:color w:val="0000FF"/>
                <w:w w:val="99"/>
              </w:rPr>
            </w:pPr>
            <w:hyperlink w:anchor="page79">
              <w:r>
                <w:rPr>
                  <w:rFonts w:ascii="Arial" w:cs="Arial" w:eastAsia="Arial" w:hAnsi="Arial"/>
                  <w:sz w:val="14"/>
                  <w:szCs w:val="14"/>
                  <w:color w:val="0000FF"/>
                  <w:w w:val="99"/>
                </w:rPr>
                <w:t>Certification of Principal Executive Officer pursuant to Exchange Act Rules 13a-14(a) and 15d-</w:t>
              </w:r>
            </w:hyperlink>
          </w:p>
        </w:tc>
        <w:tc>
          <w:tcPr>
            <w:tcW w:w="2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5420" w:type="dxa"/>
            <w:vAlign w:val="bottom"/>
            <w:tcBorders>
              <w:top w:val="single" w:sz="8" w:color="0000FF"/>
            </w:tcBorders>
            <w:gridSpan w:val="10"/>
          </w:tcPr>
          <w:p>
            <w:pPr>
              <w:spacing w:after="0" w:line="139" w:lineRule="exact"/>
              <w:rPr>
                <w:rFonts w:ascii="Arial" w:cs="Arial" w:eastAsia="Arial" w:hAnsi="Arial"/>
                <w:sz w:val="14"/>
                <w:szCs w:val="14"/>
                <w:color w:val="0000FF"/>
              </w:rPr>
            </w:pPr>
            <w:hyperlink w:anchor="page79">
              <w:r>
                <w:rPr>
                  <w:rFonts w:ascii="Arial" w:cs="Arial" w:eastAsia="Arial" w:hAnsi="Arial"/>
                  <w:sz w:val="14"/>
                  <w:szCs w:val="14"/>
                  <w:color w:val="0000FF"/>
                </w:rPr>
                <w:t>14(a), as adopted pursuant to Section 302 of the Sarbanes-Oxley Act of 2002.</w:t>
              </w:r>
            </w:hyperlink>
          </w:p>
        </w:tc>
        <w:tc>
          <w:tcPr>
            <w:tcW w:w="14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tcPr>
          <w:p>
            <w:pPr>
              <w:jc w:val="center"/>
              <w:ind w:right="87"/>
              <w:spacing w:after="0"/>
              <w:rPr>
                <w:sz w:val="20"/>
                <w:szCs w:val="20"/>
                <w:color w:val="auto"/>
              </w:rPr>
            </w:pPr>
            <w:r>
              <w:rPr>
                <w:rFonts w:ascii="Arial" w:cs="Arial" w:eastAsia="Arial" w:hAnsi="Arial"/>
                <w:sz w:val="14"/>
                <w:szCs w:val="14"/>
                <w:color w:val="auto"/>
                <w:w w:val="90"/>
              </w:rPr>
              <w:t>+31.2</w:t>
            </w:r>
          </w:p>
        </w:tc>
        <w:tc>
          <w:tcPr>
            <w:tcW w:w="5820" w:type="dxa"/>
            <w:vAlign w:val="bottom"/>
            <w:gridSpan w:val="15"/>
          </w:tcPr>
          <w:p>
            <w:pPr>
              <w:spacing w:after="0"/>
              <w:rPr>
                <w:rFonts w:ascii="Arial" w:cs="Arial" w:eastAsia="Arial" w:hAnsi="Arial"/>
                <w:sz w:val="14"/>
                <w:szCs w:val="14"/>
                <w:color w:val="0000FF"/>
                <w:w w:val="94"/>
              </w:rPr>
            </w:pPr>
            <w:hyperlink w:anchor="page81">
              <w:r>
                <w:rPr>
                  <w:rFonts w:ascii="Arial" w:cs="Arial" w:eastAsia="Arial" w:hAnsi="Arial"/>
                  <w:sz w:val="14"/>
                  <w:szCs w:val="14"/>
                  <w:color w:val="0000FF"/>
                  <w:w w:val="94"/>
                </w:rPr>
                <w:t>Certification of Principal Financial Officer pursuant to Exchange Act Rules 13a-14(a) and 15d-14(a),</w:t>
              </w:r>
            </w:hyperlink>
          </w:p>
        </w:tc>
        <w:tc>
          <w:tcPr>
            <w:tcW w:w="2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4"/>
          </w:tcPr>
          <w:p>
            <w:pPr>
              <w:spacing w:after="0" w:line="139" w:lineRule="exact"/>
              <w:rPr>
                <w:rFonts w:ascii="Arial" w:cs="Arial" w:eastAsia="Arial" w:hAnsi="Arial"/>
                <w:sz w:val="14"/>
                <w:szCs w:val="14"/>
                <w:color w:val="0000FF"/>
                <w:w w:val="90"/>
              </w:rPr>
            </w:pPr>
            <w:hyperlink w:anchor="page81">
              <w:r>
                <w:rPr>
                  <w:rFonts w:ascii="Arial" w:cs="Arial" w:eastAsia="Arial" w:hAnsi="Arial"/>
                  <w:sz w:val="14"/>
                  <w:szCs w:val="14"/>
                  <w:color w:val="0000FF"/>
                  <w:w w:val="90"/>
                </w:rPr>
                <w:t>as adopted pursuant to Section 302 of the Sarbanes-Oxley Act of 2002.</w:t>
              </w:r>
            </w:hyperlink>
          </w:p>
        </w:tc>
        <w:tc>
          <w:tcPr>
            <w:tcW w:w="1700" w:type="dxa"/>
            <w:vAlign w:val="bottom"/>
            <w:tcBorders>
              <w:top w:val="single" w:sz="8" w:color="0000FF"/>
            </w:tcBorders>
            <w:gridSpan w:val="10"/>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center"/>
              <w:ind w:right="87"/>
              <w:spacing w:after="0"/>
              <w:rPr>
                <w:sz w:val="20"/>
                <w:szCs w:val="20"/>
                <w:color w:val="auto"/>
              </w:rPr>
            </w:pPr>
            <w:r>
              <w:rPr>
                <w:rFonts w:ascii="Arial" w:cs="Arial" w:eastAsia="Arial" w:hAnsi="Arial"/>
                <w:sz w:val="14"/>
                <w:szCs w:val="14"/>
                <w:color w:val="auto"/>
                <w:w w:val="97"/>
              </w:rPr>
              <w:t>+32.1*</w:t>
            </w:r>
          </w:p>
        </w:tc>
        <w:tc>
          <w:tcPr>
            <w:tcW w:w="5820" w:type="dxa"/>
            <w:vAlign w:val="bottom"/>
            <w:gridSpan w:val="15"/>
          </w:tcPr>
          <w:p>
            <w:pPr>
              <w:spacing w:after="0"/>
              <w:rPr>
                <w:rFonts w:ascii="Arial" w:cs="Arial" w:eastAsia="Arial" w:hAnsi="Arial"/>
                <w:sz w:val="14"/>
                <w:szCs w:val="14"/>
                <w:color w:val="0000FF"/>
                <w:w w:val="97"/>
              </w:rPr>
            </w:pPr>
            <w:hyperlink w:anchor="page83">
              <w:r>
                <w:rPr>
                  <w:rFonts w:ascii="Arial" w:cs="Arial" w:eastAsia="Arial" w:hAnsi="Arial"/>
                  <w:sz w:val="14"/>
                  <w:szCs w:val="14"/>
                  <w:color w:val="0000FF"/>
                  <w:w w:val="97"/>
                </w:rPr>
                <w:t>Certifications of Principal Executive Officer and Principal Financial Officer pursuant to 18 U.S.C.</w:t>
              </w:r>
            </w:hyperlink>
          </w:p>
        </w:tc>
        <w:tc>
          <w:tcPr>
            <w:tcW w:w="2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800" w:type="dxa"/>
            <w:vAlign w:val="bottom"/>
          </w:tcPr>
          <w:p>
            <w:pPr>
              <w:spacing w:after="0"/>
              <w:rPr>
                <w:sz w:val="12"/>
                <w:szCs w:val="12"/>
                <w:color w:val="auto"/>
              </w:rPr>
            </w:pPr>
          </w:p>
        </w:tc>
        <w:tc>
          <w:tcPr>
            <w:tcW w:w="4840" w:type="dxa"/>
            <w:vAlign w:val="bottom"/>
            <w:tcBorders>
              <w:top w:val="single" w:sz="8" w:color="0000FF"/>
              <w:bottom w:val="single" w:sz="8" w:color="0000FF"/>
            </w:tcBorders>
            <w:gridSpan w:val="7"/>
          </w:tcPr>
          <w:p>
            <w:pPr>
              <w:spacing w:after="0" w:line="139" w:lineRule="exact"/>
              <w:rPr>
                <w:rFonts w:ascii="Arial" w:cs="Arial" w:eastAsia="Arial" w:hAnsi="Arial"/>
                <w:sz w:val="14"/>
                <w:szCs w:val="14"/>
                <w:color w:val="0000FF"/>
                <w:w w:val="90"/>
              </w:rPr>
            </w:pPr>
            <w:hyperlink w:anchor="page83">
              <w:r>
                <w:rPr>
                  <w:rFonts w:ascii="Arial" w:cs="Arial" w:eastAsia="Arial" w:hAnsi="Arial"/>
                  <w:sz w:val="14"/>
                  <w:szCs w:val="14"/>
                  <w:color w:val="0000FF"/>
                  <w:w w:val="90"/>
                </w:rPr>
                <w:t>Section 1350, as adopted pursuant to Section 906 of the Sarbanes-Oxley Act of 2002.</w:t>
              </w:r>
            </w:hyperlink>
          </w:p>
        </w:tc>
        <w:tc>
          <w:tcPr>
            <w:tcW w:w="720" w:type="dxa"/>
            <w:vAlign w:val="bottom"/>
            <w:tcBorders>
              <w:top w:val="single" w:sz="8" w:color="0000FF"/>
            </w:tcBorders>
            <w:gridSpan w:val="6"/>
          </w:tcPr>
          <w:p>
            <w:pPr>
              <w:spacing w:after="0"/>
              <w:rPr>
                <w:sz w:val="12"/>
                <w:szCs w:val="12"/>
                <w:color w:val="auto"/>
              </w:rPr>
            </w:pPr>
          </w:p>
        </w:tc>
        <w:tc>
          <w:tcPr>
            <w:tcW w:w="260" w:type="dxa"/>
            <w:vAlign w:val="bottom"/>
            <w:gridSpan w:val="2"/>
          </w:tcPr>
          <w:p>
            <w:pPr>
              <w:spacing w:after="0"/>
              <w:rPr>
                <w:sz w:val="12"/>
                <w:szCs w:val="12"/>
                <w:color w:val="auto"/>
              </w:rPr>
            </w:pPr>
          </w:p>
        </w:tc>
        <w:tc>
          <w:tcPr>
            <w:tcW w:w="20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800" w:type="dxa"/>
            <w:vAlign w:val="bottom"/>
          </w:tcPr>
          <w:p>
            <w:pPr>
              <w:jc w:val="center"/>
              <w:ind w:right="87"/>
              <w:spacing w:after="0"/>
              <w:rPr>
                <w:sz w:val="20"/>
                <w:szCs w:val="20"/>
                <w:color w:val="auto"/>
              </w:rPr>
            </w:pPr>
            <w:r>
              <w:rPr>
                <w:rFonts w:ascii="Arial" w:cs="Arial" w:eastAsia="Arial" w:hAnsi="Arial"/>
                <w:sz w:val="14"/>
                <w:szCs w:val="14"/>
                <w:color w:val="auto"/>
                <w:w w:val="95"/>
              </w:rPr>
              <w:t>+101.INS</w:t>
            </w:r>
          </w:p>
        </w:tc>
        <w:tc>
          <w:tcPr>
            <w:tcW w:w="5820" w:type="dxa"/>
            <w:vAlign w:val="bottom"/>
            <w:gridSpan w:val="15"/>
          </w:tcPr>
          <w:p>
            <w:pPr>
              <w:spacing w:after="0"/>
              <w:rPr>
                <w:sz w:val="20"/>
                <w:szCs w:val="20"/>
                <w:color w:val="auto"/>
              </w:rPr>
            </w:pPr>
            <w:r>
              <w:rPr>
                <w:rFonts w:ascii="Arial" w:cs="Arial" w:eastAsia="Arial" w:hAnsi="Arial"/>
                <w:sz w:val="14"/>
                <w:szCs w:val="14"/>
                <w:color w:val="auto"/>
              </w:rPr>
              <w:t>Inline XBRL Instance Document</w:t>
            </w:r>
          </w:p>
        </w:tc>
        <w:tc>
          <w:tcPr>
            <w:tcW w:w="2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ind w:right="87"/>
              <w:spacing w:after="0"/>
              <w:rPr>
                <w:sz w:val="20"/>
                <w:szCs w:val="20"/>
                <w:color w:val="auto"/>
              </w:rPr>
            </w:pPr>
            <w:r>
              <w:rPr>
                <w:rFonts w:ascii="Arial" w:cs="Arial" w:eastAsia="Arial" w:hAnsi="Arial"/>
                <w:sz w:val="14"/>
                <w:szCs w:val="14"/>
                <w:color w:val="auto"/>
                <w:w w:val="92"/>
              </w:rPr>
              <w:t>+101.SCH</w:t>
            </w:r>
          </w:p>
        </w:tc>
        <w:tc>
          <w:tcPr>
            <w:tcW w:w="5820" w:type="dxa"/>
            <w:vAlign w:val="bottom"/>
            <w:gridSpan w:val="15"/>
          </w:tcPr>
          <w:p>
            <w:pPr>
              <w:spacing w:after="0"/>
              <w:rPr>
                <w:sz w:val="20"/>
                <w:szCs w:val="20"/>
                <w:color w:val="auto"/>
              </w:rPr>
            </w:pPr>
            <w:r>
              <w:rPr>
                <w:rFonts w:ascii="Arial" w:cs="Arial" w:eastAsia="Arial" w:hAnsi="Arial"/>
                <w:sz w:val="14"/>
                <w:szCs w:val="14"/>
                <w:color w:val="auto"/>
              </w:rPr>
              <w:t>Inline XBRL Taxonomy Extension Schema Document</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ind w:right="87"/>
              <w:spacing w:after="0"/>
              <w:rPr>
                <w:sz w:val="20"/>
                <w:szCs w:val="20"/>
                <w:color w:val="auto"/>
              </w:rPr>
            </w:pPr>
            <w:r>
              <w:rPr>
                <w:rFonts w:ascii="Arial" w:cs="Arial" w:eastAsia="Arial" w:hAnsi="Arial"/>
                <w:sz w:val="14"/>
                <w:szCs w:val="14"/>
                <w:color w:val="auto"/>
                <w:w w:val="95"/>
              </w:rPr>
              <w:t>+101.CAL</w:t>
            </w:r>
          </w:p>
        </w:tc>
        <w:tc>
          <w:tcPr>
            <w:tcW w:w="5820" w:type="dxa"/>
            <w:vAlign w:val="bottom"/>
            <w:gridSpan w:val="15"/>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ind w:right="87"/>
              <w:spacing w:after="0"/>
              <w:rPr>
                <w:sz w:val="20"/>
                <w:szCs w:val="20"/>
                <w:color w:val="auto"/>
              </w:rPr>
            </w:pPr>
            <w:r>
              <w:rPr>
                <w:rFonts w:ascii="Arial" w:cs="Arial" w:eastAsia="Arial" w:hAnsi="Arial"/>
                <w:sz w:val="14"/>
                <w:szCs w:val="14"/>
                <w:color w:val="auto"/>
                <w:w w:val="94"/>
              </w:rPr>
              <w:t>+101.DEF</w:t>
            </w:r>
          </w:p>
        </w:tc>
        <w:tc>
          <w:tcPr>
            <w:tcW w:w="5820" w:type="dxa"/>
            <w:vAlign w:val="bottom"/>
            <w:gridSpan w:val="15"/>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ind w:right="87"/>
              <w:spacing w:after="0"/>
              <w:rPr>
                <w:sz w:val="20"/>
                <w:szCs w:val="20"/>
                <w:color w:val="auto"/>
              </w:rPr>
            </w:pPr>
            <w:r>
              <w:rPr>
                <w:rFonts w:ascii="Arial" w:cs="Arial" w:eastAsia="Arial" w:hAnsi="Arial"/>
                <w:sz w:val="14"/>
                <w:szCs w:val="14"/>
                <w:color w:val="auto"/>
                <w:w w:val="96"/>
              </w:rPr>
              <w:t>+101.LAB</w:t>
            </w:r>
          </w:p>
        </w:tc>
        <w:tc>
          <w:tcPr>
            <w:tcW w:w="5820" w:type="dxa"/>
            <w:vAlign w:val="bottom"/>
            <w:gridSpan w:val="15"/>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00" w:type="dxa"/>
            <w:vAlign w:val="bottom"/>
          </w:tcPr>
          <w:p>
            <w:pPr>
              <w:jc w:val="center"/>
              <w:ind w:right="107"/>
              <w:spacing w:after="0"/>
              <w:rPr>
                <w:sz w:val="20"/>
                <w:szCs w:val="20"/>
                <w:color w:val="auto"/>
              </w:rPr>
            </w:pPr>
            <w:r>
              <w:rPr>
                <w:rFonts w:ascii="Arial" w:cs="Arial" w:eastAsia="Arial" w:hAnsi="Arial"/>
                <w:sz w:val="14"/>
                <w:szCs w:val="14"/>
                <w:color w:val="auto"/>
                <w:w w:val="90"/>
              </w:rPr>
              <w:t>+101.PRE</w:t>
            </w:r>
          </w:p>
        </w:tc>
        <w:tc>
          <w:tcPr>
            <w:tcW w:w="5820" w:type="dxa"/>
            <w:vAlign w:val="bottom"/>
            <w:gridSpan w:val="15"/>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960" w:hanging="590"/>
        <w:spacing w:after="0"/>
        <w:tabs>
          <w:tab w:leader="none" w:pos="9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76" w:lineRule="exact"/>
        <w:rPr>
          <w:rFonts w:ascii="Arial" w:cs="Arial" w:eastAsia="Arial" w:hAnsi="Arial"/>
          <w:sz w:val="14"/>
          <w:szCs w:val="14"/>
          <w:color w:val="auto"/>
        </w:rPr>
      </w:pPr>
    </w:p>
    <w:p>
      <w:pPr>
        <w:ind w:left="120" w:hanging="114"/>
        <w:spacing w:after="0"/>
        <w:tabs>
          <w:tab w:leader="none" w:pos="1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57" w:lineRule="exact"/>
        <w:rPr>
          <w:sz w:val="20"/>
          <w:szCs w:val="20"/>
          <w:color w:val="auto"/>
        </w:rPr>
      </w:pPr>
    </w:p>
    <w:p>
      <w:pPr>
        <w:jc w:val="both"/>
        <w:ind w:firstLine="6"/>
        <w:spacing w:after="0" w:line="251" w:lineRule="auto"/>
        <w:tabs>
          <w:tab w:leader="none" w:pos="111"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ZOOMINFO TECHNOLOGIES INC.</w:t>
      </w:r>
    </w:p>
    <w:p>
      <w:pPr>
        <w:spacing w:after="0" w:line="257" w:lineRule="exact"/>
        <w:rPr>
          <w:sz w:val="20"/>
          <w:szCs w:val="20"/>
          <w:color w:val="auto"/>
        </w:rPr>
      </w:pPr>
    </w:p>
    <w:p>
      <w:pPr>
        <w:ind w:left="724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27940</wp:posOffset>
            </wp:positionV>
            <wp:extent cx="23723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2372360" cy="8255"/>
                    </a:xfrm>
                    <a:prstGeom prst="rect">
                      <a:avLst/>
                    </a:prstGeom>
                    <a:noFill/>
                  </pic:spPr>
                </pic:pic>
              </a:graphicData>
            </a:graphic>
          </wp:anchor>
        </w:drawing>
      </w:r>
    </w:p>
    <w:p>
      <w:pPr>
        <w:spacing w:after="0" w:line="51"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Name: P. Cameron Hyzer</w:t>
      </w:r>
    </w:p>
    <w:p>
      <w:pPr>
        <w:spacing w:after="0" w:line="1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Title: Chief Financial Officer</w:t>
      </w:r>
    </w:p>
    <w:p>
      <w:pPr>
        <w:spacing w:after="0" w:line="2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(Principal Financial Officer and Authorized</w:t>
      </w:r>
    </w:p>
    <w:p>
      <w:pPr>
        <w:ind w:left="7520"/>
        <w:spacing w:after="0"/>
        <w:rPr>
          <w:sz w:val="20"/>
          <w:szCs w:val="20"/>
          <w:color w:val="auto"/>
        </w:rPr>
      </w:pPr>
      <w:r>
        <w:rPr>
          <w:rFonts w:ascii="Arial" w:cs="Arial" w:eastAsia="Arial" w:hAnsi="Arial"/>
          <w:sz w:val="18"/>
          <w:szCs w:val="18"/>
          <w:color w:val="auto"/>
        </w:rPr>
        <w:t>Signatory)</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2"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Henry Schuck, certify that:</w:t>
      </w:r>
    </w:p>
    <w:p>
      <w:pPr>
        <w:spacing w:after="0" w:line="244" w:lineRule="exact"/>
        <w:rPr>
          <w:sz w:val="20"/>
          <w:szCs w:val="20"/>
          <w:color w:val="auto"/>
        </w:rPr>
      </w:pPr>
    </w:p>
    <w:p>
      <w:pPr>
        <w:ind w:left="180" w:hanging="174"/>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43" w:lineRule="exact"/>
        <w:rPr>
          <w:rFonts w:ascii="Arial" w:cs="Arial" w:eastAsia="Arial" w:hAnsi="Arial"/>
          <w:sz w:val="18"/>
          <w:szCs w:val="18"/>
          <w:color w:val="auto"/>
        </w:rPr>
      </w:pPr>
    </w:p>
    <w:p>
      <w:pPr>
        <w:ind w:right="460" w:firstLine="6"/>
        <w:spacing w:after="0" w:line="365" w:lineRule="auto"/>
        <w:tabs>
          <w:tab w:leader="none" w:pos="177"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right="80" w:firstLine="6"/>
        <w:spacing w:after="0" w:line="264" w:lineRule="auto"/>
        <w:tabs>
          <w:tab w:leader="none" w:pos="1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ind w:right="60" w:firstLine="6"/>
        <w:spacing w:after="0" w:line="255" w:lineRule="auto"/>
        <w:tabs>
          <w:tab w:leader="none" w:pos="1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960" w:right="340" w:hanging="318"/>
        <w:spacing w:after="0" w:line="255" w:lineRule="auto"/>
        <w:tabs>
          <w:tab w:leader="none" w:pos="88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960" w:right="580" w:hanging="318"/>
        <w:spacing w:after="0" w:line="255"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960" w:right="740" w:hanging="318"/>
        <w:spacing w:after="0" w:line="365" w:lineRule="auto"/>
        <w:tabs>
          <w:tab w:leader="none" w:pos="882"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960" w:right="320" w:hanging="318"/>
        <w:spacing w:after="0" w:line="255" w:lineRule="auto"/>
        <w:tabs>
          <w:tab w:leader="none" w:pos="8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680" w:firstLine="6"/>
        <w:spacing w:after="0" w:line="365" w:lineRule="auto"/>
        <w:tabs>
          <w:tab w:leader="none" w:pos="177"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960" w:right="160" w:hanging="318"/>
        <w:spacing w:after="0" w:line="294" w:lineRule="auto"/>
        <w:tabs>
          <w:tab w:leader="none" w:pos="957"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960" w:right="120" w:hanging="318"/>
        <w:spacing w:after="0" w:line="264" w:lineRule="auto"/>
        <w:tabs>
          <w:tab w:leader="none" w:pos="9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9" w:right="339" w:bottom="1440" w:gutter="0" w:footer="0" w:header="0"/>
        </w:sectPr>
      </w:pPr>
    </w:p>
    <w:bookmarkStart w:id="79" w:name="page80"/>
    <w:bookmarkEnd w:id="79"/>
    <w:p>
      <w:pPr>
        <w:spacing w:after="0" w:line="200" w:lineRule="exact"/>
        <w:rPr>
          <w:sz w:val="20"/>
          <w:szCs w:val="20"/>
          <w:color w:val="auto"/>
        </w:rPr>
      </w:pPr>
    </w:p>
    <w:p>
      <w:pPr>
        <w:spacing w:after="0" w:line="3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27940</wp:posOffset>
            </wp:positionV>
            <wp:extent cx="3079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38"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May 2, 2022</w:t>
      </w:r>
      <w:r>
        <w:rPr>
          <w:sz w:val="20"/>
          <w:szCs w:val="20"/>
          <w:color w:val="auto"/>
        </w:rPr>
        <w:tab/>
      </w:r>
      <w:r>
        <w:rPr>
          <w:rFonts w:ascii="Arial" w:cs="Arial" w:eastAsia="Arial" w:hAnsi="Arial"/>
          <w:sz w:val="15"/>
          <w:szCs w:val="15"/>
          <w:color w:val="auto"/>
        </w:rPr>
        <w:t>Henry Schuck</w:t>
      </w:r>
    </w:p>
    <w:p>
      <w:pPr>
        <w:spacing w:after="0" w:line="7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620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31.2</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P. Cameron Hyzer, certify that:</w:t>
      </w:r>
    </w:p>
    <w:p>
      <w:pPr>
        <w:spacing w:after="0" w:line="244" w:lineRule="exact"/>
        <w:rPr>
          <w:sz w:val="20"/>
          <w:szCs w:val="20"/>
          <w:color w:val="auto"/>
        </w:rPr>
      </w:pPr>
    </w:p>
    <w:p>
      <w:pPr>
        <w:ind w:left="180" w:hanging="174"/>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43" w:lineRule="exact"/>
        <w:rPr>
          <w:rFonts w:ascii="Arial" w:cs="Arial" w:eastAsia="Arial" w:hAnsi="Arial"/>
          <w:sz w:val="18"/>
          <w:szCs w:val="18"/>
          <w:color w:val="auto"/>
        </w:rPr>
      </w:pPr>
    </w:p>
    <w:p>
      <w:pPr>
        <w:ind w:right="460" w:firstLine="6"/>
        <w:spacing w:after="0" w:line="365" w:lineRule="auto"/>
        <w:tabs>
          <w:tab w:leader="none" w:pos="177"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right="80" w:firstLine="6"/>
        <w:spacing w:after="0" w:line="264" w:lineRule="auto"/>
        <w:tabs>
          <w:tab w:leader="none" w:pos="1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Arial" w:cs="Arial" w:eastAsia="Arial" w:hAnsi="Arial"/>
          <w:sz w:val="18"/>
          <w:szCs w:val="18"/>
          <w:color w:val="auto"/>
        </w:rPr>
      </w:pPr>
    </w:p>
    <w:p>
      <w:pPr>
        <w:ind w:right="60" w:firstLine="6"/>
        <w:spacing w:after="0" w:line="255" w:lineRule="auto"/>
        <w:tabs>
          <w:tab w:leader="none" w:pos="1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4" w:lineRule="exact"/>
        <w:rPr>
          <w:rFonts w:ascii="Arial" w:cs="Arial" w:eastAsia="Arial" w:hAnsi="Arial"/>
          <w:sz w:val="18"/>
          <w:szCs w:val="18"/>
          <w:color w:val="auto"/>
        </w:rPr>
      </w:pPr>
    </w:p>
    <w:p>
      <w:pPr>
        <w:ind w:left="960" w:right="340" w:hanging="318"/>
        <w:spacing w:after="0" w:line="255" w:lineRule="auto"/>
        <w:tabs>
          <w:tab w:leader="none" w:pos="88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960" w:right="580" w:hanging="318"/>
        <w:spacing w:after="0" w:line="255"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960" w:right="740" w:hanging="318"/>
        <w:spacing w:after="0" w:line="365" w:lineRule="auto"/>
        <w:tabs>
          <w:tab w:leader="none" w:pos="882"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960" w:right="320" w:hanging="318"/>
        <w:spacing w:after="0" w:line="255"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680" w:firstLine="6"/>
        <w:spacing w:after="0" w:line="365" w:lineRule="auto"/>
        <w:tabs>
          <w:tab w:leader="none" w:pos="177"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960" w:right="160" w:hanging="318"/>
        <w:spacing w:after="0" w:line="294" w:lineRule="auto"/>
        <w:tabs>
          <w:tab w:leader="none" w:pos="957"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960" w:right="200" w:hanging="318"/>
        <w:spacing w:after="0" w:line="264"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9" w:right="339" w:bottom="1440" w:gutter="0" w:footer="0" w:header="0"/>
        </w:sectPr>
      </w:pPr>
    </w:p>
    <w:bookmarkStart w:id="81" w:name="page82"/>
    <w:bookmarkEnd w:id="81"/>
    <w:p>
      <w:pPr>
        <w:spacing w:after="0" w:line="200" w:lineRule="exact"/>
        <w:rPr>
          <w:sz w:val="20"/>
          <w:szCs w:val="20"/>
          <w:color w:val="auto"/>
        </w:rPr>
      </w:pPr>
    </w:p>
    <w:p>
      <w:pPr>
        <w:spacing w:after="0" w:line="343"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May 2, 2022</w:t>
      </w:r>
      <w:r>
        <w:rPr>
          <w:sz w:val="20"/>
          <w:szCs w:val="20"/>
          <w:color w:val="auto"/>
        </w:rPr>
        <w:tab/>
      </w:r>
      <w:r>
        <w:rPr>
          <w:rFonts w:ascii="Arial" w:cs="Arial" w:eastAsia="Arial" w:hAnsi="Arial"/>
          <w:sz w:val="15"/>
          <w:szCs w:val="15"/>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27940</wp:posOffset>
            </wp:positionV>
            <wp:extent cx="30791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3079115" cy="8255"/>
                    </a:xfrm>
                    <a:prstGeom prst="rect">
                      <a:avLst/>
                    </a:prstGeom>
                    <a:noFill/>
                  </pic:spPr>
                </pic:pic>
              </a:graphicData>
            </a:graphic>
          </wp:anchor>
        </w:drawing>
      </w:r>
    </w:p>
    <w:p>
      <w:pPr>
        <w:spacing w:after="0" w:line="5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 Cameron Hyzer</w:t>
      </w:r>
    </w:p>
    <w:p>
      <w:pPr>
        <w:spacing w:after="0" w:line="5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620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18 U.S.C. Section 1350,</w:t>
      </w:r>
    </w:p>
    <w:p>
      <w:pPr>
        <w:spacing w:after="0" w:line="1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5" w:lineRule="exact"/>
        <w:rPr>
          <w:sz w:val="20"/>
          <w:szCs w:val="20"/>
          <w:color w:val="auto"/>
        </w:rPr>
      </w:pPr>
    </w:p>
    <w:p>
      <w:pPr>
        <w:ind w:right="40" w:firstLine="636"/>
        <w:spacing w:after="0" w:line="282" w:lineRule="auto"/>
        <w:rPr>
          <w:sz w:val="20"/>
          <w:szCs w:val="20"/>
          <w:color w:val="auto"/>
        </w:rPr>
      </w:pPr>
      <w:r>
        <w:rPr>
          <w:rFonts w:ascii="Arial" w:cs="Arial" w:eastAsia="Arial" w:hAnsi="Arial"/>
          <w:sz w:val="18"/>
          <w:szCs w:val="18"/>
          <w:color w:val="auto"/>
        </w:rPr>
        <w:t>In connection with the Quarterly Report on Form 10-Q of ZoomInfo Technologies Inc. (the “Company”) for the quarterly period ended March 31, 2022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220" w:lineRule="exact"/>
        <w:rPr>
          <w:sz w:val="20"/>
          <w:szCs w:val="20"/>
          <w:color w:val="auto"/>
        </w:rPr>
      </w:pPr>
    </w:p>
    <w:p>
      <w:pPr>
        <w:ind w:left="900" w:hanging="258"/>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0" w:lineRule="exact"/>
        <w:rPr>
          <w:rFonts w:ascii="Arial" w:cs="Arial" w:eastAsia="Arial" w:hAnsi="Arial"/>
          <w:sz w:val="18"/>
          <w:szCs w:val="18"/>
          <w:color w:val="auto"/>
        </w:rPr>
      </w:pPr>
    </w:p>
    <w:p>
      <w:pPr>
        <w:ind w:left="900" w:hanging="258"/>
        <w:spacing w:after="0"/>
        <w:tabs>
          <w:tab w:leader="none" w:pos="9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27940</wp:posOffset>
            </wp:positionV>
            <wp:extent cx="30962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Henry Schuck</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3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27940</wp:posOffset>
            </wp:positionV>
            <wp:extent cx="30962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 Cameron Hyzer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3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5"/>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4"/>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lvl w:ilvl="1">
      <w:lvlJc w:val="left"/>
      <w:lvlText w:val="%2"/>
      <w:numFmt w:val="decimal"/>
      <w:start w:val="104"/>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93" Type="http://schemas.openxmlformats.org/officeDocument/2006/relationships/hyperlink" Target="http://www.sec.gov/Archives/edgar/data/1794515/000162828020009137/exhibit31-closing8xkxchart.htm" TargetMode="External"/><Relationship Id="rId94" Type="http://schemas.openxmlformats.org/officeDocument/2006/relationships/hyperlink" Target="http://www.sec.gov/Archives/edgar/data/1794515/000162828020009137/exhibit32-closing8xkxbylaws.htm" TargetMode="External"/><Relationship Id="rId95" Type="http://schemas.openxmlformats.org/officeDocument/2006/relationships/hyperlink" Target="https://www.sec.gov/Archives/edgar/data/0001794515/000179451521000034/exhibit041xclosingxindent.htm" TargetMode="External"/><Relationship Id="rId96" Type="http://schemas.openxmlformats.org/officeDocument/2006/relationships/hyperlink" Target="https://www.sec.gov/Archives/edgar/data/0001794515/000179451521000174/zi-8kex42x202107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2022-05-02T16:51:33Z</dcterms:created>
  <dcterms:modified xsi:type="dcterms:W3CDTF">2022-05-02T16:51:33Z</dcterms:modified>
</cp:coreProperties>
</file>