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77470</wp:posOffset>
            </wp:positionV>
            <wp:extent cx="1225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88900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5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540" w:hanging="208"/>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16" w:right="319" w:bottom="1440" w:gutter="0" w:footer="0" w:header="0"/>
        </w:sectPr>
      </w:pPr>
    </w:p>
    <w:p>
      <w:pPr>
        <w:spacing w:after="0" w:line="12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transition period from</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97790</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468" w:lineRule="exact"/>
        <w:rPr>
          <w:sz w:val="24"/>
          <w:szCs w:val="24"/>
          <w:color w:val="auto"/>
        </w:rPr>
      </w:pPr>
    </w:p>
    <w:p>
      <w:pPr>
        <w:sectPr>
          <w:pgSz w:w="11900" w:h="16838" w:orient="portrait"/>
          <w:cols w:equalWidth="0" w:num="2">
            <w:col w:w="6840" w:space="40"/>
            <w:col w:w="4380"/>
          </w:cols>
          <w:pgMar w:left="320" w:top="1116" w:right="319" w:bottom="1440" w:gutter="0" w:footer="0" w:header="0"/>
          <w:type w:val="continuous"/>
        </w:sectPr>
      </w:pP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383"/>
        </w:trPr>
        <w:tc>
          <w:tcPr>
            <w:tcW w:w="3520" w:type="dxa"/>
            <w:vAlign w:val="bottom"/>
          </w:tcPr>
          <w:p>
            <w:pPr>
              <w:spacing w:after="0"/>
              <w:rPr>
                <w:sz w:val="24"/>
                <w:szCs w:val="24"/>
                <w:color w:val="auto"/>
              </w:rPr>
            </w:pPr>
          </w:p>
        </w:tc>
        <w:tc>
          <w:tcPr>
            <w:tcW w:w="4360" w:type="dxa"/>
            <w:vAlign w:val="bottom"/>
            <w:gridSpan w:val="5"/>
          </w:tcPr>
          <w:p>
            <w:pPr>
              <w:jc w:val="center"/>
              <w:ind w:right="160"/>
              <w:spacing w:after="0"/>
              <w:rPr>
                <w:sz w:val="20"/>
                <w:szCs w:val="20"/>
                <w:color w:val="auto"/>
              </w:rPr>
            </w:pPr>
            <w:r>
              <w:rPr>
                <w:rFonts w:ascii="Arial" w:cs="Arial" w:eastAsia="Arial" w:hAnsi="Arial"/>
                <w:sz w:val="32"/>
                <w:szCs w:val="32"/>
                <w:b w:val="1"/>
                <w:bCs w:val="1"/>
                <w:color w:val="auto"/>
                <w:w w:val="90"/>
              </w:rPr>
              <w:t>ZoomInfo Technologies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520" w:type="dxa"/>
            <w:vAlign w:val="bottom"/>
            <w:vMerge w:val="restart"/>
          </w:tcPr>
          <w:p>
            <w:pPr>
              <w:jc w:val="center"/>
              <w:ind w:left="189"/>
              <w:spacing w:after="0"/>
              <w:rPr>
                <w:sz w:val="20"/>
                <w:szCs w:val="20"/>
                <w:color w:val="auto"/>
              </w:rPr>
            </w:pPr>
            <w:r>
              <w:rPr>
                <w:rFonts w:ascii="Arial" w:cs="Arial" w:eastAsia="Arial" w:hAnsi="Arial"/>
                <w:sz w:val="14"/>
                <w:szCs w:val="14"/>
                <w:b w:val="1"/>
                <w:bCs w:val="1"/>
                <w:color w:val="auto"/>
                <w:w w:val="94"/>
              </w:rPr>
              <w:t>Delaware</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80" w:type="dxa"/>
            <w:vAlign w:val="bottom"/>
            <w:vMerge w:val="restart"/>
          </w:tcPr>
          <w:p>
            <w:pPr>
              <w:jc w:val="right"/>
              <w:ind w:right="1469"/>
              <w:spacing w:after="0"/>
              <w:rPr>
                <w:sz w:val="20"/>
                <w:szCs w:val="20"/>
                <w:color w:val="auto"/>
              </w:rPr>
            </w:pPr>
            <w:r>
              <w:rPr>
                <w:rFonts w:ascii="Arial" w:cs="Arial" w:eastAsia="Arial" w:hAnsi="Arial"/>
                <w:sz w:val="14"/>
                <w:szCs w:val="14"/>
                <w:b w:val="1"/>
                <w:bCs w:val="1"/>
                <w:color w:val="auto"/>
              </w:rPr>
              <w:t>84-3721253</w:t>
            </w:r>
          </w:p>
        </w:tc>
        <w:tc>
          <w:tcPr>
            <w:tcW w:w="0" w:type="dxa"/>
            <w:vAlign w:val="bottom"/>
          </w:tcPr>
          <w:p>
            <w:pPr>
              <w:spacing w:after="0"/>
              <w:rPr>
                <w:sz w:val="1"/>
                <w:szCs w:val="1"/>
                <w:color w:val="auto"/>
              </w:rPr>
            </w:pPr>
          </w:p>
        </w:tc>
      </w:tr>
      <w:tr>
        <w:trPr>
          <w:trHeight w:val="346"/>
        </w:trPr>
        <w:tc>
          <w:tcPr>
            <w:tcW w:w="3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20" w:type="dxa"/>
            <w:vAlign w:val="bottom"/>
          </w:tcPr>
          <w:p>
            <w:pPr>
              <w:jc w:val="center"/>
              <w:ind w:left="209"/>
              <w:spacing w:after="0"/>
              <w:rPr>
                <w:sz w:val="20"/>
                <w:szCs w:val="20"/>
                <w:color w:val="auto"/>
              </w:rPr>
            </w:pPr>
            <w:r>
              <w:rPr>
                <w:rFonts w:ascii="Arial" w:cs="Arial" w:eastAsia="Arial" w:hAnsi="Arial"/>
                <w:sz w:val="14"/>
                <w:szCs w:val="14"/>
                <w:b w:val="1"/>
                <w:bCs w:val="1"/>
                <w:color w:val="auto"/>
                <w:w w:val="93"/>
              </w:rPr>
              <w:t>(State or other jurisdiction of</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80" w:type="dxa"/>
            <w:vAlign w:val="bottom"/>
          </w:tcPr>
          <w:p>
            <w:pPr>
              <w:jc w:val="center"/>
              <w:ind w:right="30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209"/>
              <w:spacing w:after="0"/>
              <w:rPr>
                <w:sz w:val="20"/>
                <w:szCs w:val="20"/>
                <w:color w:val="auto"/>
              </w:rPr>
            </w:pPr>
            <w:r>
              <w:rPr>
                <w:rFonts w:ascii="Arial" w:cs="Arial" w:eastAsia="Arial" w:hAnsi="Arial"/>
                <w:sz w:val="14"/>
                <w:szCs w:val="14"/>
                <w:b w:val="1"/>
                <w:bCs w:val="1"/>
                <w:color w:val="auto"/>
                <w:w w:val="94"/>
              </w:rPr>
              <w:t>incorporation or organization)</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tcPr>
          <w:p>
            <w:pPr>
              <w:jc w:val="center"/>
              <w:ind w:right="30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47"/>
        </w:trPr>
        <w:tc>
          <w:tcPr>
            <w:tcW w:w="3520" w:type="dxa"/>
            <w:vAlign w:val="bottom"/>
          </w:tcPr>
          <w:p>
            <w:pPr>
              <w:jc w:val="center"/>
              <w:ind w:left="529"/>
              <w:spacing w:after="0"/>
              <w:rPr>
                <w:sz w:val="20"/>
                <w:szCs w:val="20"/>
                <w:color w:val="auto"/>
              </w:rPr>
            </w:pPr>
            <w:r>
              <w:rPr>
                <w:rFonts w:ascii="Arial" w:cs="Arial" w:eastAsia="Arial" w:hAnsi="Arial"/>
                <w:sz w:val="14"/>
                <w:szCs w:val="14"/>
                <w:b w:val="1"/>
                <w:bCs w:val="1"/>
                <w:color w:val="auto"/>
                <w:w w:val="92"/>
              </w:rPr>
              <w:t>805 Broadway Street, Suite 900</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520" w:type="dxa"/>
            <w:vAlign w:val="bottom"/>
          </w:tcPr>
          <w:p>
            <w:pPr>
              <w:jc w:val="center"/>
              <w:ind w:left="509"/>
              <w:spacing w:after="0"/>
              <w:rPr>
                <w:sz w:val="20"/>
                <w:szCs w:val="20"/>
                <w:color w:val="auto"/>
              </w:rPr>
            </w:pPr>
            <w:r>
              <w:rPr>
                <w:rFonts w:ascii="Arial" w:cs="Arial" w:eastAsia="Arial" w:hAnsi="Arial"/>
                <w:sz w:val="14"/>
                <w:szCs w:val="14"/>
                <w:b w:val="1"/>
                <w:bCs w:val="1"/>
                <w:color w:val="auto"/>
                <w:w w:val="91"/>
              </w:rPr>
              <w:t>Vancouver, Washington</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jc w:val="right"/>
              <w:ind w:right="1629"/>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78"/>
        </w:trPr>
        <w:tc>
          <w:tcPr>
            <w:tcW w:w="3520" w:type="dxa"/>
            <w:vAlign w:val="bottom"/>
          </w:tcPr>
          <w:p>
            <w:pPr>
              <w:jc w:val="center"/>
              <w:ind w:left="209"/>
              <w:spacing w:after="0"/>
              <w:rPr>
                <w:sz w:val="20"/>
                <w:szCs w:val="20"/>
                <w:color w:val="auto"/>
              </w:rPr>
            </w:pPr>
            <w:r>
              <w:rPr>
                <w:rFonts w:ascii="Arial" w:cs="Arial" w:eastAsia="Arial" w:hAnsi="Arial"/>
                <w:sz w:val="14"/>
                <w:szCs w:val="14"/>
                <w:color w:val="auto"/>
                <w:w w:val="95"/>
              </w:rPr>
              <w:t>(Address of principal executive offices)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jc w:val="center"/>
              <w:ind w:right="30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08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(800) 914-1220</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gridSpan w:val="4"/>
          </w:tcPr>
          <w:p>
            <w:pPr>
              <w:jc w:val="center"/>
              <w:ind w:right="440"/>
              <w:spacing w:after="0"/>
              <w:rPr>
                <w:sz w:val="20"/>
                <w:szCs w:val="20"/>
                <w:color w:val="auto"/>
              </w:rPr>
            </w:pPr>
            <w:r>
              <w:rPr>
                <w:rFonts w:ascii="Arial" w:cs="Arial" w:eastAsia="Arial" w:hAnsi="Arial"/>
                <w:sz w:val="14"/>
                <w:szCs w:val="14"/>
                <w:color w:val="auto"/>
                <w:w w:val="92"/>
              </w:rPr>
              <w:t>(Registrant’s telephone number, including area code)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20" w:type="dxa"/>
            <w:vAlign w:val="bottom"/>
            <w:vMerge w:val="restart"/>
          </w:tcPr>
          <w:p>
            <w:pPr>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3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520" w:type="dxa"/>
            <w:vAlign w:val="bottom"/>
            <w:tcBorders>
              <w:left w:val="single" w:sz="8" w:color="auto"/>
            </w:tcBorders>
          </w:tcPr>
          <w:p>
            <w:pPr>
              <w:ind w:left="1420"/>
              <w:spacing w:after="0"/>
              <w:rPr>
                <w:sz w:val="20"/>
                <w:szCs w:val="20"/>
                <w:color w:val="auto"/>
              </w:rPr>
            </w:pPr>
            <w:r>
              <w:rPr>
                <w:rFonts w:ascii="Arial" w:cs="Arial" w:eastAsia="Arial" w:hAnsi="Arial"/>
                <w:sz w:val="13"/>
                <w:szCs w:val="13"/>
                <w:b w:val="1"/>
                <w:bCs w:val="1"/>
                <w:color w:val="auto"/>
              </w:rPr>
              <w:t>Title of Each Class</w:t>
            </w:r>
          </w:p>
        </w:tc>
        <w:tc>
          <w:tcPr>
            <w:tcW w:w="2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tcBorders>
              <w:right w:val="single" w:sz="8" w:color="auto"/>
            </w:tcBorders>
            <w:gridSpan w:val="2"/>
          </w:tcPr>
          <w:p>
            <w:pPr>
              <w:jc w:val="center"/>
              <w:ind w:right="880"/>
              <w:spacing w:after="0"/>
              <w:rPr>
                <w:sz w:val="20"/>
                <w:szCs w:val="20"/>
                <w:color w:val="auto"/>
              </w:rPr>
            </w:pPr>
            <w:r>
              <w:rPr>
                <w:rFonts w:ascii="Arial" w:cs="Arial" w:eastAsia="Arial" w:hAnsi="Arial"/>
                <w:sz w:val="13"/>
                <w:szCs w:val="13"/>
                <w:b w:val="1"/>
                <w:bCs w:val="1"/>
                <w:color w:val="auto"/>
                <w:w w:val="87"/>
              </w:rPr>
              <w:t>Trading Symbol(s)</w:t>
            </w:r>
          </w:p>
        </w:tc>
        <w:tc>
          <w:tcPr>
            <w:tcW w:w="340" w:type="dxa"/>
            <w:vAlign w:val="bottom"/>
          </w:tcPr>
          <w:p>
            <w:pPr>
              <w:spacing w:after="0"/>
              <w:rPr>
                <w:sz w:val="14"/>
                <w:szCs w:val="14"/>
                <w:color w:val="auto"/>
              </w:rPr>
            </w:pPr>
          </w:p>
        </w:tc>
        <w:tc>
          <w:tcPr>
            <w:tcW w:w="3380" w:type="dxa"/>
            <w:vAlign w:val="bottom"/>
            <w:tcBorders>
              <w:right w:val="single" w:sz="8" w:color="auto"/>
            </w:tcBorders>
          </w:tcPr>
          <w:p>
            <w:pPr>
              <w:jc w:val="center"/>
              <w:ind w:right="28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9"/>
        </w:trPr>
        <w:tc>
          <w:tcPr>
            <w:tcW w:w="352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520" w:type="dxa"/>
            <w:vAlign w:val="bottom"/>
            <w:tcBorders>
              <w:left w:val="single" w:sz="8" w:color="auto"/>
              <w:bottom w:val="single" w:sz="8" w:color="auto"/>
            </w:tcBorders>
          </w:tcPr>
          <w:p>
            <w:pPr>
              <w:jc w:val="center"/>
              <w:ind w:left="209"/>
              <w:spacing w:after="0"/>
              <w:rPr>
                <w:sz w:val="20"/>
                <w:szCs w:val="20"/>
                <w:color w:val="auto"/>
              </w:rPr>
            </w:pPr>
            <w:r>
              <w:rPr>
                <w:rFonts w:ascii="Arial" w:cs="Arial" w:eastAsia="Arial" w:hAnsi="Arial"/>
                <w:sz w:val="14"/>
                <w:szCs w:val="14"/>
                <w:color w:val="auto"/>
                <w:w w:val="91"/>
              </w:rPr>
              <w:t>Class A common stock, par value $0.01 per share</w:t>
            </w:r>
          </w:p>
        </w:tc>
        <w:tc>
          <w:tcPr>
            <w:tcW w:w="2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8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18"/>
                <w:szCs w:val="18"/>
                <w:color w:val="auto"/>
              </w:rPr>
              <w:t>ZI</w:t>
            </w:r>
          </w:p>
        </w:tc>
        <w:tc>
          <w:tcPr>
            <w:tcW w:w="340" w:type="dxa"/>
            <w:vAlign w:val="bottom"/>
            <w:tcBorders>
              <w:bottom w:val="single" w:sz="8" w:color="auto"/>
            </w:tcBorders>
          </w:tcPr>
          <w:p>
            <w:pPr>
              <w:spacing w:after="0"/>
              <w:rPr>
                <w:sz w:val="22"/>
                <w:szCs w:val="22"/>
                <w:color w:val="auto"/>
              </w:rPr>
            </w:pPr>
          </w:p>
        </w:tc>
        <w:tc>
          <w:tcPr>
            <w:tcW w:w="3380" w:type="dxa"/>
            <w:vAlign w:val="bottom"/>
            <w:tcBorders>
              <w:bottom w:val="single" w:sz="8" w:color="auto"/>
              <w:right w:val="single" w:sz="8" w:color="auto"/>
            </w:tcBorders>
          </w:tcPr>
          <w:p>
            <w:pPr>
              <w:jc w:val="center"/>
              <w:ind w:right="289"/>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jc w:val="both"/>
        <w:ind w:right="4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00" w:type="dxa"/>
            <w:vAlign w:val="bottom"/>
          </w:tcPr>
          <w:p>
            <w:pPr>
              <w:ind w:left="354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20"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340"/>
        <w:spacing w:after="0" w:line="150" w:lineRule="exact"/>
        <w:tabs>
          <w:tab w:leader="none" w:pos="744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106045</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7, 2020, the number of outstanding shares of the registrant's common stock was:</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51,994,291 shares of Class A common stock.</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239,148,743 shares of Class B common stock.</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98,106,387 shares of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type w:val="continuous"/>
        </w:sectPr>
      </w:pPr>
    </w:p>
    <w:bookmarkStart w:id="1" w:name="page2"/>
    <w:bookmarkEnd w:id="1"/>
    <w:p>
      <w:pPr>
        <w:spacing w:after="0" w:line="14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31"/>
        </w:trPr>
        <w:tc>
          <w:tcPr>
            <w:tcW w:w="10460" w:type="dxa"/>
            <w:vAlign w:val="bottom"/>
            <w:gridSpan w:val="1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w:t>
              </w:r>
            </w:hyperlink>
          </w:p>
        </w:tc>
        <w:tc>
          <w:tcPr>
            <w:tcW w:w="760" w:type="dxa"/>
            <w:vAlign w:val="bottom"/>
          </w:tcPr>
          <w:p>
            <w:pPr>
              <w:jc w:val="cente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ii</w:t>
              </w:r>
            </w:hyperlink>
          </w:p>
        </w:tc>
      </w:tr>
      <w:tr>
        <w:trPr>
          <w:trHeight w:val="228"/>
        </w:trPr>
        <w:tc>
          <w:tcPr>
            <w:tcW w:w="1046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Cautionary</w:t>
              </w:r>
              <w:r>
                <w:rPr>
                  <w:rFonts w:ascii="Arial" w:cs="Arial" w:eastAsia="Arial" w:hAnsi="Arial"/>
                  <w:sz w:val="18"/>
                  <w:szCs w:val="18"/>
                  <w:color w:val="0000FF"/>
                </w:rPr>
                <w:t xml:space="preserve"> Statement R</w:t>
              </w:r>
              <w:r>
                <w:rPr>
                  <w:rFonts w:ascii="Arial" w:cs="Arial" w:eastAsia="Arial" w:hAnsi="Arial"/>
                  <w:sz w:val="18"/>
                  <w:szCs w:val="18"/>
                  <w:u w:val="single" w:color="auto"/>
                  <w:color w:val="0000FF"/>
                </w:rPr>
                <w:t>egarding</w:t>
              </w:r>
              <w:r>
                <w:rPr>
                  <w:rFonts w:ascii="Arial" w:cs="Arial" w:eastAsia="Arial" w:hAnsi="Arial"/>
                  <w:sz w:val="18"/>
                  <w:szCs w:val="18"/>
                  <w:color w:val="0000FF"/>
                </w:rPr>
                <w:t xml:space="preserve"> </w:t>
              </w:r>
            </w:hyperlink>
            <w:r>
              <w:rPr>
                <w:rFonts w:ascii="Arial" w:cs="Arial" w:eastAsia="Arial" w:hAnsi="Arial"/>
                <w:sz w:val="18"/>
                <w:szCs w:val="18"/>
                <w:color w:val="0000FF"/>
              </w:rPr>
              <w:t>Forward</w:t>
            </w:r>
            <w:hyperlink w:anchor="page4">
              <w:r>
                <w:rPr>
                  <w:rFonts w:ascii="Arial" w:cs="Arial" w:eastAsia="Arial" w:hAnsi="Arial"/>
                  <w:sz w:val="18"/>
                  <w:szCs w:val="18"/>
                  <w:color w:val="0000FF"/>
                </w:rPr>
                <w:t>-</w:t>
              </w:r>
              <w:r>
                <w:rPr>
                  <w:rFonts w:ascii="Arial" w:cs="Arial" w:eastAsia="Arial" w:hAnsi="Arial"/>
                  <w:sz w:val="18"/>
                  <w:szCs w:val="18"/>
                  <w:u w:val="single" w:color="auto"/>
                  <w:color w:val="0000FF"/>
                </w:rPr>
                <w:t>Looking</w:t>
              </w:r>
              <w:r>
                <w:rPr>
                  <w:rFonts w:ascii="Arial" w:cs="Arial" w:eastAsia="Arial" w:hAnsi="Arial"/>
                  <w:sz w:val="18"/>
                  <w:szCs w:val="18"/>
                  <w:color w:val="0000FF"/>
                </w:rPr>
                <w:t xml:space="preserve"> Statements</w:t>
              </w:r>
            </w:hyperlink>
          </w:p>
        </w:tc>
        <w:tc>
          <w:tcPr>
            <w:tcW w:w="760" w:type="dxa"/>
            <w:vAlign w:val="bottom"/>
          </w:tcPr>
          <w:p>
            <w:pPr>
              <w:jc w:val="center"/>
              <w:spacing w:after="0"/>
              <w:rPr>
                <w:sz w:val="20"/>
                <w:szCs w:val="20"/>
                <w:color w:val="auto"/>
              </w:rPr>
            </w:pPr>
            <w:r>
              <w:rPr>
                <w:rFonts w:ascii="Arial" w:cs="Arial" w:eastAsia="Arial" w:hAnsi="Arial"/>
                <w:sz w:val="14"/>
                <w:szCs w:val="14"/>
                <w:b w:val="1"/>
                <w:bCs w:val="1"/>
                <w:u w:val="single" w:color="auto"/>
                <w:color w:val="0000FF"/>
              </w:rPr>
              <w:t>iv</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6"/>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4"/>
          </w:tcPr>
          <w:p>
            <w:pPr>
              <w:jc w:val="center"/>
              <w:ind w:right="3380"/>
              <w:spacing w:after="0"/>
              <w:rPr>
                <w:rFonts w:ascii="Arial" w:cs="Arial" w:eastAsia="Arial" w:hAnsi="Arial"/>
                <w:sz w:val="18"/>
                <w:szCs w:val="18"/>
                <w:color w:val="0000FF"/>
                <w:w w:val="98"/>
              </w:rPr>
            </w:pPr>
            <w:r>
              <w:rPr>
                <w:rFonts w:ascii="Arial" w:cs="Arial" w:eastAsia="Arial" w:hAnsi="Arial"/>
                <w:sz w:val="18"/>
                <w:szCs w:val="18"/>
                <w:color w:val="0000FF"/>
                <w:w w:val="98"/>
              </w:rPr>
              <w:t xml:space="preserve">PART </w:t>
            </w:r>
            <w:hyperlink w:anchor="page6">
              <w:r>
                <w:rPr>
                  <w:rFonts w:ascii="Arial" w:cs="Arial" w:eastAsia="Arial" w:hAnsi="Arial"/>
                  <w:sz w:val="18"/>
                  <w:szCs w:val="18"/>
                  <w:color w:val="0000FF"/>
                  <w:w w:val="98"/>
                </w:rPr>
                <w:t>I - FINANCIAL INFORMATION</w:t>
              </w:r>
            </w:hyperlink>
          </w:p>
        </w:tc>
        <w:tc>
          <w:tcPr>
            <w:tcW w:w="760" w:type="dxa"/>
            <w:vAlign w:val="bottom"/>
          </w:tcPr>
          <w:p>
            <w:pPr>
              <w:spacing w:after="0"/>
              <w:rPr>
                <w:sz w:val="24"/>
                <w:szCs w:val="24"/>
                <w:color w:val="auto"/>
              </w:rPr>
            </w:pPr>
          </w:p>
        </w:tc>
      </w:tr>
      <w:tr>
        <w:trPr>
          <w:trHeight w:val="291"/>
        </w:trPr>
        <w:tc>
          <w:tcPr>
            <w:tcW w:w="4120" w:type="dxa"/>
            <w:vAlign w:val="bottom"/>
            <w:gridSpan w:val="9"/>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Financial Statements</w:t>
              </w:r>
            </w:hyperlink>
          </w:p>
        </w:tc>
        <w:tc>
          <w:tcPr>
            <w:tcW w:w="2960" w:type="dxa"/>
            <w:vAlign w:val="bottom"/>
            <w:tcBorders>
              <w:top w:val="single" w:sz="8" w:color="0000FF"/>
            </w:tcBorders>
            <w:gridSpan w:val="3"/>
          </w:tcPr>
          <w:p>
            <w:pPr>
              <w:spacing w:after="0"/>
              <w:rPr>
                <w:sz w:val="24"/>
                <w:szCs w:val="24"/>
                <w:color w:val="auto"/>
              </w:rPr>
            </w:pPr>
          </w:p>
        </w:tc>
        <w:tc>
          <w:tcPr>
            <w:tcW w:w="3380" w:type="dxa"/>
            <w:vAlign w:val="bottom"/>
          </w:tcPr>
          <w:p>
            <w:pPr>
              <w:spacing w:after="0"/>
              <w:rPr>
                <w:sz w:val="24"/>
                <w:szCs w:val="24"/>
                <w:color w:val="auto"/>
              </w:rPr>
            </w:pPr>
          </w:p>
        </w:tc>
        <w:tc>
          <w:tcPr>
            <w:tcW w:w="76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1</w:t>
              </w:r>
            </w:hyperlink>
          </w:p>
        </w:tc>
      </w:tr>
      <w:tr>
        <w:trPr>
          <w:trHeight w:val="270"/>
        </w:trPr>
        <w:tc>
          <w:tcPr>
            <w:tcW w:w="680" w:type="dxa"/>
            <w:vAlign w:val="bottom"/>
          </w:tcPr>
          <w:p>
            <w:pPr>
              <w:spacing w:after="0"/>
              <w:rPr>
                <w:sz w:val="23"/>
                <w:szCs w:val="23"/>
                <w:color w:val="auto"/>
              </w:rPr>
            </w:pPr>
          </w:p>
        </w:tc>
        <w:tc>
          <w:tcPr>
            <w:tcW w:w="9780" w:type="dxa"/>
            <w:vAlign w:val="bottom"/>
            <w:gridSpan w:val="12"/>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Balance Sheets</w:t>
              </w:r>
            </w:hyperlink>
          </w:p>
        </w:tc>
        <w:tc>
          <w:tcPr>
            <w:tcW w:w="76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1</w:t>
              </w:r>
            </w:hyperlink>
          </w:p>
        </w:tc>
      </w:tr>
      <w:tr>
        <w:trPr>
          <w:trHeight w:val="270"/>
        </w:trPr>
        <w:tc>
          <w:tcPr>
            <w:tcW w:w="680" w:type="dxa"/>
            <w:vAlign w:val="bottom"/>
          </w:tcPr>
          <w:p>
            <w:pPr>
              <w:spacing w:after="0"/>
              <w:rPr>
                <w:sz w:val="23"/>
                <w:szCs w:val="23"/>
                <w:color w:val="auto"/>
              </w:rPr>
            </w:pPr>
          </w:p>
        </w:tc>
        <w:tc>
          <w:tcPr>
            <w:tcW w:w="9780" w:type="dxa"/>
            <w:vAlign w:val="bottom"/>
            <w:gridSpan w:val="12"/>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Statements of Operations</w:t>
              </w:r>
            </w:hyperlink>
          </w:p>
        </w:tc>
        <w:tc>
          <w:tcPr>
            <w:tcW w:w="760" w:type="dxa"/>
            <w:vAlign w:val="bottom"/>
          </w:tcPr>
          <w:p>
            <w:pPr>
              <w:jc w:val="center"/>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2</w:t>
              </w:r>
            </w:hyperlink>
          </w:p>
        </w:tc>
      </w:tr>
      <w:tr>
        <w:trPr>
          <w:trHeight w:val="270"/>
        </w:trPr>
        <w:tc>
          <w:tcPr>
            <w:tcW w:w="680" w:type="dxa"/>
            <w:vAlign w:val="bottom"/>
          </w:tcPr>
          <w:p>
            <w:pPr>
              <w:spacing w:after="0"/>
              <w:rPr>
                <w:sz w:val="23"/>
                <w:szCs w:val="23"/>
                <w:color w:val="auto"/>
              </w:rPr>
            </w:pPr>
          </w:p>
        </w:tc>
        <w:tc>
          <w:tcPr>
            <w:tcW w:w="9780" w:type="dxa"/>
            <w:vAlign w:val="bottom"/>
            <w:gridSpan w:val="12"/>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Comprehensive Loss</w:t>
              </w:r>
            </w:hyperlink>
          </w:p>
        </w:tc>
        <w:tc>
          <w:tcPr>
            <w:tcW w:w="760" w:type="dxa"/>
            <w:vAlign w:val="bottom"/>
          </w:tcPr>
          <w:p>
            <w:pPr>
              <w:jc w:val="center"/>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3</w:t>
              </w:r>
            </w:hyperlink>
          </w:p>
        </w:tc>
      </w:tr>
      <w:tr>
        <w:trPr>
          <w:trHeight w:val="270"/>
        </w:trPr>
        <w:tc>
          <w:tcPr>
            <w:tcW w:w="680" w:type="dxa"/>
            <w:vAlign w:val="bottom"/>
          </w:tcPr>
          <w:p>
            <w:pPr>
              <w:spacing w:after="0"/>
              <w:rPr>
                <w:sz w:val="23"/>
                <w:szCs w:val="23"/>
                <w:color w:val="auto"/>
              </w:rPr>
            </w:pPr>
          </w:p>
        </w:tc>
        <w:tc>
          <w:tcPr>
            <w:tcW w:w="9780" w:type="dxa"/>
            <w:vAlign w:val="bottom"/>
            <w:gridSpan w:val="12"/>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Consolidated Statements of Changes in Equity (Deficit)</w:t>
              </w:r>
            </w:hyperlink>
          </w:p>
        </w:tc>
        <w:tc>
          <w:tcPr>
            <w:tcW w:w="76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4</w:t>
              </w:r>
            </w:hyperlink>
          </w:p>
        </w:tc>
      </w:tr>
      <w:tr>
        <w:trPr>
          <w:trHeight w:val="270"/>
        </w:trPr>
        <w:tc>
          <w:tcPr>
            <w:tcW w:w="680" w:type="dxa"/>
            <w:vAlign w:val="bottom"/>
          </w:tcPr>
          <w:p>
            <w:pPr>
              <w:spacing w:after="0"/>
              <w:rPr>
                <w:sz w:val="23"/>
                <w:szCs w:val="23"/>
                <w:color w:val="auto"/>
              </w:rPr>
            </w:pPr>
          </w:p>
        </w:tc>
        <w:tc>
          <w:tcPr>
            <w:tcW w:w="9780" w:type="dxa"/>
            <w:vAlign w:val="bottom"/>
            <w:gridSpan w:val="12"/>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Consolidated Statements of Cash Flows</w:t>
              </w:r>
            </w:hyperlink>
          </w:p>
        </w:tc>
        <w:tc>
          <w:tcPr>
            <w:tcW w:w="760" w:type="dxa"/>
            <w:vAlign w:val="bottom"/>
          </w:tcPr>
          <w:p>
            <w:pPr>
              <w:jc w:val="center"/>
              <w:spacing w:after="0"/>
              <w:rPr>
                <w:rFonts w:ascii="Arial" w:cs="Arial" w:eastAsia="Arial" w:hAnsi="Arial"/>
                <w:sz w:val="18"/>
                <w:szCs w:val="18"/>
                <w:u w:val="single" w:color="auto"/>
                <w:color w:val="0000FF"/>
                <w:w w:val="79"/>
              </w:rPr>
            </w:pPr>
            <w:hyperlink w:anchor="page13">
              <w:r>
                <w:rPr>
                  <w:rFonts w:ascii="Arial" w:cs="Arial" w:eastAsia="Arial" w:hAnsi="Arial"/>
                  <w:sz w:val="18"/>
                  <w:szCs w:val="18"/>
                  <w:u w:val="single" w:color="auto"/>
                  <w:color w:val="0000FF"/>
                  <w:w w:val="79"/>
                </w:rPr>
                <w:t>6</w:t>
              </w:r>
            </w:hyperlink>
          </w:p>
        </w:tc>
      </w:tr>
      <w:tr>
        <w:trPr>
          <w:trHeight w:val="229"/>
        </w:trPr>
        <w:tc>
          <w:tcPr>
            <w:tcW w:w="680" w:type="dxa"/>
            <w:vAlign w:val="bottom"/>
          </w:tcPr>
          <w:p>
            <w:pPr>
              <w:spacing w:after="0"/>
              <w:rPr>
                <w:sz w:val="19"/>
                <w:szCs w:val="19"/>
                <w:color w:val="auto"/>
              </w:rPr>
            </w:pPr>
          </w:p>
        </w:tc>
        <w:tc>
          <w:tcPr>
            <w:tcW w:w="3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Notes to the Consolidated Financial Statements</w:t>
              </w:r>
            </w:hyperlink>
          </w:p>
        </w:tc>
        <w:tc>
          <w:tcPr>
            <w:tcW w:w="6360" w:type="dxa"/>
            <w:vAlign w:val="bottom"/>
            <w:gridSpan w:val="5"/>
          </w:tcPr>
          <w:p>
            <w:pPr>
              <w:spacing w:after="0"/>
              <w:rPr>
                <w:sz w:val="19"/>
                <w:szCs w:val="19"/>
                <w:color w:val="auto"/>
              </w:rPr>
            </w:pPr>
          </w:p>
        </w:tc>
        <w:tc>
          <w:tcPr>
            <w:tcW w:w="760" w:type="dxa"/>
            <w:vAlign w:val="bottom"/>
          </w:tcPr>
          <w:p>
            <w:pPr>
              <w:jc w:val="center"/>
              <w:spacing w:after="0"/>
              <w:rPr>
                <w:rFonts w:ascii="Arial" w:cs="Arial" w:eastAsia="Arial" w:hAnsi="Arial"/>
                <w:sz w:val="18"/>
                <w:szCs w:val="18"/>
                <w:u w:val="single" w:color="auto"/>
                <w:color w:val="0000FF"/>
                <w:w w:val="79"/>
              </w:rPr>
            </w:pPr>
            <w:hyperlink w:anchor="page14">
              <w:r>
                <w:rPr>
                  <w:rFonts w:ascii="Arial" w:cs="Arial" w:eastAsia="Arial" w:hAnsi="Arial"/>
                  <w:sz w:val="18"/>
                  <w:szCs w:val="18"/>
                  <w:u w:val="single" w:color="auto"/>
                  <w:color w:val="0000FF"/>
                  <w:w w:val="79"/>
                </w:rPr>
                <w:t>7</w:t>
              </w:r>
            </w:hyperlink>
          </w:p>
        </w:tc>
      </w:tr>
      <w:tr>
        <w:trPr>
          <w:trHeight w:val="290"/>
        </w:trPr>
        <w:tc>
          <w:tcPr>
            <w:tcW w:w="10460" w:type="dxa"/>
            <w:vAlign w:val="bottom"/>
            <w:gridSpan w:val="1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39</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center"/>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62</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4. Controls and Procedures</w:t>
              </w:r>
            </w:hyperlink>
          </w:p>
        </w:tc>
        <w:tc>
          <w:tcPr>
            <w:tcW w:w="760" w:type="dxa"/>
            <w:vAlign w:val="bottom"/>
          </w:tcPr>
          <w:p>
            <w:pPr>
              <w:jc w:val="center"/>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63</w:t>
              </w:r>
            </w:hyperlink>
          </w:p>
        </w:tc>
      </w:tr>
      <w:tr>
        <w:trPr>
          <w:trHeight w:val="270"/>
        </w:trPr>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340" w:type="dxa"/>
            <w:vAlign w:val="bottom"/>
            <w:gridSpan w:val="4"/>
          </w:tcPr>
          <w:p>
            <w:pPr>
              <w:jc w:val="center"/>
              <w:ind w:right="3380"/>
              <w:spacing w:after="0"/>
              <w:rPr>
                <w:rFonts w:ascii="Arial" w:cs="Arial" w:eastAsia="Arial" w:hAnsi="Arial"/>
                <w:sz w:val="18"/>
                <w:szCs w:val="18"/>
                <w:u w:val="single" w:color="auto"/>
                <w:color w:val="0000FF"/>
                <w:w w:val="96"/>
              </w:rPr>
            </w:pPr>
            <w:hyperlink w:anchor="page72">
              <w:r>
                <w:rPr>
                  <w:rFonts w:ascii="Arial" w:cs="Arial" w:eastAsia="Arial" w:hAnsi="Arial"/>
                  <w:sz w:val="18"/>
                  <w:szCs w:val="18"/>
                  <w:u w:val="single" w:color="auto"/>
                  <w:color w:val="0000FF"/>
                  <w:w w:val="96"/>
                </w:rPr>
                <w:t>PART II - OTHER INFORMATION</w:t>
              </w:r>
            </w:hyperlink>
          </w:p>
        </w:tc>
        <w:tc>
          <w:tcPr>
            <w:tcW w:w="760" w:type="dxa"/>
            <w:vAlign w:val="bottom"/>
          </w:tcPr>
          <w:p>
            <w:pPr>
              <w:spacing w:after="0"/>
              <w:rPr>
                <w:sz w:val="23"/>
                <w:szCs w:val="23"/>
                <w:color w:val="auto"/>
              </w:rPr>
            </w:pPr>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1. Legal Proceedings</w:t>
              </w:r>
            </w:hyperlink>
          </w:p>
        </w:tc>
        <w:tc>
          <w:tcPr>
            <w:tcW w:w="76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65</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1A. Risk Factors</w:t>
              </w:r>
            </w:hyperlink>
          </w:p>
        </w:tc>
        <w:tc>
          <w:tcPr>
            <w:tcW w:w="76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65</w:t>
              </w:r>
            </w:hyperlink>
          </w:p>
        </w:tc>
      </w:tr>
      <w:tr>
        <w:trPr>
          <w:trHeight w:val="229"/>
        </w:trPr>
        <w:tc>
          <w:tcPr>
            <w:tcW w:w="10460" w:type="dxa"/>
            <w:vAlign w:val="bottom"/>
            <w:gridSpan w:val="13"/>
          </w:tcPr>
          <w:p>
            <w:pPr>
              <w:spacing w:after="0"/>
              <w:rPr>
                <w:rFonts w:ascii="Arial" w:cs="Arial" w:eastAsia="Arial" w:hAnsi="Arial"/>
                <w:sz w:val="18"/>
                <w:szCs w:val="18"/>
                <w:color w:val="0000FF"/>
              </w:rPr>
            </w:pPr>
            <w:hyperlink w:anchor="page118">
              <w:r>
                <w:rPr>
                  <w:rFonts w:ascii="Arial" w:cs="Arial" w:eastAsia="Arial" w:hAnsi="Arial"/>
                  <w:sz w:val="18"/>
                  <w:szCs w:val="18"/>
                  <w:u w:val="single" w:color="auto"/>
                  <w:color w:val="0000FF"/>
                </w:rPr>
                <w:t>Item 2. Unregistered Sales of Equity</w:t>
              </w:r>
              <w:r>
                <w:rPr>
                  <w:rFonts w:ascii="Arial" w:cs="Arial" w:eastAsia="Arial" w:hAnsi="Arial"/>
                  <w:sz w:val="18"/>
                  <w:szCs w:val="18"/>
                  <w:color w:val="0000FF"/>
                </w:rPr>
                <w:t xml:space="preserve"> Securities and Use of Proceeds</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18">
              <w:r>
                <w:rPr>
                  <w:rFonts w:ascii="Arial" w:cs="Arial" w:eastAsia="Arial" w:hAnsi="Arial"/>
                  <w:sz w:val="18"/>
                  <w:szCs w:val="18"/>
                  <w:u w:val="single" w:color="auto"/>
                  <w:color w:val="0000FF"/>
                  <w:w w:val="86"/>
                </w:rPr>
                <w:t>110</w:t>
              </w:r>
            </w:hyperlink>
          </w:p>
        </w:tc>
      </w:tr>
      <w:tr>
        <w:trPr>
          <w:trHeight w:val="20"/>
        </w:trPr>
        <w:tc>
          <w:tcPr>
            <w:tcW w:w="2640" w:type="dxa"/>
            <w:vAlign w:val="bottom"/>
            <w:gridSpan w:val="5"/>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1"/>
        </w:trPr>
        <w:tc>
          <w:tcPr>
            <w:tcW w:w="10460" w:type="dxa"/>
            <w:vAlign w:val="bottom"/>
            <w:gridSpan w:val="1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3. Defaults Upon Senior Securities</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19">
              <w:r>
                <w:rPr>
                  <w:rFonts w:ascii="Arial" w:cs="Arial" w:eastAsia="Arial" w:hAnsi="Arial"/>
                  <w:sz w:val="18"/>
                  <w:szCs w:val="18"/>
                  <w:u w:val="single" w:color="auto"/>
                  <w:color w:val="0000FF"/>
                  <w:w w:val="86"/>
                </w:rPr>
                <w:t>111</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4. Mine Safety Disclosures</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19">
              <w:r>
                <w:rPr>
                  <w:rFonts w:ascii="Arial" w:cs="Arial" w:eastAsia="Arial" w:hAnsi="Arial"/>
                  <w:sz w:val="18"/>
                  <w:szCs w:val="18"/>
                  <w:u w:val="single" w:color="auto"/>
                  <w:color w:val="0000FF"/>
                  <w:w w:val="86"/>
                </w:rPr>
                <w:t>111</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5. Other Information</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19">
              <w:r>
                <w:rPr>
                  <w:rFonts w:ascii="Arial" w:cs="Arial" w:eastAsia="Arial" w:hAnsi="Arial"/>
                  <w:sz w:val="18"/>
                  <w:szCs w:val="18"/>
                  <w:u w:val="single" w:color="auto"/>
                  <w:color w:val="0000FF"/>
                  <w:w w:val="86"/>
                </w:rPr>
                <w:t>111</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6. Exhibits</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20">
              <w:r>
                <w:rPr>
                  <w:rFonts w:ascii="Arial" w:cs="Arial" w:eastAsia="Arial" w:hAnsi="Arial"/>
                  <w:sz w:val="18"/>
                  <w:szCs w:val="18"/>
                  <w:u w:val="single" w:color="auto"/>
                  <w:color w:val="0000FF"/>
                  <w:w w:val="86"/>
                </w:rPr>
                <w:t>113</w:t>
              </w:r>
            </w:hyperlink>
          </w:p>
        </w:tc>
      </w:tr>
      <w:tr>
        <w:trPr>
          <w:trHeight w:val="270"/>
        </w:trPr>
        <w:tc>
          <w:tcPr>
            <w:tcW w:w="10460" w:type="dxa"/>
            <w:vAlign w:val="bottom"/>
            <w:gridSpan w:val="13"/>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Signatures</w:t>
              </w:r>
            </w:hyperlink>
          </w:p>
        </w:tc>
        <w:tc>
          <w:tcPr>
            <w:tcW w:w="760" w:type="dxa"/>
            <w:vAlign w:val="bottom"/>
          </w:tcPr>
          <w:p>
            <w:pPr>
              <w:jc w:val="center"/>
              <w:spacing w:after="0"/>
              <w:rPr>
                <w:rFonts w:ascii="Arial" w:cs="Arial" w:eastAsia="Arial" w:hAnsi="Arial"/>
                <w:sz w:val="18"/>
                <w:szCs w:val="18"/>
                <w:u w:val="single" w:color="auto"/>
                <w:color w:val="0000FF"/>
                <w:w w:val="86"/>
              </w:rPr>
            </w:pPr>
            <w:hyperlink w:anchor="page122">
              <w:r>
                <w:rPr>
                  <w:rFonts w:ascii="Arial" w:cs="Arial" w:eastAsia="Arial" w:hAnsi="Arial"/>
                  <w:sz w:val="18"/>
                  <w:szCs w:val="18"/>
                  <w:u w:val="single" w:color="auto"/>
                  <w:color w:val="0000FF"/>
                  <w:w w:val="86"/>
                </w:rPr>
                <w:t>115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GLOSSARY</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used in this quarterly report on Form 10-Q (this “</w:t>
      </w:r>
      <w:r>
        <w:rPr>
          <w:rFonts w:ascii="Arial" w:cs="Arial" w:eastAsia="Arial" w:hAnsi="Arial"/>
          <w:sz w:val="16"/>
          <w:szCs w:val="16"/>
          <w:u w:val="single" w:color="auto"/>
          <w:color w:val="auto"/>
        </w:rPr>
        <w:t>Form 10-Q</w:t>
      </w:r>
      <w:r>
        <w:rPr>
          <w:rFonts w:ascii="Arial" w:cs="Arial" w:eastAsia="Arial" w:hAnsi="Arial"/>
          <w:sz w:val="16"/>
          <w:szCs w:val="16"/>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1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Plan</w:t>
      </w:r>
      <w:r>
        <w:rPr>
          <w:rFonts w:ascii="Arial" w:cs="Arial" w:eastAsia="Arial" w:hAnsi="Arial"/>
          <w:sz w:val="18"/>
          <w:szCs w:val="18"/>
          <w:color w:val="auto"/>
        </w:rPr>
        <w:t>” refers to ZoomInfo Technologies Inc.’s 2020 Omnibus Incentive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rPr>
        <w:t>” refers to investment funds associated with 22C Capital LLC and its predecessor.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ACV</w:t>
      </w:r>
      <w:r>
        <w:rPr>
          <w:rFonts w:ascii="Arial" w:cs="Arial" w:eastAsia="Arial" w:hAnsi="Arial"/>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Companies</w:t>
      </w:r>
      <w:r>
        <w:rPr>
          <w:rFonts w:ascii="Arial" w:cs="Arial" w:eastAsia="Arial" w:hAnsi="Arial"/>
          <w:sz w:val="16"/>
          <w:szCs w:val="16"/>
          <w:color w:val="auto"/>
        </w:rPr>
        <w:t>” refers to certain of our Pre-IPO OpCo Unitholders that are taxable as corporations for U.S. federal income tax purposes.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 to hold HoldCo Units or OpCo Units following the Reorganization Transactions and the IPO.</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Customers</w:t>
      </w:r>
      <w:r>
        <w:rPr>
          <w:rFonts w:ascii="Arial" w:cs="Arial" w:eastAsia="Arial" w:hAnsi="Arial"/>
          <w:sz w:val="18"/>
          <w:szCs w:val="18"/>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Datanyze</w:t>
      </w:r>
      <w:r>
        <w:rPr>
          <w:rFonts w:ascii="Arial" w:cs="Arial" w:eastAsia="Arial" w:hAnsi="Arial"/>
          <w:sz w:val="18"/>
          <w:szCs w:val="18"/>
          <w:color w:val="auto"/>
        </w:rPr>
        <w:t>” refers collectively to Datanyze, Inc. and Datanyze Rus,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Prospectus</w:t>
      </w:r>
      <w:r>
        <w:rPr>
          <w:rFonts w:ascii="Arial" w:cs="Arial" w:eastAsia="Arial" w:hAnsi="Arial"/>
          <w:sz w:val="18"/>
          <w:szCs w:val="18"/>
          <w:color w:val="auto"/>
        </w:rPr>
        <w:t>” refers to ZoomInfo Technologies Inc.’s prospectus dated June 3, 2020 filed with the SEC pursuant to Rule 424(b) of the Securities Act on June 5, 2020.</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NeverBounce</w:t>
      </w:r>
      <w:r>
        <w:rPr>
          <w:rFonts w:ascii="Arial" w:cs="Arial" w:eastAsia="Arial" w:hAnsi="Arial"/>
          <w:sz w:val="18"/>
          <w:szCs w:val="18"/>
          <w:color w:val="auto"/>
        </w:rPr>
        <w:t>” refers to Metrics Delivered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Blocker Holders</w:t>
      </w:r>
      <w:r>
        <w:rPr>
          <w:rFonts w:ascii="Arial" w:cs="Arial" w:eastAsia="Arial" w:hAnsi="Arial"/>
          <w:sz w:val="18"/>
          <w:szCs w:val="18"/>
          <w:color w:val="auto"/>
        </w:rPr>
        <w:t>” refers to the pre-IPO owners that held their interests in us through the Blocker Companies immediately prior to the IPO.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RainKing</w:t>
      </w:r>
      <w:r>
        <w:rPr>
          <w:rFonts w:ascii="Arial" w:cs="Arial" w:eastAsia="Arial" w:hAnsi="Arial"/>
          <w:sz w:val="18"/>
          <w:szCs w:val="18"/>
          <w:color w:val="auto"/>
        </w:rPr>
        <w:t>” refers to Rain King Software,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refers to the Series A preferred units of ZoomInfo OpCo outstanding immediately prior to the IPO.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22C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Receivable Agreements</w:t>
      </w:r>
      <w:r>
        <w:rPr>
          <w:rFonts w:ascii="Arial" w:cs="Arial" w:eastAsia="Arial" w:hAnsi="Arial"/>
          <w:sz w:val="16"/>
          <w:szCs w:val="16"/>
          <w:color w:val="auto"/>
        </w:rPr>
        <w:t>” refers collectively to the Exchange Tax Receivable Agreement and the Reorganization Tax Receivable Agreement.</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Topic 606</w:t>
      </w:r>
      <w:r>
        <w:rPr>
          <w:rFonts w:ascii="Arial" w:cs="Arial" w:eastAsia="Arial" w:hAnsi="Arial"/>
          <w:sz w:val="18"/>
          <w:szCs w:val="18"/>
          <w:color w:val="auto"/>
        </w:rPr>
        <w:t>” refers to Accounting Standard Update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later codified as Accounting Standards Codification (“</w:t>
      </w:r>
      <w:r>
        <w:rPr>
          <w:rFonts w:ascii="Arial" w:cs="Arial" w:eastAsia="Arial" w:hAnsi="Arial"/>
          <w:sz w:val="18"/>
          <w:szCs w:val="18"/>
          <w:u w:val="single" w:color="auto"/>
          <w:color w:val="auto"/>
        </w:rPr>
        <w:t>ASC</w:t>
      </w:r>
      <w:r>
        <w:rPr>
          <w:rFonts w:ascii="Arial" w:cs="Arial" w:eastAsia="Arial" w:hAnsi="Arial"/>
          <w:sz w:val="18"/>
          <w:szCs w:val="18"/>
          <w:color w:val="auto"/>
        </w:rPr>
        <w:t>”) Topic 606.</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Addressable Market</w:t>
      </w:r>
      <w:r>
        <w:rPr>
          <w:rFonts w:ascii="Arial" w:cs="Arial" w:eastAsia="Arial" w:hAnsi="Arial"/>
          <w:sz w:val="17"/>
          <w:szCs w:val="17"/>
          <w:color w:val="auto"/>
        </w:rPr>
        <w:t>” refers to the revenue opportunity that we believe is available to go-to-market intelligence solutions, such as ours.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16"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including the global economic uncertainty and measures taken in response, could materially impact our business and future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described under “Risk Factors” in Item 1A of Part II of this Form 10-Q, and in other reports we file from time to time with the SEC.</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whether as a result of new information, future developments or otherwise, except as required by law.</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4060"/>
              <w:spacing w:after="0"/>
              <w:rPr>
                <w:sz w:val="20"/>
                <w:szCs w:val="20"/>
                <w:color w:val="auto"/>
              </w:rPr>
            </w:pPr>
            <w:r>
              <w:rPr>
                <w:rFonts w:ascii="Arial" w:cs="Arial" w:eastAsia="Arial" w:hAnsi="Arial"/>
                <w:sz w:val="18"/>
                <w:szCs w:val="18"/>
                <w:b w:val="1"/>
                <w:bCs w:val="1"/>
                <w:color w:val="auto"/>
              </w:rPr>
              <w:t>PART I - FINANCIAL INFORMATION</w:t>
            </w:r>
          </w:p>
        </w:tc>
        <w:tc>
          <w:tcPr>
            <w:tcW w:w="1840" w:type="dxa"/>
            <w:vAlign w:val="bottom"/>
          </w:tcPr>
          <w:p>
            <w:pPr>
              <w:spacing w:after="0"/>
              <w:rPr>
                <w:sz w:val="20"/>
                <w:szCs w:val="20"/>
                <w:color w:val="auto"/>
              </w:rPr>
            </w:pPr>
          </w:p>
        </w:tc>
      </w:tr>
      <w:tr>
        <w:trPr>
          <w:trHeight w:val="378"/>
        </w:trPr>
        <w:tc>
          <w:tcPr>
            <w:tcW w:w="9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40" w:type="dxa"/>
            <w:vAlign w:val="bottom"/>
          </w:tcPr>
          <w:p>
            <w:pPr>
              <w:spacing w:after="0"/>
              <w:rPr>
                <w:sz w:val="24"/>
                <w:szCs w:val="24"/>
                <w:color w:val="auto"/>
              </w:rPr>
            </w:pPr>
          </w:p>
        </w:tc>
      </w:tr>
      <w:tr>
        <w:trPr>
          <w:trHeight w:val="783"/>
        </w:trPr>
        <w:tc>
          <w:tcPr>
            <w:tcW w:w="906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1840" w:type="dxa"/>
            <w:vAlign w:val="bottom"/>
          </w:tcPr>
          <w:p>
            <w:pPr>
              <w:spacing w:after="0"/>
              <w:rPr>
                <w:sz w:val="24"/>
                <w:szCs w:val="24"/>
                <w:color w:val="auto"/>
              </w:rPr>
            </w:pPr>
          </w:p>
        </w:tc>
      </w:tr>
      <w:tr>
        <w:trPr>
          <w:trHeight w:val="689"/>
        </w:trPr>
        <w:tc>
          <w:tcPr>
            <w:tcW w:w="9060" w:type="dxa"/>
            <w:vAlign w:val="bottom"/>
          </w:tcPr>
          <w:p>
            <w:pPr>
              <w:ind w:left="6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1840" w:type="dxa"/>
            <w:vAlign w:val="bottom"/>
          </w:tcPr>
          <w:p>
            <w:pPr>
              <w:spacing w:after="0"/>
              <w:rPr>
                <w:sz w:val="24"/>
                <w:szCs w:val="24"/>
                <w:color w:val="auto"/>
              </w:rPr>
            </w:pPr>
          </w:p>
        </w:tc>
      </w:tr>
      <w:tr>
        <w:trPr>
          <w:trHeight w:val="540"/>
        </w:trPr>
        <w:tc>
          <w:tcPr>
            <w:tcW w:w="9060" w:type="dxa"/>
            <w:vAlign w:val="bottom"/>
          </w:tcPr>
          <w:p>
            <w:pPr>
              <w:ind w:left="2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Balance Sheets</w:t>
              </w:r>
            </w:hyperlink>
          </w:p>
        </w:tc>
        <w:tc>
          <w:tcPr>
            <w:tcW w:w="18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w:t>
              </w:r>
            </w:hyperlink>
          </w:p>
        </w:tc>
      </w:tr>
      <w:tr>
        <w:trPr>
          <w:trHeight w:val="270"/>
        </w:trPr>
        <w:tc>
          <w:tcPr>
            <w:tcW w:w="9060" w:type="dxa"/>
            <w:vAlign w:val="bottom"/>
          </w:tcPr>
          <w:p>
            <w:pPr>
              <w:ind w:left="2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Statements of Operations</w:t>
              </w:r>
            </w:hyperlink>
          </w:p>
        </w:tc>
        <w:tc>
          <w:tcPr>
            <w:tcW w:w="18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2</w:t>
              </w:r>
            </w:hyperlink>
          </w:p>
        </w:tc>
      </w:tr>
      <w:tr>
        <w:trPr>
          <w:trHeight w:val="270"/>
        </w:trPr>
        <w:tc>
          <w:tcPr>
            <w:tcW w:w="9060" w:type="dxa"/>
            <w:vAlign w:val="bottom"/>
          </w:tcPr>
          <w:p>
            <w:pPr>
              <w:ind w:left="2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Comprehensive Loss</w:t>
              </w:r>
            </w:hyperlink>
          </w:p>
        </w:tc>
        <w:tc>
          <w:tcPr>
            <w:tcW w:w="184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3</w:t>
              </w:r>
            </w:hyperlink>
          </w:p>
        </w:tc>
      </w:tr>
      <w:tr>
        <w:trPr>
          <w:trHeight w:val="270"/>
        </w:trPr>
        <w:tc>
          <w:tcPr>
            <w:tcW w:w="9060" w:type="dxa"/>
            <w:vAlign w:val="bottom"/>
          </w:tcPr>
          <w:p>
            <w:pPr>
              <w:ind w:left="2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Consolidated Statements of Changes in Equity (Deficit)</w:t>
              </w:r>
            </w:hyperlink>
          </w:p>
        </w:tc>
        <w:tc>
          <w:tcPr>
            <w:tcW w:w="184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4</w:t>
              </w:r>
            </w:hyperlink>
          </w:p>
        </w:tc>
      </w:tr>
      <w:tr>
        <w:trPr>
          <w:trHeight w:val="270"/>
        </w:trPr>
        <w:tc>
          <w:tcPr>
            <w:tcW w:w="9060" w:type="dxa"/>
            <w:vAlign w:val="bottom"/>
          </w:tcPr>
          <w:p>
            <w:pPr>
              <w:ind w:left="24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Consolidated Statements of Cash Flows</w:t>
              </w:r>
            </w:hyperlink>
          </w:p>
        </w:tc>
        <w:tc>
          <w:tcPr>
            <w:tcW w:w="184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6</w:t>
              </w:r>
            </w:hyperlink>
          </w:p>
        </w:tc>
      </w:tr>
      <w:tr>
        <w:trPr>
          <w:trHeight w:val="270"/>
        </w:trPr>
        <w:tc>
          <w:tcPr>
            <w:tcW w:w="9060" w:type="dxa"/>
            <w:vAlign w:val="bottom"/>
          </w:tcPr>
          <w:p>
            <w:pPr>
              <w:ind w:left="24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Notes to the Consolidated Financial Statements</w:t>
              </w:r>
            </w:hyperlink>
          </w:p>
        </w:tc>
        <w:tc>
          <w:tcPr>
            <w:tcW w:w="184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3600" w:type="dxa"/>
            <w:vAlign w:val="bottom"/>
            <w:gridSpan w:val="2"/>
          </w:tcPr>
          <w:p>
            <w:pPr>
              <w:jc w:val="right"/>
              <w:ind w:right="1720"/>
              <w:spacing w:after="0"/>
              <w:rPr>
                <w:sz w:val="20"/>
                <w:szCs w:val="20"/>
                <w:color w:val="auto"/>
              </w:rPr>
            </w:pPr>
            <w:r>
              <w:rPr>
                <w:rFonts w:ascii="Arial" w:cs="Arial" w:eastAsia="Arial" w:hAnsi="Arial"/>
                <w:sz w:val="14"/>
                <w:szCs w:val="14"/>
                <w:b w:val="1"/>
                <w:bCs w:val="1"/>
                <w:i w:val="1"/>
                <w:iCs w:val="1"/>
                <w:color w:val="auto"/>
                <w:w w:val="90"/>
              </w:rPr>
              <w:t>(in millions, except share data)</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17"/>
        </w:trPr>
        <w:tc>
          <w:tcPr>
            <w:tcW w:w="4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96"/>
        </w:trPr>
        <w:tc>
          <w:tcPr>
            <w:tcW w:w="4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8.3</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costs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3.9</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148.2</w:t>
            </w:r>
          </w:p>
        </w:tc>
      </w:tr>
      <w:tr>
        <w:trPr>
          <w:trHeight w:val="128"/>
        </w:trPr>
        <w:tc>
          <w:tcPr>
            <w:tcW w:w="46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36.8</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48"/>
        </w:trPr>
        <w:tc>
          <w:tcPr>
            <w:tcW w:w="466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370.6</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966.8</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Deferred costs, net of current portion</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16.2</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1,981.6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1,561.9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6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Temporary, and Permanent Equity (Deficit)</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62.2</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 current portion</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157.7</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0.5</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Related party payable</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4.0</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3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r>
      <w:tr>
        <w:trPr>
          <w:trHeight w:val="237"/>
        </w:trPr>
        <w:tc>
          <w:tcPr>
            <w:tcW w:w="46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241.7</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466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1.4</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agreements liability, net of current portion</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40.7</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1,194.6</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82.8</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r>
      <w:tr>
        <w:trPr>
          <w:trHeight w:val="236"/>
        </w:trPr>
        <w:tc>
          <w:tcPr>
            <w:tcW w:w="46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1,136.1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1,575.5</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9"/>
        </w:trPr>
        <w:tc>
          <w:tcPr>
            <w:tcW w:w="466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Series A Preferred Units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200.2</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Contingencies, and Guarantees (Note 10)</w:t>
            </w:r>
          </w:p>
        </w:tc>
        <w:tc>
          <w:tcPr>
            <w:tcW w:w="3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149"/>
        </w:trPr>
        <w:tc>
          <w:tcPr>
            <w:tcW w:w="4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Equity (Deficit)</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Members' equity (deficit)</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(207.8)</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par value $0.01</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Class B common stock, par value $0.01</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C common stock, par value $0.01</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4660" w:type="dxa"/>
            <w:vAlign w:val="bottom"/>
          </w:tcPr>
          <w:p>
            <w:pPr>
              <w:ind w:left="460"/>
              <w:spacing w:after="0"/>
              <w:rPr>
                <w:sz w:val="20"/>
                <w:szCs w:val="20"/>
                <w:color w:val="auto"/>
              </w:rPr>
            </w:pPr>
            <w:r>
              <w:rPr>
                <w:rFonts w:ascii="Arial" w:cs="Arial" w:eastAsia="Arial" w:hAnsi="Arial"/>
                <w:sz w:val="18"/>
                <w:szCs w:val="18"/>
                <w:color w:val="auto"/>
              </w:rPr>
              <w:t>Total equity (deficit)</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(213.8)</w:t>
            </w:r>
          </w:p>
        </w:tc>
      </w:tr>
      <w:tr>
        <w:trPr>
          <w:trHeight w:val="27"/>
        </w:trPr>
        <w:tc>
          <w:tcPr>
            <w:tcW w:w="46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466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70"/>
        </w:trPr>
        <w:tc>
          <w:tcPr>
            <w:tcW w:w="4660" w:type="dxa"/>
            <w:vAlign w:val="bottom"/>
          </w:tcPr>
          <w:p>
            <w:pPr>
              <w:ind w:left="460"/>
              <w:spacing w:after="0"/>
              <w:rPr>
                <w:sz w:val="20"/>
                <w:szCs w:val="20"/>
                <w:color w:val="auto"/>
              </w:rPr>
            </w:pPr>
            <w:r>
              <w:rPr>
                <w:rFonts w:ascii="Arial" w:cs="Arial" w:eastAsia="Arial" w:hAnsi="Arial"/>
                <w:sz w:val="18"/>
                <w:szCs w:val="18"/>
                <w:color w:val="auto"/>
                <w:w w:val="92"/>
              </w:rPr>
              <w:t>Total liabilities, temporary, and permanent equity (deficit)</w:t>
            </w:r>
          </w:p>
        </w:tc>
        <w:tc>
          <w:tcPr>
            <w:tcW w:w="3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1,561.9</w:t>
            </w:r>
          </w:p>
        </w:tc>
      </w:tr>
      <w:tr>
        <w:trPr>
          <w:trHeight w:val="20"/>
        </w:trPr>
        <w:tc>
          <w:tcPr>
            <w:tcW w:w="4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6980" w:type="dxa"/>
            <w:vAlign w:val="bottom"/>
            <w:gridSpan w:val="5"/>
          </w:tcPr>
          <w:p>
            <w:pPr>
              <w:ind w:left="3940"/>
              <w:spacing w:after="0"/>
              <w:rPr>
                <w:sz w:val="20"/>
                <w:szCs w:val="20"/>
                <w:color w:val="auto"/>
              </w:rPr>
            </w:pPr>
            <w:r>
              <w:rPr>
                <w:rFonts w:ascii="Arial" w:cs="Arial" w:eastAsia="Arial" w:hAnsi="Arial"/>
                <w:sz w:val="14"/>
                <w:szCs w:val="14"/>
                <w:b w:val="1"/>
                <w:bCs w:val="1"/>
                <w:i w:val="1"/>
                <w:iCs w:val="1"/>
                <w:color w:val="auto"/>
                <w:w w:val="90"/>
              </w:rPr>
              <w:t>(in millions, except per share amounts; unaudited)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17"/>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24"/>
                <w:szCs w:val="24"/>
                <w:color w:val="auto"/>
              </w:rPr>
            </w:pPr>
          </w:p>
        </w:tc>
        <w:tc>
          <w:tcPr>
            <w:tcW w:w="25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48"/>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123.1</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Amortization of acquired technology</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13.0</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38.8</w:t>
            </w:r>
          </w:p>
        </w:tc>
      </w:tr>
      <w:tr>
        <w:trPr>
          <w:trHeight w:val="270"/>
        </w:trPr>
        <w:tc>
          <w:tcPr>
            <w:tcW w:w="496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14.1</w:t>
            </w: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8.3</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 related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r>
      <w:tr>
        <w:trPr>
          <w:trHeight w:val="237"/>
        </w:trPr>
        <w:tc>
          <w:tcPr>
            <w:tcW w:w="49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87.0</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50.4</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w w:val="93"/>
              </w:rPr>
              <w:t>Less: Net income (loss) attributable to ZoomInfo OpCo prior to the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Reorganization Transactions</w:t>
            </w:r>
          </w:p>
        </w:tc>
        <w:tc>
          <w:tcPr>
            <w:tcW w:w="3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(60.1)</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Less: 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4960" w:type="dxa"/>
            <w:vAlign w:val="bottom"/>
          </w:tcPr>
          <w:p>
            <w:pPr>
              <w:ind w:left="200"/>
              <w:spacing w:after="0"/>
              <w:rPr>
                <w:sz w:val="20"/>
                <w:szCs w:val="20"/>
                <w:color w:val="auto"/>
              </w:rPr>
            </w:pPr>
            <w:r>
              <w:rPr>
                <w:rFonts w:ascii="Arial" w:cs="Arial" w:eastAsia="Arial" w:hAnsi="Arial"/>
                <w:sz w:val="18"/>
                <w:szCs w:val="18"/>
                <w:b w:val="1"/>
                <w:bCs w:val="1"/>
                <w:color w:val="auto"/>
                <w:w w:val="91"/>
              </w:rPr>
              <w:t>Net income (loss) attributable to ZoomInfo Technologies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(loss) per share of Class A and Class C common stock: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2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(0.21)</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(0.21)</w:t>
            </w:r>
          </w:p>
        </w:tc>
        <w:tc>
          <w:tcPr>
            <w:tcW w:w="9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N/A</w:t>
            </w:r>
          </w:p>
        </w:tc>
      </w:tr>
      <w:tr>
        <w:trPr>
          <w:trHeight w:val="243"/>
        </w:trPr>
        <w:tc>
          <w:tcPr>
            <w:tcW w:w="2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(0.22)</w:t>
            </w:r>
          </w:p>
        </w:tc>
        <w:tc>
          <w:tcPr>
            <w:tcW w:w="1040" w:type="dxa"/>
            <w:vAlign w:val="bottom"/>
          </w:tcPr>
          <w:p>
            <w:pPr>
              <w:ind w:left="640"/>
              <w:spacing w:after="0"/>
              <w:rPr>
                <w:sz w:val="20"/>
                <w:szCs w:val="20"/>
                <w:color w:val="auto"/>
              </w:rPr>
            </w:pPr>
            <w:r>
              <w:rPr>
                <w:rFonts w:ascii="Arial" w:cs="Arial" w:eastAsia="Arial" w:hAnsi="Arial"/>
                <w:sz w:val="18"/>
                <w:szCs w:val="18"/>
                <w:color w:val="auto"/>
              </w:rPr>
              <w:t>N/A</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(0.22)</w:t>
            </w:r>
          </w:p>
        </w:tc>
        <w:tc>
          <w:tcPr>
            <w:tcW w:w="980" w:type="dxa"/>
            <w:vAlign w:val="bottom"/>
          </w:tcPr>
          <w:p>
            <w:pPr>
              <w:ind w:left="66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67" w:lineRule="exact"/>
        <w:rPr>
          <w:sz w:val="20"/>
          <w:szCs w:val="20"/>
          <w:color w:val="auto"/>
        </w:rPr>
      </w:pPr>
    </w:p>
    <w:p>
      <w:pPr>
        <w:jc w:val="both"/>
        <w:ind w:left="340" w:hanging="332"/>
        <w:spacing w:after="0" w:line="266"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Basic and diluted net income (loss) per share of Class A and Class C common stock is applicable only for the period from June 4, 2020 through June 30, 2020, which is the period following the initial public offering ("IPO") and related Reorganization Transactions (as defined in Note 1 to the Unaudited Consolidated Financial Statements). See Note 12 for the number of shares used in the computation of net income (loss) per share of Class A and Class C common stock and the basis for the computation of net income (loss) per share.</w:t>
      </w: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210"/>
        </w:trPr>
        <w:tc>
          <w:tcPr>
            <w:tcW w:w="50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54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w:t>
            </w:r>
          </w:p>
        </w:tc>
      </w:tr>
      <w:tr>
        <w:trPr>
          <w:trHeight w:val="22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r>
      <w:tr>
        <w:trPr>
          <w:trHeight w:val="22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64.5</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148"/>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Realized loss (gain) on settlement of cash flow hedges</w:t>
            </w:r>
          </w:p>
        </w:tc>
        <w:tc>
          <w:tcPr>
            <w:tcW w:w="2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Amortization of deferred losses related to the dedesignated Interest Rate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Swap</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Less: Net income attributable to ZoomInfo OpCo prior to the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Reorganization Transactions</w:t>
            </w:r>
          </w:p>
        </w:tc>
        <w:tc>
          <w:tcPr>
            <w:tcW w:w="26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(66.0)</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Less: Comprehensive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w w:val="91"/>
              </w:rPr>
              <w:t>Comprehensive income (loss) attributable to ZoomInfo Technologies Inc.</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ZoomInfo Technologies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00" w:type="dxa"/>
            <w:vAlign w:val="bottom"/>
            <w:gridSpan w:val="16"/>
          </w:tcPr>
          <w:p>
            <w:pPr>
              <w:jc w:val="center"/>
              <w:ind w:right="280"/>
              <w:spacing w:after="0"/>
              <w:rPr>
                <w:sz w:val="20"/>
                <w:szCs w:val="20"/>
                <w:color w:val="auto"/>
              </w:rPr>
            </w:pPr>
            <w:r>
              <w:rPr>
                <w:rFonts w:ascii="Arial" w:cs="Arial" w:eastAsia="Arial" w:hAnsi="Arial"/>
                <w:sz w:val="18"/>
                <w:szCs w:val="18"/>
                <w:b w:val="1"/>
                <w:bCs w:val="1"/>
                <w:color w:val="auto"/>
                <w:w w:val="89"/>
              </w:rPr>
              <w:t>Consolidated Statements of Changes in Equity (Deficit)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20" w:type="dxa"/>
            <w:vAlign w:val="bottom"/>
            <w:gridSpan w:val="10"/>
          </w:tcPr>
          <w:p>
            <w:pPr>
              <w:jc w:val="center"/>
              <w:spacing w:after="0"/>
              <w:rPr>
                <w:sz w:val="20"/>
                <w:szCs w:val="20"/>
                <w:color w:val="auto"/>
              </w:rPr>
            </w:pPr>
            <w:r>
              <w:rPr>
                <w:rFonts w:ascii="Arial" w:cs="Arial" w:eastAsia="Arial" w:hAnsi="Arial"/>
                <w:sz w:val="14"/>
                <w:szCs w:val="14"/>
                <w:b w:val="1"/>
                <w:bCs w:val="1"/>
                <w:i w:val="1"/>
                <w:iCs w:val="1"/>
                <w:color w:val="auto"/>
                <w:w w:val="89"/>
              </w:rPr>
              <w:t>(in millions, except share data; 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ZoomInfo</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Holdings LLC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(Prior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3"/>
              </w:rPr>
              <w:t>Reorganization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4"/>
            <w:vMerge w:val="restart"/>
          </w:tcPr>
          <w:p>
            <w:pPr>
              <w:ind w:left="120"/>
              <w:spacing w:after="0"/>
              <w:rPr>
                <w:sz w:val="20"/>
                <w:szCs w:val="20"/>
                <w:color w:val="auto"/>
              </w:rPr>
            </w:pPr>
            <w:r>
              <w:rPr>
                <w:rFonts w:ascii="Arial" w:cs="Arial" w:eastAsia="Arial" w:hAnsi="Arial"/>
                <w:sz w:val="14"/>
                <w:szCs w:val="14"/>
                <w:b w:val="1"/>
                <w:bCs w:val="1"/>
                <w:color w:val="auto"/>
              </w:rPr>
              <w:t>ZoomInfo Technologies Inc. Stockholders' Equity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Transactions)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Members'</w:t>
            </w: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88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C</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A</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C</w:t>
            </w:r>
          </w:p>
        </w:tc>
        <w:tc>
          <w:tcPr>
            <w:tcW w:w="7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Additional</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00" w:type="dxa"/>
            <w:vAlign w:val="bottom"/>
          </w:tcPr>
          <w:p>
            <w:pPr>
              <w:spacing w:after="0"/>
              <w:rPr>
                <w:sz w:val="13"/>
                <w:szCs w:val="13"/>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jc w:val="right"/>
              <w:ind w:right="16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3"/>
        </w:trPr>
        <w:tc>
          <w:tcPr>
            <w:tcW w:w="14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Balance, December 31,</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(207.8)</w:t>
            </w:r>
          </w:p>
        </w:tc>
        <w:tc>
          <w:tcPr>
            <w:tcW w:w="80" w:type="dxa"/>
            <w:vAlign w:val="bottom"/>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7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78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96"/>
        </w:trPr>
        <w:tc>
          <w:tcPr>
            <w:tcW w:w="1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 distributions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3"/>
        </w:trPr>
        <w:tc>
          <w:tcPr>
            <w:tcW w:w="146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Balance at March</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220"/>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(207.4)</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prior</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 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loss prior to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Transactions and IPO</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 distributions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prior to 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Equity-based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compensation prior to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Impacts of</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i w:val="1"/>
                <w:iCs w:val="1"/>
                <w:color w:val="auto"/>
              </w:rPr>
              <w:t>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w w:val="98"/>
              </w:rPr>
              <w:t>Transactions and IPO</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Initial effect of the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Transactions and IPO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on noncontrolling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203.9</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w w:val="92"/>
              </w:rPr>
              <w:t>242,414,027</w:t>
            </w:r>
          </w:p>
        </w:tc>
        <w:tc>
          <w:tcPr>
            <w:tcW w:w="860" w:type="dxa"/>
            <w:vAlign w:val="bottom"/>
            <w:gridSpan w:val="2"/>
          </w:tcPr>
          <w:p>
            <w:pPr>
              <w:jc w:val="right"/>
              <w:ind w:right="47"/>
              <w:spacing w:after="0"/>
              <w:rPr>
                <w:sz w:val="20"/>
                <w:szCs w:val="20"/>
                <w:color w:val="auto"/>
              </w:rPr>
            </w:pPr>
            <w:r>
              <w:rPr>
                <w:rFonts w:ascii="Arial" w:cs="Arial" w:eastAsia="Arial" w:hAnsi="Arial"/>
                <w:sz w:val="14"/>
                <w:szCs w:val="14"/>
                <w:color w:val="auto"/>
              </w:rPr>
              <w:t>98,381,656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in IPO,</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costs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48,528,783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89"/>
              </w:rPr>
              <w:t>1,016.1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1,016.6</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w w:val="98"/>
              </w:rPr>
              <w:t>Purchases of ZoomInfo</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OpCo units in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connection with IPO</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2,370,948</w:t>
            </w:r>
          </w:p>
        </w:tc>
        <w:tc>
          <w:tcPr>
            <w:tcW w:w="80" w:type="dxa"/>
            <w:vAlign w:val="bottom"/>
          </w:tcPr>
          <w:p>
            <w:pPr>
              <w:spacing w:after="0"/>
              <w:rPr>
                <w:sz w:val="16"/>
                <w:szCs w:val="16"/>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(2,370,948)</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Class C</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units in connection with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IPO</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275,269</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(275,269)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Opco Units exchanged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into Class A shares</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878,984</w:t>
            </w:r>
          </w:p>
        </w:tc>
        <w:tc>
          <w:tcPr>
            <w:tcW w:w="80" w:type="dxa"/>
            <w:vAlign w:val="bottom"/>
          </w:tcPr>
          <w:p>
            <w:pPr>
              <w:spacing w:after="0"/>
              <w:rPr>
                <w:sz w:val="16"/>
                <w:szCs w:val="16"/>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(878,984)</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Forfeitures /</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cancellations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(59,693)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(10,882)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w w:val="98"/>
              </w:rPr>
              <w:t>Series A Preferred Unit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redemption accretion</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Increase in deferred tax</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asset from step-up in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tax basis under TRA</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related to unit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w w:val="96"/>
              </w:rPr>
              <w:t>Net income subsequent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subsequent to</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 and IPO</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7"/>
        </w:trPr>
        <w:tc>
          <w:tcPr>
            <w:tcW w:w="1460" w:type="dxa"/>
            <w:vAlign w:val="bottom"/>
          </w:tcPr>
          <w:p>
            <w:pPr>
              <w:ind w:left="20"/>
              <w:spacing w:after="0" w:line="157" w:lineRule="exact"/>
              <w:rPr>
                <w:sz w:val="20"/>
                <w:szCs w:val="20"/>
                <w:color w:val="auto"/>
              </w:rPr>
            </w:pPr>
            <w:r>
              <w:rPr>
                <w:rFonts w:ascii="Arial" w:cs="Arial" w:eastAsia="Arial" w:hAnsi="Arial"/>
                <w:sz w:val="14"/>
                <w:szCs w:val="14"/>
                <w:color w:val="auto"/>
              </w:rPr>
              <w:t>Equity-based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subsequent to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b w:val="1"/>
                <w:bCs w:val="1"/>
                <w:color w:val="auto"/>
                <w:w w:val="93"/>
              </w:rPr>
              <w:t>Balance at June 30,</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51,994,291</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239,153,213</w:t>
            </w:r>
          </w:p>
        </w:tc>
        <w:tc>
          <w:tcPr>
            <w:tcW w:w="8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91"/>
              </w:rPr>
              <w:t>98,106,387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406.9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457.9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191"/>
        </w:trPr>
        <w:tc>
          <w:tcPr>
            <w:tcW w:w="14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(Deficit) (continued)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 in millions;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Members' Deficit</w:t>
            </w:r>
          </w:p>
        </w:tc>
        <w:tc>
          <w:tcPr>
            <w:tcW w:w="100" w:type="dxa"/>
            <w:vAlign w:val="bottom"/>
            <w:vMerge w:val="restart"/>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96"/>
        </w:trPr>
        <w:tc>
          <w:tcPr>
            <w:tcW w:w="68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 distributions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Arial" w:cs="Arial" w:eastAsia="Arial" w:hAnsi="Arial"/>
                <w:sz w:val="14"/>
                <w:szCs w:val="14"/>
                <w:color w:val="auto"/>
              </w:rPr>
              <w:t>Impact of adoption of new accounting standard (ASC 842)</w:t>
            </w:r>
          </w:p>
        </w:tc>
        <w:tc>
          <w:tcPr>
            <w:tcW w:w="12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Balance at March 31, 2019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202"/>
        </w:trPr>
        <w:tc>
          <w:tcPr>
            <w:tcW w:w="68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Member distributions</w:t>
            </w:r>
          </w:p>
        </w:tc>
        <w:tc>
          <w:tcPr>
            <w:tcW w:w="12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outstanding equity / member units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2"/>
        </w:trPr>
        <w:tc>
          <w:tcPr>
            <w:tcW w:w="6880" w:type="dxa"/>
            <w:vAlign w:val="bottom"/>
          </w:tcPr>
          <w:p>
            <w:pPr>
              <w:ind w:left="220"/>
              <w:spacing w:after="0"/>
              <w:rPr>
                <w:sz w:val="20"/>
                <w:szCs w:val="20"/>
                <w:color w:val="auto"/>
              </w:rPr>
            </w:pPr>
            <w:r>
              <w:rPr>
                <w:rFonts w:ascii="Arial" w:cs="Arial" w:eastAsia="Arial" w:hAnsi="Arial"/>
                <w:sz w:val="14"/>
                <w:szCs w:val="14"/>
                <w:b w:val="1"/>
                <w:bCs w:val="1"/>
                <w:color w:val="auto"/>
              </w:rPr>
              <w:t>Balance at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4"/>
        </w:trPr>
        <w:tc>
          <w:tcPr>
            <w:tcW w:w="822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23.7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r>
      <w:tr>
        <w:trPr>
          <w:trHeight w:val="224"/>
        </w:trPr>
        <w:tc>
          <w:tcPr>
            <w:tcW w:w="822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r>
      <w:tr>
        <w:trPr>
          <w:trHeight w:val="223"/>
        </w:trPr>
        <w:tc>
          <w:tcPr>
            <w:tcW w:w="8220" w:type="dxa"/>
            <w:vAlign w:val="bottom"/>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0.7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Equity-based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r>
      <w:tr>
        <w:trPr>
          <w:trHeight w:val="224"/>
        </w:trPr>
        <w:tc>
          <w:tcPr>
            <w:tcW w:w="822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r>
      <w:tr>
        <w:trPr>
          <w:trHeight w:val="224"/>
        </w:trPr>
        <w:tc>
          <w:tcPr>
            <w:tcW w:w="82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23"/>
        </w:trPr>
        <w:tc>
          <w:tcPr>
            <w:tcW w:w="822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23"/>
        </w:trPr>
        <w:tc>
          <w:tcPr>
            <w:tcW w:w="822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0.2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Related party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r>
      <w:tr>
        <w:trPr>
          <w:trHeight w:val="223"/>
        </w:trPr>
        <w:tc>
          <w:tcPr>
            <w:tcW w:w="82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24"/>
        </w:trPr>
        <w:tc>
          <w:tcPr>
            <w:tcW w:w="8220" w:type="dxa"/>
            <w:vAlign w:val="bottom"/>
          </w:tcPr>
          <w:p>
            <w:pPr>
              <w:ind w:left="460"/>
              <w:spacing w:after="0"/>
              <w:rPr>
                <w:sz w:val="20"/>
                <w:szCs w:val="20"/>
                <w:color w:val="auto"/>
              </w:rPr>
            </w:pPr>
            <w:r>
              <w:rPr>
                <w:rFonts w:ascii="Arial" w:cs="Arial" w:eastAsia="Arial" w:hAnsi="Arial"/>
                <w:sz w:val="16"/>
                <w:szCs w:val="16"/>
                <w:color w:val="auto"/>
              </w:rPr>
              <w:t>Unearned revenue</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43.3</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r>
      <w:tr>
        <w:trPr>
          <w:trHeight w:val="183"/>
        </w:trPr>
        <w:tc>
          <w:tcPr>
            <w:tcW w:w="8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(714.9)</w:t>
            </w:r>
          </w:p>
        </w:tc>
      </w:tr>
      <w:tr>
        <w:trPr>
          <w:trHeight w:val="217"/>
        </w:trPr>
        <w:tc>
          <w:tcPr>
            <w:tcW w:w="8220" w:type="dxa"/>
            <w:vAlign w:val="bottom"/>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(721.1)</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8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1,220.8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(645.4)</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1,019.6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200.2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IPO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Tax distributions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733.3</w:t>
            </w:r>
          </w:p>
        </w:tc>
      </w:tr>
      <w:tr>
        <w:trPr>
          <w:trHeight w:val="183"/>
        </w:trPr>
        <w:tc>
          <w:tcPr>
            <w:tcW w:w="8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9.0</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cast at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340"/>
              <w:spacing w:after="0"/>
              <w:rPr>
                <w:sz w:val="20"/>
                <w:szCs w:val="20"/>
                <w:color w:val="auto"/>
              </w:rPr>
            </w:pPr>
            <w:r>
              <w:rPr>
                <w:rFonts w:ascii="Arial" w:cs="Arial" w:eastAsia="Arial" w:hAnsi="Arial"/>
                <w:sz w:val="16"/>
                <w:szCs w:val="16"/>
                <w:color w:val="auto"/>
              </w:rPr>
              <w:t>Interest paid in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47.7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variable consideration from acquisition of a business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w:t>
            </w:r>
          </w:p>
        </w:tc>
      </w:tr>
      <w:tr>
        <w:trPr>
          <w:trHeight w:val="224"/>
        </w:trPr>
        <w:tc>
          <w:tcPr>
            <w:tcW w:w="8220" w:type="dxa"/>
            <w:vAlign w:val="bottom"/>
          </w:tcPr>
          <w:p>
            <w:pPr>
              <w:ind w:left="340"/>
              <w:spacing w:after="0"/>
              <w:rPr>
                <w:sz w:val="20"/>
                <w:szCs w:val="20"/>
                <w:color w:val="auto"/>
              </w:rPr>
            </w:pPr>
            <w:r>
              <w:rPr>
                <w:rFonts w:ascii="Arial" w:cs="Arial" w:eastAsia="Arial" w:hAnsi="Arial"/>
                <w:sz w:val="16"/>
                <w:szCs w:val="16"/>
                <w:color w:val="auto"/>
              </w:rPr>
              <w:t>Issuance cost reimbursements included in accounts receivable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2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71"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4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1</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Organization and Background</w:t>
              </w:r>
            </w:hyperlink>
          </w:p>
        </w:tc>
        <w:tc>
          <w:tcPr>
            <w:tcW w:w="2400" w:type="dxa"/>
            <w:vAlign w:val="bottom"/>
          </w:tcPr>
          <w:p>
            <w:pPr>
              <w:jc w:val="center"/>
              <w:ind w:left="2130"/>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8</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Note 2</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Basis of Presentation and Summary of Significant Accounting Policies</w:t>
              </w:r>
            </w:hyperlink>
          </w:p>
        </w:tc>
        <w:tc>
          <w:tcPr>
            <w:tcW w:w="2400" w:type="dxa"/>
            <w:vAlign w:val="bottom"/>
          </w:tcPr>
          <w:p>
            <w:pPr>
              <w:jc w:val="center"/>
              <w:ind w:left="2130"/>
              <w:spacing w:after="0"/>
              <w:rPr>
                <w:rFonts w:ascii="Arial" w:cs="Arial" w:eastAsia="Arial" w:hAnsi="Arial"/>
                <w:sz w:val="18"/>
                <w:szCs w:val="18"/>
                <w:color w:val="0000FF"/>
                <w:w w:val="99"/>
              </w:rPr>
            </w:pPr>
            <w:hyperlink w:anchor="page17">
              <w:r>
                <w:rPr>
                  <w:rFonts w:ascii="Arial" w:cs="Arial" w:eastAsia="Arial" w:hAnsi="Arial"/>
                  <w:sz w:val="18"/>
                  <w:szCs w:val="18"/>
                  <w:color w:val="0000FF"/>
                  <w:w w:val="99"/>
                </w:rPr>
                <w:t>9</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 3</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Revenue from Contracts with Customers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17</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Note 4</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Business Combinations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18</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Note 5</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Property and Equipment</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21</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Note 6</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Goodwill and Acquired Intangible Assets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22</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7</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Financing Arrangements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22</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Note 8</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Derivatives and Hedging Activities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24</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9</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Fair Value</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26</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10</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Commitments and Contingencies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27</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11</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Noncontrolling Interest</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27</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12</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Loss Per Share</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28</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Note 13</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Leases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31</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Note 14</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Redeemable Series A Preferred Units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32</w:t>
              </w:r>
            </w:hyperlink>
          </w:p>
        </w:tc>
      </w:tr>
      <w:tr>
        <w:trPr>
          <w:trHeight w:val="270"/>
        </w:trPr>
        <w:tc>
          <w:tcPr>
            <w:tcW w:w="124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Note 15</w:t>
              </w:r>
            </w:hyperlink>
          </w:p>
        </w:tc>
        <w:tc>
          <w:tcPr>
            <w:tcW w:w="732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Equity-Based Compensation</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32</w:t>
              </w:r>
            </w:hyperlink>
          </w:p>
        </w:tc>
      </w:tr>
      <w:tr>
        <w:trPr>
          <w:trHeight w:val="230"/>
        </w:trPr>
        <w:tc>
          <w:tcPr>
            <w:tcW w:w="124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Note 16</w:t>
              </w:r>
            </w:hyperlink>
          </w:p>
        </w:tc>
        <w:tc>
          <w:tcPr>
            <w:tcW w:w="1000" w:type="dxa"/>
            <w:vAlign w:val="bottom"/>
            <w:tcBorders>
              <w:bottom w:val="single" w:sz="8" w:color="0000FF"/>
            </w:tcBorders>
          </w:tcPr>
          <w:p>
            <w:pPr>
              <w:spacing w:after="0"/>
              <w:rPr>
                <w:rFonts w:ascii="Arial" w:cs="Arial" w:eastAsia="Arial" w:hAnsi="Arial"/>
                <w:sz w:val="18"/>
                <w:szCs w:val="18"/>
                <w:color w:val="0000FF"/>
                <w:w w:val="86"/>
              </w:rPr>
            </w:pPr>
            <w:hyperlink w:anchor="page45">
              <w:r>
                <w:rPr>
                  <w:rFonts w:ascii="Arial" w:cs="Arial" w:eastAsia="Arial" w:hAnsi="Arial"/>
                  <w:sz w:val="18"/>
                  <w:szCs w:val="18"/>
                  <w:color w:val="0000FF"/>
                  <w:w w:val="86"/>
                </w:rPr>
                <w:t xml:space="preserve">Income </w:t>
              </w:r>
            </w:hyperlink>
            <w:r>
              <w:rPr>
                <w:rFonts w:ascii="Arial" w:cs="Arial" w:eastAsia="Arial" w:hAnsi="Arial"/>
                <w:sz w:val="18"/>
                <w:szCs w:val="18"/>
                <w:color w:val="0000FF"/>
                <w:w w:val="86"/>
              </w:rPr>
              <w:t>Taxes</w:t>
            </w:r>
          </w:p>
        </w:tc>
        <w:tc>
          <w:tcPr>
            <w:tcW w:w="6320" w:type="dxa"/>
            <w:vAlign w:val="bottom"/>
          </w:tcPr>
          <w:p>
            <w:pPr>
              <w:spacing w:after="0"/>
              <w:rPr>
                <w:sz w:val="19"/>
                <w:szCs w:val="19"/>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34" w:lineRule="exact"/>
        <w:rPr>
          <w:sz w:val="20"/>
          <w:szCs w:val="20"/>
          <w:color w:val="auto"/>
        </w:rPr>
      </w:pPr>
    </w:p>
    <w:p>
      <w:pPr>
        <w:ind w:right="1360" w:firstLine="324"/>
        <w:spacing w:after="0" w:line="438" w:lineRule="auto"/>
        <w:rPr>
          <w:sz w:val="20"/>
          <w:szCs w:val="20"/>
          <w:color w:val="auto"/>
        </w:rPr>
      </w:pPr>
      <w:r>
        <w:rPr>
          <w:rFonts w:ascii="Arial" w:cs="Arial" w:eastAsia="Arial" w:hAnsi="Arial"/>
          <w:sz w:val="18"/>
          <w:szCs w:val="18"/>
          <w:color w:val="auto"/>
        </w:rPr>
        <w:t xml:space="preserve">The Company headquarters are located in Vancouver, WA, and we operate in six offices throughout the U.S. and one office in Israel. </w:t>
      </w:r>
      <w:r>
        <w:rPr>
          <w:rFonts w:ascii="Arial" w:cs="Arial" w:eastAsia="Arial" w:hAnsi="Arial"/>
          <w:sz w:val="18"/>
          <w:szCs w:val="18"/>
          <w:b w:val="1"/>
          <w:bCs w:val="1"/>
          <w:i w:val="1"/>
          <w:iCs w:val="1"/>
          <w:color w:val="auto"/>
        </w:rPr>
        <w:t>Initial Public Offering</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Following the Reorganization Transactions and IPO and as of June 30, 2020, ZoomInfo Technologies Inc. owned 98% of the outstanding HoldCo Units, and ZoomInfo HoldCo owned 39% of the outstanding OpCo Units.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Reorganization Transactions and the IPO, ZoomInfo Technologies Inc. entered into two tax receivable agreements. See Note 16.</w:t>
      </w:r>
    </w:p>
    <w:p>
      <w:pPr>
        <w:spacing w:after="0" w:line="298"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for the three and six months ended June 30, 2020 are not necessarily indicative of the operating results that may be expected for the full fiscal year ending December 31, 2020 or any future period.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accompanying unaudited consolidated financial statements contain all adjustments necessary for a fair statement of financial position as of June 30, 2020, and results of operations for the three and six months ended June 30, 2020 and 2019, and cash flows for the six months ended June 30, 2020 and 2019. The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quarterly or annually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later codified as Accounting Standards Codification (“ASC”) Topic 606 (collectively with subsequent amendments, “Topic 606”).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estimates these amounts based on historical experience and reduces revenue recognized.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inputs or methodology used for valuing financial assets and liabilities are not necessarily an indication of the risk associated with investing in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2020 and 2019, or accounted for more than 10% of accounts receivable as of June 30, 2020 and December 31, 2019. Net assets located outside of the United States were immaterial as of June 30, 2020 and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June 30, 2020 and December 31, 2019.</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7"/>
          <w:szCs w:val="17"/>
          <w:i w:val="1"/>
          <w:iCs w:val="1"/>
          <w:color w:val="auto"/>
        </w:rPr>
        <w:t>Deferred costs</w:t>
      </w:r>
      <w:r>
        <w:rPr>
          <w:rFonts w:ascii="Arial" w:cs="Arial" w:eastAsia="Arial" w:hAnsi="Arial"/>
          <w:sz w:val="17"/>
          <w:szCs w:val="17"/>
          <w:color w:val="auto"/>
        </w:rPr>
        <w:t xml:space="preserve"> and noncurrent amounts are included in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net of current portion </w:t>
      </w:r>
      <w:r>
        <w:rPr>
          <w:rFonts w:ascii="Arial" w:cs="Arial" w:eastAsia="Arial" w:hAnsi="Arial"/>
          <w:sz w:val="17"/>
          <w:szCs w:val="17"/>
          <w:color w:val="auto"/>
        </w:rPr>
        <w:t>in our consolidated balance sheets. Deferred sales commissions are amortized on a straight-line basis over the estimated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 of operations.</w:t>
      </w:r>
    </w:p>
    <w:p>
      <w:pPr>
        <w:spacing w:after="0" w:line="124" w:lineRule="exact"/>
        <w:rPr>
          <w:sz w:val="20"/>
          <w:szCs w:val="20"/>
          <w:color w:val="auto"/>
        </w:rPr>
      </w:pPr>
    </w:p>
    <w:p>
      <w:pPr>
        <w:ind w:right="20" w:firstLine="324"/>
        <w:spacing w:after="0" w:line="438"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$2.5 million and $5.4 million were recorded for the three and six months ended June 30, 2020. Advertising expenses of $1.7 million and $3.4 million were recorded for the three and six months ended June 30, 2019. Advertising expenses are included in Sales and marketing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6). Acquired intangible assets are amortized on a straight-line basis over the estimated period over which we expect to realize economic value related to the intangible asset. The amortization periods range from 2 years to 15 years.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six month periods ended June 30, 2020 and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Costs incurred in connection with the issuance of long-term debt are deferred and amortized as interest expense over the terms of the related debt using the effective interest method for term debt and on a straight-line basis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units and is included as compensation expense over the vesting period during which an employee provides service in exchange for the award.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121.1</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86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110.9</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68.5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Usage-based revenue is comprised of email verification services, which is a service whereby customers can verify that emails are valid prior to sending and can be helpful to avoid wasting resources or being flagged as sending spam. We recognize revenue from email verification services at the point in time the services are consumed by the customer, thereby satisfying our performance obligation.</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Of the total revenue recognized in the three and six months ended June 30, 2020, $41.7 million and $116.5 million were included in the unearned revenue balance as of December 31, 2019, respectively. Of the total revenue recognized in the three and six months ended June 30, 2019, $12.5 million and $39.4 million were included in the unearned revenue balance as of December 31, 2018, respectively. Revenue recognized from performance obligations satisfied (or partially satisfied) in previous periods was not material for the three and six months ended June 30, 2020 and 2019.</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derived from customers and partners located outside the United States, as determined based on the address provided by our customers and partners, accounted for approximately 9% and 8% of our total revenues in the three months ended June 30, 2020 and 2019, respectively. Revenues derived from customers and partners located outside the United States accounted for approximately 8% and 8% of our total revenues in the six months ended June 30, 2020 and 2019, respectively. We have no Company sales offices located in a foreign country as of June 30, 2020, and we contract exclusively with our customers in the United States Dollar.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new business timing within the quarter. The unearned revenue balance does not represent the total contract value of annual or multi-year, non-cancelable subscription agreements.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June 30, 2020 and December 31, 2019, the Company had contract assets of $1.2 million and $0.1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in the consolidated balance sheets. As of June 30, 2020 and December 31, 2019, the Company had unearned revenue of $172.1 million and $159.1 million, respectively.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Recognized within one</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6"/>
        </w:trPr>
        <w:tc>
          <w:tcPr>
            <w:tcW w:w="6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year</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4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2020</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319.5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413.5</w:t>
            </w:r>
          </w:p>
        </w:tc>
      </w:tr>
      <w:tr>
        <w:trPr>
          <w:trHeight w:val="27"/>
        </w:trPr>
        <w:tc>
          <w:tcPr>
            <w:tcW w:w="6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Contingent earnout payments</w:t>
            </w:r>
          </w:p>
        </w:tc>
        <w:tc>
          <w:tcPr>
            <w:tcW w:w="6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six months ended June 30, 2020, the Company recognized an additional liability of $0.7 million and $1.7 million relating to the Komiko contingent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2.4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2.2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87"/>
              </w:rPr>
              <w:t>6.3</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8.5</w:t>
            </w:r>
          </w:p>
        </w:tc>
      </w:tr>
      <w:tr>
        <w:trPr>
          <w:trHeight w:val="243"/>
        </w:trPr>
        <w:tc>
          <w:tcPr>
            <w:tcW w:w="9680" w:type="dxa"/>
            <w:vAlign w:val="bottom"/>
          </w:tcPr>
          <w:p>
            <w:pPr>
              <w:ind w:left="220"/>
              <w:spacing w:after="0"/>
              <w:rPr>
                <w:sz w:val="20"/>
                <w:szCs w:val="20"/>
                <w:color w:val="auto"/>
              </w:rPr>
            </w:pPr>
            <w:r>
              <w:rPr>
                <w:rFonts w:ascii="Arial" w:cs="Arial" w:eastAsia="Arial" w:hAnsi="Arial"/>
                <w:sz w:val="18"/>
                <w:szCs w:val="18"/>
                <w:color w:val="auto"/>
              </w:rPr>
              <w:t>Contingent earnout payments</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667.3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Liability for equity award settlement</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25.2</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Portion of replacement awards attributable to pre-acquisition service</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Other purchase consideration liabilities</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consideration</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760.1</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accordance with the purchase agreement, the Company agreed to pay deferred consideration of $25.0 million and $10.0 million on the first and second anniversary of the Pre-Acquisition ZI acquisition, respectively. As of June 30, 2020, $9.8 million was recorded in </w:t>
      </w:r>
      <w:r>
        <w:rPr>
          <w:rFonts w:ascii="Arial" w:cs="Arial" w:eastAsia="Arial" w:hAnsi="Arial"/>
          <w:sz w:val="17"/>
          <w:szCs w:val="17"/>
          <w:i w:val="1"/>
          <w:iCs w:val="1"/>
          <w:color w:val="auto"/>
        </w:rPr>
        <w:t>Accrued expenses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liabilities </w:t>
      </w:r>
      <w:r>
        <w:rPr>
          <w:rFonts w:ascii="Arial" w:cs="Arial" w:eastAsia="Arial" w:hAnsi="Arial"/>
          <w:sz w:val="17"/>
          <w:szCs w:val="17"/>
          <w:color w:val="auto"/>
        </w:rPr>
        <w:t>on the Company’s consolidated balance sheets representing the present value of the $10.0 million deferred consideration to be paid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fair value of the deferred consideration payments was determined using a present value calculation.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1"/>
        </w:trPr>
        <w:tc>
          <w:tcPr>
            <w:tcW w:w="9680" w:type="dxa"/>
            <w:vAlign w:val="bottom"/>
          </w:tcPr>
          <w:p>
            <w:pPr>
              <w:ind w:left="4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1"/>
        </w:trPr>
        <w:tc>
          <w:tcPr>
            <w:tcW w:w="9680" w:type="dxa"/>
            <w:vAlign w:val="bottom"/>
          </w:tcPr>
          <w:p>
            <w:pPr>
              <w:ind w:left="420"/>
              <w:spacing w:after="0"/>
              <w:rPr>
                <w:sz w:val="20"/>
                <w:szCs w:val="20"/>
                <w:color w:val="auto"/>
              </w:rPr>
            </w:pPr>
            <w:r>
              <w:rPr>
                <w:rFonts w:ascii="Arial" w:cs="Arial" w:eastAsia="Arial" w:hAnsi="Arial"/>
                <w:sz w:val="18"/>
                <w:szCs w:val="18"/>
                <w:b w:val="1"/>
                <w:bCs w:val="1"/>
                <w:color w:val="auto"/>
              </w:rPr>
              <w:t>Note 4 - Business Combinations (continued)</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918"/>
        </w:trPr>
        <w:tc>
          <w:tcPr>
            <w:tcW w:w="9680" w:type="dxa"/>
            <w:vAlign w:val="bottom"/>
          </w:tcPr>
          <w:p>
            <w:pPr>
              <w:spacing w:after="0"/>
              <w:rPr>
                <w:sz w:val="20"/>
                <w:szCs w:val="20"/>
                <w:color w:val="auto"/>
              </w:rPr>
            </w:pPr>
            <w:r>
              <w:rPr>
                <w:rFonts w:ascii="Arial" w:cs="Arial" w:eastAsia="Arial" w:hAnsi="Arial"/>
                <w:sz w:val="18"/>
                <w:szCs w:val="18"/>
                <w:color w:val="auto"/>
                <w:w w:val="93"/>
              </w:rPr>
              <w:t>following table summarizes the fair values of the assets acquired and liabilities assumed, as of the date of acquisition (in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322.0</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245.3</w:t>
            </w:r>
          </w:p>
        </w:tc>
      </w:tr>
      <w:tr>
        <w:trPr>
          <w:trHeight w:val="243"/>
        </w:trPr>
        <w:tc>
          <w:tcPr>
            <w:tcW w:w="9680" w:type="dxa"/>
            <w:vAlign w:val="bottom"/>
          </w:tcPr>
          <w:p>
            <w:pPr>
              <w:ind w:left="46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760.1</w:t>
            </w:r>
          </w:p>
        </w:tc>
      </w:tr>
      <w:tr>
        <w:trPr>
          <w:trHeight w:val="237"/>
        </w:trPr>
        <w:tc>
          <w:tcPr>
            <w:tcW w:w="9680" w:type="dxa"/>
            <w:vAlign w:val="bottom"/>
          </w:tcPr>
          <w:p>
            <w:pPr>
              <w:ind w:left="460"/>
              <w:spacing w:after="0"/>
              <w:rPr>
                <w:sz w:val="20"/>
                <w:szCs w:val="20"/>
                <w:color w:val="auto"/>
              </w:rPr>
            </w:pPr>
            <w:r>
              <w:rPr>
                <w:rFonts w:ascii="Arial" w:cs="Arial" w:eastAsia="Arial" w:hAnsi="Arial"/>
                <w:sz w:val="18"/>
                <w:szCs w:val="18"/>
                <w:color w:val="auto"/>
              </w:rPr>
              <w:t>Deferred consideration</w:t>
            </w: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714.8</w:t>
            </w:r>
          </w:p>
        </w:tc>
      </w:tr>
      <w:tr>
        <w:trPr>
          <w:trHeight w:val="21"/>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2020, the potential value of future payments under the Cash Vesting Payment Program was $7.1 million to be paid to employees through 2022, assuming continued employment for each employee. The Company recognized $1.5 million and $4.0 million of expense under the Cash Vesting Program for the three and six months ended June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4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 in Years</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116.0</w:t>
            </w:r>
          </w:p>
        </w:tc>
        <w:tc>
          <w:tcPr>
            <w:tcW w:w="1680" w:type="dxa"/>
            <w:vAlign w:val="bottom"/>
            <w:gridSpan w:val="2"/>
          </w:tcPr>
          <w:p>
            <w:pPr>
              <w:jc w:val="right"/>
              <w:ind w:right="58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173.0</w:t>
            </w:r>
          </w:p>
        </w:tc>
        <w:tc>
          <w:tcPr>
            <w:tcW w:w="16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4"/>
        </w:trPr>
        <w:tc>
          <w:tcPr>
            <w:tcW w:w="80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6"/>
                <w:szCs w:val="16"/>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4.8</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24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19.7</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r>
      <w:tr>
        <w:trPr>
          <w:trHeight w:val="237"/>
        </w:trPr>
        <w:tc>
          <w:tcPr>
            <w:tcW w:w="8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34.5</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63"/>
        </w:trPr>
        <w:tc>
          <w:tcPr>
            <w:tcW w:w="82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23.3</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was $2.1 million and $1.3 million for the three months ended June 30, 2020 and 2019, respectively. Depreciation expense was $4.0 million and $2.4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June 30, 2020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225.1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966.8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was $10.3 million and $12.0 million for the three months ended June 30, 2020 and 2019, respectively. Amortization expense was $20.5 million and $21.3 million for the six months ended June 30, 2020 and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as of June 30, 2020, was $966.8 million, and there have been no changes since December 31, 2019.</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three months ended June 30, 2020 or June 30,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conjunction with the acquisition of Pre-Acquisition ZI on February 1, 2019, ZoomInfo raised $965 million of first lien debt (including a $100.0 million revolving credit facility), $370 million of second lien debt, and issued 51,750,000 of Series A Preferred Units in exchange for $200.2 million, net of issuance costs. In addition to funding the purchase of Pre-Acquisition ZI, the proceeds were used to repay all previously outstanding indebtedness.</w:t>
      </w:r>
    </w:p>
    <w:p>
      <w:pPr>
        <w:spacing w:after="0" w:line="2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June 30, 2020, $756.4 million aggregate principal amount of term loans were outstanding under the First Lien Credit Agreement. The interest related portion of the repayment was recorded within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 net </w:t>
      </w:r>
      <w:r>
        <w:rPr>
          <w:rFonts w:ascii="Arial" w:cs="Arial" w:eastAsia="Arial" w:hAnsi="Arial"/>
          <w:sz w:val="16"/>
          <w:szCs w:val="16"/>
          <w:color w:val="auto"/>
        </w:rPr>
        <w:t>in its Consolidated Statements of Operations, and represented use of cash from operating activities in the Consolidated Statements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Flows. The quarterly repayment requirement on first lien borrowings has been satisfied for the remainder of the term after the $100.0 million principal payment. The company recognized $1.7 million within </w:t>
      </w:r>
      <w:r>
        <w:rPr>
          <w:rFonts w:ascii="Arial" w:cs="Arial" w:eastAsia="Arial" w:hAnsi="Arial"/>
          <w:sz w:val="16"/>
          <w:szCs w:val="16"/>
          <w:i w:val="1"/>
          <w:iCs w:val="1"/>
          <w:color w:val="auto"/>
        </w:rPr>
        <w:t>Loss on debt extinguishment</w:t>
      </w:r>
      <w:r>
        <w:rPr>
          <w:rFonts w:ascii="Arial" w:cs="Arial" w:eastAsia="Arial" w:hAnsi="Arial"/>
          <w:sz w:val="16"/>
          <w:szCs w:val="16"/>
          <w:color w:val="auto"/>
        </w:rPr>
        <w:t xml:space="preserv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comprised of the write-off of the unamortized issuance costs. The effective interest rate on the first lien debt was 4.6% and 7.5% as of June 30, 2020 and December 31, 2019, respectively.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8"/>
          <w:szCs w:val="18"/>
          <w:i w:val="1"/>
          <w:iCs w:val="1"/>
          <w:color w:val="auto"/>
        </w:rPr>
        <w:t xml:space="preserve">Deferred costs, net of current portion </w:t>
      </w:r>
      <w:r>
        <w:rPr>
          <w:rFonts w:ascii="Arial" w:cs="Arial" w:eastAsia="Arial" w:hAnsi="Arial"/>
          <w:sz w:val="18"/>
          <w:szCs w:val="18"/>
          <w:color w:val="auto"/>
        </w:rPr>
        <w:t>on the accompanying consolidated balance sheets were immaterial as of June 30, 2020 and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Arial" w:cs="Arial" w:eastAsia="Arial" w:hAnsi="Arial"/>
          <w:sz w:val="18"/>
          <w:szCs w:val="18"/>
          <w:i w:val="1"/>
          <w:iCs w:val="1"/>
          <w:color w:val="auto"/>
        </w:rPr>
        <w:t>Loss on debt extinguishment</w:t>
      </w:r>
      <w:r>
        <w:rPr>
          <w:rFonts w:ascii="Arial" w:cs="Arial" w:eastAsia="Arial" w:hAnsi="Arial"/>
          <w:sz w:val="18"/>
          <w:szCs w:val="18"/>
          <w:color w:val="auto"/>
        </w:rPr>
        <w:t xml:space="preserve"> on the Consolidated Statements of Operations comprised of the write-off of unamortized issuance costs and the prepayment penalty incurred on the payoff. The effective interest rate on the second lien debt was 11.9% as of December 31, 2019.</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8, 2020, the Company redeemed and cancelled all outstanding Series A Preferred Units of ZoomInfo OpCo. Refer to Note 14 for additional discussion regarding Series A Preferred Units and related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the carrying values of the Company’s borrowings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Carrying Value as of</w:t>
            </w:r>
          </w:p>
        </w:tc>
      </w:tr>
      <w:tr>
        <w:trPr>
          <w:trHeight w:val="196"/>
        </w:trPr>
        <w:tc>
          <w:tcPr>
            <w:tcW w:w="20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Elected Interest 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+ 3.75%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841.6</w:t>
            </w: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1, 2019</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2024</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+ 3.50%</w:t>
            </w:r>
          </w:p>
        </w:tc>
        <w:tc>
          <w:tcPr>
            <w:tcW w:w="2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2027</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+ 8.50%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361.7</w:t>
            </w:r>
          </w:p>
        </w:tc>
      </w:tr>
      <w:tr>
        <w:trPr>
          <w:trHeight w:val="20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Total Carrying Value of</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1,203.3</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6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1,194.6</w:t>
            </w: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June 30, 2020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Contractual Maturity</w:t>
            </w:r>
          </w:p>
        </w:tc>
        <w:tc>
          <w:tcPr>
            <w:tcW w:w="100" w:type="dxa"/>
            <w:vAlign w:val="bottom"/>
            <w:vMerge w:val="restart"/>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w:t>
            </w: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900" w:type="dxa"/>
            <w:vAlign w:val="bottom"/>
            <w:tcBorders>
              <w:bottom w:val="single" w:sz="8" w:color="CCEEFF"/>
            </w:tcBorders>
            <w:shd w:val="clear" w:color="auto" w:fill="CCEEFF"/>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relating to changes in interest rates on our variable rate term loans. Consequently, from time to time, we may use interest rate swaps or other financial instruments to manage our exposure to interest rate movements. We do not enter into derivative transactions for speculative or trading purposes.</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April 2019, we entered into two separate interest rate swap agreements effectively converting $350.0 million of floating rate debt under our first lien credit facility to fixed rate obligations and one $500.0 million interest rate cap (collectively the “Derivative Instruments”). These agreements were designated and qualified as cash flow hedging instruments and, as such, changes in the fair value were recorded in </w:t>
      </w:r>
      <w:r>
        <w:rPr>
          <w:rFonts w:ascii="Arial" w:cs="Arial" w:eastAsia="Arial" w:hAnsi="Arial"/>
          <w:sz w:val="17"/>
          <w:szCs w:val="17"/>
          <w:i w:val="1"/>
          <w:iCs w:val="1"/>
          <w:color w:val="auto"/>
        </w:rPr>
        <w:t>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(loss) </w:t>
      </w:r>
      <w:r>
        <w:rPr>
          <w:rFonts w:ascii="Arial" w:cs="Arial" w:eastAsia="Arial" w:hAnsi="Arial"/>
          <w:sz w:val="17"/>
          <w:szCs w:val="17"/>
          <w:color w:val="auto"/>
        </w:rPr>
        <w:t>(“AOCI”) on our Condensed Consolidated Balance Sheets to the extent the agreements were effective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During the three months ended June 30, 2020, the Company reduced its LIBOR based debt to $756.4 million (refer to Note 7), which is below the total notional amounts of our Derivative Instruments of $850.0 million.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Concurrently, we redesignated $756.4 million of the derivatives, the notional amount representing the principal balance remaining under the First Lien Credit Agreement, of the Derivative Instruments. As the forecasted interest payments on $93.7 million not redesignated is probable to not occur, the Company reclassified the existing deferred loss on that portion of the derivative of $3.3 million from AOCI into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Statements of Operations. Furthermore, changes in fair value of the remaining hedged Derivative Instruments are recorded quarterly, net of income tax, and are included in AOCI. Over the next 12 months, we expect to reclassify approximately $5.7 million into interest expense.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2020, the Company had the following outstanding interest rate derivatives that were designated as cash flow hedges of interest rate risk: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Instruments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8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5"/>
              </w:rPr>
              <w:t>April 30, 2024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780" w:type="dxa"/>
            <w:vAlign w:val="bottom"/>
          </w:tcPr>
          <w:p>
            <w:pPr>
              <w:ind w:left="700"/>
              <w:spacing w:after="0"/>
              <w:rPr>
                <w:sz w:val="20"/>
                <w:szCs w:val="20"/>
                <w:color w:val="auto"/>
              </w:rPr>
            </w:pPr>
            <w:r>
              <w:rPr>
                <w:rFonts w:ascii="Arial" w:cs="Arial" w:eastAsia="Arial" w:hAnsi="Arial"/>
                <w:sz w:val="18"/>
                <w:szCs w:val="18"/>
                <w:color w:val="auto"/>
                <w:w w:val="95"/>
              </w:rPr>
              <w:t>April 29, 2022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June 30, 2020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Fair Value of Derivative Liabilities</w:t>
            </w:r>
          </w:p>
        </w:tc>
      </w:tr>
      <w:tr>
        <w:trPr>
          <w:trHeight w:val="208"/>
        </w:trPr>
        <w:tc>
          <w:tcPr>
            <w:tcW w:w="40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CCEEFF"/>
            </w:tcBorders>
          </w:tcPr>
          <w:p>
            <w:pPr>
              <w:spacing w:after="0"/>
              <w:rPr>
                <w:sz w:val="18"/>
                <w:szCs w:val="18"/>
                <w:color w:val="auto"/>
              </w:rPr>
            </w:pPr>
          </w:p>
        </w:tc>
        <w:tc>
          <w:tcPr>
            <w:tcW w:w="2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29"/>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w w:val="99"/>
              </w:rPr>
              <w:t>Accrued expenses and other current</w:t>
            </w: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180" w:type="dxa"/>
            <w:vAlign w:val="bottom"/>
            <w:gridSpan w:val="2"/>
          </w:tcPr>
          <w:p>
            <w:pPr>
              <w:ind w:left="220"/>
              <w:spacing w:after="0"/>
              <w:rPr>
                <w:sz w:val="20"/>
                <w:szCs w:val="20"/>
                <w:color w:val="auto"/>
              </w:rPr>
            </w:pPr>
            <w:r>
              <w:rPr>
                <w:rFonts w:ascii="Arial" w:cs="Arial" w:eastAsia="Arial" w:hAnsi="Arial"/>
                <w:sz w:val="18"/>
                <w:szCs w:val="18"/>
                <w:color w:val="auto"/>
              </w:rPr>
              <w:t>Interest rate cap contract</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cap contract</w:t>
            </w: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r>
      <w:tr>
        <w:trPr>
          <w:trHeight w:val="229"/>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w w:val="99"/>
              </w:rPr>
              <w:t>Accrued expenses and other current</w:t>
            </w: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18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0"/>
                <w:szCs w:val="20"/>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2.3</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37"/>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Total designated derivative liabilities</w:t>
            </w: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r>
      <w:tr>
        <w:trPr>
          <w:trHeight w:val="27"/>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4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4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Accrued expenses and other current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4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cap contract</w:t>
            </w: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gridSpan w:val="2"/>
          </w:tcPr>
          <w:p>
            <w:pPr>
              <w:ind w:left="220"/>
              <w:spacing w:after="0"/>
              <w:rPr>
                <w:sz w:val="20"/>
                <w:szCs w:val="20"/>
                <w:color w:val="auto"/>
              </w:rPr>
            </w:pPr>
            <w:r>
              <w:rPr>
                <w:rFonts w:ascii="Arial" w:cs="Arial" w:eastAsia="Arial" w:hAnsi="Arial"/>
                <w:sz w:val="18"/>
                <w:szCs w:val="18"/>
                <w:color w:val="auto"/>
              </w:rPr>
              <w:t>Interest rate cap contract</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undesignated derivative liabilities</w:t>
            </w:r>
          </w:p>
        </w:tc>
        <w:tc>
          <w:tcPr>
            <w:tcW w:w="2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6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Total derivative liabilities</w:t>
            </w: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and as operating cash flows in our Consolidated Statements of Cash Flows.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our Consolidated Statements of Comprehensive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disclosures related to our assets and (liabilities) that are measured at fair value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4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Derivative contract, net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9"/>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56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4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Derivative contract, net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20" w:type="dxa"/>
            <w:vAlign w:val="bottom"/>
            <w:gridSpan w:val="2"/>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Impaired right-of-use assets</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w:t>
            </w: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Based on this assessment, the Company has recorded a liability for taxes owed and related penalties and interest in the amount of $2.1 million and $2.1 million at June 30, 2020 and December 31, 2019, respectively. This liability is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consolidated balance sheets.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As of June 30, 2020, in addition to the potential Komiko earnout payment of $4.0 million (refer to Note 4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information), the Company is contingently committed to making additional payments of up to $1.6 million as part of our acquisition of NeverBounce.</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Deferred acquisition related payments - </w:t>
      </w:r>
      <w:r>
        <w:rPr>
          <w:rFonts w:ascii="Arial" w:cs="Arial" w:eastAsia="Arial" w:hAnsi="Arial"/>
          <w:sz w:val="18"/>
          <w:szCs w:val="18"/>
          <w:color w:val="auto"/>
        </w:rPr>
        <w:t>In accordance with the purchase agreement, the Company will pay deferred consideration of $10.0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2nd anniversary of the </w:t>
      </w:r>
      <w:r>
        <w:rPr>
          <w:rFonts w:ascii="Arial" w:cs="Arial" w:eastAsia="Arial" w:hAnsi="Arial"/>
          <w:sz w:val="18"/>
          <w:szCs w:val="18"/>
          <w:i w:val="1"/>
          <w:iCs w:val="1"/>
          <w:color w:val="auto"/>
        </w:rPr>
        <w:t>Pre-acquisition ZI</w:t>
      </w:r>
      <w:r>
        <w:rPr>
          <w:rFonts w:ascii="Arial" w:cs="Arial" w:eastAsia="Arial" w:hAnsi="Arial"/>
          <w:sz w:val="18"/>
          <w:szCs w:val="18"/>
          <w:color w:val="auto"/>
        </w:rPr>
        <w:t xml:space="preserve"> acquisition. Refer to Note 4.</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Legal Matters - </w:t>
      </w:r>
      <w:r>
        <w:rPr>
          <w:rFonts w:ascii="Arial" w:cs="Arial" w:eastAsia="Arial" w:hAnsi="Arial"/>
          <w:sz w:val="16"/>
          <w:szCs w:val="16"/>
          <w:color w:val="auto"/>
        </w:rPr>
        <w:t>We are subject to various legal proceedings, claims, and governmental inspections, audits, or investigations that arise in the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Noncontrolling Interest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7"/>
          <w:szCs w:val="17"/>
          <w:i w:val="1"/>
          <w:iCs w:val="1"/>
          <w:color w:val="auto"/>
        </w:rPr>
        <w:t>Noncontrolling interests</w:t>
      </w:r>
      <w:r>
        <w:rPr>
          <w:rFonts w:ascii="Arial" w:cs="Arial" w:eastAsia="Arial" w:hAnsi="Arial"/>
          <w:sz w:val="17"/>
          <w:szCs w:val="17"/>
          <w:color w:val="auto"/>
        </w:rPr>
        <w:t xml:space="preserve"> and increase or decrease </w:t>
      </w:r>
      <w:r>
        <w:rPr>
          <w:rFonts w:ascii="Arial" w:cs="Arial" w:eastAsia="Arial" w:hAnsi="Arial"/>
          <w:sz w:val="17"/>
          <w:szCs w:val="17"/>
          <w:i w:val="1"/>
          <w:iCs w:val="1"/>
          <w:color w:val="auto"/>
        </w:rPr>
        <w:t xml:space="preserve">Additional paid-in capital </w:t>
      </w:r>
      <w:r>
        <w:rPr>
          <w:rFonts w:ascii="Arial" w:cs="Arial" w:eastAsia="Arial" w:hAnsi="Arial"/>
          <w:sz w:val="17"/>
          <w:szCs w:val="17"/>
          <w:color w:val="auto"/>
        </w:rPr>
        <w:t>in the Company’s Condensed Consolidated Balance Sheets.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ZoomInfo Technologies Inc. held 150,100,678 HoldCo Units, and ZoomInfo HoldCo held 154,331,988 OpCo Units resulting in an ownership interest of 39% in the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Loss Per Share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42424"/>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six months ended June 30, 2019.</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42424"/>
        </w:rPr>
        <w:t>The followin</w:t>
      </w:r>
      <w:r>
        <w:rPr>
          <w:rFonts w:ascii="Arial" w:cs="Arial" w:eastAsia="Arial" w:hAnsi="Arial"/>
          <w:sz w:val="18"/>
          <w:szCs w:val="18"/>
          <w:color w:val="000000"/>
        </w:rPr>
        <w:t>g table sets forth reconciliations of the numerators and denominators used to compute basic and diluted earnings (los</w:t>
      </w:r>
      <w:r>
        <w:rPr>
          <w:rFonts w:ascii="Arial" w:cs="Arial" w:eastAsia="Arial" w:hAnsi="Arial"/>
          <w:sz w:val="18"/>
          <w:szCs w:val="18"/>
          <w:color w:val="242424"/>
        </w:rPr>
        <w:t>s) per share of Class A and Class C common stock for the three and six months ended June 30, 2020. The basic and diluted earnings per share period for the three and six months ended June 30, 2020, represents only the period from June 4, 2020 to June 30, 2020, which represents the period wherein we had outstanding Class A and Class C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Three Months Ended June</w:t>
            </w: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672"/>
              <w:spacing w:after="0"/>
              <w:rPr>
                <w:sz w:val="20"/>
                <w:szCs w:val="20"/>
                <w:color w:val="auto"/>
              </w:rPr>
            </w:pPr>
            <w:r>
              <w:rPr>
                <w:rFonts w:ascii="Arial" w:cs="Arial" w:eastAsia="Arial" w:hAnsi="Arial"/>
                <w:sz w:val="16"/>
                <w:szCs w:val="16"/>
                <w:b w:val="1"/>
                <w:bCs w:val="1"/>
                <w:color w:val="auto"/>
              </w:rPr>
              <w:t>30, 2020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ind w:right="792"/>
              <w:spacing w:after="0"/>
              <w:rPr>
                <w:sz w:val="20"/>
                <w:szCs w:val="20"/>
                <w:color w:val="auto"/>
              </w:rPr>
            </w:pPr>
            <w:r>
              <w:rPr>
                <w:rFonts w:ascii="Arial" w:cs="Arial" w:eastAsia="Arial" w:hAnsi="Arial"/>
                <w:sz w:val="16"/>
                <w:szCs w:val="16"/>
                <w:b w:val="1"/>
                <w:bCs w:val="1"/>
                <w:color w:val="auto"/>
              </w:rPr>
              <w:t>2020</w:t>
            </w:r>
          </w:p>
        </w:tc>
      </w:tr>
      <w:tr>
        <w:trPr>
          <w:trHeight w:val="33"/>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3"/>
          </w:tcPr>
          <w:p>
            <w:pPr>
              <w:jc w:val="right"/>
              <w:ind w:right="173"/>
              <w:spacing w:after="0"/>
              <w:rPr>
                <w:sz w:val="20"/>
                <w:szCs w:val="20"/>
                <w:color w:val="auto"/>
              </w:rPr>
            </w:pPr>
            <w:r>
              <w:rPr>
                <w:rFonts w:ascii="Arial" w:cs="Arial" w:eastAsia="Arial" w:hAnsi="Arial"/>
                <w:sz w:val="18"/>
                <w:szCs w:val="18"/>
                <w:color w:val="auto"/>
              </w:rPr>
              <w:t>(Unaudited)</w:t>
            </w:r>
          </w:p>
        </w:tc>
        <w:tc>
          <w:tcPr>
            <w:tcW w:w="14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620" w:type="dxa"/>
            <w:vAlign w:val="bottom"/>
          </w:tcPr>
          <w:p>
            <w:pPr>
              <w:jc w:val="right"/>
              <w:ind w:right="433"/>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(62.1)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Less: Net income (loss) attributable to ZoomInfo OpCo before Reorganization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tcPr>
          <w:p>
            <w:pPr>
              <w:spacing w:after="0"/>
              <w:rPr>
                <w:sz w:val="21"/>
                <w:szCs w:val="21"/>
                <w:color w:val="auto"/>
              </w:rPr>
            </w:pP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Excess of consideration paid over carrying amount to holders of Series A Preferred Units</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of Class A and Class C common stock (in millions, except share amounts, and per share amounts,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 2020</w:t>
            </w:r>
          </w:p>
        </w:tc>
        <w:tc>
          <w:tcPr>
            <w:tcW w:w="260" w:type="dxa"/>
            <w:vAlign w:val="bottom"/>
          </w:tcPr>
          <w:p>
            <w:pPr>
              <w:spacing w:after="0"/>
              <w:rPr>
                <w:sz w:val="20"/>
                <w:szCs w:val="20"/>
                <w:color w:val="auto"/>
              </w:rPr>
            </w:pPr>
          </w:p>
        </w:tc>
        <w:tc>
          <w:tcPr>
            <w:tcW w:w="2760" w:type="dxa"/>
            <w:vAlign w:val="bottom"/>
            <w:gridSpan w:val="4"/>
          </w:tcPr>
          <w:p>
            <w:pPr>
              <w:spacing w:after="0"/>
              <w:rPr>
                <w:sz w:val="20"/>
                <w:szCs w:val="20"/>
                <w:color w:val="auto"/>
              </w:rPr>
            </w:pPr>
            <w:r>
              <w:rPr>
                <w:rFonts w:ascii="Arial" w:cs="Arial" w:eastAsia="Arial" w:hAnsi="Arial"/>
                <w:sz w:val="18"/>
                <w:szCs w:val="18"/>
                <w:b w:val="1"/>
                <w:bCs w:val="1"/>
                <w:color w:val="auto"/>
                <w:w w:val="98"/>
              </w:rPr>
              <w:t>Six Months Ended June 30, 2020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C</w:t>
            </w:r>
          </w:p>
        </w:tc>
        <w:tc>
          <w:tcPr>
            <w:tcW w:w="2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b w:val="1"/>
                <w:bCs w:val="1"/>
                <w:color w:val="auto"/>
              </w:rPr>
              <w:t>Class C</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(Unaudited)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Basic net income (loss) per share attributable to common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Allocation of net income (loss) attributable to ZoomInfo</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Technologies Inc.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3"/>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(20.5)</w:t>
            </w: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Weighted average number of shares of Class A and Class C</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1"/>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5"/>
              </w:rPr>
              <w:t>98.1</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tcPr>
          <w:p>
            <w:pPr>
              <w:jc w:val="center"/>
              <w:ind w:left="630"/>
              <w:spacing w:after="0"/>
              <w:rPr>
                <w:sz w:val="20"/>
                <w:szCs w:val="20"/>
                <w:color w:val="auto"/>
              </w:rPr>
            </w:pPr>
            <w:r>
              <w:rPr>
                <w:rFonts w:ascii="Arial" w:cs="Arial" w:eastAsia="Arial" w:hAnsi="Arial"/>
                <w:sz w:val="18"/>
                <w:szCs w:val="18"/>
                <w:color w:val="auto"/>
                <w:w w:val="93"/>
              </w:rPr>
              <w:t>(0.21)</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center"/>
              <w:ind w:left="530"/>
              <w:spacing w:after="0"/>
              <w:rPr>
                <w:sz w:val="20"/>
                <w:szCs w:val="20"/>
                <w:color w:val="auto"/>
              </w:rPr>
            </w:pPr>
            <w:r>
              <w:rPr>
                <w:rFonts w:ascii="Arial" w:cs="Arial" w:eastAsia="Arial" w:hAnsi="Arial"/>
                <w:sz w:val="18"/>
                <w:szCs w:val="18"/>
                <w:color w:val="auto"/>
                <w:w w:val="93"/>
              </w:rPr>
              <w:t>(0.21)</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center"/>
              <w:ind w:left="450"/>
              <w:spacing w:after="0"/>
              <w:rPr>
                <w:sz w:val="20"/>
                <w:szCs w:val="20"/>
                <w:color w:val="auto"/>
              </w:rPr>
            </w:pPr>
            <w:r>
              <w:rPr>
                <w:rFonts w:ascii="Arial" w:cs="Arial" w:eastAsia="Arial" w:hAnsi="Arial"/>
                <w:sz w:val="18"/>
                <w:szCs w:val="18"/>
                <w:color w:val="auto"/>
                <w:w w:val="89"/>
              </w:rPr>
              <w:t>(0.21)</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center"/>
              <w:ind w:left="450"/>
              <w:spacing w:after="0"/>
              <w:rPr>
                <w:sz w:val="20"/>
                <w:szCs w:val="20"/>
                <w:color w:val="auto"/>
              </w:rPr>
            </w:pPr>
            <w:r>
              <w:rPr>
                <w:rFonts w:ascii="Arial" w:cs="Arial" w:eastAsia="Arial" w:hAnsi="Arial"/>
                <w:sz w:val="18"/>
                <w:szCs w:val="18"/>
                <w:color w:val="auto"/>
                <w:w w:val="93"/>
              </w:rPr>
              <w:t>(0.21)</w:t>
            </w:r>
          </w:p>
        </w:tc>
        <w:tc>
          <w:tcPr>
            <w:tcW w:w="0" w:type="dxa"/>
            <w:vAlign w:val="bottom"/>
          </w:tcPr>
          <w:p>
            <w:pPr>
              <w:spacing w:after="0"/>
              <w:rPr>
                <w:sz w:val="1"/>
                <w:szCs w:val="1"/>
                <w:color w:val="auto"/>
              </w:rPr>
            </w:pPr>
          </w:p>
        </w:tc>
      </w:tr>
      <w:tr>
        <w:trPr>
          <w:trHeight w:val="235"/>
        </w:trPr>
        <w:tc>
          <w:tcPr>
            <w:tcW w:w="48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1"/>
        </w:trPr>
        <w:tc>
          <w:tcPr>
            <w:tcW w:w="4820" w:type="dxa"/>
            <w:vAlign w:val="bottom"/>
          </w:tcPr>
          <w:p>
            <w:pPr>
              <w:spacing w:after="0"/>
              <w:rPr>
                <w:sz w:val="20"/>
                <w:szCs w:val="20"/>
                <w:color w:val="auto"/>
              </w:rPr>
            </w:pPr>
            <w:r>
              <w:rPr>
                <w:rFonts w:ascii="Arial" w:cs="Arial" w:eastAsia="Arial" w:hAnsi="Arial"/>
                <w:sz w:val="18"/>
                <w:szCs w:val="18"/>
                <w:b w:val="1"/>
                <w:bCs w:val="1"/>
                <w:color w:val="auto"/>
              </w:rPr>
              <w:t>Note 12 - Loss Per Share (continued)</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 2020</w:t>
            </w:r>
          </w:p>
        </w:tc>
        <w:tc>
          <w:tcPr>
            <w:tcW w:w="260" w:type="dxa"/>
            <w:vAlign w:val="bottom"/>
          </w:tcPr>
          <w:p>
            <w:pPr>
              <w:spacing w:after="0"/>
              <w:rPr>
                <w:sz w:val="24"/>
                <w:szCs w:val="24"/>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89"/>
              </w:rPr>
              <w:t>Six Months Ended June 30, 2020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C</w:t>
            </w:r>
          </w:p>
        </w:tc>
        <w:tc>
          <w:tcPr>
            <w:tcW w:w="2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Class C</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(Unaudited)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w w:val="94"/>
              </w:rPr>
              <w:t>Diluted net income (loss) per share attributable to common</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Undistributed earnings for basic computation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Increase in earnings attributable to common shareholders upon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conversion of potentially dilutive instruments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w w:val="91"/>
              </w:rPr>
              <w:t>Reallocation of earnings as a result of conversion of potentially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dilutive instruments</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Reallocation of undistributed earnings as a result of conversion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of Class C to Class A shares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51,994,291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98,106,387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51,994,291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98,106,387</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Add: weighted-average effect of dilutive securities: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OpCo Units exchangeable for Class A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219,637,430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219,637,430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w w:val="91"/>
              </w:rPr>
              <w:t>HSKB I Class 1 Units exchangeable for Class A common stock</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13,169,366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13,169,366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2"/>
              </w:rPr>
              <w:t>Conversion of Class C to Class A common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98,106,387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98,106,387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color w:val="auto"/>
                <w:w w:val="92"/>
              </w:rPr>
              <w:t>Weighted average shares of Class A and Class C common stock</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w w:val="92"/>
              </w:rPr>
              <w:t>outstanding used to calculate diluted net income (loss) per share</w:t>
            </w:r>
          </w:p>
        </w:tc>
        <w:tc>
          <w:tcPr>
            <w:tcW w:w="20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382,907,474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98,106,387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382,907,474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98,106,387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Loss Per Share (continued)</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1920" w:type="dxa"/>
            <w:vAlign w:val="bottom"/>
          </w:tcPr>
          <w:p>
            <w:pPr>
              <w:jc w:val="right"/>
              <w:ind w:right="52"/>
              <w:spacing w:after="0"/>
              <w:rPr>
                <w:sz w:val="20"/>
                <w:szCs w:val="20"/>
                <w:color w:val="auto"/>
              </w:rPr>
            </w:pPr>
            <w:r>
              <w:rPr>
                <w:rFonts w:ascii="Arial" w:cs="Arial" w:eastAsia="Arial" w:hAnsi="Arial"/>
                <w:sz w:val="16"/>
                <w:szCs w:val="16"/>
                <w:b w:val="1"/>
                <w:bCs w:val="1"/>
                <w:color w:val="auto"/>
                <w:w w:val="97"/>
              </w:rPr>
              <w:t>Six Months Ended June</w:t>
            </w:r>
          </w:p>
        </w:tc>
      </w:tr>
      <w:tr>
        <w:trPr>
          <w:trHeight w:val="210"/>
        </w:trPr>
        <w:tc>
          <w:tcPr>
            <w:tcW w:w="9320" w:type="dxa"/>
            <w:vAlign w:val="bottom"/>
          </w:tcPr>
          <w:p>
            <w:pPr>
              <w:spacing w:after="0"/>
              <w:rPr>
                <w:sz w:val="18"/>
                <w:szCs w:val="18"/>
                <w:color w:val="auto"/>
              </w:rPr>
            </w:pPr>
          </w:p>
        </w:tc>
        <w:tc>
          <w:tcPr>
            <w:tcW w:w="1920" w:type="dxa"/>
            <w:vAlign w:val="bottom"/>
          </w:tcPr>
          <w:p>
            <w:pPr>
              <w:jc w:val="right"/>
              <w:ind w:right="592"/>
              <w:spacing w:after="0"/>
              <w:rPr>
                <w:sz w:val="20"/>
                <w:szCs w:val="20"/>
                <w:color w:val="auto"/>
              </w:rPr>
            </w:pPr>
            <w:r>
              <w:rPr>
                <w:rFonts w:ascii="Arial" w:cs="Arial" w:eastAsia="Arial" w:hAnsi="Arial"/>
                <w:sz w:val="16"/>
                <w:szCs w:val="16"/>
                <w:b w:val="1"/>
                <w:bCs w:val="1"/>
                <w:color w:val="auto"/>
              </w:rPr>
              <w:t>30, 2020</w:t>
            </w:r>
          </w:p>
        </w:tc>
      </w:tr>
      <w:tr>
        <w:trPr>
          <w:trHeight w:val="33"/>
        </w:trPr>
        <w:tc>
          <w:tcPr>
            <w:tcW w:w="93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II Phantom Units</w:t>
            </w:r>
          </w:p>
        </w:tc>
        <w:tc>
          <w:tcPr>
            <w:tcW w:w="1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1,824,814</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HSKB II Class 1 Units</w:t>
            </w:r>
          </w:p>
        </w:tc>
        <w:tc>
          <w:tcPr>
            <w:tcW w:w="1920" w:type="dxa"/>
            <w:vAlign w:val="bottom"/>
          </w:tcPr>
          <w:p>
            <w:pPr>
              <w:jc w:val="right"/>
              <w:ind w:right="72"/>
              <w:spacing w:after="0"/>
              <w:rPr>
                <w:sz w:val="20"/>
                <w:szCs w:val="20"/>
                <w:color w:val="auto"/>
              </w:rPr>
            </w:pPr>
            <w:r>
              <w:rPr>
                <w:rFonts w:ascii="Arial" w:cs="Arial" w:eastAsia="Arial" w:hAnsi="Arial"/>
                <w:sz w:val="18"/>
                <w:szCs w:val="18"/>
                <w:color w:val="auto"/>
              </w:rPr>
              <w:t>375,201</w:t>
            </w:r>
          </w:p>
        </w:tc>
      </w:tr>
      <w:tr>
        <w:trPr>
          <w:trHeight w:val="27"/>
        </w:trPr>
        <w:tc>
          <w:tcPr>
            <w:tcW w:w="9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P Units</w:t>
            </w:r>
          </w:p>
        </w:tc>
        <w:tc>
          <w:tcPr>
            <w:tcW w:w="1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12,548,938</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LTIP Units</w:t>
            </w:r>
          </w:p>
        </w:tc>
        <w:tc>
          <w:tcPr>
            <w:tcW w:w="1920" w:type="dxa"/>
            <w:vAlign w:val="bottom"/>
          </w:tcPr>
          <w:p>
            <w:pPr>
              <w:jc w:val="right"/>
              <w:ind w:right="72"/>
              <w:spacing w:after="0"/>
              <w:rPr>
                <w:sz w:val="20"/>
                <w:szCs w:val="20"/>
                <w:color w:val="auto"/>
              </w:rPr>
            </w:pPr>
            <w:r>
              <w:rPr>
                <w:rFonts w:ascii="Arial" w:cs="Arial" w:eastAsia="Arial" w:hAnsi="Arial"/>
                <w:sz w:val="18"/>
                <w:szCs w:val="18"/>
                <w:color w:val="auto"/>
              </w:rPr>
              <w:t>26,595</w:t>
            </w:r>
          </w:p>
        </w:tc>
      </w:tr>
      <w:tr>
        <w:trPr>
          <w:trHeight w:val="27"/>
        </w:trPr>
        <w:tc>
          <w:tcPr>
            <w:tcW w:w="9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HoldCo Units</w:t>
            </w:r>
          </w:p>
        </w:tc>
        <w:tc>
          <w:tcPr>
            <w:tcW w:w="1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1,250,509</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1920" w:type="dxa"/>
            <w:vAlign w:val="bottom"/>
          </w:tcPr>
          <w:p>
            <w:pPr>
              <w:jc w:val="right"/>
              <w:ind w:right="72"/>
              <w:spacing w:after="0"/>
              <w:rPr>
                <w:sz w:val="20"/>
                <w:szCs w:val="20"/>
                <w:color w:val="auto"/>
              </w:rPr>
            </w:pPr>
            <w:r>
              <w:rPr>
                <w:rFonts w:ascii="Arial" w:cs="Arial" w:eastAsia="Arial" w:hAnsi="Arial"/>
                <w:sz w:val="18"/>
                <w:szCs w:val="18"/>
                <w:color w:val="auto"/>
              </w:rPr>
              <w:t>287,299</w:t>
            </w:r>
          </w:p>
        </w:tc>
      </w:tr>
      <w:tr>
        <w:trPr>
          <w:trHeight w:val="27"/>
        </w:trPr>
        <w:tc>
          <w:tcPr>
            <w:tcW w:w="9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291,042</w:t>
            </w:r>
          </w:p>
        </w:tc>
      </w:tr>
      <w:tr>
        <w:trPr>
          <w:trHeight w:val="263"/>
        </w:trPr>
        <w:tc>
          <w:tcPr>
            <w:tcW w:w="932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16,604,398</w:t>
            </w:r>
          </w:p>
        </w:tc>
      </w:tr>
      <w:tr>
        <w:trPr>
          <w:trHeight w:val="21"/>
        </w:trPr>
        <w:tc>
          <w:tcPr>
            <w:tcW w:w="9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also has a sublease of a former corporate office. The sublease has a remaining lease term of less than 2 years. Sublease income, which is recorded as a reduction of rent expense and allocated to the appropriate financial statement line item to arrive at </w:t>
      </w:r>
      <w:r>
        <w:rPr>
          <w:rFonts w:ascii="Arial" w:cs="Arial" w:eastAsia="Arial" w:hAnsi="Arial"/>
          <w:sz w:val="18"/>
          <w:szCs w:val="18"/>
          <w:i w:val="1"/>
          <w:iCs w:val="1"/>
          <w:color w:val="auto"/>
        </w:rPr>
        <w:t>Income from operations</w:t>
      </w:r>
      <w:r>
        <w:rPr>
          <w:rFonts w:ascii="Arial" w:cs="Arial" w:eastAsia="Arial" w:hAnsi="Arial"/>
          <w:sz w:val="18"/>
          <w:szCs w:val="18"/>
          <w:color w:val="auto"/>
        </w:rPr>
        <w:t xml:space="preserve"> in the consolidated statements of operations was immaterial for the three and six months ended June 30, 2020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additional details related to leases recorded on our balance sheet as of June 30, 2020 and December 31, 2019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Leases</w:t>
            </w:r>
          </w:p>
        </w:tc>
        <w:tc>
          <w:tcPr>
            <w:tcW w:w="22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Balance at June 30, 2020</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Balance at December 31,</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 expense was $1.6 million and $1.2 million for the three months ended June 30, 2020 and 2019, respectively. Rent expense was $3.3 million and $2.5 million for the six months ended June 30, 2020 and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Supplemental Cash Flow Information (in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Cash paid for amounts included in the measurement of operating</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r>
      <w:tr>
        <w:trPr>
          <w:trHeight w:val="270"/>
        </w:trPr>
        <w:tc>
          <w:tcPr>
            <w:tcW w:w="5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From Zoom Information, Inc. acquisition</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28.6</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5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As of</w:t>
            </w:r>
          </w:p>
        </w:tc>
        <w:tc>
          <w:tcPr>
            <w:tcW w:w="192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4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6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June 30, 2020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(excluding six months ended June 30,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7.5</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22.8</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12.4</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June 30,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4.0</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w:t>
            </w:r>
          </w:p>
        </w:tc>
      </w:tr>
      <w:tr>
        <w:trPr>
          <w:trHeight w:val="263"/>
        </w:trPr>
        <w:tc>
          <w:tcPr>
            <w:tcW w:w="968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42.3</w:t>
            </w:r>
          </w:p>
        </w:tc>
      </w:tr>
      <w:tr>
        <w:trPr>
          <w:trHeight w:val="21"/>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 As of June 30, 2020, all executed leases agreements have commenced and appropriately recorded on the balance sheet. Expense associated with short term leases and variable lease costs were immaterial for the three and six months ended June 30, 2020. The expense related to short-term leases reasonably reflects our short-term lease commitments.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Redeemable Series A Preferred Units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2020 Omnibus Incentive Plan </w:t>
      </w:r>
      <w:r>
        <w:rPr>
          <w:rFonts w:ascii="Arial" w:cs="Arial" w:eastAsia="Arial" w:hAnsi="Arial"/>
          <w:sz w:val="17"/>
          <w:szCs w:val="17"/>
          <w:color w:val="auto"/>
        </w:rPr>
        <w:t>- On May 27, 2020, the Board of Directors of the Company (the “Board”) adopted the ZoomInfo Technologies Inc.</w:t>
      </w:r>
      <w:r>
        <w:rPr>
          <w:rFonts w:ascii="Arial" w:cs="Arial" w:eastAsia="Arial" w:hAnsi="Arial"/>
          <w:sz w:val="17"/>
          <w:szCs w:val="17"/>
          <w:b w:val="1"/>
          <w:bCs w:val="1"/>
          <w:color w:val="auto"/>
        </w:rPr>
        <w:t xml:space="preserve"> </w:t>
      </w:r>
      <w:r>
        <w:rPr>
          <w:rFonts w:ascii="Arial" w:cs="Arial" w:eastAsia="Arial" w:hAnsi="Arial"/>
          <w:sz w:val="17"/>
          <w:szCs w:val="17"/>
          <w:color w:val="auto"/>
        </w:rPr>
        <w:t>2020 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8"/>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units; (vi) OpCo Units, and (vii) Other equity-based and cash-based incentive awards as determined by the compensation committee of the Board or any properly delegated subcommittee.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(“RSU”)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 2020</w:t>
            </w: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7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3"/>
                <w:szCs w:val="13"/>
                <w:color w:val="auto"/>
              </w:rPr>
            </w:pPr>
          </w:p>
        </w:tc>
        <w:tc>
          <w:tcPr>
            <w:tcW w:w="1720" w:type="dxa"/>
            <w:vAlign w:val="bottom"/>
            <w:gridSpan w:val="2"/>
          </w:tcPr>
          <w:p>
            <w:pPr>
              <w:jc w:val="right"/>
              <w:ind w:right="14"/>
              <w:spacing w:after="0" w:line="153" w:lineRule="exact"/>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511,537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(1,124)</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Unvested at June 30, 2020</w:t>
            </w:r>
          </w:p>
        </w:tc>
        <w:tc>
          <w:tcPr>
            <w:tcW w:w="17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510,413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Unvested Options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9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7"/>
              </w:rPr>
              <w:t>Six Months Ended June 30, 2020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7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3"/>
                <w:szCs w:val="13"/>
                <w:color w:val="auto"/>
              </w:rPr>
            </w:pPr>
          </w:p>
        </w:tc>
        <w:tc>
          <w:tcPr>
            <w:tcW w:w="17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Price</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576,708</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(7,165)</w:t>
            </w:r>
          </w:p>
        </w:tc>
        <w:tc>
          <w:tcPr>
            <w:tcW w:w="1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Unvested at June 30, 2020</w:t>
            </w:r>
          </w:p>
        </w:tc>
        <w:tc>
          <w:tcPr>
            <w:tcW w:w="17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569,543</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intrinsic value and weighted average remaining contractual terms of Options outstanding and Options exercisable were as follows as of June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2020</w:t>
            </w:r>
          </w:p>
        </w:tc>
      </w:tr>
      <w:tr>
        <w:trPr>
          <w:trHeight w:val="23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952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17.1</w:t>
            </w:r>
          </w:p>
        </w:tc>
      </w:tr>
      <w:tr>
        <w:trPr>
          <w:trHeight w:val="27"/>
        </w:trPr>
        <w:tc>
          <w:tcPr>
            <w:tcW w:w="9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years</w:t>
            </w:r>
          </w:p>
        </w:tc>
      </w:tr>
      <w:tr>
        <w:trPr>
          <w:trHeight w:val="243"/>
        </w:trPr>
        <w:tc>
          <w:tcPr>
            <w:tcW w:w="952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Class A stock options was determined using the Black-Scholes option pricing model with the following assumption ranges and fair value per unit: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6"/>
        </w:trPr>
        <w:tc>
          <w:tcPr>
            <w:tcW w:w="9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39.0% to 39.3%</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5.6 to 5.9 years</w:t>
            </w:r>
          </w:p>
        </w:tc>
      </w:tr>
      <w:tr>
        <w:trPr>
          <w:trHeight w:val="27"/>
        </w:trPr>
        <w:tc>
          <w:tcPr>
            <w:tcW w:w="9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Fair value per unit</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$21.00</w:t>
            </w: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Unvested HoldCo Unit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 2020</w:t>
            </w: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7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HoldCo Units</w:t>
            </w:r>
          </w:p>
        </w:tc>
        <w:tc>
          <w:tcPr>
            <w:tcW w:w="120" w:type="dxa"/>
            <w:vAlign w:val="bottom"/>
          </w:tcPr>
          <w:p>
            <w:pPr>
              <w:spacing w:after="0"/>
              <w:rPr>
                <w:sz w:val="13"/>
                <w:szCs w:val="13"/>
                <w:color w:val="auto"/>
              </w:rPr>
            </w:pPr>
          </w:p>
        </w:tc>
        <w:tc>
          <w:tcPr>
            <w:tcW w:w="17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1,332,239</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(35,758)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(6,262)</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1,290,219</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OpCo Unit activity was as follows during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560" w:type="dxa"/>
            <w:vAlign w:val="bottom"/>
            <w:gridSpan w:val="4"/>
            <w:vMerge w:val="restart"/>
          </w:tcPr>
          <w:p>
            <w:pPr>
              <w:jc w:val="right"/>
              <w:ind w:right="693"/>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560" w:type="dxa"/>
            <w:vAlign w:val="bottom"/>
            <w:gridSpan w:val="4"/>
            <w:vMerge w:val="continue"/>
          </w:tcPr>
          <w:p>
            <w:pPr>
              <w:spacing w:after="0"/>
              <w:rPr>
                <w:sz w:val="16"/>
                <w:szCs w:val="16"/>
                <w:color w:val="auto"/>
              </w:rPr>
            </w:pPr>
          </w:p>
        </w:tc>
        <w:tc>
          <w:tcPr>
            <w:tcW w:w="1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17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OpCo Units</w:t>
            </w: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7"/>
              </w:rPr>
              <w:t>Weighted Average Grant</w:t>
            </w:r>
          </w:p>
        </w:tc>
        <w:tc>
          <w:tcPr>
            <w:tcW w:w="120" w:type="dxa"/>
            <w:vAlign w:val="bottom"/>
          </w:tcPr>
          <w:p>
            <w:pPr>
              <w:spacing w:after="0"/>
              <w:rPr>
                <w:sz w:val="13"/>
                <w:szCs w:val="13"/>
                <w:color w:val="auto"/>
              </w:rPr>
            </w:pPr>
          </w:p>
        </w:tc>
        <w:tc>
          <w:tcPr>
            <w:tcW w:w="1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OpCo Units</w:t>
            </w:r>
          </w:p>
        </w:tc>
        <w:tc>
          <w:tcPr>
            <w:tcW w:w="0" w:type="dxa"/>
            <w:vAlign w:val="bottom"/>
          </w:tcPr>
          <w:p>
            <w:pPr>
              <w:spacing w:after="0"/>
              <w:rPr>
                <w:sz w:val="1"/>
                <w:szCs w:val="1"/>
                <w:color w:val="auto"/>
              </w:rPr>
            </w:pPr>
          </w:p>
        </w:tc>
      </w:tr>
      <w:tr>
        <w:trPr>
          <w:trHeight w:val="192"/>
        </w:trPr>
        <w:tc>
          <w:tcPr>
            <w:tcW w:w="58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228,819</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441,681</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(6,909)</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(162,218)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(118,867)</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(59,692)</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7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7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322,814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Class P Units were issued under both the prior and current LLC agreement of ZoomInfo OpCo. Class P Unit activity was as follows during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560" w:type="dxa"/>
            <w:vAlign w:val="bottom"/>
            <w:gridSpan w:val="4"/>
            <w:vMerge w:val="restart"/>
          </w:tcPr>
          <w:p>
            <w:pPr>
              <w:jc w:val="right"/>
              <w:ind w:right="695"/>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560" w:type="dxa"/>
            <w:vAlign w:val="bottom"/>
            <w:gridSpan w:val="4"/>
            <w:vMerge w:val="continue"/>
          </w:tcPr>
          <w:p>
            <w:pPr>
              <w:spacing w:after="0"/>
              <w:rPr>
                <w:sz w:val="16"/>
                <w:szCs w:val="16"/>
                <w:color w:val="auto"/>
              </w:rPr>
            </w:pPr>
          </w:p>
        </w:tc>
        <w:tc>
          <w:tcPr>
            <w:tcW w:w="1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172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215"/>
              <w:spacing w:after="0" w:line="153" w:lineRule="exact"/>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3"/>
                <w:szCs w:val="13"/>
                <w:color w:val="auto"/>
              </w:rPr>
            </w:pPr>
          </w:p>
        </w:tc>
        <w:tc>
          <w:tcPr>
            <w:tcW w:w="1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Class P Units</w:t>
            </w:r>
          </w:p>
        </w:tc>
        <w:tc>
          <w:tcPr>
            <w:tcW w:w="0" w:type="dxa"/>
            <w:vAlign w:val="bottom"/>
          </w:tcPr>
          <w:p>
            <w:pPr>
              <w:spacing w:after="0"/>
              <w:rPr>
                <w:sz w:val="1"/>
                <w:szCs w:val="1"/>
                <w:color w:val="auto"/>
              </w:rPr>
            </w:pPr>
          </w:p>
        </w:tc>
      </w:tr>
      <w:tr>
        <w:trPr>
          <w:trHeight w:val="192"/>
        </w:trPr>
        <w:tc>
          <w:tcPr>
            <w:tcW w:w="58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Participation Threshold</w:t>
            </w:r>
          </w:p>
        </w:tc>
        <w:tc>
          <w:tcPr>
            <w:tcW w:w="1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16,893,603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5,716,467</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(1,950,930)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642,500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7,376,918</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(3,504,844)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(343,289)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rPr>
              <w:t>Unvested at June 30, 2020</w:t>
            </w:r>
          </w:p>
        </w:tc>
        <w:tc>
          <w:tcPr>
            <w:tcW w:w="1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11,737,040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13,093,385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6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40.4% to 41.2%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6.5 to 6.8 years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4 years</w:t>
            </w:r>
          </w:p>
        </w:tc>
      </w:tr>
      <w:tr>
        <w:trPr>
          <w:trHeight w:val="27"/>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 to 2.5%</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Fair value per unit</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$21.00</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$5.20 to $9.04</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ectPr>
          <w:pgSz w:w="11900" w:h="16838" w:orient="portrait"/>
          <w:cols w:equalWidth="0" w:num="1">
            <w:col w:w="11240"/>
          </w:cols>
          <w:pgMar w:left="320" w:top="122"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LTIP Unit activity was as follows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beginning of period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June 30,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63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Participation Threshold</w:t>
            </w:r>
          </w:p>
        </w:tc>
        <w:tc>
          <w:tcPr>
            <w:tcW w:w="0" w:type="dxa"/>
            <w:vAlign w:val="bottom"/>
          </w:tcPr>
          <w:p>
            <w:pPr>
              <w:spacing w:after="0"/>
              <w:rPr>
                <w:sz w:val="1"/>
                <w:szCs w:val="1"/>
                <w:color w:val="auto"/>
              </w:rPr>
            </w:pPr>
          </w:p>
        </w:tc>
      </w:tr>
      <w:tr>
        <w:trPr>
          <w:trHeight w:val="243"/>
        </w:trPr>
        <w:tc>
          <w:tcPr>
            <w:tcW w:w="1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20" w:type="dxa"/>
            <w:vAlign w:val="bottom"/>
          </w:tcPr>
          <w:p>
            <w:pPr>
              <w:jc w:val="right"/>
              <w:ind w:right="75"/>
              <w:spacing w:after="0"/>
              <w:rPr>
                <w:sz w:val="20"/>
                <w:szCs w:val="20"/>
                <w:color w:val="auto"/>
              </w:rPr>
            </w:pPr>
            <w:r>
              <w:rPr>
                <w:rFonts w:ascii="Arial" w:cs="Arial" w:eastAsia="Arial" w:hAnsi="Arial"/>
                <w:sz w:val="18"/>
                <w:szCs w:val="18"/>
                <w:color w:val="auto"/>
              </w:rPr>
              <w:t>47,620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47,620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7" w:lineRule="exact"/>
        <w:rPr>
          <w:sz w:val="20"/>
          <w:szCs w:val="20"/>
          <w:color w:val="auto"/>
        </w:rPr>
      </w:pPr>
    </w:p>
    <w:p>
      <w:pPr>
        <w:sectPr>
          <w:pgSz w:w="11900" w:h="16838" w:orient="portrait"/>
          <w:cols w:equalWidth="0" w:num="2">
            <w:col w:w="6960" w:space="720"/>
            <w:col w:w="3560"/>
          </w:cols>
          <w:pgMar w:left="320" w:top="122" w:right="339" w:bottom="1440" w:gutter="0" w:footer="0" w:header="0"/>
          <w:type w:val="continuous"/>
        </w:sectPr>
      </w:pPr>
    </w:p>
    <w:p>
      <w:pPr>
        <w:jc w:val="both"/>
        <w:ind w:firstLine="324"/>
        <w:spacing w:after="0" w:line="273" w:lineRule="auto"/>
        <w:rPr>
          <w:sz w:val="20"/>
          <w:szCs w:val="20"/>
          <w:color w:val="auto"/>
        </w:rPr>
      </w:pPr>
      <w:r>
        <w:rPr>
          <w:rFonts w:ascii="Arial" w:cs="Arial" w:eastAsia="Arial" w:hAnsi="Arial"/>
          <w:sz w:val="17"/>
          <w:szCs w:val="17"/>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will begin to recognize compensation cost under these awards on a straight-line basis in the same manner as if the Company had paid cash in lieu of awarding the HSKB Grants, per the requirements of ASC 718.</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six months ended June 30, 2020, HSKB paid $11.3 million from allocated funds and has $12.2 million remaining that it has allocated to be paid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HSKB Phantom Units </w:t>
      </w:r>
      <w:r>
        <w:rPr>
          <w:rFonts w:ascii="Arial" w:cs="Arial" w:eastAsia="Arial" w:hAnsi="Arial"/>
          <w:sz w:val="16"/>
          <w:szCs w:val="16"/>
          <w:color w:val="auto"/>
        </w:rPr>
        <w:t>- In December 2019, HSKB I adopted the HSKB Funds, LLC 2019 Phantom Unit Plan wherein HSKB may grant Phantom</w:t>
      </w:r>
      <w:r>
        <w:rPr>
          <w:rFonts w:ascii="Arial" w:cs="Arial" w:eastAsia="Arial" w:hAnsi="Arial"/>
          <w:sz w:val="16"/>
          <w:szCs w:val="16"/>
          <w:b w:val="1"/>
          <w:bCs w:val="1"/>
          <w:color w:val="auto"/>
        </w:rPr>
        <w:t xml:space="preserve"> </w:t>
      </w:r>
      <w:r>
        <w:rPr>
          <w:rFonts w:ascii="Arial" w:cs="Arial" w:eastAsia="Arial" w:hAnsi="Arial"/>
          <w:sz w:val="16"/>
          <w:szCs w:val="16"/>
          <w:color w:val="auto"/>
        </w:rPr>
        <w:t>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0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37"/>
        </w:trPr>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20"/>
                <w:szCs w:val="20"/>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and Operating expenses include equity-based</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expenses as follows: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Cost of service</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3"/>
              <w:spacing w:after="0"/>
              <w:rPr>
                <w:sz w:val="20"/>
                <w:szCs w:val="20"/>
                <w:color w:val="auto"/>
              </w:rPr>
            </w:pPr>
            <w:r>
              <w:rPr>
                <w:rFonts w:ascii="Arial" w:cs="Arial" w:eastAsia="Arial" w:hAnsi="Arial"/>
                <w:sz w:val="18"/>
                <w:szCs w:val="18"/>
                <w:color w:val="auto"/>
                <w:w w:val="96"/>
              </w:rPr>
              <w:t>15.3</w:t>
            </w:r>
          </w:p>
        </w:tc>
        <w:tc>
          <w:tcPr>
            <w:tcW w:w="120" w:type="dxa"/>
            <w:vAlign w:val="bottom"/>
          </w:tcPr>
          <w:p>
            <w:pPr>
              <w:spacing w:after="0"/>
              <w:rPr>
                <w:sz w:val="21"/>
                <w:szCs w:val="21"/>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6"/>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63"/>
        </w:trPr>
        <w:tc>
          <w:tcPr>
            <w:tcW w:w="5160" w:type="dxa"/>
            <w:vAlign w:val="bottom"/>
          </w:tcPr>
          <w:p>
            <w:pPr>
              <w:ind w:left="460"/>
              <w:spacing w:after="0"/>
              <w:rPr>
                <w:sz w:val="20"/>
                <w:szCs w:val="20"/>
                <w:color w:val="auto"/>
              </w:rPr>
            </w:pPr>
            <w:r>
              <w:rPr>
                <w:rFonts w:ascii="Arial" w:cs="Arial" w:eastAsia="Arial" w:hAnsi="Arial"/>
                <w:sz w:val="18"/>
                <w:szCs w:val="18"/>
                <w:color w:val="auto"/>
              </w:rPr>
              <w:t>Total equity-based compensation expense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6"/>
              </w:rPr>
              <w:t>64.5</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11.6</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2020, unamortized equity-based compensation costs related to each equity-based incentive award described above is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Service Period</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1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11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HoldCo Units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1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1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11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96.4</w:t>
            </w: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7680" w:type="dxa"/>
            <w:vAlign w:val="bottom"/>
          </w:tcPr>
          <w:p>
            <w:pPr>
              <w:ind w:left="220"/>
              <w:spacing w:after="0"/>
              <w:rPr>
                <w:sz w:val="20"/>
                <w:szCs w:val="20"/>
                <w:color w:val="auto"/>
              </w:rPr>
            </w:pPr>
            <w:r>
              <w:rPr>
                <w:rFonts w:ascii="Arial" w:cs="Arial" w:eastAsia="Arial" w:hAnsi="Arial"/>
                <w:sz w:val="18"/>
                <w:szCs w:val="18"/>
                <w:color w:val="auto"/>
              </w:rPr>
              <w:t>Total unamortized equity-based compensation cost</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154.6</w:t>
            </w: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6"/>
        </w:trPr>
        <w:tc>
          <w:tcPr>
            <w:tcW w:w="7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recorded $12.9 million and $1.4 million of income tax benefit for the three months ended June 30, 2020 and 2019, respectively, and $13.3 million and $4.7 million for the six months ended June 30, 2020 and 2019, respectively. The Company’s estimated effective tax rate for the six months ended June 30, 2020 was 17.6%. The Company’s estimated annual effective tax rate is less than the statutory rate of 21.0% primarily because the Company is not liable for income taxes on the portion of earnings that are attributable to non-controlling interest.</w:t>
      </w:r>
    </w:p>
    <w:p>
      <w:pPr>
        <w:spacing w:after="0" w:line="117"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As a result of the IPO, the Company recorded a change in the net deferred tax asset position, net of valuation allowance, of $276.0 million, which primarily consisted of the Company’s outside basis differences in its partnership subsidiaries, resulting in a deferred tax asset position of $211.9 million.</w:t>
      </w:r>
    </w:p>
    <w:p>
      <w:pPr>
        <w:spacing w:after="0" w:line="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assessing the realizability of deferred tax assets, including the deferred tax assets recorded as a result of the IPO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$119.0 million related to the indefinite outside basis in the corporate stock of its wholly owned subsidiary.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six months ended June 30, 2020.</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June 30, 2020, that if recognized, would affect the annual effective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of June 30, 2020, the Company had a liability of $109.4 million related to its projected obligations under the Tax Receivable Agreements. Tax Receivable Agreements related liabilities are classified as current or noncurrent based on the expected date of payment and are included in our consolidated balance sheets under the captions </w:t>
      </w:r>
      <w:r>
        <w:rPr>
          <w:rFonts w:ascii="Arial" w:cs="Arial" w:eastAsia="Arial" w:hAnsi="Arial"/>
          <w:sz w:val="18"/>
          <w:szCs w:val="18"/>
          <w:i w:val="1"/>
          <w:iCs w:val="1"/>
          <w:color w:val="auto"/>
        </w:rPr>
        <w:t>Current portion of tax receivable agreements liability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Tax receivable agreements liability, net of current portion</w:t>
      </w:r>
      <w:r>
        <w:rPr>
          <w:rFonts w:ascii="Arial" w:cs="Arial" w:eastAsia="Arial" w:hAnsi="Arial"/>
          <w:sz w:val="18"/>
          <w:szCs w:val="18"/>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the IPO Prospectus, the information included under “Management’s Discussion and Analysis of Financial Condition and Results of Operations” in the IPO Prospectus,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II, Item 1A of this Form 10-Q.</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access to our platform on a subscription basis and we generate substantially all of our revenue from sales of subscriptions. Our subscription fees include the use of our platform and access to customer support. Subscriptions generally range from one to three years in length with over 25% of our ACV being under multi-year agreements. We typically bill our customers at the beginning of each annual or quarterly period and recognize revenue ratably over the term of the subscription period.</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incorporated in November 2019 with no operating assets or operations for the purposes of facilitating an initial public offering of its Class A common stock (the “IPO”) and other related transactions in order to carry on the business of the operating entity ZoomInfo Holdings LLC (“ZoomInfo OpCo”) (formerly known as DiscoverOrg Holdings, LLC) following the consummation of the transactions described under “Reorganization Transactions” in Note 1 to our unaudited consolidated financial statements included in Part I, Item 1 of this Form 10-Q (the “Reorganization Transactions”).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Following the consummation of the Reorganization Transactions on June 3, 2020, ZoomInfo Technologies Inc. became a holding company, with its sole material asset being a controlling equity interest in ZoomInfo Intermediate Holdings LLC (“ZoomInfo HoldCo”), which is a holding company with its sole material asset being a controlling equity interest in ZoomInfo OpCo. ZoomInfo Technologies Inc. operates and controls all of our business and affairs, and consolidates the financial results of ZoomInfo OpCo through ZoomInfo HoldCo. Accordingly, ZoomInfo Technologies Inc. reports a non-controlling interest related to the OpCo Units or HoldCo Units held by our Continuing Members in our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OpCo Units, HoldCo Units, and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Reorganization Transactions,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ZoomInfo Technologies Inc.’s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Pre-IPO OpCo Unitholders and the Pre-IPO HoldCo Unitholders that held voting units before the Offering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has triggered a period of global economic slowdown.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full impact of the COVID-19 pandemic on the global economy is not currently known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in Part II, Item 1A of this Form 10-Q for further discussion of the possible impact of the COVID-19 pandemic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focused on continuing to grow the number of customers that use our platform. The majority of revenue growth when comparing the three months ending June 30, 2020 to the three months ending June 30, 2019 was the result of new customers added over the last 12 months.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2019 was 109%. We also measure our success in expanding relationships with existing customers by the number of customers that contract for more than $100,000 in ACV. As of June 30, 2020, we had more than 650 customers with over $100,000 in ACV and ACV from these customers grew 60% relative to June 30,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Adjusted Net Income, and Adjusted EPS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view adjusted EBITDA, Allocated Combined Receipts, Adjusted Operating Income, Adjusted Operating Income Margin, Adjusted EBITDA, and Adjusted Net Income as operating performance measures and, as such, we believe that the most directly comparable GAAP financial measure to Allocated Combined Receipts is GAAP revenue. We believe the most directly comparable GAAP financial measure to Adjusted Operating Income, Adjusted EBITDA, and Adjusted Net Income is GAAP Net Income. We believe the most directly comparable GAAP financial measures to Adjusted Net Income per diluted share and Adjusted Operating Income Margin are net earnings per diluted share and net income divided by revenue, respectively.</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Allocated Combined Receipts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Allocated Combined Receipts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w:t>
            </w: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w w:val="98"/>
              </w:rPr>
              <w:t>Impact of fair value adjustments to acquired unearned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4480" w:type="dxa"/>
            <w:vAlign w:val="bottom"/>
          </w:tcPr>
          <w:p>
            <w:pPr>
              <w:ind w:left="400"/>
              <w:spacing w:after="0" w:line="257"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(a)</w:t>
            </w:r>
          </w:p>
        </w:tc>
        <w:tc>
          <w:tcPr>
            <w:tcW w:w="400" w:type="dxa"/>
            <w:vAlign w:val="bottom"/>
          </w:tcPr>
          <w:p>
            <w:pPr>
              <w:spacing w:after="0"/>
              <w:rPr>
                <w:sz w:val="22"/>
                <w:szCs w:val="22"/>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19.2</w:t>
            </w:r>
          </w:p>
        </w:tc>
      </w:tr>
      <w:tr>
        <w:trPr>
          <w:trHeight w:val="27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Pre-Acquisition ZI revenue</w:t>
            </w:r>
            <w:r>
              <w:rPr>
                <w:rFonts w:ascii="Arial" w:cs="Arial" w:eastAsia="Arial" w:hAnsi="Arial"/>
                <w:sz w:val="23"/>
                <w:szCs w:val="23"/>
                <w:color w:val="auto"/>
                <w:vertAlign w:val="superscript"/>
              </w:rPr>
              <w:t>(b)</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w:t>
            </w: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w w:val="98"/>
              </w:rPr>
              <w:t>Impact of fair value adjustments to acquired unearned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4480" w:type="dxa"/>
            <w:vAlign w:val="bottom"/>
          </w:tcPr>
          <w:p>
            <w:pPr>
              <w:ind w:left="400"/>
              <w:spacing w:after="0" w:line="257" w:lineRule="exact"/>
              <w:rPr>
                <w:sz w:val="20"/>
                <w:szCs w:val="20"/>
                <w:color w:val="auto"/>
              </w:rPr>
            </w:pPr>
            <w:r>
              <w:rPr>
                <w:rFonts w:ascii="Arial" w:cs="Arial" w:eastAsia="Arial" w:hAnsi="Arial"/>
                <w:sz w:val="18"/>
                <w:szCs w:val="18"/>
                <w:color w:val="auto"/>
              </w:rPr>
              <w:t>revenue recorded by Pre-Acquisition ZII</w:t>
            </w:r>
            <w:r>
              <w:rPr>
                <w:rFonts w:ascii="Arial" w:cs="Arial" w:eastAsia="Arial" w:hAnsi="Arial"/>
                <w:sz w:val="23"/>
                <w:szCs w:val="23"/>
                <w:color w:val="auto"/>
                <w:vertAlign w:val="superscript"/>
              </w:rPr>
              <w:t>(c)</w:t>
            </w:r>
          </w:p>
        </w:tc>
        <w:tc>
          <w:tcPr>
            <w:tcW w:w="40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0.1</w:t>
            </w:r>
          </w:p>
        </w:tc>
      </w:tr>
      <w:tr>
        <w:trPr>
          <w:trHeight w:val="27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Pre-acquisition revenue of other acquired companies</w:t>
            </w:r>
            <w:r>
              <w:rPr>
                <w:rFonts w:ascii="Arial" w:cs="Arial" w:eastAsia="Arial" w:hAnsi="Arial"/>
                <w:sz w:val="23"/>
                <w:szCs w:val="23"/>
                <w:color w:val="auto"/>
                <w:w w:val="95"/>
                <w:vertAlign w:val="superscript"/>
              </w:rPr>
              <w:t>(d)</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Allocated Combined Receipts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152.4</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7"/>
        </w:trPr>
        <w:tc>
          <w:tcPr>
            <w:tcW w:w="44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acquired Komiko in October 2019. Figures include revenue recognized by Komiko for the periods presented prior to its acquisition.</w:t>
      </w:r>
    </w:p>
    <w:p>
      <w:pPr>
        <w:spacing w:after="0" w:line="15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Allocated Combined Receipts for the three months ended June 30, 2020 was $111.2, which represented an increase of $31.8 million, or 40%, relative to the three months ended June 30, 2019. Allocated Combined Receipts for the six months ended June 30, 2020 was $214.8 million, which represented an increase of $62.4 million, or 41%, relative to the six months ended June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performance. Adjusted Operating Income should not be considered as an alternative to operating income as an indicator of operating performance.</w:t>
      </w:r>
    </w:p>
    <w:p>
      <w:pPr>
        <w:spacing w:after="0" w:line="1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define Adjusted Net Income as Adjusted Operating Income less (i) interest expense, (ii) other (income) expense, net, and (iii) income tax expense (benefit) including incremental tax effects of adjustments to arrive at Adjusted Operating Income and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18.2</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fair value adjustments to acquired unearned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6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13.0</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11.6</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transaction related expenses</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r>
      <w:tr>
        <w:trPr>
          <w:trHeight w:val="270"/>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Integration costs and acquisition-related expenses</w:t>
            </w:r>
            <w:r>
              <w:rPr>
                <w:rFonts w:ascii="Arial" w:cs="Arial" w:eastAsia="Arial" w:hAnsi="Arial"/>
                <w:sz w:val="23"/>
                <w:szCs w:val="23"/>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w:t>
            </w:r>
          </w:p>
        </w:tc>
      </w:tr>
      <w:tr>
        <w:trPr>
          <w:trHeight w:val="26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w:t>
            </w:r>
          </w:p>
        </w:tc>
      </w:tr>
      <w:tr>
        <w:trPr>
          <w:trHeight w:val="237"/>
        </w:trPr>
        <w:tc>
          <w:tcPr>
            <w:tcW w:w="4680" w:type="dxa"/>
            <w:vAlign w:val="bottom"/>
          </w:tcPr>
          <w:p>
            <w:pPr>
              <w:ind w:left="22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impacts of adjustments to 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(50.4)</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4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21.7</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and six months ended June 30, 2020, this expense related primarily to professional fees for the preparation for an initial public offering. For the three and six months ended June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hanging="332"/>
        <w:spacing w:after="0" w:line="246"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ended June 30, 2020, this expense related primarily to cash vesting payments from the acquisition of Pre-Acquisition ZI. For the three months ended June 30, 2019, this expense related primarily to activities resulting from the acquisition of Pre-Acquisition ZI, including cash vesting payments and transaction bonuses. For the six months ended June 30, 2020, this expense related primarily to cash vesting payments from the acquisition of Pre-Acquisition ZI. For the six months ended June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0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197"/>
        </w:trPr>
        <w:tc>
          <w:tcPr>
            <w:tcW w:w="3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w:t>
            </w:r>
          </w:p>
        </w:tc>
      </w:tr>
      <w:tr>
        <w:trPr>
          <w:trHeight w:val="20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r>
      <w:tr>
        <w:trPr>
          <w:trHeight w:val="197"/>
        </w:trPr>
        <w:tc>
          <w:tcPr>
            <w:tcW w:w="37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27"/>
        </w:trPr>
        <w:tc>
          <w:tcPr>
            <w:tcW w:w="3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6"/>
              </w:rPr>
              <w:t>Total integration costs and acquisition-related compensation</w:t>
            </w: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55.0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41.3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72.9</w:t>
            </w:r>
          </w:p>
        </w:tc>
      </w:tr>
      <w:tr>
        <w:trPr>
          <w:trHeight w:val="270"/>
        </w:trPr>
        <w:tc>
          <w:tcPr>
            <w:tcW w:w="4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68.5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123.1</w:t>
            </w: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w w:val="99"/>
              </w:rPr>
              <w:t>Impact of fair value adjustments to acquired unearned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520" w:type="dxa"/>
            <w:vAlign w:val="bottom"/>
          </w:tcPr>
          <w:p>
            <w:pPr>
              <w:ind w:left="40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6"/>
              </w:rPr>
              <w:t>10.7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19.2</w:t>
            </w:r>
          </w:p>
        </w:tc>
      </w:tr>
      <w:tr>
        <w:trPr>
          <w:trHeight w:val="27"/>
        </w:trPr>
        <w:tc>
          <w:tcPr>
            <w:tcW w:w="4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111.2</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79.2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142.3</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20" w:type="dxa"/>
            <w:vAlign w:val="bottom"/>
          </w:tcPr>
          <w:p>
            <w:pPr>
              <w:ind w:left="220"/>
              <w:spacing w:after="0"/>
              <w:rPr>
                <w:sz w:val="20"/>
                <w:szCs w:val="20"/>
                <w:color w:val="auto"/>
              </w:rPr>
            </w:pPr>
            <w:r>
              <w:rPr>
                <w:rFonts w:ascii="Arial" w:cs="Arial" w:eastAsia="Arial" w:hAnsi="Arial"/>
                <w:sz w:val="18"/>
                <w:szCs w:val="18"/>
                <w:i w:val="1"/>
                <w:iCs w:val="1"/>
                <w:color w:val="auto"/>
              </w:rPr>
              <w:t>Adjusted Operating Income Margin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51 %</w:t>
            </w:r>
          </w:p>
        </w:tc>
      </w:tr>
    </w:tbl>
    <w:p>
      <w:pPr>
        <w:spacing w:after="0" w:line="2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Adjusted Operating Income for the three months ended June 30, 2020 was $55.0 million and represented an Adjusted Operating Income Margin of 49%. Adjusted Operating Income for the three months ended June 30, 2019 was $41.3 million and represented an Adjusted Operating Income Margin of</w:t>
      </w:r>
    </w:p>
    <w:p>
      <w:pPr>
        <w:jc w:val="both"/>
        <w:spacing w:after="0" w:line="253" w:lineRule="auto"/>
        <w:rPr>
          <w:sz w:val="20"/>
          <w:szCs w:val="20"/>
          <w:color w:val="auto"/>
        </w:rPr>
      </w:pPr>
      <w:r>
        <w:rPr>
          <w:rFonts w:ascii="Arial" w:cs="Arial" w:eastAsia="Arial" w:hAnsi="Arial"/>
          <w:sz w:val="18"/>
          <w:szCs w:val="18"/>
          <w:color w:val="auto"/>
        </w:rPr>
        <w:t>52%. The increase of $13.7 million, or 33%, was driven primarily from the growth in revenue driven by additional customers and increasing revenue from existing customers. Adjusted Operating Income Margin decreased to 49% in the three months ended June 30, 2020 from 52% in the three months ended June 30, 2019 due to incremental sales and marketing expenses related to signing new customers and retaining and upselling existing customers, and general and administration costs to support incremental public company related requirements.</w:t>
      </w:r>
    </w:p>
    <w:p>
      <w:pPr>
        <w:spacing w:after="0" w:line="13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Adjusted Operating Income for the six months ended June 30, 2020 was $104.0 million and represented an Adjusted Operating Income Margin of 48%. Adjusted Operating Income for the six months ended June 30, 2019 was $72.9 million and represented an Adjusted Operating Income Margin of</w:t>
      </w:r>
    </w:p>
    <w:p>
      <w:pPr>
        <w:jc w:val="both"/>
        <w:spacing w:after="0" w:line="273" w:lineRule="auto"/>
        <w:rPr>
          <w:sz w:val="20"/>
          <w:szCs w:val="20"/>
          <w:color w:val="auto"/>
        </w:rPr>
      </w:pPr>
      <w:r>
        <w:rPr>
          <w:rFonts w:ascii="Arial" w:cs="Arial" w:eastAsia="Arial" w:hAnsi="Arial"/>
          <w:sz w:val="17"/>
          <w:szCs w:val="17"/>
          <w:color w:val="auto"/>
        </w:rPr>
        <w:t>51%. The increase of $31.1 million, or 43%, was driven primarily from the growth in revenue that resulted from the acquisition of Pre-Acquisition ZI and additional customers in 2020 and 2019. Adjusted Operating Income Margin decreased to 48% in the six months ended June 30, 2020 from 51% in the six months ended June 30, 2019 due to incremental sales and marketing expenses related to signing new customers and retaining and upselling existing customers, and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4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18.2</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13.0</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27.5</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Impact of fair value adjustments to acquired unearned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7"/>
        </w:trPr>
        <w:tc>
          <w:tcPr>
            <w:tcW w:w="4760" w:type="dxa"/>
            <w:vAlign w:val="bottom"/>
          </w:tcPr>
          <w:p>
            <w:pPr>
              <w:ind w:left="240"/>
              <w:spacing w:after="0" w:line="257"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(b)</w:t>
            </w:r>
          </w:p>
        </w:tc>
        <w:tc>
          <w:tcPr>
            <w:tcW w:w="36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19.2</w:t>
            </w: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r>
      <w:tr>
        <w:trPr>
          <w:trHeight w:val="270"/>
        </w:trPr>
        <w:tc>
          <w:tcPr>
            <w:tcW w:w="4760" w:type="dxa"/>
            <w:vAlign w:val="bottom"/>
          </w:tcPr>
          <w:p>
            <w:pPr>
              <w:ind w:left="240"/>
              <w:spacing w:after="0"/>
              <w:rPr>
                <w:sz w:val="20"/>
                <w:szCs w:val="20"/>
                <w:color w:val="auto"/>
              </w:rPr>
            </w:pPr>
            <w:r>
              <w:rPr>
                <w:rFonts w:ascii="Arial" w:cs="Arial" w:eastAsia="Arial" w:hAnsi="Arial"/>
                <w:sz w:val="18"/>
                <w:szCs w:val="18"/>
                <w:color w:val="auto"/>
              </w:rPr>
              <w:t>Restructuring and transaction related expenses</w:t>
            </w:r>
            <w:r>
              <w:rPr>
                <w:rFonts w:ascii="Arial" w:cs="Arial" w:eastAsia="Arial" w:hAnsi="Arial"/>
                <w:sz w:val="23"/>
                <w:szCs w:val="23"/>
                <w:color w:val="auto"/>
                <w:vertAlign w:val="superscript"/>
              </w:rPr>
              <w:t>(c)</w:t>
            </w:r>
          </w:p>
        </w:tc>
        <w:tc>
          <w:tcPr>
            <w:tcW w:w="36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9.0</w:t>
            </w:r>
          </w:p>
        </w:tc>
      </w:tr>
      <w:tr>
        <w:trPr>
          <w:trHeight w:val="270"/>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Integration costs and acquisition-related expenses</w:t>
            </w:r>
            <w:r>
              <w:rPr>
                <w:rFonts w:ascii="Arial" w:cs="Arial" w:eastAsia="Arial" w:hAnsi="Arial"/>
                <w:sz w:val="23"/>
                <w:szCs w:val="23"/>
                <w:color w:val="auto"/>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2"/>
                <w:szCs w:val="22"/>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75.3</w:t>
            </w:r>
          </w:p>
        </w:tc>
      </w:tr>
      <w:tr>
        <w:trPr>
          <w:trHeight w:val="21"/>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3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and six months ended June 30, 2020, this expense related primarily to professional fees for the preparation for an initial public offering. For the three and six months ended June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hanging="332"/>
        <w:spacing w:after="0" w:line="246"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ended June 30, 2020, this expense related primarily to cash vesting payments from the acquisition of Pre-Acquisition ZI. For the three months ended June 30, 2019, this expense related primarily to activities resulting from the acquisition of Pre-Acquisition ZI, including cash vesting payments and transaction bonuses. For the six months ended June 30, 2020, this expense related primarily to cash vesting payments from the acquisition of Pre-Acquisition ZI. For the six months ended June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9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37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37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3"/>
        </w:trPr>
        <w:tc>
          <w:tcPr>
            <w:tcW w:w="370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integration costs and acquisition-related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EBITDA for the three months ended June 30, 2020 was $57.1 million, an increase of $14.5 million, or 34%, relative to the three months ended June 30, 2019. This increase was driven primarily from the growth in revenue and additional customers in 2020 and 2019.</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six months ended June 30, 2020 was $108.0 million, an increase of $32.7 million, or 43%, relative to the six months ended June 30, 2019. This increase was driven primarily from the growth in revenue that resulted from the acquisition of Pre-Acquisition ZI and additional customers in 2020 and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16 to our unaudited consolidated financial statements included in Part I, Item 1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underwriters’ discounts (but excluding other offering expenses and reimbursements in accounts receivable as of June 30, 2020).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Zoom Information Acquisition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three and six months ended June 30, 2020 to be greater than that of the three and six months ended June 30, 2019 due to the debt being outstanding for the entire period in 2020. However, this increase was mitigated and offset by a) a reduction in interest rates period over period, and b) the debt repayments and prepayments referenced above and in Note 7 to our unaudited consolidated financial statements included in Part I, Item 1 of this Form 10-Q.</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in the three months ended June 30, 2019 nor in 2020. Expenses relating to any accelerated payments under the Cash Vesting Payment Program (see Note 4 to our unaudited consolidated financial statements included in Part I, Item 1 of this Form 10-Q) were recorded as operating expense according to the functional area aligning to the employee’s salary and is included in integration and transaction-related compensation expenses when calculating non-GAAP metrics.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 See Note 15 for unamortized equity-based compensation costs related to each type of equity-based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either annually or quarterly, and we typically require payment at the beginning of each annual or quarterly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16" w:lineRule="exact"/>
        <w:rPr>
          <w:sz w:val="20"/>
          <w:szCs w:val="20"/>
          <w:color w:val="auto"/>
        </w:rPr>
      </w:pPr>
    </w:p>
    <w:p>
      <w:pPr>
        <w:ind w:right="2140" w:firstLine="324"/>
        <w:spacing w:after="0" w:line="438" w:lineRule="auto"/>
        <w:rPr>
          <w:sz w:val="20"/>
          <w:szCs w:val="20"/>
          <w:color w:val="auto"/>
        </w:rPr>
      </w:pPr>
      <w:r>
        <w:rPr>
          <w:rFonts w:ascii="Arial" w:cs="Arial" w:eastAsia="Arial" w:hAnsi="Arial"/>
          <w:sz w:val="18"/>
          <w:szCs w:val="18"/>
          <w:color w:val="auto"/>
        </w:rPr>
        <w:t xml:space="preserve">We anticipate that amortization of acquired technology will only increase if we make additional acquisitions in the future. </w:t>
      </w:r>
      <w:r>
        <w:rPr>
          <w:rFonts w:ascii="Arial" w:cs="Arial" w:eastAsia="Arial" w:hAnsi="Arial"/>
          <w:sz w:val="18"/>
          <w:szCs w:val="18"/>
          <w:b w:val="1"/>
          <w:bCs w:val="1"/>
          <w:i w:val="1"/>
          <w:iCs w:val="1"/>
          <w:color w:val="auto"/>
        </w:rPr>
        <w:t>Gross Profit and Gross Margin</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general and administrative costs will significantly increase due to incremental costs associated with operating a public company, including corporate insurance costs, additional accounting and legal 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and brand portfolios.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amortization of other acquired intangibles will only increase if we make additional acquisitions in the future.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anticipate that our interest expense will be substantially lower as a result of the repayment of a portion of our outstanding indebtedness with the proceeds from IPO. See “Use of Proceeds.” Interest expense could increase in the future based on changes in variable interest rates or the issuance of additional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primarily of foreign currency realized and unrealized gains and losses related to the impact of transactions denominated in a foreign currency.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the magnitude of other income and expenses may increase as we expand operations internationally and add complexity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to our unaudited consolidated financial statements included in Part I, Item 1 of this Form 10-Q for additional information.</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Note 16 to our unaudited consolidated financial statements included in Part I, Item 1 of this Form 10-Q.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ZoomInfo OpCo through ZoomInfo HoldCo to pay taxes, make payments under the tax receivable agreements, and pay dividends.” in Part II, Item 1A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three and six months ended June 30,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transaction related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Less: Net income (loss) attributable to ZoomInfo OpCo prior to</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 Reorganization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8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8"/>
              </w:rPr>
              <w:t>Net income (loss) attributable to ZoomInfo Technologies</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w:t>
            </w:r>
          </w:p>
        </w:tc>
        <w:tc>
          <w:tcPr>
            <w:tcW w:w="34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340" w:type="dxa"/>
            <w:vAlign w:val="bottom"/>
            <w:gridSpan w:val="3"/>
            <w:vMerge w:val="continue"/>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0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r>
      <w:tr>
        <w:trPr>
          <w:trHeight w:val="19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208"/>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197"/>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r>
      <w:tr>
        <w:trPr>
          <w:trHeight w:val="227"/>
        </w:trPr>
        <w:tc>
          <w:tcPr>
            <w:tcW w:w="3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equity-based compensation expense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Three Months Ended June 30, 2019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$110.9 million for the three months ended June 30, 2020, an increase of $42.4 million, or 62%, as compared to $68.5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 of Service. </w:t>
      </w:r>
      <w:r>
        <w:rPr>
          <w:rFonts w:ascii="Arial" w:cs="Arial" w:eastAsia="Arial" w:hAnsi="Arial"/>
          <w:sz w:val="17"/>
          <w:szCs w:val="17"/>
          <w:color w:val="auto"/>
        </w:rPr>
        <w:t>Cost of service was $33.8 million for the three months ended June 30, 2020, an increase of $16.2 million, or 92%,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$17.6 million for the three months ended June 30, 2019. The increase was primarily due to additional stock-based compensation expense related to grants previously made by HSKB, modified in December 2019, and triggered by the IPO. Additional expenses related to additional headcount and hosting expense to support new and growing customers were largely offset by reductions in amortization of acquired technology.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$108.3 million for the three months ended June 30, 2020, an increase of $63.0 million, or 139%,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$45.3 million for the three months ended June 30, 2019. The increase was primarily due to additional stock-based compensation expense related to grants previously made by HSKB, modified in December 2019, and triggered by the IPO. Excluding stock-based compensation expenses, operating expenses were $59.1 million for the three months ended June 30, 2020, an increase of $19.1 million, or 48%, as compared to $40.0 million for the three months ended June 30, 2019. The increase was primarily due to:</w:t>
      </w:r>
    </w:p>
    <w:p>
      <w:pPr>
        <w:spacing w:after="0" w:line="134" w:lineRule="exact"/>
        <w:rPr>
          <w:sz w:val="20"/>
          <w:szCs w:val="20"/>
          <w:color w:val="auto"/>
        </w:rPr>
      </w:pPr>
    </w:p>
    <w:p>
      <w:pPr>
        <w:jc w:val="both"/>
        <w:ind w:left="660" w:hanging="328"/>
        <w:spacing w:after="0" w:line="31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sales and marketing expense (excluding stock-based compensation) of $8.4 million, or 44%, to $27.5 million for the three months ended June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stock-based compensation) of $1.6 million, or 25%, to $7.9 million for the three months ended June 30, 2020, due primarily to additional headcount and related salaries and benefits expenses added to support continued innovation of our services;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(excluding stock-based compensation) of $0.7 million, or 8%, to $9.5 million for the three months ended June 30, 2020, due primarily to additional headcount and related salaries and benefits expenses to support the larger organization, which were offset by a decrease in integration-related expenses in the three months ended June 30, 2019, which did not recur in the three months ended June 30, 2020;</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increase in restructuring and transaction-related expense of $8.3 million, or 692%, to $9.5 million for the three months ended June 30, 2020, due primarily to IPO related expenses in the current quarter, which was partially offset by the reduction of restructuring expenses in the three months ended June 30, 2019 related to integrating the Pre-Acquisition ZI business, which did not recur.</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$25.1 million for the three months ended June 30, 2020, a decrease of $1.8 million, or 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$26.9 million for the three months ended June 30, 2019.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decrease was primarily due to interest savings as a result of repayment of the second lien debt and $100.0 million first lien debt principal repayment, offset by nonrecurring interest expense recognized upon partial dedesignation of cash flow hedges resulting from reclassification from </w:t>
      </w:r>
      <w:r>
        <w:rPr>
          <w:rFonts w:ascii="Arial" w:cs="Arial" w:eastAsia="Arial" w:hAnsi="Arial"/>
          <w:sz w:val="18"/>
          <w:szCs w:val="18"/>
          <w:i w:val="1"/>
          <w:iCs w:val="1"/>
          <w:color w:val="auto"/>
        </w:rPr>
        <w:t>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 (loss)</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Loss on Debt Extinguishment</w:t>
      </w:r>
      <w:r>
        <w:rPr>
          <w:rFonts w:ascii="Arial" w:cs="Arial" w:eastAsia="Arial" w:hAnsi="Arial"/>
          <w:sz w:val="16"/>
          <w:szCs w:val="16"/>
          <w:color w:val="auto"/>
        </w:rPr>
        <w:t>. Loss on debt extinguishment was $12.7 million for the three months ended June 30, 2020, an increase of $12.7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$0.0 million for the three months ended June 30, 2019. The increase represents prepayment penalties and derecognition of deferred and unamortized debt issuance costs resulting from the repayment of the second lien debt and $100.0 million first lien debt principal repayment.</w:t>
      </w:r>
    </w:p>
    <w:p>
      <w:pPr>
        <w:spacing w:after="0" w:line="9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i w:val="1"/>
          <w:iCs w:val="1"/>
          <w:color w:val="auto"/>
        </w:rPr>
        <w:t>Benefit from Income Taxes</w:t>
      </w:r>
      <w:r>
        <w:rPr>
          <w:rFonts w:ascii="Arial" w:cs="Arial" w:eastAsia="Arial" w:hAnsi="Arial"/>
          <w:sz w:val="16"/>
          <w:szCs w:val="16"/>
          <w:color w:val="auto"/>
        </w:rPr>
        <w:t>. Benefit from income taxes was $12.9 million for the three months ended June 30, 2020, an increase of $11.5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821%, as compared to $1.4 million for the three months ended June 30, 2019. The increase was primarily due to a significant increase in losses driven by stock compensation expense and debt extinguishment losses as a result of the IPO and subsequent debt restructuring, in addition to the Company’s increased corporate ownership of OpCo at ZoomInfo Technologies, Inc, which is benefiting earnings previously attributable to partnerships.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Six months ended June 30, 2019</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$213.1 million for the six months ended June 30, 2020, an increase of $90.0 million, or 73%, as compared to $123.1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 of Service. </w:t>
      </w:r>
      <w:r>
        <w:rPr>
          <w:rFonts w:ascii="Arial" w:cs="Arial" w:eastAsia="Arial" w:hAnsi="Arial"/>
          <w:sz w:val="17"/>
          <w:szCs w:val="17"/>
          <w:color w:val="auto"/>
        </w:rPr>
        <w:t>Cost of service was $54.2 million for the six months ended June 30, 2020, an increase of $21.9 million, or 68%, as compared to $32.3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2019. The increase was primarily due to additional stock-based compensation expense related to grants previously made by HSKB, modified in December 2019, and triggered by the IPO. Additional expenses related to additional headcount and hosting expense to support new and growing customers were largely offset by reductions in amortization of acquired technology.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$169.8 million for the six months ended June 30, 2020, an increase of $82.8 million, or 95%,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$87.0 million for the six months ended June 30, 2019. The increase was primarily due to additional stock-based compensation expense related to grants previously made by HSKB, modified in December 2019, and triggered by the IPO. Excluding stock-based compensation expenses, operating expenses were $111.0 million for the six months ended June 30, 2020, an increase of $33.7 million, or 44%, as compared to $77.3 million for the six months ended June 30, 2019. The increase was primarily due to:</w:t>
      </w:r>
    </w:p>
    <w:p>
      <w:pPr>
        <w:spacing w:after="0" w:line="134" w:lineRule="exact"/>
        <w:rPr>
          <w:sz w:val="20"/>
          <w:szCs w:val="20"/>
          <w:color w:val="auto"/>
        </w:rPr>
      </w:pPr>
    </w:p>
    <w:p>
      <w:pPr>
        <w:jc w:val="both"/>
        <w:ind w:left="660" w:hanging="328"/>
        <w:spacing w:after="0" w:line="31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sales and marketing expense (excluding stock-based compensation) of $20.5 million, or 59%, to $55.2 million for the six months ended June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94" w:lineRule="exact"/>
        <w:rPr>
          <w:rFonts w:ascii="Arial" w:cs="Arial" w:eastAsia="Arial" w:hAnsi="Arial"/>
          <w:sz w:val="16"/>
          <w:szCs w:val="16"/>
          <w:color w:val="auto"/>
        </w:rPr>
      </w:pPr>
    </w:p>
    <w:p>
      <w:pPr>
        <w:jc w:val="both"/>
        <w:ind w:left="660" w:right="2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stock-based compensation) of $5.0 million, or 45%, to $16.2 million for the six months ended June 30, 2020, due primarily to additional engineering and product management resources added to support continued innovation of our services;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(excluding stock-based compensation) of $3.8 million, or 27%, to $17.9 million for the six months ended June 30, 2020, due primarily to additional headcount and related salaries and benefits expenses to support the larger organization, which were offset by a decrease in integration-related expenses in the six months ended June 30, 2019, which did not recur in the six months ended June 30, 2020;</w:t>
      </w:r>
    </w:p>
    <w:p>
      <w:pPr>
        <w:spacing w:after="0" w:line="13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amortization of acquired intangibles expense of $1.0 million, or 12%, to $9.3 million for the six months ended June 30, 2020, due to amortization expense related to intangible assets acquired in the Zoom Information Acquisition during the full period for the current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restructuring and transaction-related expense of $12.4 million for the six months ended June 30, 2020, due primarily to expenses related to the IPO. This represented an increase of $3.4 million, or 38%, as compared to expense of $9.0 million for the six months ended June 30, 2019, related to acquisition of Pre-Acquisition ZI.</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$49.6 million for the six months ended June 30, 2020, a decrease of $0.8 million, or 2%,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$50.4 million for the six months ended June 30, 2019. The decrease was 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Loss on Debt Extinguishment</w:t>
      </w:r>
      <w:r>
        <w:rPr>
          <w:rFonts w:ascii="Arial" w:cs="Arial" w:eastAsia="Arial" w:hAnsi="Arial"/>
          <w:sz w:val="18"/>
          <w:szCs w:val="18"/>
          <w:color w:val="auto"/>
        </w:rPr>
        <w:t>. Loss on debt extinguishment was $14.9 million for the six months ended June 30, 2020, related to penalties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of deferred and unamortized debt issuance costs resulting from the repayment of the second lien debt and $100.0 million first lien debt principal repayment after the IPO. This represented a decrease of $3.3 million, or 18%, as compared to expense of $18.2 million for the six months ended June 30, 2019, related to costs incurred with respect to prior debt instruments that were repaid in conjunction with the acquisition of Pre-Acquisition ZI in February 2019.</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Benefit from Income Tax. </w:t>
      </w:r>
      <w:r>
        <w:rPr>
          <w:rFonts w:ascii="Arial" w:cs="Arial" w:eastAsia="Arial" w:hAnsi="Arial"/>
          <w:sz w:val="16"/>
          <w:szCs w:val="16"/>
          <w:color w:val="auto"/>
        </w:rPr>
        <w:t>Benefit from income taxes was $13.3 million for the six months ended June 30, 2020, an increase of $8.6 million, or 182%,</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$4.7 million for the six months ended June 30, 2019. The increase was primarily due to a significant increase in losses driven by stock compensation expense and debt extinguishment losses as a result of the IPO and subsequent debt restructuring, in addition to the Company’s increased corporate ownership of OpCo at ZoomInfo Technologies Inc which is benefiting earnings previously attributable to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we had $259.1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June 30, 2020, we had unearned revenue of $172.1 million, of which $171.0 million was recorded as a current liability and is expected to be recorded as revenue in the next 12 months, provided all other revenue recognition criteria have been met.</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 in Part II, Item 1A of this Form 10-Q.</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II, Item 1A of this Form 10-Q.</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(721.1)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172.3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733.3</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217.7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21.1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operations was $53.6 million for the six months ended June 30, 2020 as a result of a net loss of $62.1 million, adjusted by non-cash charges of $112.6 million and the change in our operating assets net of operating liabilities of $3.1 million. The non-cash charges are primarily comprised of depreciation and amortization of $24.5 million, equity-based compensation of $75.8 million, loss on early extinguishment of debt of $14.9 million, and amortization of deferred commission costs of $11.1 million, offset by an increase in deferred tax assets net of deferred tax liabilities of $18.5 million. The change in operating assets net of operating liabilities was primarily the result of an increase in unearned revenue of $12.9 million and an increase in accrued expenses and other liabilities of $3.4 million, partially offset by an increase in deferred costs and other assets of $14.5 million.</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operations was $8.9 million for the six months ended June 30, 2019 as a result of a net loss of $60.1 million, adjusted by non-cash charges of $43.5 million and the change in our operating assets net of operating liabilities of $25.5 million. The non-cash charges are primarily comprised of depreciation and amortization of $23.7 million, equity-based compensation of $11.6 million, loss on early extinguishment of debt of $9.4 million, amortization of deferred commission costs of $2.1 million, offset by an increase in deferred tax assets net of deferred tax liabilities of $6.7 million. The change in operating assets net of operating liabilities was primarily the result of an increase in unearned revenue of $43.3 million and an increase in accrued expenses and other liabilities of $1.9 million, partially offset by an increase in deferred costs and other assets of $9.0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Restructuring and transaction-related cash costs for the six months ended June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2020, and 2019, we incurred the following cash expenditures: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3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r>
      <w:tr>
        <w:trPr>
          <w:trHeight w:val="24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15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70"/>
        </w:trPr>
        <w:tc>
          <w:tcPr>
            <w:tcW w:w="794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3"/>
                <w:szCs w:val="23"/>
                <w:color w:val="auto"/>
                <w:vertAlign w:val="superscript"/>
              </w:rPr>
              <w:t>(a)</w:t>
            </w: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r>
      <w:tr>
        <w:trPr>
          <w:trHeight w:val="27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3"/>
                <w:szCs w:val="23"/>
                <w:color w:val="auto"/>
                <w:vertAlign w:val="superscript"/>
              </w:rPr>
              <w:t>(b)</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r>
    </w:tbl>
    <w:p>
      <w:pPr>
        <w:spacing w:after="0" w:line="157" w:lineRule="exact"/>
        <w:rPr>
          <w:sz w:val="20"/>
          <w:szCs w:val="20"/>
          <w:color w:val="auto"/>
        </w:rPr>
      </w:pPr>
    </w:p>
    <w:p>
      <w:pPr>
        <w:jc w:val="both"/>
        <w:ind w:left="340" w:hanging="332"/>
        <w:spacing w:after="0" w:line="245" w:lineRule="auto"/>
        <w:tabs>
          <w:tab w:leader="none" w:pos="337"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six months ended June 30, 2020, these payments related primarily to the IPO, including professional fees, severance and acceleration of payments for terminated employees, and deferred consideration. For the six months ended June 30, 2019, these payments related primarily to the acquisition of Pre-Acquisition ZI, including professional fees, severance, and acceleration of payments for terminated employees.</w:t>
      </w:r>
    </w:p>
    <w:p>
      <w:pPr>
        <w:spacing w:after="0" w:line="2" w:lineRule="exact"/>
        <w:rPr>
          <w:rFonts w:ascii="Arial" w:cs="Arial" w:eastAsia="Arial" w:hAnsi="Arial"/>
          <w:sz w:val="14"/>
          <w:szCs w:val="14"/>
          <w:color w:val="auto"/>
        </w:rPr>
      </w:pPr>
    </w:p>
    <w:p>
      <w:pPr>
        <w:jc w:val="both"/>
        <w:ind w:left="340" w:hanging="332"/>
        <w:spacing w:after="0" w:line="246"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six months ended June 30, 2020, these payments related primarily to cash vesting payments from the acquisition of Pre-Acquisition ZI. For the six months ended June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six months ended June 30, 2020 was $8.2 million, consisting of purchases of property and equipment and other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six months ended June 30, 2019 was $721.1 million, consisting of cash payments for the acquisition of Pre-Acquisition ZI of $714.9 million and purchases of property and equipment and other assets of $6.2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continue to grow and invest in our business, we expect to continue to invest in property and equipment and opportunistically pursue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provided from financing activities for the six months ended June 30, 2020 was $172.3 million, consisting of the IPO proceeds, net of underwriter discount, of $1,019.6 million, partially offset by the redemption of Series A Preferred Units of $274.2 million, payments on long-term debt of $510.9 million, purchase of OpCo Units from Pre-IPO Unitholders for $47.2 million, payments of deferred consideration of $24.0 million, the payment of debt issuance costs of $7.2 million, and distributions to equity partners of $6.8 million.</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Cash provided from financing activities for the six months ended June 30, 2019 was $733.3 million, consisting of the proceeds from long-term debt of $1,220.8 million, and equity offering, net of transaction costs of $200.2 million, partially offset by the payments on long-term debt of $645.4 million.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7 of our consolidated financial statements for additional information related to each of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total financing contractual obligations were reduced by $505.0 million during the three months ended June 30, 2020. The Company used the proceeds from the IPO consummated during the second quarter of 2020 to prepay $100.0 million aggregate principal amount of the first lien term loans outstanding under the First Lien Credit Agreement, prepay the full aggregate principal balance of the second lien term loans outstanding under the Second Lien Credit agreement of $370.0 million, and repay the outstanding $35.0 million balance of the revolving credit facility. The prepayment against the first lien term loans satisfied the requirements to make quarterly principal payments through the facility’s maturity date. As of June 30, 2020, the aggregate remaining balance of $756.4 million of first lien term loans is due, in its entirety, at the contractual maturity date of February 1, 2026, which represents the only existing required future debt principal repayment obligations that will require future uses of the Company’s cash.</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first lien term loans bear interest at a rate equal to, at our option, either (a) LIBOR (not less than 0%) plus 3.75% per annum or (b) 2.75% per annum plus the highest of (i) the Federal Funds Rate plus 0.5% , (ii) the Prime Rate or (iii) one-month LIBOR plus 1.0% . The interest rate margins above reflect reductions of 0.25% following the IPO. Should the Company draw down on the $100 million of available credit on the revolving credit facility, the outstanding balance would bear interest at a rate equal to, at our option, either (a) LIBOR (not less than 0%) plus 3.5% per annum or (b) 2.5% per annum plus the highest of (i) the Federal Funds Rate plus 0.5% , (ii) the Prime Rate or (iii) one-month LIBOR plus 1.0%. The interest rate margins above reflect reductions of 0.25% following the IPO and an additional 0.25% due to our achievement of certain leverage criteria. The revolving credit facility is subject to customary fees for loan facilities of this type, including a commitment fee of 0.125%, reflecting 0.375% reductions due to our achievement of certain leverage criteria</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June 30, 2020 was $238.8 million. Our consolidated first lien net leverage ratio as of June 30, 2020 was 2.1x.</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our credit agreement governing our first lien term loan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June 30, 2020) is approximately $387.6 million (assuming a price of $51.03 per share of Class A common stock, which is the last reported sale price of our Class A common stock on the Nasdaq on June 30, 2020). The payments under the tax receivable agreements are not conditioned upon continued ownership of us by the exchanging holders of OpCo Units. See Note 16 in our unaudited consolidated financial statements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2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IPO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elsewhere in this Form 10-Q regarding recently issued accounting pronouncements which we adopted and have not yet adopted and the impact on our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operating results are subject to market risk from interest rate fluctuations on our First Lien Term Loan, which bears a variable interest rate based on LIBOR. As of June 30, 2020, the total principal balance outstanding was $756.4 million. We have implemented a hedging strategy to mitigate the interest rate risk by entering into certain derivative instruments (refer to Note 7 of our consolidated financial statements included elsewhere in this Form 10-Q). Based on the outstanding balances and interest rates of our debt as of June 30, 2020, a hypothetical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 relative increase or decrease in LIBOR would cause an increase or decrease in interest expense of approximately $1.6 million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previously reported, in connection with the audit of our consolidated financial statements for the year ended December 31, 2019, our management and auditors determined that a material weakness existed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continue to take remediation steps, including hiring additional personnel around and subsequent to December 31, 2019, we have not concluded that the material weakness has been remediated as of June 30, 2020, and therefore have concluded that our disclosure controls and procedures were not effective as of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During the quarter ended June 30, 2020,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54"/>
        <w:spacing w:after="0" w:line="296"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risks described below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2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customers, or to derive insights from data globally. For example, the European Union Court of Justice recently struck down a permitted personal data transfer mechanism between the European Union and the United States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industry standards, regulations, or laws, could deter people from using the internet or our websites to conduct transactions that involve the transmission of confidential information, which could harm our business.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competitors include: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predictive analytics and customer data platform technologies;</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vendors of sales automation software;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Companies with large databases that are currently not commercially available could enter the market and rapidly become new competitors. The existence of such potential competitors may not be readily apparent today,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companies may become significant low-cost or no-cost competitors and adversely impact the demand for our solutions and services or limit our growth potential.</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leading third-party technologies effectively;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respond to advances in data collection, cataloging, and updating.</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maintain accurate, comprehensive, or reliable data, we could experience reduced demand for our products and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47%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interoperability of our platform with these systems could decrease and our business, results of operations, and financial condition could be harmed.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sales capabilities could harm our ability to increase the number of organizations on our platform and achieve broader market acceptance of our platform.”</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6"/>
          <w:szCs w:val="16"/>
          <w:i w:val="1"/>
          <w:iCs w:val="1"/>
          <w:color w:val="auto"/>
        </w:rPr>
        <w:t>i.e.</w:t>
      </w:r>
      <w:r>
        <w:rPr>
          <w:rFonts w:ascii="Arial" w:cs="Arial" w:eastAsia="Arial" w:hAnsi="Arial"/>
          <w:sz w:val="16"/>
          <w:szCs w:val="16"/>
          <w:color w:val="auto"/>
        </w:rPr>
        <w:t>, from all platforms, including ours). Consequently, our ability to grow our business may be harmed and our results of operations and financial condition could suffer.</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and financial costs of, addressing acquired compensation structures inconsistent with our compensation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platforms and customer acceptance of multiple platforms on a temporary or permanent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for acquired products to impact the profitability of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intellectual property and/or technologies;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impact to our results of operations because of the depreciation and amortization of amounts related to acquired intangible assets, fixed assets, and deferred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will not be indicative of our future growth.</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experienced rapid organic and acquisition-driven growth in recent periods. We do not expect revenue growth in future periods to be consistent with recent history. Further, as we operate in a new and rapidly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market, widespread acceptance and use of our platform is critical to our future growth and success. We believe our revenue growth depends on a number of factors, including, but not limited to, our ability to:</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excellent customer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renew and grow current customer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convert users of and organizations on our free Community Edition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introduce and grow adoption of our products and services in new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adequately expand our sales force and otherwise scale our operations as a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including through the creation and use of additional integrations;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execute on our acquisition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to find an adequate replacement, which could cause us to be less successful in maintaining our culture and developing and effectively executing on our company strategies.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the IPO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the IPO Prospectus should not be taken as indicative of our ability to grow our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customers and grow subscriptions of existing customers;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including those related to the expansion of our business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revenue and expenses related to the development or acquisition of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and amortization associated with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restructuring and transaction-related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which among other things may favor local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pandemics (such as COVID-19), acts of war, terrorism, pandemics, or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regional economic and political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negatively impact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errors, defects, disruptions, or other performance problems with our services could harm our reputation, business, results of operations, and financial condition.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customers, all of which would reduce our revenue. Our business would also be harmed if our customers and potential customers believe our services are unreliable.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requirements under the U.S. Treasury Department’s Office of Foreign Assets Control, anti-corruption, anti-bribery, and similar laws, such as the U.S. Foreign Corrupt Practices Act of 1977, as amended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2 - to our unaudited consolidated financial statements included in Part I, Item 1 of this Form 10-Q.</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2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may be useful in evaluating our operating performance. We present certain non-GAAP financial measures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June 30, 2020.</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because the material weakness discussed above had not been fully remediated as of June 30, 2020, our management was unable to conclude that our disclosure controls and procedures were effective as of June 30, 2020. See the disclosure under the heading “Evaluation of Disclosure Controls and Procedures” in Item 4 of Part I of this Form 10-Q.</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majority of our costs are expensed as incurred, which could result in our recognition of more costs than revenue in the earlier portion of the subscription term, and we may not attain profitability in any given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incurred significant net losses in each year since our inception, including net losses of $28.6 million in 2018, $78.0 million in 2019 and $62.1 million for the six months ended June 30, 2020</w:t>
      </w:r>
      <w:r>
        <w:rPr>
          <w:rFonts w:ascii="Arial" w:cs="Arial" w:eastAsia="Arial" w:hAnsi="Arial"/>
          <w:sz w:val="16"/>
          <w:szCs w:val="16"/>
          <w:b w:val="1"/>
          <w:bCs w:val="1"/>
          <w:color w:val="auto"/>
        </w:rPr>
        <w:t>,</w:t>
      </w:r>
      <w:r>
        <w:rPr>
          <w:rFonts w:ascii="Arial" w:cs="Arial" w:eastAsia="Arial" w:hAnsi="Arial"/>
          <w:sz w:val="16"/>
          <w:szCs w:val="16"/>
          <w:color w:val="auto"/>
        </w:rPr>
        <w:t xml:space="preserve">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balance sheet reflects goodwill of $445.7 million, $966.8 million, and $966.8 million as of December 31, 2018, December 31, 2019, and June 30, 2020, respectively, and intangible assets of $88.7 million, $370.6 million, and $350.2 million as of December 31, 2018, December 31, 2019, and June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charges relating to the impairment of those assets. Such impairment charges could materially and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22, 2017, the legislation commonly referred to as the Tax Cuts and Jobs Act (the “Tax Act”), was enacted, which contains significant changes to U.S. tax law, including, but not limited to, a reduction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we had total outstanding indebtedness of approximately $756.4 million. Additionally, as of June 30, 2020, we had $100.0 million of availability under our first lien revolving credit facility. Our substantial indebtedness may:</w:t>
      </w:r>
    </w:p>
    <w:p>
      <w:pPr>
        <w:spacing w:after="0" w:line="11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six months ended June 30, 2020 were $510.9 million. Our total interest expense, net, for the six months ended June 30, 2020 was $49.6 million. We may be unable to maintain a level of cash flow sufficient to permit us to pay the principal, premium, if any, and interest on our indebtedness.</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distributions under applicable law or regulation or under the terms of our financing arrangements, or is otherwise unable to provide such funds, it could materially adversely affect our liquidity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 in the IPO Prospectus.</w:t>
      </w:r>
    </w:p>
    <w:p>
      <w:pPr>
        <w:spacing w:after="0" w:line="1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June 30, 2020 is approximately $387.6 million (assuming a price of $51.03 per share of Class A common stock, which is the last reported sale price of our Class A common stock on the Nasdaq on June 30, 2020). The payments under the tax receivable agreements are not conditioned upon continued ownership of us by the exchanging holders of OpCo Units or the prior owners of the Blocker Companies. See “Certain Relationships and Related Person Transactions – Tax Receivable Agreements” in the IPO Prospectus.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Assuming that the market value of a share of Class A common stock were to be equal to $51.03 per share, which is the last reported sale price of our Class A common stock on the Nasdaq on June 30, 2020, and that LIBOR were to be 0.5%, we estimate that the aggregate amount of these termination payments would be approximately $2,583.8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w:t>
      </w:r>
    </w:p>
    <w:p>
      <w:pPr>
        <w:jc w:val="both"/>
        <w:ind w:firstLine="8"/>
        <w:spacing w:after="0" w:line="302" w:lineRule="auto"/>
        <w:tabs>
          <w:tab w:leader="none" w:pos="2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ZoomInfo HoldCo’s interest in ZoomInfo OpCo, as applicable, could be deemed an “investment security” for purposes of the 1940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parties to our stockholders agreement control us, and their interests may conflict with ours or yours in the future.</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June 30, 2020, the parties to our stockholders agreement beneficially owned approximately 89.6% of the combined voting power of our Class A, Class B, and Class C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in the IPO Prospectus.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3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as of June 30, 2020, the Pre-IPO OpCo Unitholders owned 60.4% of the OpCo Units.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 in the IPO Prospectus.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in the IPO Prospectus.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intend to rely on, exemptions and relief from certain corporate governance requirements. Our stockholders will not have the same protections afforded to stockholders of companies that are subject to such requirements.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June 30, 2020, certain affiliates of TA Associates, Carlyle, and our Founders beneficially owned approximately 89.4% of the combined voting power of our Class A, Class B, and Class C common stock and are parties, among others, to a stockholders agreement described in “Certain Relationships and Related Person Transactions—Stockholders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2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intend to continue to utilize these exemptions for as long as we continue to qualify as a “controlled company.” Accordingly, our stockholders will not have the same protections afforded to stockholders of companies that are subject to all of the corporate governance requirements of the Nasdaq.</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markets, which in turn could cause the price or trading volume of our Class A common stock to decline and our Class A common stock to be less liquid.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the market price of our Class A common stock.</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predict whether our multi-class structure, combined with the concentrated control of our stockholders who currently hold our capital stock,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20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 in the IPO Prospectus.</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price you paid for such shares due to a number of factors, such as those listed elsewhere in this “Risk Factors” section and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our competitors’, or other comparable companies’ quarterly operating results or dividends, if any, to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guidance, if any, that we, our competitors, or other comparable companies provide to the public, any changes in this guidance, or failure to meet this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or others in our industry to meet analysts’ earnings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 or 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relating to litigation, government investigations, changes in laws, or changes in business or regulatory conditions, or differing interpretations or enforcement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publicity about the industries we participate in;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individual scandals.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OpCo Units in connection with our incentive plans, acquisitions, or otherwise.</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June 30, 2020, we had 2,448,005,709 shares of Class A common stock authorized but unissued, including 239,153,213 shares of Class A common stock issuable upon exchange of OpCo Units or HoldCo Units that are held by the Pre-IPO OpCo Unitholders or the Pre-IPO HoldCo Unitholders, respectively, 98,106,387 shares of Class A common stock issuable upon conversion of 98,106,387 shares of Class C common stock that are held by the Pre-IPO Blocker Holders, and 13,272,944 shares of Class A common stock issuable upon the vesting and conversion of 15,101,631 Class P Units held by the Continuing Class P Unitholders (based on the closing price of our Class A common stock of $51.03 per share as reported on Nasdaq on June 30, 2020).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511,537 restricted stock units, 47,620 LTIP Units, 577,879 stock options, which we refer to as “leverage restoration options,” with a strike price equal to the public offering price per share of Class A common stock in the IPO, and 630,000 Class P Units with a participation threshold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strike price) equal to the IPO public offering price per share of Class A common stock were granted under our 2020 Omnibus Incentive Plan. Any Class A common stock that we issue, including under our 2020 Omnibus Incentive Plan or other equity incentive plans that we may adopt in the future, would dilute the percentage ownership held by our Class A common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June 30, 2020, we had a total of 51,994,291 shares of our Class A common stock outstanding. Of these shares, 51,175,000 shares of our Class A common stock were freely tradable without restriction or further registration under the Securities Act, by persons other than our “affiliates,” as that term is defined under Rule 144 of the Securities Act (“Rule 144”). The remaining shares of our outstanding Class A common stock were “restricted securities,” as defined in Rule 144, and may not be sold absent registration under the Securities Act or compliance with Rule 144 thereunder or in reliance on another exemption from registration.</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shares of our Class B common stock and Class C common stock is less than 5% of our outstanding shares of common stock. Once converted into Class A common stock, Class C common stock will not be reissued.</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June 30, 2020 (subject to the terms of the applicable limited liability company agreement), an aggregate of 234,932,785 OpCo Units and an aggregate of 4,220,428 HoldCo Units may be exchanged for shares of our Class A common stock, and an aggregate of 98,106,387 shares of Class C common stock may 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from the date of the IPO Prospectus (June 3, 2020), except with certain underwriters’ prior written consent.</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15,101,631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strike price) of $6.18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 —ZoomInfo OpCo Amended and Restated Limited Liability Company Agreement” in the IPO Prospectus.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As of June 30, 2020, the shares covered by registration rights represented approximately 86% of our total Class A common stock outstanding,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16" w:lineRule="exact"/>
        <w:rPr>
          <w:sz w:val="20"/>
          <w:szCs w:val="20"/>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83" w:lineRule="exact"/>
        <w:rPr>
          <w:rFonts w:ascii="Arial" w:cs="Arial" w:eastAsia="Arial" w:hAnsi="Arial"/>
          <w:sz w:val="18"/>
          <w:szCs w:val="18"/>
          <w:color w:val="auto"/>
        </w:rPr>
      </w:pPr>
    </w:p>
    <w:p>
      <w:pPr>
        <w:jc w:val="both"/>
        <w:ind w:left="660" w:right="20" w:hanging="328"/>
        <w:spacing w:after="0" w:line="282"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 in the IPO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IPO, ZoomInfo Technologies Inc. effected a series of transactions occurring at various times prior to and/or concurrently with the closing of the IPO that resulted in a reorganization of its business (the “Reorganization Transactions”). In connection with the Reorganization Transactions, on June 3, 2020, ZoomInfo Technologies Inc. issued 98,106,387 shares of its Class C common stock, par value $0.01 per share (“Class C Common Stock”), to affiliates of TA Associates, The Carlyle Group, and 22C Capital. Shares of Class C Common Stock are convertible at the option of the holder into shares of ZoomInfo Technologies Inc.’s Class A common stock on a one-for-one basis, pursuant to the conversion terms described under “Description of Capital Stock” in the IPO Prospectus.</w:t>
      </w:r>
    </w:p>
    <w:p>
      <w:pPr>
        <w:spacing w:after="0" w:line="1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underwriters were involved in the issuance and sale of the shares of Class C common stock. The issuances of the shares of Class C common stock described in the foregoing paragraph were made in reliance on Section 4(a)(2) of the Securities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w:t>
      </w:r>
      <w:r>
        <w:rPr>
          <w:rFonts w:ascii="Arial" w:cs="Arial" w:eastAsia="Arial" w:hAnsi="Arial"/>
          <w:sz w:val="18"/>
          <w:szCs w:val="18"/>
          <w:color w:val="212529"/>
        </w:rPr>
        <w:t>The IPO was registered pursuant to a registration statement on Form S-1 (File No. 333-236674) that was declared effective by the SEC</w:t>
      </w:r>
      <w:r>
        <w:rPr>
          <w:rFonts w:ascii="Arial" w:cs="Arial" w:eastAsia="Arial" w:hAnsi="Arial"/>
          <w:sz w:val="18"/>
          <w:szCs w:val="18"/>
          <w:color w:val="auto"/>
        </w:rPr>
        <w:t xml:space="preserve"> </w:t>
      </w:r>
      <w:r>
        <w:rPr>
          <w:rFonts w:ascii="Arial" w:cs="Arial" w:eastAsia="Arial" w:hAnsi="Arial"/>
          <w:sz w:val="18"/>
          <w:szCs w:val="18"/>
          <w:color w:val="212529"/>
        </w:rPr>
        <w:t>on June 3, 2020.</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contemplated in the IPO Prospectus, ZoomInfo Technologies Inc. used all of the proceeds from the IPO to (i) purchase 48,528,783 newly issued HoldCo Units from ZoomInfo HoldCo for approximately $966.9 million (which ZoomInfo HoldCo in turn used to purchase the same number of newly issued OpCo Units from ZoomInfo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the First Lien Credit Agreement, including accrued interest thereon, using approximately $101.2 million of the proceeds; with the remaining proceeds intended to be used for general corporate purposes.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i w:val="1"/>
          <w:iCs w:val="1"/>
          <w:color w:val="auto"/>
        </w:rPr>
        <w:t xml:space="preserve">Employment Agreement. </w:t>
      </w:r>
      <w:r>
        <w:rPr>
          <w:rFonts w:ascii="Arial" w:cs="Arial" w:eastAsia="Arial" w:hAnsi="Arial"/>
          <w:sz w:val="18"/>
          <w:szCs w:val="18"/>
          <w:color w:val="auto"/>
        </w:rPr>
        <w:t>On August 10, 2020, we entered into a new employment agreement (the “New Employment Agreement”) with Chris Hays,</w:t>
      </w:r>
      <w:r>
        <w:rPr>
          <w:rFonts w:ascii="Arial" w:cs="Arial" w:eastAsia="Arial" w:hAnsi="Arial"/>
          <w:sz w:val="18"/>
          <w:szCs w:val="18"/>
          <w:i w:val="1"/>
          <w:iCs w:val="1"/>
          <w:color w:val="auto"/>
        </w:rPr>
        <w:t xml:space="preserve"> </w:t>
      </w:r>
      <w:r>
        <w:rPr>
          <w:rFonts w:ascii="Arial" w:cs="Arial" w:eastAsia="Arial" w:hAnsi="Arial"/>
          <w:sz w:val="18"/>
          <w:szCs w:val="18"/>
          <w:color w:val="auto"/>
        </w:rPr>
        <w:t>our Chief Revenue Officer. The New Employment Agreement will supersede Mr. Hays’ prior employment agreement, dated August 26, 2018, as amended on May 28, 2019.</w:t>
      </w:r>
    </w:p>
    <w:p>
      <w:pPr>
        <w:spacing w:after="0" w:line="184" w:lineRule="exact"/>
        <w:rPr>
          <w:sz w:val="20"/>
          <w:szCs w:val="20"/>
          <w:color w:val="auto"/>
        </w:rPr>
      </w:pPr>
    </w:p>
    <w:p>
      <w:pPr>
        <w:jc w:val="both"/>
        <w:ind w:firstLine="53"/>
        <w:spacing w:after="0" w:line="257" w:lineRule="auto"/>
        <w:rPr>
          <w:sz w:val="20"/>
          <w:szCs w:val="20"/>
          <w:color w:val="auto"/>
        </w:rPr>
      </w:pPr>
      <w:r>
        <w:rPr>
          <w:rFonts w:ascii="Arial" w:cs="Arial" w:eastAsia="Arial" w:hAnsi="Arial"/>
          <w:sz w:val="18"/>
          <w:szCs w:val="18"/>
          <w:color w:val="auto"/>
        </w:rPr>
        <w:t>Under the terms of the New Employment Agreement, Mr. Hays will be (i) an at-will employee with no fixed contractual term of employment, and either party may terminate his employment at any time, with or without cause, upon at least 30 days advance notice; (ii) entitled to a base salary of $360,000; (iii) eligible for an annual cash incentive bonus, with a target bonus amount of $200,000 and a maximum bonus amount of $1 million based upon the achievement of specific performance for the applicable fiscal year, as approved by the Compensation Committee of the Board of Directors; and (iv) entitled to participate in all employee benefit plans provided generally to our senior executives.</w:t>
      </w:r>
    </w:p>
    <w:p>
      <w:pPr>
        <w:spacing w:after="0" w:line="188" w:lineRule="exact"/>
        <w:rPr>
          <w:sz w:val="20"/>
          <w:szCs w:val="20"/>
          <w:color w:val="auto"/>
        </w:rPr>
      </w:pPr>
    </w:p>
    <w:p>
      <w:pPr>
        <w:jc w:val="both"/>
        <w:ind w:firstLine="67"/>
        <w:spacing w:after="0" w:line="290" w:lineRule="auto"/>
        <w:rPr>
          <w:sz w:val="20"/>
          <w:szCs w:val="20"/>
          <w:color w:val="auto"/>
        </w:rPr>
      </w:pPr>
      <w:r>
        <w:rPr>
          <w:rFonts w:ascii="Arial" w:cs="Arial" w:eastAsia="Arial" w:hAnsi="Arial"/>
          <w:sz w:val="16"/>
          <w:szCs w:val="16"/>
          <w:color w:val="auto"/>
        </w:rPr>
        <w:t>Pursuant the terms of the New Employment Agreement and except as otherwise described below, upon termination of Mr. Hays’ employment by the Company without cause or his resignation with good reason, Mr. Hays will be entitled to (i) a severance payment (subject to his execution of a general release of claims against the Company) equal to one year of his base salary plus the target amount of his annual cash incentive bonus for the year in which the termination occurs prorated based on the number of days that Mr. Hays is employed during the fiscal year in which the termination date occurs, payable in a single lump sum; (ii) payment of any earned but unpaid annual bonus for the fiscal year prior to the year in which the termination date occurs, payable in a single lump sum; (iii) continuation for twelve months following the termination date of any health insurance benefits to which he was entitled as of the termination date; and (iv) accelerated vesting of the portion of Mr. Hays’ then-unvested equity awards subject to time based vesting that he holds as of the termination date and are scheduled to vest within twelve months following the termination date.</w:t>
      </w:r>
    </w:p>
    <w:p>
      <w:pPr>
        <w:spacing w:after="0" w:line="165" w:lineRule="exact"/>
        <w:rPr>
          <w:sz w:val="20"/>
          <w:szCs w:val="20"/>
          <w:color w:val="auto"/>
        </w:rPr>
      </w:pPr>
    </w:p>
    <w:p>
      <w:pPr>
        <w:jc w:val="both"/>
        <w:ind w:firstLine="58"/>
        <w:spacing w:after="0" w:line="257" w:lineRule="auto"/>
        <w:rPr>
          <w:sz w:val="20"/>
          <w:szCs w:val="20"/>
          <w:color w:val="auto"/>
        </w:rPr>
      </w:pPr>
      <w:r>
        <w:rPr>
          <w:rFonts w:ascii="Arial" w:cs="Arial" w:eastAsia="Arial" w:hAnsi="Arial"/>
          <w:sz w:val="18"/>
          <w:szCs w:val="18"/>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termination date occurs, payable in a single lump sum; (iii) continuation for 18 months following the termination date of any health insurance benefits to which he was entitled as of the termination date; and (iv) full accelerated vesting of all of Mr. Hays’ then-unvested equity awards subject to time-based vesting that he holds as of the termination date.</w:t>
      </w:r>
    </w:p>
    <w:p>
      <w:pPr>
        <w:spacing w:after="0" w:line="184" w:lineRule="exact"/>
        <w:rPr>
          <w:sz w:val="20"/>
          <w:szCs w:val="20"/>
          <w:color w:val="auto"/>
        </w:rPr>
      </w:pPr>
    </w:p>
    <w:p>
      <w:pPr>
        <w:jc w:val="both"/>
        <w:ind w:firstLine="60"/>
        <w:spacing w:after="0" w:line="263" w:lineRule="auto"/>
        <w:rPr>
          <w:sz w:val="20"/>
          <w:szCs w:val="20"/>
          <w:color w:val="auto"/>
        </w:rPr>
      </w:pPr>
      <w:r>
        <w:rPr>
          <w:rFonts w:ascii="Arial" w:cs="Arial" w:eastAsia="Arial" w:hAnsi="Arial"/>
          <w:sz w:val="18"/>
          <w:szCs w:val="18"/>
          <w:color w:val="auto"/>
        </w:rPr>
        <w:t>Under the terms of the New Employment Agreement, if Mr. Hays’ employment terminates due to death or disability, he will be entitled to a severance payment equal to his accrued and unpaid base salary plus the expected amount of his annual cash incentive bonus for the year in which the termination occurs prorated through the termination date.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terms of the Agreement, Mr. Hays will be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left="340" w:firstLine="648"/>
        <w:spacing w:after="0" w:line="275"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20" w:type="dxa"/>
            <w:vAlign w:val="bottom"/>
          </w:tcPr>
          <w:p>
            <w:pPr>
              <w:jc w:val="center"/>
              <w:ind w:right="127"/>
              <w:spacing w:after="0"/>
              <w:rPr>
                <w:sz w:val="20"/>
                <w:szCs w:val="20"/>
                <w:color w:val="auto"/>
              </w:rPr>
            </w:pPr>
            <w:r>
              <w:rPr>
                <w:rFonts w:ascii="Arial" w:cs="Arial" w:eastAsia="Arial" w:hAnsi="Arial"/>
                <w:sz w:val="18"/>
                <w:szCs w:val="18"/>
                <w:b w:val="1"/>
                <w:bCs w:val="1"/>
                <w:color w:val="auto"/>
                <w:w w:val="96"/>
              </w:rPr>
              <w:t>Exhibit</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ind w:right="6"/>
              <w:spacing w:after="0"/>
              <w:rPr>
                <w:sz w:val="20"/>
                <w:szCs w:val="20"/>
                <w:color w:val="auto"/>
              </w:rPr>
            </w:pPr>
            <w:r>
              <w:rPr>
                <w:rFonts w:ascii="Arial" w:cs="Arial" w:eastAsia="Arial" w:hAnsi="Arial"/>
                <w:sz w:val="18"/>
                <w:szCs w:val="18"/>
                <w:b w:val="1"/>
                <w:bCs w:val="1"/>
                <w:color w:val="auto"/>
                <w:w w:val="92"/>
              </w:rPr>
              <w:t>Report or Registration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SEC File or</w:t>
            </w:r>
          </w:p>
        </w:tc>
        <w:tc>
          <w:tcPr>
            <w:tcW w:w="960" w:type="dxa"/>
            <w:vAlign w:val="bottom"/>
          </w:tcPr>
          <w:p>
            <w:pPr>
              <w:jc w:val="center"/>
              <w:ind w:left="106"/>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gridSpan w:val="19"/>
            <w:vMerge w:val="restart"/>
          </w:tcPr>
          <w:p>
            <w:pPr>
              <w:ind w:left="38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960" w:type="dxa"/>
            <w:vAlign w:val="bottom"/>
          </w:tcPr>
          <w:p>
            <w:pPr>
              <w:jc w:val="center"/>
              <w:ind w:left="126"/>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19"/>
            <w:vMerge w:val="continue"/>
          </w:tcPr>
          <w:p>
            <w:pPr>
              <w:spacing w:after="0"/>
              <w:rPr>
                <w:sz w:val="20"/>
                <w:szCs w:val="20"/>
                <w:color w:val="auto"/>
              </w:rPr>
            </w:pPr>
          </w:p>
        </w:tc>
        <w:tc>
          <w:tcPr>
            <w:tcW w:w="20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2"/>
              </w:rPr>
              <w:t>3.1</w:t>
            </w:r>
          </w:p>
        </w:tc>
        <w:tc>
          <w:tcPr>
            <w:tcW w:w="5820" w:type="dxa"/>
            <w:vAlign w:val="bottom"/>
            <w:gridSpan w:val="23"/>
          </w:tcPr>
          <w:p>
            <w:pPr>
              <w:spacing w:after="0"/>
              <w:rPr>
                <w:rFonts w:ascii="Arial" w:cs="Arial" w:eastAsia="Arial" w:hAnsi="Arial"/>
                <w:sz w:val="14"/>
                <w:szCs w:val="14"/>
                <w:u w:val="single" w:color="auto"/>
                <w:color w:val="0000FF"/>
              </w:rPr>
            </w:pPr>
            <w:hyperlink r:id="rId139">
              <w:r>
                <w:rPr>
                  <w:rFonts w:ascii="Arial" w:cs="Arial" w:eastAsia="Arial" w:hAnsi="Arial"/>
                  <w:sz w:val="14"/>
                  <w:szCs w:val="14"/>
                  <w:u w:val="single" w:color="auto"/>
                  <w:color w:val="0000FF"/>
                </w:rPr>
                <w:t>Amended and Restated Certificate of Incorporation of ZoomInfo Technologies Inc.</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21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2"/>
              </w:rPr>
              <w:t>3.2</w:t>
            </w:r>
          </w:p>
        </w:tc>
        <w:tc>
          <w:tcPr>
            <w:tcW w:w="5820" w:type="dxa"/>
            <w:vAlign w:val="bottom"/>
            <w:gridSpan w:val="23"/>
          </w:tcPr>
          <w:p>
            <w:pPr>
              <w:spacing w:after="0"/>
              <w:rPr>
                <w:rFonts w:ascii="Arial" w:cs="Arial" w:eastAsia="Arial" w:hAnsi="Arial"/>
                <w:sz w:val="14"/>
                <w:szCs w:val="14"/>
                <w:color w:val="0000FF"/>
              </w:rPr>
            </w:pPr>
            <w:hyperlink r:id="rId140">
              <w:r>
                <w:rPr>
                  <w:rFonts w:ascii="Arial" w:cs="Arial" w:eastAsia="Arial" w:hAnsi="Arial"/>
                  <w:sz w:val="14"/>
                  <w:szCs w:val="14"/>
                  <w:u w:val="single" w:color="auto"/>
                  <w:color w:val="0000FF"/>
                </w:rPr>
                <w:t>Amended and Restated Bylaws of ZoomInfo Technologies Inc</w:t>
              </w:r>
              <w:r>
                <w:rPr>
                  <w:rFonts w:ascii="Arial" w:cs="Arial" w:eastAsia="Arial" w:hAnsi="Arial"/>
                  <w:sz w:val="14"/>
                  <w:szCs w:val="14"/>
                  <w:color w:val="0000FF"/>
                </w:rPr>
                <w:t>.</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188"/>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10.1</w:t>
            </w:r>
          </w:p>
        </w:tc>
        <w:tc>
          <w:tcPr>
            <w:tcW w:w="5820" w:type="dxa"/>
            <w:vAlign w:val="bottom"/>
            <w:gridSpan w:val="23"/>
          </w:tcPr>
          <w:p>
            <w:pPr>
              <w:spacing w:after="0"/>
              <w:rPr>
                <w:rFonts w:ascii="Arial" w:cs="Arial" w:eastAsia="Arial" w:hAnsi="Arial"/>
                <w:sz w:val="14"/>
                <w:szCs w:val="14"/>
                <w:color w:val="0000FF"/>
                <w:w w:val="99"/>
              </w:rPr>
            </w:pPr>
            <w:hyperlink r:id="rId141">
              <w:r>
                <w:rPr>
                  <w:rFonts w:ascii="Arial" w:cs="Arial" w:eastAsia="Arial" w:hAnsi="Arial"/>
                  <w:sz w:val="14"/>
                  <w:szCs w:val="14"/>
                  <w:color w:val="0000FF"/>
                  <w:w w:val="99"/>
                </w:rPr>
                <w:t>Fifth Amended and Restated Limited Liability Company Agreement of ZoomInfo Holdings LLC,</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64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41">
              <w:r>
                <w:rPr>
                  <w:rFonts w:ascii="Arial" w:cs="Arial" w:eastAsia="Arial" w:hAnsi="Arial"/>
                  <w:sz w:val="14"/>
                  <w:szCs w:val="14"/>
                  <w:color w:val="0000FF"/>
                </w:rPr>
                <w:t>dated as of June 3,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10.2</w:t>
            </w:r>
          </w:p>
        </w:tc>
        <w:tc>
          <w:tcPr>
            <w:tcW w:w="5820" w:type="dxa"/>
            <w:vAlign w:val="bottom"/>
            <w:gridSpan w:val="23"/>
          </w:tcPr>
          <w:p>
            <w:pPr>
              <w:spacing w:after="0"/>
              <w:rPr>
                <w:rFonts w:ascii="Arial" w:cs="Arial" w:eastAsia="Arial" w:hAnsi="Arial"/>
                <w:sz w:val="14"/>
                <w:szCs w:val="14"/>
                <w:color w:val="0000FF"/>
                <w:w w:val="96"/>
              </w:rPr>
            </w:pPr>
            <w:hyperlink r:id="rId142">
              <w:r>
                <w:rPr>
                  <w:rFonts w:ascii="Arial" w:cs="Arial" w:eastAsia="Arial" w:hAnsi="Arial"/>
                  <w:sz w:val="14"/>
                  <w:szCs w:val="14"/>
                  <w:color w:val="0000FF"/>
                  <w:w w:val="96"/>
                </w:rPr>
                <w:t>Amended and Restated Limited Liability Company Agreement of ZoomInfo Intermediate Holdings</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720" w:type="dxa"/>
            <w:vAlign w:val="bottom"/>
            <w:tcBorders>
              <w:top w:val="single" w:sz="8" w:color="0000FF"/>
            </w:tcBorders>
            <w:gridSpan w:val="22"/>
          </w:tcPr>
          <w:p>
            <w:pPr>
              <w:spacing w:after="0" w:line="142" w:lineRule="exact"/>
              <w:rPr>
                <w:rFonts w:ascii="Arial" w:cs="Arial" w:eastAsia="Arial" w:hAnsi="Arial"/>
                <w:sz w:val="14"/>
                <w:szCs w:val="14"/>
                <w:color w:val="0000FF"/>
              </w:rPr>
            </w:pPr>
            <w:hyperlink r:id="rId142">
              <w:r>
                <w:rPr>
                  <w:rFonts w:ascii="Arial" w:cs="Arial" w:eastAsia="Arial" w:hAnsi="Arial"/>
                  <w:sz w:val="14"/>
                  <w:szCs w:val="14"/>
                  <w:color w:val="0000FF"/>
                </w:rPr>
                <w:t>LLC, dated as of June 3, 2020.</w:t>
              </w:r>
            </w:hyperlink>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10.3</w:t>
            </w:r>
          </w:p>
        </w:tc>
        <w:tc>
          <w:tcPr>
            <w:tcW w:w="5820" w:type="dxa"/>
            <w:vAlign w:val="bottom"/>
            <w:gridSpan w:val="23"/>
          </w:tcPr>
          <w:p>
            <w:pPr>
              <w:spacing w:after="0"/>
              <w:rPr>
                <w:rFonts w:ascii="Arial" w:cs="Arial" w:eastAsia="Arial" w:hAnsi="Arial"/>
                <w:sz w:val="14"/>
                <w:szCs w:val="14"/>
                <w:color w:val="0000FF"/>
              </w:rPr>
            </w:pPr>
            <w:hyperlink r:id="rId143">
              <w:r>
                <w:rPr>
                  <w:rFonts w:ascii="Arial" w:cs="Arial" w:eastAsia="Arial" w:hAnsi="Arial"/>
                  <w:sz w:val="14"/>
                  <w:szCs w:val="14"/>
                  <w:color w:val="0000FF"/>
                </w:rPr>
                <w:t>Exchange Tax Receivable Agreement, dated as of June 3, 2020, by and among ZoomInfo</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10.3</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5140" w:type="dxa"/>
            <w:vAlign w:val="bottom"/>
            <w:tcBorders>
              <w:top w:val="single" w:sz="8" w:color="0000FF"/>
            </w:tcBorders>
            <w:gridSpan w:val="9"/>
          </w:tcPr>
          <w:p>
            <w:pPr>
              <w:spacing w:after="0"/>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Technologies Inc. and each of the other persons from time to time party thereto</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10.4</w:t>
            </w:r>
          </w:p>
        </w:tc>
        <w:tc>
          <w:tcPr>
            <w:tcW w:w="5820" w:type="dxa"/>
            <w:vAlign w:val="bottom"/>
            <w:gridSpan w:val="23"/>
          </w:tcPr>
          <w:p>
            <w:pPr>
              <w:spacing w:after="0"/>
              <w:rPr>
                <w:rFonts w:ascii="Arial" w:cs="Arial" w:eastAsia="Arial" w:hAnsi="Arial"/>
                <w:sz w:val="14"/>
                <w:szCs w:val="14"/>
                <w:color w:val="0000FF"/>
                <w:w w:val="98"/>
              </w:rPr>
            </w:pPr>
            <w:hyperlink r:id="rId144">
              <w:r>
                <w:rPr>
                  <w:rFonts w:ascii="Arial" w:cs="Arial" w:eastAsia="Arial" w:hAnsi="Arial"/>
                  <w:sz w:val="14"/>
                  <w:szCs w:val="14"/>
                  <w:color w:val="0000FF"/>
                  <w:w w:val="98"/>
                </w:rPr>
                <w:t>Reorganization Tax Receivable Agreement, dated as of June 3, 2020, by and among ZoomInfo</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10.4</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5440" w:type="dxa"/>
            <w:vAlign w:val="bottom"/>
            <w:tcBorders>
              <w:top w:val="single" w:sz="8" w:color="0000FF"/>
            </w:tcBorders>
            <w:gridSpan w:val="13"/>
          </w:tcPr>
          <w:p>
            <w:pPr>
              <w:spacing w:after="0"/>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Technologies Inc. and each of the other persons from time to time party thereto</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10.5</w:t>
            </w:r>
          </w:p>
        </w:tc>
        <w:tc>
          <w:tcPr>
            <w:tcW w:w="5820" w:type="dxa"/>
            <w:vAlign w:val="bottom"/>
            <w:gridSpan w:val="23"/>
          </w:tcPr>
          <w:p>
            <w:pPr>
              <w:spacing w:after="0"/>
              <w:rPr>
                <w:rFonts w:ascii="Arial" w:cs="Arial" w:eastAsia="Arial" w:hAnsi="Arial"/>
                <w:sz w:val="14"/>
                <w:szCs w:val="14"/>
                <w:color w:val="0000FF"/>
                <w:w w:val="96"/>
              </w:rPr>
            </w:pPr>
            <w:hyperlink r:id="rId145">
              <w:r>
                <w:rPr>
                  <w:rFonts w:ascii="Arial" w:cs="Arial" w:eastAsia="Arial" w:hAnsi="Arial"/>
                  <w:sz w:val="14"/>
                  <w:szCs w:val="14"/>
                  <w:color w:val="0000FF"/>
                  <w:w w:val="96"/>
                </w:rPr>
                <w:t>Registration Rights Agreement, dated as of June 8, 2020, by and among ZoomInfo Technologies</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10.5</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8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45">
              <w:r>
                <w:rPr>
                  <w:rFonts w:ascii="Arial" w:cs="Arial" w:eastAsia="Arial" w:hAnsi="Arial"/>
                  <w:sz w:val="14"/>
                  <w:szCs w:val="14"/>
                  <w:color w:val="0000FF"/>
                </w:rPr>
                <w:t>Inc. and each of the other persons from time to time party thereto</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10.6</w:t>
            </w:r>
          </w:p>
        </w:tc>
        <w:tc>
          <w:tcPr>
            <w:tcW w:w="5820" w:type="dxa"/>
            <w:vAlign w:val="bottom"/>
            <w:gridSpan w:val="23"/>
          </w:tcPr>
          <w:p>
            <w:pPr>
              <w:spacing w:after="0"/>
              <w:rPr>
                <w:rFonts w:ascii="Arial" w:cs="Arial" w:eastAsia="Arial" w:hAnsi="Arial"/>
                <w:sz w:val="14"/>
                <w:szCs w:val="14"/>
                <w:color w:val="0000FF"/>
                <w:w w:val="94"/>
              </w:rPr>
            </w:pPr>
            <w:hyperlink r:id="rId146">
              <w:r>
                <w:rPr>
                  <w:rFonts w:ascii="Arial" w:cs="Arial" w:eastAsia="Arial" w:hAnsi="Arial"/>
                  <w:sz w:val="14"/>
                  <w:szCs w:val="14"/>
                  <w:color w:val="0000FF"/>
                  <w:w w:val="94"/>
                </w:rPr>
                <w:t>Stockholders Agreement, dated as of June 3, 2020, by and among ZoomInfo Technologies Inc. and</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10.6</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70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146">
              <w:r>
                <w:rPr>
                  <w:rFonts w:ascii="Arial" w:cs="Arial" w:eastAsia="Arial" w:hAnsi="Arial"/>
                  <w:sz w:val="14"/>
                  <w:szCs w:val="14"/>
                  <w:color w:val="0000FF"/>
                </w:rPr>
                <w:t>each of the other persons from time to time party thereto</w:t>
              </w:r>
            </w:hyperlink>
          </w:p>
        </w:tc>
        <w:tc>
          <w:tcPr>
            <w:tcW w:w="120" w:type="dxa"/>
            <w:vAlign w:val="bottom"/>
            <w:gridSpan w:val="2"/>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1"/>
              </w:rPr>
              <w:t>10.7†</w:t>
            </w:r>
          </w:p>
        </w:tc>
        <w:tc>
          <w:tcPr>
            <w:tcW w:w="5820" w:type="dxa"/>
            <w:vAlign w:val="bottom"/>
            <w:gridSpan w:val="23"/>
          </w:tcPr>
          <w:p>
            <w:pPr>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ZoomInfo Technologies Inc.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10.7</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1"/>
              </w:rPr>
              <w:t>10.8†</w:t>
            </w:r>
          </w:p>
        </w:tc>
        <w:tc>
          <w:tcPr>
            <w:tcW w:w="5820" w:type="dxa"/>
            <w:vAlign w:val="bottom"/>
            <w:gridSpan w:val="23"/>
          </w:tcPr>
          <w:p>
            <w:pPr>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ZoomInfo Technologies Inc. 2020 Employee Stock Purchase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10.8</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1"/>
              </w:rPr>
              <w:t>10.9†</w:t>
            </w:r>
          </w:p>
        </w:tc>
        <w:tc>
          <w:tcPr>
            <w:tcW w:w="5820" w:type="dxa"/>
            <w:vAlign w:val="bottom"/>
            <w:gridSpan w:val="23"/>
          </w:tcPr>
          <w:p>
            <w:pPr>
              <w:spacing w:after="0"/>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Form of Indemnification Agreement</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27,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10.9</w:t>
            </w:r>
          </w:p>
        </w:tc>
        <w:tc>
          <w:tcPr>
            <w:tcW w:w="0" w:type="dxa"/>
            <w:vAlign w:val="bottom"/>
          </w:tcPr>
          <w:p>
            <w:pPr>
              <w:spacing w:after="0"/>
              <w:rPr>
                <w:sz w:val="1"/>
                <w:szCs w:val="1"/>
                <w:color w:val="auto"/>
              </w:rPr>
            </w:pPr>
          </w:p>
        </w:tc>
      </w:tr>
      <w:tr>
        <w:trPr>
          <w:trHeight w:val="188"/>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10.10†</w:t>
            </w:r>
          </w:p>
        </w:tc>
        <w:tc>
          <w:tcPr>
            <w:tcW w:w="5820" w:type="dxa"/>
            <w:vAlign w:val="bottom"/>
            <w:gridSpan w:val="23"/>
          </w:tcPr>
          <w:p>
            <w:pPr>
              <w:spacing w:after="0"/>
              <w:rPr>
                <w:rFonts w:ascii="Arial" w:cs="Arial" w:eastAsia="Arial" w:hAnsi="Arial"/>
                <w:sz w:val="14"/>
                <w:szCs w:val="14"/>
                <w:color w:val="0000FF"/>
              </w:rPr>
            </w:pPr>
            <w:hyperlink r:id="rId150">
              <w:r>
                <w:rPr>
                  <w:rFonts w:ascii="Arial" w:cs="Arial" w:eastAsia="Arial" w:hAnsi="Arial"/>
                  <w:sz w:val="14"/>
                  <w:szCs w:val="14"/>
                  <w:color w:val="0000FF"/>
                </w:rPr>
                <w:t>Employment Agreement, dated as of May 27, 2020, between ZoomInfo Technologies Inc.,</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3"/>
              </w:rPr>
              <w:t>8-K filed June 8,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6"/>
              <w:spacing w:after="0"/>
              <w:rPr>
                <w:sz w:val="20"/>
                <w:szCs w:val="20"/>
                <w:color w:val="auto"/>
              </w:rPr>
            </w:pPr>
            <w:r>
              <w:rPr>
                <w:rFonts w:ascii="Arial" w:cs="Arial" w:eastAsia="Arial" w:hAnsi="Arial"/>
                <w:sz w:val="14"/>
                <w:szCs w:val="14"/>
                <w:color w:val="auto"/>
                <w:w w:val="95"/>
              </w:rPr>
              <w:t>10.9</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3"/>
              </w:rPr>
            </w:pPr>
            <w:hyperlink r:id="rId150">
              <w:r>
                <w:rPr>
                  <w:rFonts w:ascii="Arial" w:cs="Arial" w:eastAsia="Arial" w:hAnsi="Arial"/>
                  <w:sz w:val="14"/>
                  <w:szCs w:val="14"/>
                  <w:color w:val="0000FF"/>
                  <w:w w:val="93"/>
                </w:rPr>
                <w:t>ZoomInfo OpCo and Henry Schuck</w:t>
              </w:r>
            </w:hyperlink>
          </w:p>
        </w:tc>
        <w:tc>
          <w:tcPr>
            <w:tcW w:w="3160" w:type="dxa"/>
            <w:vAlign w:val="bottom"/>
            <w:tcBorders>
              <w:top w:val="single" w:sz="8" w:color="0000FF"/>
            </w:tcBorders>
            <w:gridSpan w:val="7"/>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88"/>
              </w:rPr>
              <w:t>10.11†</w:t>
            </w:r>
          </w:p>
        </w:tc>
        <w:tc>
          <w:tcPr>
            <w:tcW w:w="5820" w:type="dxa"/>
            <w:vAlign w:val="bottom"/>
            <w:gridSpan w:val="23"/>
          </w:tcPr>
          <w:p>
            <w:pPr>
              <w:spacing w:after="0"/>
              <w:rPr>
                <w:rFonts w:ascii="Arial" w:cs="Arial" w:eastAsia="Arial" w:hAnsi="Arial"/>
                <w:sz w:val="14"/>
                <w:szCs w:val="14"/>
                <w:u w:val="single" w:color="auto"/>
                <w:color w:val="0000FF"/>
              </w:rPr>
            </w:pPr>
            <w:hyperlink r:id="rId151">
              <w:r>
                <w:rPr>
                  <w:rFonts w:ascii="Arial" w:cs="Arial" w:eastAsia="Arial" w:hAnsi="Arial"/>
                  <w:sz w:val="14"/>
                  <w:szCs w:val="14"/>
                  <w:u w:val="single" w:color="auto"/>
                  <w:color w:val="0000FF"/>
                </w:rPr>
                <w:t>Form of Standard Employee Stock Option Agreement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10.28</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10.12†</w:t>
            </w:r>
          </w:p>
        </w:tc>
        <w:tc>
          <w:tcPr>
            <w:tcW w:w="5820" w:type="dxa"/>
            <w:vAlign w:val="bottom"/>
            <w:gridSpan w:val="23"/>
          </w:tcPr>
          <w:p>
            <w:pPr>
              <w:spacing w:after="0"/>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Form of Class P Unit Agreement for Henry Schuck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27,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10.29</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10.13†</w:t>
            </w:r>
          </w:p>
        </w:tc>
        <w:tc>
          <w:tcPr>
            <w:tcW w:w="5820" w:type="dxa"/>
            <w:vAlign w:val="bottom"/>
            <w:gridSpan w:val="23"/>
          </w:tcPr>
          <w:p>
            <w:pPr>
              <w:spacing w:after="0"/>
              <w:rPr>
                <w:rFonts w:ascii="Arial" w:cs="Arial" w:eastAsia="Arial" w:hAnsi="Arial"/>
                <w:sz w:val="14"/>
                <w:szCs w:val="14"/>
                <w:u w:val="single" w:color="auto"/>
                <w:color w:val="0000FF"/>
              </w:rPr>
            </w:pPr>
            <w:hyperlink r:id="rId153">
              <w:r>
                <w:rPr>
                  <w:rFonts w:ascii="Arial" w:cs="Arial" w:eastAsia="Arial" w:hAnsi="Arial"/>
                  <w:sz w:val="14"/>
                  <w:szCs w:val="14"/>
                  <w:u w:val="single" w:color="auto"/>
                  <w:color w:val="0000FF"/>
                </w:rPr>
                <w:t>Form of Leverage Restoration Stock Option Agreement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10.30</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10.14†</w:t>
            </w:r>
          </w:p>
        </w:tc>
        <w:tc>
          <w:tcPr>
            <w:tcW w:w="5820" w:type="dxa"/>
            <w:vAlign w:val="bottom"/>
            <w:gridSpan w:val="23"/>
          </w:tcPr>
          <w:p>
            <w:pPr>
              <w:spacing w:after="0"/>
              <w:rPr>
                <w:rFonts w:ascii="Arial" w:cs="Arial" w:eastAsia="Arial" w:hAnsi="Arial"/>
                <w:sz w:val="14"/>
                <w:szCs w:val="14"/>
                <w:u w:val="single" w:color="auto"/>
                <w:color w:val="0000FF"/>
                <w:w w:val="95"/>
              </w:rPr>
            </w:pPr>
            <w:hyperlink r:id="rId154">
              <w:r>
                <w:rPr>
                  <w:rFonts w:ascii="Arial" w:cs="Arial" w:eastAsia="Arial" w:hAnsi="Arial"/>
                  <w:sz w:val="14"/>
                  <w:szCs w:val="14"/>
                  <w:u w:val="single" w:color="auto"/>
                  <w:color w:val="0000FF"/>
                  <w:w w:val="95"/>
                </w:rPr>
                <w:t>Form of Standard Employee Restricted Stock Unit Agreement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10.31</w:t>
            </w:r>
          </w:p>
        </w:tc>
        <w:tc>
          <w:tcPr>
            <w:tcW w:w="0" w:type="dxa"/>
            <w:vAlign w:val="bottom"/>
          </w:tcPr>
          <w:p>
            <w:pPr>
              <w:spacing w:after="0"/>
              <w:rPr>
                <w:sz w:val="1"/>
                <w:szCs w:val="1"/>
                <w:color w:val="auto"/>
              </w:rPr>
            </w:pPr>
          </w:p>
        </w:tc>
      </w:tr>
      <w:tr>
        <w:trPr>
          <w:trHeight w:val="188"/>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10.15†</w:t>
            </w:r>
          </w:p>
        </w:tc>
        <w:tc>
          <w:tcPr>
            <w:tcW w:w="5820" w:type="dxa"/>
            <w:vAlign w:val="bottom"/>
            <w:gridSpan w:val="23"/>
          </w:tcPr>
          <w:p>
            <w:pPr>
              <w:spacing w:after="0"/>
              <w:rPr>
                <w:rFonts w:ascii="Arial" w:cs="Arial" w:eastAsia="Arial" w:hAnsi="Arial"/>
                <w:sz w:val="14"/>
                <w:szCs w:val="14"/>
                <w:color w:val="0000FF"/>
                <w:w w:val="98"/>
              </w:rPr>
            </w:pPr>
            <w:hyperlink r:id="rId155">
              <w:r>
                <w:rPr>
                  <w:rFonts w:ascii="Arial" w:cs="Arial" w:eastAsia="Arial" w:hAnsi="Arial"/>
                  <w:sz w:val="14"/>
                  <w:szCs w:val="14"/>
                  <w:color w:val="0000FF"/>
                  <w:w w:val="98"/>
                </w:rPr>
                <w:t>Form of Non-Employee Director Annual Restricted Stock Unit Agreement under 2020 Omnibus</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10.32</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60" w:type="dxa"/>
            <w:vAlign w:val="bottom"/>
            <w:tcBorders>
              <w:top w:val="single" w:sz="8" w:color="0000FF"/>
            </w:tcBorders>
            <w:gridSpan w:val="16"/>
          </w:tcPr>
          <w:p>
            <w:pPr>
              <w:spacing w:after="0" w:line="142" w:lineRule="exact"/>
              <w:rPr>
                <w:rFonts w:ascii="Arial" w:cs="Arial" w:eastAsia="Arial" w:hAnsi="Arial"/>
                <w:sz w:val="14"/>
                <w:szCs w:val="14"/>
                <w:color w:val="0000FF"/>
              </w:rPr>
            </w:pPr>
            <w:hyperlink r:id="rId155">
              <w:r>
                <w:rPr>
                  <w:rFonts w:ascii="Arial" w:cs="Arial" w:eastAsia="Arial" w:hAnsi="Arial"/>
                  <w:sz w:val="14"/>
                  <w:szCs w:val="14"/>
                  <w:color w:val="0000FF"/>
                </w:rPr>
                <w:t>Incentive Plan</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10.16†</w:t>
            </w:r>
          </w:p>
        </w:tc>
        <w:tc>
          <w:tcPr>
            <w:tcW w:w="5820" w:type="dxa"/>
            <w:vAlign w:val="bottom"/>
            <w:gridSpan w:val="23"/>
          </w:tcPr>
          <w:p>
            <w:pPr>
              <w:spacing w:after="0"/>
              <w:rPr>
                <w:rFonts w:ascii="Arial" w:cs="Arial" w:eastAsia="Arial" w:hAnsi="Arial"/>
                <w:sz w:val="14"/>
                <w:szCs w:val="14"/>
                <w:color w:val="0000FF"/>
                <w:w w:val="97"/>
              </w:rPr>
            </w:pPr>
            <w:hyperlink r:id="rId156">
              <w:r>
                <w:rPr>
                  <w:rFonts w:ascii="Arial" w:cs="Arial" w:eastAsia="Arial" w:hAnsi="Arial"/>
                  <w:sz w:val="14"/>
                  <w:szCs w:val="14"/>
                  <w:color w:val="0000FF"/>
                  <w:w w:val="97"/>
                </w:rPr>
                <w:t>Form of Non-Employee Director Sign-On Restricted Stock Unit Agreement under 2020 Omnibus</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10.33</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620" w:type="dxa"/>
            <w:vAlign w:val="bottom"/>
            <w:tcBorders>
              <w:top w:val="single" w:sz="8" w:color="0000FF"/>
            </w:tcBorders>
            <w:gridSpan w:val="18"/>
          </w:tcPr>
          <w:p>
            <w:pPr>
              <w:spacing w:after="0" w:line="142" w:lineRule="exact"/>
              <w:rPr>
                <w:rFonts w:ascii="Arial" w:cs="Arial" w:eastAsia="Arial" w:hAnsi="Arial"/>
                <w:sz w:val="14"/>
                <w:szCs w:val="14"/>
                <w:color w:val="0000FF"/>
              </w:rPr>
            </w:pPr>
            <w:hyperlink r:id="rId156">
              <w:r>
                <w:rPr>
                  <w:rFonts w:ascii="Arial" w:cs="Arial" w:eastAsia="Arial" w:hAnsi="Arial"/>
                  <w:sz w:val="14"/>
                  <w:szCs w:val="14"/>
                  <w:color w:val="0000FF"/>
                </w:rPr>
                <w:t>Incentive Plan</w:t>
              </w:r>
            </w:hyperlink>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10.17†</w:t>
            </w:r>
          </w:p>
        </w:tc>
        <w:tc>
          <w:tcPr>
            <w:tcW w:w="5820" w:type="dxa"/>
            <w:vAlign w:val="bottom"/>
            <w:gridSpan w:val="23"/>
          </w:tcPr>
          <w:p>
            <w:pPr>
              <w:spacing w:after="0"/>
              <w:rPr>
                <w:rFonts w:ascii="Arial" w:cs="Arial" w:eastAsia="Arial" w:hAnsi="Arial"/>
                <w:sz w:val="14"/>
                <w:szCs w:val="14"/>
                <w:u w:val="single" w:color="auto"/>
                <w:color w:val="0000FF"/>
              </w:rPr>
            </w:pPr>
            <w:hyperlink r:id="rId157">
              <w:r>
                <w:rPr>
                  <w:rFonts w:ascii="Arial" w:cs="Arial" w:eastAsia="Arial" w:hAnsi="Arial"/>
                  <w:sz w:val="14"/>
                  <w:szCs w:val="14"/>
                  <w:u w:val="single" w:color="auto"/>
                  <w:color w:val="0000FF"/>
                </w:rPr>
                <w:t>Form of Class P Unit Award Agreement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10.34</w:t>
            </w:r>
          </w:p>
        </w:tc>
        <w:tc>
          <w:tcPr>
            <w:tcW w:w="0" w:type="dxa"/>
            <w:vAlign w:val="bottom"/>
          </w:tcPr>
          <w:p>
            <w:pPr>
              <w:spacing w:after="0"/>
              <w:rPr>
                <w:sz w:val="1"/>
                <w:szCs w:val="1"/>
                <w:color w:val="auto"/>
              </w:rPr>
            </w:pPr>
          </w:p>
        </w:tc>
      </w:tr>
      <w:tr>
        <w:trPr>
          <w:trHeight w:val="203"/>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10.18†</w:t>
            </w:r>
          </w:p>
        </w:tc>
        <w:tc>
          <w:tcPr>
            <w:tcW w:w="5820" w:type="dxa"/>
            <w:vAlign w:val="bottom"/>
            <w:gridSpan w:val="23"/>
          </w:tcPr>
          <w:p>
            <w:pPr>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Form of LTIP Unit Award Agreement under 2020 Omnibus Incentive Plan</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10.35</w:t>
            </w:r>
          </w:p>
        </w:tc>
        <w:tc>
          <w:tcPr>
            <w:tcW w:w="0" w:type="dxa"/>
            <w:vAlign w:val="bottom"/>
          </w:tcPr>
          <w:p>
            <w:pPr>
              <w:spacing w:after="0"/>
              <w:rPr>
                <w:sz w:val="1"/>
                <w:szCs w:val="1"/>
                <w:color w:val="auto"/>
              </w:rPr>
            </w:pPr>
          </w:p>
        </w:tc>
      </w:tr>
      <w:tr>
        <w:trPr>
          <w:trHeight w:val="188"/>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10.19†</w:t>
            </w:r>
          </w:p>
        </w:tc>
        <w:tc>
          <w:tcPr>
            <w:tcW w:w="5820" w:type="dxa"/>
            <w:vAlign w:val="bottom"/>
            <w:gridSpan w:val="23"/>
          </w:tcPr>
          <w:p>
            <w:pPr>
              <w:spacing w:after="0"/>
              <w:rPr>
                <w:rFonts w:ascii="Arial" w:cs="Arial" w:eastAsia="Arial" w:hAnsi="Arial"/>
                <w:sz w:val="14"/>
                <w:szCs w:val="14"/>
                <w:color w:val="0000FF"/>
              </w:rPr>
            </w:pPr>
            <w:hyperlink r:id="rId159">
              <w:r>
                <w:rPr>
                  <w:rFonts w:ascii="Arial" w:cs="Arial" w:eastAsia="Arial" w:hAnsi="Arial"/>
                  <w:sz w:val="14"/>
                  <w:szCs w:val="14"/>
                  <w:color w:val="0000FF"/>
                </w:rPr>
                <w:t>Form of Restrictive Covenant Agreement Exhibit to Employee Equity Awards under 2020</w:t>
              </w:r>
            </w:hyperlink>
          </w:p>
        </w:tc>
        <w:tc>
          <w:tcPr>
            <w:tcW w:w="2000" w:type="dxa"/>
            <w:vAlign w:val="bottom"/>
          </w:tcPr>
          <w:p>
            <w:pPr>
              <w:jc w:val="center"/>
              <w:ind w:right="6"/>
              <w:spacing w:after="0"/>
              <w:rPr>
                <w:sz w:val="20"/>
                <w:szCs w:val="20"/>
                <w:color w:val="auto"/>
              </w:rPr>
            </w:pPr>
            <w:r>
              <w:rPr>
                <w:rFonts w:ascii="Arial" w:cs="Arial" w:eastAsia="Arial" w:hAnsi="Arial"/>
                <w:sz w:val="14"/>
                <w:szCs w:val="14"/>
                <w:color w:val="auto"/>
                <w:w w:val="96"/>
              </w:rPr>
              <w:t>S-1/A filed May 22, 2020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333-236674</w:t>
            </w:r>
          </w:p>
        </w:tc>
        <w:tc>
          <w:tcPr>
            <w:tcW w:w="960" w:type="dxa"/>
            <w:vAlign w:val="bottom"/>
          </w:tcPr>
          <w:p>
            <w:pPr>
              <w:jc w:val="center"/>
              <w:ind w:left="126"/>
              <w:spacing w:after="0"/>
              <w:rPr>
                <w:sz w:val="20"/>
                <w:szCs w:val="20"/>
                <w:color w:val="auto"/>
              </w:rPr>
            </w:pPr>
            <w:r>
              <w:rPr>
                <w:rFonts w:ascii="Arial" w:cs="Arial" w:eastAsia="Arial" w:hAnsi="Arial"/>
                <w:sz w:val="14"/>
                <w:szCs w:val="14"/>
                <w:color w:val="auto"/>
                <w:w w:val="91"/>
              </w:rPr>
              <w:t>10.36</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20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159">
              <w:r>
                <w:rPr>
                  <w:rFonts w:ascii="Arial" w:cs="Arial" w:eastAsia="Arial" w:hAnsi="Arial"/>
                  <w:sz w:val="14"/>
                  <w:szCs w:val="14"/>
                  <w:color w:val="0000FF"/>
                </w:rPr>
                <w:t>Omnibus Incentive Plan</w:t>
              </w:r>
            </w:hyperlink>
          </w:p>
        </w:tc>
        <w:tc>
          <w:tcPr>
            <w:tcW w:w="1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4"/>
              </w:rPr>
              <w:t>+10.20†</w:t>
            </w:r>
          </w:p>
        </w:tc>
        <w:tc>
          <w:tcPr>
            <w:tcW w:w="5820" w:type="dxa"/>
            <w:vAlign w:val="bottom"/>
            <w:gridSpan w:val="23"/>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Employment Agreement, dated as of August 10, 2020, between ZoomInfo Technologies Inc.,</w:t>
              </w:r>
            </w:hyperlink>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360" w:type="dxa"/>
            <w:vAlign w:val="bottom"/>
            <w:tcBorders>
              <w:top w:val="single" w:sz="8" w:color="0000FF"/>
            </w:tcBorders>
            <w:gridSpan w:val="12"/>
          </w:tcPr>
          <w:p>
            <w:pPr>
              <w:spacing w:after="0" w:line="142" w:lineRule="exact"/>
              <w:rPr>
                <w:rFonts w:ascii="Arial" w:cs="Arial" w:eastAsia="Arial" w:hAnsi="Arial"/>
                <w:sz w:val="14"/>
                <w:szCs w:val="14"/>
                <w:color w:val="0000FF"/>
              </w:rPr>
            </w:pPr>
            <w:hyperlink w:anchor="page124">
              <w:r>
                <w:rPr>
                  <w:rFonts w:ascii="Arial" w:cs="Arial" w:eastAsia="Arial" w:hAnsi="Arial"/>
                  <w:sz w:val="14"/>
                  <w:szCs w:val="14"/>
                  <w:color w:val="0000FF"/>
                </w:rPr>
                <w:t>ZoomInfo Technologies LLC and Joseph Christopher Hays</w:t>
              </w:r>
            </w:hyperlink>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+31.1</w:t>
            </w:r>
          </w:p>
        </w:tc>
        <w:tc>
          <w:tcPr>
            <w:tcW w:w="5820" w:type="dxa"/>
            <w:vAlign w:val="bottom"/>
            <w:gridSpan w:val="23"/>
          </w:tcPr>
          <w:p>
            <w:pPr>
              <w:spacing w:after="0"/>
              <w:rPr>
                <w:rFonts w:ascii="Arial" w:cs="Arial" w:eastAsia="Arial" w:hAnsi="Arial"/>
                <w:sz w:val="14"/>
                <w:szCs w:val="14"/>
                <w:color w:val="0000FF"/>
                <w:w w:val="99"/>
              </w:rPr>
            </w:pPr>
            <w:hyperlink w:anchor="page146">
              <w:r>
                <w:rPr>
                  <w:rFonts w:ascii="Arial" w:cs="Arial" w:eastAsia="Arial" w:hAnsi="Arial"/>
                  <w:sz w:val="14"/>
                  <w:szCs w:val="14"/>
                  <w:color w:val="0000FF"/>
                  <w:w w:val="99"/>
                </w:rPr>
                <w:t>Certification of Principal Executive Officer pursuant to Exchange Act Rules 13a-14(a) and 15d-</w:t>
              </w:r>
            </w:hyperlink>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20" w:type="dxa"/>
            <w:vAlign w:val="bottom"/>
            <w:tcBorders>
              <w:top w:val="single" w:sz="8" w:color="0000FF"/>
            </w:tcBorders>
            <w:gridSpan w:val="15"/>
          </w:tcPr>
          <w:p>
            <w:pPr>
              <w:spacing w:after="0" w:line="142" w:lineRule="exact"/>
              <w:rPr>
                <w:rFonts w:ascii="Arial" w:cs="Arial" w:eastAsia="Arial" w:hAnsi="Arial"/>
                <w:sz w:val="14"/>
                <w:szCs w:val="14"/>
                <w:color w:val="0000FF"/>
              </w:rPr>
            </w:pPr>
            <w:hyperlink w:anchor="page146">
              <w:r>
                <w:rPr>
                  <w:rFonts w:ascii="Arial" w:cs="Arial" w:eastAsia="Arial" w:hAnsi="Arial"/>
                  <w:sz w:val="14"/>
                  <w:szCs w:val="14"/>
                  <w:color w:val="0000FF"/>
                </w:rPr>
                <w:t>14(a), as adopted pursuant to Section 302 of the Sarbanes-Oxley Act of 2002.</w:t>
              </w:r>
            </w:hyperlink>
          </w:p>
        </w:tc>
        <w:tc>
          <w:tcPr>
            <w:tcW w:w="140" w:type="dxa"/>
            <w:vAlign w:val="bottom"/>
            <w:gridSpan w:val="5"/>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+31.2</w:t>
            </w:r>
          </w:p>
        </w:tc>
        <w:tc>
          <w:tcPr>
            <w:tcW w:w="5820" w:type="dxa"/>
            <w:vAlign w:val="bottom"/>
            <w:gridSpan w:val="23"/>
          </w:tcPr>
          <w:p>
            <w:pPr>
              <w:spacing w:after="0"/>
              <w:rPr>
                <w:rFonts w:ascii="Arial" w:cs="Arial" w:eastAsia="Arial" w:hAnsi="Arial"/>
                <w:sz w:val="14"/>
                <w:szCs w:val="14"/>
                <w:color w:val="0000FF"/>
              </w:rPr>
            </w:pPr>
            <w:hyperlink w:anchor="page148">
              <w:r>
                <w:rPr>
                  <w:rFonts w:ascii="Arial" w:cs="Arial" w:eastAsia="Arial" w:hAnsi="Arial"/>
                  <w:sz w:val="14"/>
                  <w:szCs w:val="14"/>
                  <w:color w:val="0000FF"/>
                </w:rPr>
                <w:t>Certification of Principal Financial Officer pursuant to Exchange Act Rules 13a-14(a) and 15d-</w:t>
              </w:r>
            </w:hyperlink>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48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w:anchor="page148">
              <w:r>
                <w:rPr>
                  <w:rFonts w:ascii="Arial" w:cs="Arial" w:eastAsia="Arial" w:hAnsi="Arial"/>
                  <w:sz w:val="14"/>
                  <w:szCs w:val="14"/>
                  <w:color w:val="0000FF"/>
                </w:rPr>
                <w:t>14(a), as adopted pursuant to Section 302 of the Sarbanes-Oxley Act of 2002.</w:t>
              </w:r>
            </w:hyperlink>
          </w:p>
        </w:tc>
        <w:tc>
          <w:tcPr>
            <w:tcW w:w="180" w:type="dxa"/>
            <w:vAlign w:val="bottom"/>
            <w:gridSpan w:val="6"/>
          </w:tcPr>
          <w:p>
            <w:pPr>
              <w:spacing w:after="0"/>
              <w:rPr>
                <w:sz w:val="12"/>
                <w:szCs w:val="12"/>
                <w:color w:val="auto"/>
              </w:rPr>
            </w:pPr>
          </w:p>
        </w:tc>
        <w:tc>
          <w:tcPr>
            <w:tcW w:w="160" w:type="dxa"/>
            <w:vAlign w:val="bottom"/>
            <w:gridSpan w:val="3"/>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7"/>
              </w:rPr>
              <w:t>+32.1*</w:t>
            </w:r>
          </w:p>
        </w:tc>
        <w:tc>
          <w:tcPr>
            <w:tcW w:w="5820" w:type="dxa"/>
            <w:vAlign w:val="bottom"/>
            <w:gridSpan w:val="23"/>
          </w:tcPr>
          <w:p>
            <w:pPr>
              <w:spacing w:after="0"/>
              <w:rPr>
                <w:rFonts w:ascii="Arial" w:cs="Arial" w:eastAsia="Arial" w:hAnsi="Arial"/>
                <w:sz w:val="14"/>
                <w:szCs w:val="14"/>
                <w:color w:val="0000FF"/>
                <w:w w:val="97"/>
              </w:rPr>
            </w:pPr>
            <w:hyperlink w:anchor="page150">
              <w:r>
                <w:rPr>
                  <w:rFonts w:ascii="Arial" w:cs="Arial" w:eastAsia="Arial" w:hAnsi="Arial"/>
                  <w:sz w:val="14"/>
                  <w:szCs w:val="14"/>
                  <w:color w:val="0000FF"/>
                  <w:w w:val="97"/>
                </w:rPr>
                <w:t>Certifications of Principal Executive Officer and Principal Financial Officer pursuant to 18 U.S.C.</w:t>
              </w:r>
            </w:hyperlink>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5660" w:type="dxa"/>
            <w:vAlign w:val="bottom"/>
            <w:tcBorders>
              <w:top w:val="single" w:sz="8" w:color="0000FF"/>
            </w:tcBorders>
            <w:gridSpan w:val="20"/>
          </w:tcPr>
          <w:p>
            <w:pPr>
              <w:spacing w:after="0"/>
              <w:rPr>
                <w:rFonts w:ascii="Arial" w:cs="Arial" w:eastAsia="Arial" w:hAnsi="Arial"/>
                <w:sz w:val="14"/>
                <w:szCs w:val="14"/>
                <w:u w:val="single" w:color="auto"/>
                <w:color w:val="0000FF"/>
              </w:rPr>
            </w:pPr>
            <w:hyperlink w:anchor="page150">
              <w:r>
                <w:rPr>
                  <w:rFonts w:ascii="Arial" w:cs="Arial" w:eastAsia="Arial" w:hAnsi="Arial"/>
                  <w:sz w:val="14"/>
                  <w:szCs w:val="14"/>
                  <w:u w:val="single" w:color="auto"/>
                  <w:color w:val="0000FF"/>
                </w:rPr>
                <w:t>Section 1350, as adopted pursuant to Section 906 of the Sarbanes-Oxley Act of 2002.</w:t>
              </w:r>
            </w:hyperlink>
          </w:p>
        </w:tc>
        <w:tc>
          <w:tcPr>
            <w:tcW w:w="160" w:type="dxa"/>
            <w:vAlign w:val="bottom"/>
            <w:gridSpan w:val="3"/>
          </w:tcPr>
          <w:p>
            <w:pPr>
              <w:spacing w:after="0"/>
              <w:rPr>
                <w:sz w:val="15"/>
                <w:szCs w:val="15"/>
                <w:color w:val="auto"/>
              </w:rPr>
            </w:pPr>
          </w:p>
        </w:tc>
        <w:tc>
          <w:tcPr>
            <w:tcW w:w="2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5"/>
              </w:rPr>
              <w:t>+101.INS</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Instance Document</w:t>
            </w: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5"/>
              </w:rPr>
              <w:t>+101.SCH</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Taxonomy Extension Schema Document</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127"/>
              <w:spacing w:after="0"/>
              <w:rPr>
                <w:sz w:val="20"/>
                <w:szCs w:val="20"/>
                <w:color w:val="auto"/>
              </w:rPr>
            </w:pPr>
            <w:r>
              <w:rPr>
                <w:rFonts w:ascii="Arial" w:cs="Arial" w:eastAsia="Arial" w:hAnsi="Arial"/>
                <w:sz w:val="14"/>
                <w:szCs w:val="14"/>
                <w:color w:val="auto"/>
                <w:w w:val="98"/>
              </w:rPr>
              <w:t>+101.CAL</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4"/>
              </w:rPr>
              <w:t>+101.DEF</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127"/>
              <w:spacing w:after="0"/>
              <w:rPr>
                <w:sz w:val="20"/>
                <w:szCs w:val="20"/>
                <w:color w:val="auto"/>
              </w:rPr>
            </w:pPr>
            <w:r>
              <w:rPr>
                <w:rFonts w:ascii="Arial" w:cs="Arial" w:eastAsia="Arial" w:hAnsi="Arial"/>
                <w:sz w:val="14"/>
                <w:szCs w:val="14"/>
                <w:color w:val="auto"/>
              </w:rPr>
              <w:t>+101.LAB</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Taxonomy Extension Label Linkbase Document</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center"/>
              <w:ind w:right="107"/>
              <w:spacing w:after="0"/>
              <w:rPr>
                <w:sz w:val="20"/>
                <w:szCs w:val="20"/>
                <w:color w:val="auto"/>
              </w:rPr>
            </w:pPr>
            <w:r>
              <w:rPr>
                <w:rFonts w:ascii="Arial" w:cs="Arial" w:eastAsia="Arial" w:hAnsi="Arial"/>
                <w:sz w:val="14"/>
                <w:szCs w:val="14"/>
                <w:color w:val="auto"/>
                <w:w w:val="93"/>
              </w:rPr>
              <w:t>+101.PRE</w:t>
            </w:r>
          </w:p>
        </w:tc>
        <w:tc>
          <w:tcPr>
            <w:tcW w:w="5820" w:type="dxa"/>
            <w:vAlign w:val="bottom"/>
            <w:gridSpan w:val="23"/>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163" w:lineRule="exact"/>
        <w:rPr>
          <w:sz w:val="20"/>
          <w:szCs w:val="20"/>
          <w:color w:val="auto"/>
        </w:rPr>
      </w:pPr>
    </w:p>
    <w:p>
      <w:pPr>
        <w:jc w:val="both"/>
        <w:ind w:firstLine="8"/>
        <w:spacing w:after="0" w:line="257" w:lineRule="auto"/>
        <w:tabs>
          <w:tab w:leader="none" w:pos="1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66" w:lineRule="exact"/>
        <w:rPr>
          <w:sz w:val="20"/>
          <w:szCs w:val="20"/>
          <w:color w:val="auto"/>
        </w:rPr>
      </w:pPr>
    </w:p>
    <w:p>
      <w:pPr>
        <w:ind w:left="692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P. Cameron Hyzer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Financial Officer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ZOOMINFO TECHNOLOGIES</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EMPLOYMENT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EMPLOYMENT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by and between ZoomInfo Technologies Inc., a Delaware corporation, together with its indirect subsidiary ZoomInfo Technologies LLC (collectively, the “</w:t>
      </w:r>
      <w:r>
        <w:rPr>
          <w:rFonts w:ascii="Arial" w:cs="Arial" w:eastAsia="Arial" w:hAnsi="Arial"/>
          <w:sz w:val="21"/>
          <w:szCs w:val="21"/>
          <w:u w:val="single" w:color="auto"/>
          <w:color w:val="auto"/>
        </w:rPr>
        <w:t>Company</w:t>
      </w:r>
      <w:r>
        <w:rPr>
          <w:rFonts w:ascii="Arial" w:cs="Arial" w:eastAsia="Arial" w:hAnsi="Arial"/>
          <w:sz w:val="21"/>
          <w:szCs w:val="21"/>
          <w:color w:val="auto"/>
        </w:rPr>
        <w:t>”), on the one hand, and Joseph Christopher Hays (“</w:t>
      </w:r>
      <w:r>
        <w:rPr>
          <w:rFonts w:ascii="Arial" w:cs="Arial" w:eastAsia="Arial" w:hAnsi="Arial"/>
          <w:sz w:val="21"/>
          <w:szCs w:val="21"/>
          <w:u w:val="single" w:color="auto"/>
          <w:color w:val="auto"/>
        </w:rPr>
        <w:t>Executive</w:t>
      </w:r>
      <w:r>
        <w:rPr>
          <w:rFonts w:ascii="Arial" w:cs="Arial" w:eastAsia="Arial" w:hAnsi="Arial"/>
          <w:sz w:val="21"/>
          <w:szCs w:val="21"/>
          <w:color w:val="auto"/>
        </w:rPr>
        <w:t>”), on the other, as of August 10,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The Company and Executive are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would like to continue to engage the services of Executive on a full-time basis, and Executive would like to continue to be so engaged;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Company and Executive have agreed on terms for such services and compensation therefor; and</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WHEREAS, the Company and Executive wish to enter into a formal written agreement to document such relationship in order to set forth, among other matters (a) Executive’s services and compensation therefor, (b) the nature of Executive’s employment by the Company, (c) the Company’s exclusive ownership of and right to designs, inventions, trade secrets, and proprietary and confidential information relating to the Company, and (d) the resolution of all disputes, claims and any other matters in question arising out of or relating to the Parties’ employment relationship.</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promises and mutual covenants set forth herein and for other good and valuable consideration, the receipt and sufficiency of which are hereby acknowledged, the Parties agree as follows:</w:t>
      </w:r>
    </w:p>
    <w:p>
      <w:pPr>
        <w:spacing w:after="0" w:line="145" w:lineRule="exact"/>
        <w:rPr>
          <w:sz w:val="20"/>
          <w:szCs w:val="20"/>
          <w:color w:val="auto"/>
        </w:rPr>
      </w:pPr>
    </w:p>
    <w:p>
      <w:pPr>
        <w:jc w:val="both"/>
        <w:ind w:firstLine="8"/>
        <w:spacing w:after="0" w:line="267" w:lineRule="auto"/>
        <w:tabs>
          <w:tab w:leader="none" w:pos="648"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Employment Term</w:t>
      </w:r>
      <w:r>
        <w:rPr>
          <w:rFonts w:ascii="Arial" w:cs="Arial" w:eastAsia="Arial" w:hAnsi="Arial"/>
          <w:sz w:val="21"/>
          <w:szCs w:val="21"/>
          <w:color w:val="auto"/>
        </w:rPr>
        <w:t>. Executive’s employment pursuant to this Agreement shall be effective as of the effective date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and shall continue until terminated as provided in Section 4 below. The period during which Executive is employed by the Company hereunder is hereinafter referred to as the “</w:t>
      </w:r>
      <w:r>
        <w:rPr>
          <w:rFonts w:ascii="Arial" w:cs="Arial" w:eastAsia="Arial" w:hAnsi="Arial"/>
          <w:sz w:val="21"/>
          <w:szCs w:val="21"/>
          <w:u w:val="single" w:color="auto"/>
          <w:color w:val="auto"/>
        </w:rPr>
        <w:t>Employment Term</w:t>
      </w:r>
      <w:r>
        <w:rPr>
          <w:rFonts w:ascii="Arial" w:cs="Arial" w:eastAsia="Arial" w:hAnsi="Arial"/>
          <w:sz w:val="21"/>
          <w:szCs w:val="21"/>
          <w:color w:val="auto"/>
        </w:rPr>
        <w:t>.” The last day of Executive’s employment with the Company is hereinafter referred to as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660" w:hanging="652"/>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Title; Duties; Reporting</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61" w:lineRule="auto"/>
        <w:tabs>
          <w:tab w:leader="none" w:pos="1293" w:val="left"/>
        </w:tabs>
        <w:numPr>
          <w:ilvl w:val="1"/>
          <w:numId w:val="42"/>
        </w:numPr>
        <w:rPr>
          <w:rFonts w:ascii="Arial" w:cs="Arial" w:eastAsia="Arial" w:hAnsi="Arial"/>
          <w:sz w:val="21"/>
          <w:szCs w:val="21"/>
          <w:color w:val="010000"/>
        </w:rPr>
      </w:pPr>
      <w:r>
        <w:rPr>
          <w:rFonts w:ascii="Arial" w:cs="Arial" w:eastAsia="Arial" w:hAnsi="Arial"/>
          <w:sz w:val="21"/>
          <w:szCs w:val="21"/>
          <w:color w:val="auto"/>
        </w:rPr>
        <w:t>Executive shall continue to be employed by the Company as Chief Revenue Officer. Executive’s duties and responsibilities shall continue to be consistent with the role of Chief Revenue Officer. Executive shall oversee the Company’s sales and customer account management functions, assist the Chief Executive Officer in executing the Company’s revenue generation and retention strategies, and perform such other tasks as may be assigned from time to time by the Chief Executive Officer. Executive shall devote substantially all of Executive’s business time (excluding periods of vacation and other approved leaves of absence) to the performance of his duties with the Company.</w:t>
      </w:r>
    </w:p>
    <w:p>
      <w:pPr>
        <w:sectPr>
          <w:pgSz w:w="11900" w:h="16838" w:orient="portrait"/>
          <w:cols w:equalWidth="0" w:num="1">
            <w:col w:w="11240"/>
          </w:cols>
          <w:pgMar w:left="320" w:top="132" w:right="339" w:bottom="1440" w:gutter="0" w:footer="0" w:header="0"/>
        </w:sectPr>
      </w:pPr>
    </w:p>
    <w:bookmarkStart w:id="124" w:name="page125"/>
    <w:bookmarkEnd w:id="124"/>
    <w:p>
      <w:pPr>
        <w:ind w:left="1300" w:hanging="644"/>
        <w:spacing w:after="0"/>
        <w:tabs>
          <w:tab w:leader="none" w:pos="1300"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During the Employment Term, Executive shall report to the Company’s Chief Executive Officer.</w:t>
      </w:r>
    </w:p>
    <w:p>
      <w:pPr>
        <w:spacing w:after="0" w:line="219" w:lineRule="exact"/>
        <w:rPr>
          <w:rFonts w:ascii="Arial" w:cs="Arial" w:eastAsia="Arial" w:hAnsi="Arial"/>
          <w:sz w:val="22"/>
          <w:szCs w:val="22"/>
          <w:color w:val="010000"/>
        </w:rPr>
      </w:pPr>
    </w:p>
    <w:p>
      <w:pPr>
        <w:jc w:val="both"/>
        <w:ind w:firstLine="656"/>
        <w:spacing w:after="0" w:line="258" w:lineRule="auto"/>
        <w:tabs>
          <w:tab w:leader="none" w:pos="1293"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w:t>
      </w:r>
    </w:p>
    <w:p>
      <w:pPr>
        <w:spacing w:after="0" w:line="185" w:lineRule="exact"/>
        <w:rPr>
          <w:rFonts w:ascii="Arial" w:cs="Arial" w:eastAsia="Arial" w:hAnsi="Arial"/>
          <w:sz w:val="21"/>
          <w:szCs w:val="21"/>
          <w:color w:val="010000"/>
        </w:rPr>
      </w:pPr>
    </w:p>
    <w:p>
      <w:pPr>
        <w:jc w:val="both"/>
        <w:ind w:firstLine="656"/>
        <w:spacing w:after="0" w:line="253" w:lineRule="auto"/>
        <w:tabs>
          <w:tab w:leader="none" w:pos="1291"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 xml:space="preserve">The principal place of Executive’s employment shall be Vancouver, Washington; </w:t>
      </w:r>
      <w:r>
        <w:rPr>
          <w:rFonts w:ascii="Arial" w:cs="Arial" w:eastAsia="Arial" w:hAnsi="Arial"/>
          <w:sz w:val="22"/>
          <w:szCs w:val="22"/>
          <w:u w:val="single" w:color="auto"/>
          <w:color w:val="auto"/>
        </w:rPr>
        <w:t>provided</w:t>
      </w:r>
      <w:r>
        <w:rPr>
          <w:rFonts w:ascii="Arial" w:cs="Arial" w:eastAsia="Arial" w:hAnsi="Arial"/>
          <w:sz w:val="22"/>
          <w:szCs w:val="22"/>
          <w:color w:val="auto"/>
        </w:rPr>
        <w:t>, Executive may be required to travel on Company business and to work out of other of the Company’s offices from time to time. Executive may work remotely with prior approval of the Company.</w:t>
      </w:r>
    </w:p>
    <w:p>
      <w:pPr>
        <w:spacing w:after="0" w:line="185" w:lineRule="exact"/>
        <w:rPr>
          <w:rFonts w:ascii="Arial" w:cs="Arial" w:eastAsia="Arial" w:hAnsi="Arial"/>
          <w:sz w:val="22"/>
          <w:szCs w:val="22"/>
          <w:color w:val="010000"/>
        </w:rPr>
      </w:pPr>
    </w:p>
    <w:p>
      <w:pPr>
        <w:jc w:val="both"/>
        <w:ind w:firstLine="656"/>
        <w:spacing w:after="0" w:line="294" w:lineRule="auto"/>
        <w:tabs>
          <w:tab w:leader="none" w:pos="1293"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spacing w:after="0" w:line="143" w:lineRule="exact"/>
        <w:rPr>
          <w:rFonts w:ascii="Arial" w:cs="Arial" w:eastAsia="Arial" w:hAnsi="Arial"/>
          <w:sz w:val="19"/>
          <w:szCs w:val="19"/>
          <w:color w:val="010000"/>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349" w:lineRule="auto"/>
        <w:tabs>
          <w:tab w:leader="none" w:pos="1293" w:val="left"/>
        </w:tabs>
        <w:numPr>
          <w:ilvl w:val="1"/>
          <w:numId w:val="44"/>
        </w:numPr>
        <w:rPr>
          <w:rFonts w:ascii="Arial" w:cs="Arial" w:eastAsia="Arial" w:hAnsi="Arial"/>
          <w:sz w:val="19"/>
          <w:szCs w:val="19"/>
          <w:color w:val="010000"/>
        </w:rPr>
      </w:pPr>
      <w:r>
        <w:rPr>
          <w:rFonts w:ascii="Arial" w:cs="Arial" w:eastAsia="Arial" w:hAnsi="Arial"/>
          <w:sz w:val="19"/>
          <w:szCs w:val="19"/>
          <w:b w:val="1"/>
          <w:bCs w:val="1"/>
          <w:color w:val="auto"/>
        </w:rPr>
        <w:t>Base Salary</w:t>
      </w:r>
      <w:r>
        <w:rPr>
          <w:rFonts w:ascii="Arial" w:cs="Arial" w:eastAsia="Arial" w:hAnsi="Arial"/>
          <w:sz w:val="19"/>
          <w:szCs w:val="19"/>
          <w:color w:val="auto"/>
        </w:rPr>
        <w:t>. During the Employment Term, Executive’s base salary shall be paid at a rate of $360,000 US Dollars</w:t>
      </w:r>
      <w:r>
        <w:rPr>
          <w:rFonts w:ascii="Arial" w:cs="Arial" w:eastAsia="Arial" w:hAnsi="Arial"/>
          <w:sz w:val="19"/>
          <w:szCs w:val="19"/>
          <w:b w:val="1"/>
          <w:bCs w:val="1"/>
          <w:color w:val="auto"/>
        </w:rPr>
        <w:t xml:space="preserve"> </w:t>
      </w:r>
      <w:r>
        <w:rPr>
          <w:rFonts w:ascii="Arial" w:cs="Arial" w:eastAsia="Arial" w:hAnsi="Arial"/>
          <w:sz w:val="19"/>
          <w:szCs w:val="19"/>
          <w:color w:val="auto"/>
        </w:rPr>
        <w:t>per annum (the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regular installments in accordance with the Company’s general payroll practices.</w:t>
      </w:r>
    </w:p>
    <w:p>
      <w:pPr>
        <w:spacing w:after="0" w:line="93" w:lineRule="exact"/>
        <w:rPr>
          <w:rFonts w:ascii="Arial" w:cs="Arial" w:eastAsia="Arial" w:hAnsi="Arial"/>
          <w:sz w:val="19"/>
          <w:szCs w:val="19"/>
          <w:color w:val="010000"/>
        </w:rPr>
      </w:pPr>
    </w:p>
    <w:p>
      <w:pPr>
        <w:jc w:val="both"/>
        <w:ind w:firstLine="656"/>
        <w:spacing w:after="0" w:line="295" w:lineRule="auto"/>
        <w:tabs>
          <w:tab w:leader="none" w:pos="1291" w:val="left"/>
        </w:tabs>
        <w:numPr>
          <w:ilvl w:val="1"/>
          <w:numId w:val="44"/>
        </w:numPr>
        <w:rPr>
          <w:rFonts w:ascii="Arial" w:cs="Arial" w:eastAsia="Arial" w:hAnsi="Arial"/>
          <w:sz w:val="19"/>
          <w:szCs w:val="19"/>
          <w:color w:val="010000"/>
        </w:rPr>
      </w:pPr>
      <w:r>
        <w:rPr>
          <w:rFonts w:ascii="Arial" w:cs="Arial" w:eastAsia="Arial" w:hAnsi="Arial"/>
          <w:sz w:val="19"/>
          <w:szCs w:val="19"/>
          <w:b w:val="1"/>
          <w:bCs w:val="1"/>
          <w:color w:val="auto"/>
        </w:rPr>
        <w:t>Annual Performance Bonus</w:t>
      </w:r>
      <w:r>
        <w:rPr>
          <w:rFonts w:ascii="Arial" w:cs="Arial" w:eastAsia="Arial" w:hAnsi="Arial"/>
          <w:sz w:val="19"/>
          <w:szCs w:val="19"/>
          <w:color w:val="auto"/>
        </w:rPr>
        <w:t>. In respect of each fiscal year of the Company occurring during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Term, Executive shall be eligible for an annual cash incentive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with a target bonus amount of $200,000 (the “Target Bonus Amount”) and a maximum bonus amount of $1,000,000, where the actual Annual Bonus amount paid will be based upon the achievement of specific performance for such fiscal year, as approved by the Compensation Committee of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The Annual Bonus shall otherwise be subject to the terms and conditions of the annual bonus plan adopted by the Board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under which bonuses are generally payable to senior executives of the Company, as in effect from time to time. The Annual Bonus shall be paid to Executive at the same time as annual bonuses are generally payable to other senior executives of the Company, but in no event later than March 15th of the calendar year immediately following the calendar year in which the fiscal year to which such Annual Bonus relates ended.</w:t>
      </w:r>
    </w:p>
    <w:p>
      <w:pPr>
        <w:spacing w:after="0" w:line="182" w:lineRule="exact"/>
        <w:rPr>
          <w:sz w:val="20"/>
          <w:szCs w:val="20"/>
          <w:color w:val="auto"/>
        </w:rPr>
      </w:pPr>
    </w:p>
    <w:p>
      <w:pPr>
        <w:jc w:val="both"/>
        <w:ind w:firstLine="656"/>
        <w:spacing w:after="0" w:line="262" w:lineRule="auto"/>
        <w:tabs>
          <w:tab w:leader="none" w:pos="1293" w:val="left"/>
        </w:tabs>
        <w:numPr>
          <w:ilvl w:val="1"/>
          <w:numId w:val="45"/>
        </w:numPr>
        <w:rPr>
          <w:rFonts w:ascii="Arial" w:cs="Arial" w:eastAsia="Arial" w:hAnsi="Arial"/>
          <w:sz w:val="21"/>
          <w:szCs w:val="21"/>
          <w:color w:val="010000"/>
        </w:rPr>
      </w:pPr>
      <w:r>
        <w:rPr>
          <w:rFonts w:ascii="Arial" w:cs="Arial" w:eastAsia="Arial" w:hAnsi="Arial"/>
          <w:sz w:val="21"/>
          <w:szCs w:val="21"/>
          <w:b w:val="1"/>
          <w:bCs w:val="1"/>
          <w:color w:val="auto"/>
        </w:rPr>
        <w:t>Other Benefits</w:t>
      </w:r>
      <w:r>
        <w:rPr>
          <w:rFonts w:ascii="Arial" w:cs="Arial" w:eastAsia="Arial" w:hAnsi="Arial"/>
          <w:sz w:val="21"/>
          <w:szCs w:val="21"/>
          <w:color w:val="auto"/>
        </w:rPr>
        <w:t>. During the Employment Term, Executive shall be entitled to participate in all employee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plans, practices, programs and perquisite arrangements provided generally to the most senior executives of the Company, as in effect from time to time (collectively, “</w:t>
      </w:r>
      <w:r>
        <w:rPr>
          <w:rFonts w:ascii="Arial" w:cs="Arial" w:eastAsia="Arial" w:hAnsi="Arial"/>
          <w:sz w:val="21"/>
          <w:szCs w:val="21"/>
          <w:u w:val="single" w:color="auto"/>
          <w:color w:val="auto"/>
        </w:rPr>
        <w:t>Employee Benefit Plans</w:t>
      </w:r>
      <w:r>
        <w:rPr>
          <w:rFonts w:ascii="Arial" w:cs="Arial" w:eastAsia="Arial" w:hAnsi="Arial"/>
          <w:sz w:val="21"/>
          <w:szCs w:val="21"/>
          <w:color w:val="auto"/>
        </w:rPr>
        <w:t>”), on a basis which is no less favorable than is provided to other similarly situated employees of the Company, to the extent consistent with applicable law and the terms of applicable Employee Benefit Plans. The Company reserves the right to amend or cancel any Employee Benefit Plans at any time in its sole discretion, subject to the terms of such Employee Benefit Plan and applicable law.</w:t>
      </w:r>
    </w:p>
    <w:p>
      <w:pPr>
        <w:spacing w:after="0" w:line="173" w:lineRule="exact"/>
        <w:rPr>
          <w:rFonts w:ascii="Arial" w:cs="Arial" w:eastAsia="Arial" w:hAnsi="Arial"/>
          <w:sz w:val="21"/>
          <w:szCs w:val="21"/>
          <w:color w:val="010000"/>
        </w:rPr>
      </w:pPr>
    </w:p>
    <w:p>
      <w:pPr>
        <w:jc w:val="both"/>
        <w:ind w:firstLine="656"/>
        <w:spacing w:after="0" w:line="247" w:lineRule="auto"/>
        <w:tabs>
          <w:tab w:leader="none" w:pos="1291" w:val="left"/>
        </w:tabs>
        <w:numPr>
          <w:ilvl w:val="1"/>
          <w:numId w:val="45"/>
        </w:numPr>
        <w:rPr>
          <w:rFonts w:ascii="Arial" w:cs="Arial" w:eastAsia="Arial" w:hAnsi="Arial"/>
          <w:sz w:val="22"/>
          <w:szCs w:val="22"/>
          <w:color w:val="010000"/>
        </w:rPr>
      </w:pPr>
      <w:r>
        <w:rPr>
          <w:rFonts w:ascii="Arial" w:cs="Arial" w:eastAsia="Arial" w:hAnsi="Arial"/>
          <w:sz w:val="22"/>
          <w:szCs w:val="22"/>
          <w:b w:val="1"/>
          <w:bCs w:val="1"/>
          <w:color w:val="auto"/>
        </w:rPr>
        <w:t>Vacation</w:t>
      </w:r>
      <w:r>
        <w:rPr>
          <w:rFonts w:ascii="Arial" w:cs="Arial" w:eastAsia="Arial" w:hAnsi="Arial"/>
          <w:sz w:val="22"/>
          <w:szCs w:val="22"/>
          <w:color w:val="auto"/>
        </w:rPr>
        <w:t>. During the Employment Term, Executive shall be entitled to paid vacation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vacation policies applicable to Exempt employees, as in effect from time to time. Executive shall obtain advance written approval for vacation from the Company. Executive’s vacation days shall be taken at such time or times during the applicable year as may be mutually agreed upon by Executive and the Company, thereby taking into consideration the needs of the Company and the personal wishes of Executive. The Company reserves the right to grant additional vacation time or to deny any request for vacation or time-off at its sole discretion, unless the leave is for illness or other exigent circumstances or is otherwise authorized by law.</w:t>
      </w:r>
    </w:p>
    <w:p>
      <w:pPr>
        <w:spacing w:after="0" w:line="189" w:lineRule="exact"/>
        <w:rPr>
          <w:rFonts w:ascii="Arial" w:cs="Arial" w:eastAsia="Arial" w:hAnsi="Arial"/>
          <w:sz w:val="22"/>
          <w:szCs w:val="22"/>
          <w:color w:val="010000"/>
        </w:rPr>
      </w:pPr>
    </w:p>
    <w:p>
      <w:pPr>
        <w:jc w:val="both"/>
        <w:ind w:firstLine="656"/>
        <w:spacing w:after="0" w:line="256" w:lineRule="auto"/>
        <w:tabs>
          <w:tab w:leader="none" w:pos="1293" w:val="left"/>
        </w:tabs>
        <w:numPr>
          <w:ilvl w:val="1"/>
          <w:numId w:val="45"/>
        </w:numPr>
        <w:rPr>
          <w:rFonts w:ascii="Arial" w:cs="Arial" w:eastAsia="Arial" w:hAnsi="Arial"/>
          <w:sz w:val="22"/>
          <w:szCs w:val="22"/>
          <w:color w:val="010000"/>
        </w:rPr>
      </w:pPr>
      <w:r>
        <w:rPr>
          <w:rFonts w:ascii="Arial" w:cs="Arial" w:eastAsia="Arial" w:hAnsi="Arial"/>
          <w:sz w:val="22"/>
          <w:szCs w:val="22"/>
          <w:b w:val="1"/>
          <w:bCs w:val="1"/>
          <w:color w:val="auto"/>
        </w:rPr>
        <w:t>Withholding Taxes</w:t>
      </w:r>
      <w:r>
        <w:rPr>
          <w:rFonts w:ascii="Arial" w:cs="Arial" w:eastAsia="Arial" w:hAnsi="Arial"/>
          <w:sz w:val="22"/>
          <w:szCs w:val="22"/>
          <w:color w:val="auto"/>
        </w:rPr>
        <w:t>. All amounts payable to Executive as compensation hereunder, including any bonuses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monetary incentives, shall be subject to such federal, state and local taxes as may be required to be withheld pursuant to any applicable law or regulation.</w:t>
      </w:r>
    </w:p>
    <w:p>
      <w:pPr>
        <w:spacing w:after="0" w:line="176" w:lineRule="exact"/>
        <w:rPr>
          <w:rFonts w:ascii="Arial" w:cs="Arial" w:eastAsia="Arial" w:hAnsi="Arial"/>
          <w:sz w:val="22"/>
          <w:szCs w:val="22"/>
          <w:color w:val="010000"/>
        </w:rPr>
      </w:pPr>
    </w:p>
    <w:p>
      <w:pPr>
        <w:jc w:val="both"/>
        <w:ind w:firstLine="656"/>
        <w:spacing w:after="0" w:line="256" w:lineRule="auto"/>
        <w:tabs>
          <w:tab w:leader="none" w:pos="1296" w:val="left"/>
        </w:tabs>
        <w:numPr>
          <w:ilvl w:val="1"/>
          <w:numId w:val="45"/>
        </w:numPr>
        <w:rPr>
          <w:rFonts w:ascii="Arial" w:cs="Arial" w:eastAsia="Arial" w:hAnsi="Arial"/>
          <w:sz w:val="22"/>
          <w:szCs w:val="22"/>
          <w:color w:val="010000"/>
        </w:rPr>
      </w:pPr>
      <w:r>
        <w:rPr>
          <w:rFonts w:ascii="Arial" w:cs="Arial" w:eastAsia="Arial" w:hAnsi="Arial"/>
          <w:sz w:val="22"/>
          <w:szCs w:val="22"/>
          <w:b w:val="1"/>
          <w:bCs w:val="1"/>
          <w:color w:val="auto"/>
        </w:rPr>
        <w:t>Expense Reimbursement</w:t>
      </w:r>
      <w:r>
        <w:rPr>
          <w:rFonts w:ascii="Arial" w:cs="Arial" w:eastAsia="Arial" w:hAnsi="Arial"/>
          <w:sz w:val="22"/>
          <w:szCs w:val="22"/>
          <w:color w:val="auto"/>
        </w:rPr>
        <w:t>. Executive shall be reimbursed for reasonable out-of-pocket expenses incurred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in the furtherance of the Company’s business, provided Executive obtains all required approvals and submits all required verification as provided by Company policy.</w:t>
      </w:r>
    </w:p>
    <w:p>
      <w:pPr>
        <w:spacing w:after="0" w:line="176" w:lineRule="exact"/>
        <w:rPr>
          <w:rFonts w:ascii="Arial" w:cs="Arial" w:eastAsia="Arial" w:hAnsi="Arial"/>
          <w:sz w:val="22"/>
          <w:szCs w:val="22"/>
          <w:color w:val="010000"/>
        </w:rPr>
      </w:pPr>
    </w:p>
    <w:p>
      <w:pPr>
        <w:jc w:val="both"/>
        <w:ind w:firstLine="656"/>
        <w:spacing w:after="0" w:line="256" w:lineRule="auto"/>
        <w:tabs>
          <w:tab w:leader="none" w:pos="1291" w:val="left"/>
        </w:tabs>
        <w:numPr>
          <w:ilvl w:val="1"/>
          <w:numId w:val="45"/>
        </w:numPr>
        <w:rPr>
          <w:rFonts w:ascii="Arial" w:cs="Arial" w:eastAsia="Arial" w:hAnsi="Arial"/>
          <w:sz w:val="22"/>
          <w:szCs w:val="22"/>
          <w:color w:val="010000"/>
        </w:rPr>
      </w:pPr>
      <w:r>
        <w:rPr>
          <w:rFonts w:ascii="Arial" w:cs="Arial" w:eastAsia="Arial" w:hAnsi="Arial"/>
          <w:sz w:val="22"/>
          <w:szCs w:val="22"/>
          <w:b w:val="1"/>
          <w:bCs w:val="1"/>
          <w:color w:val="auto"/>
        </w:rPr>
        <w:t>Equity Compensation</w:t>
      </w:r>
      <w:r>
        <w:rPr>
          <w:rFonts w:ascii="Arial" w:cs="Arial" w:eastAsia="Arial" w:hAnsi="Arial"/>
          <w:sz w:val="22"/>
          <w:szCs w:val="22"/>
          <w:color w:val="auto"/>
        </w:rPr>
        <w:t>. Executive will be eligible to receive equity awards under the Company’s 2020 Omnibus</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(the “</w:t>
      </w:r>
      <w:r>
        <w:rPr>
          <w:rFonts w:ascii="Arial" w:cs="Arial" w:eastAsia="Arial" w:hAnsi="Arial"/>
          <w:sz w:val="22"/>
          <w:szCs w:val="22"/>
          <w:u w:val="single" w:color="auto"/>
          <w:color w:val="auto"/>
        </w:rPr>
        <w:t>OIP</w:t>
      </w:r>
      <w:r>
        <w:rPr>
          <w:rFonts w:ascii="Arial" w:cs="Arial" w:eastAsia="Arial" w:hAnsi="Arial"/>
          <w:sz w:val="22"/>
          <w:szCs w:val="22"/>
          <w:color w:val="auto"/>
        </w:rPr>
        <w:t>”) and to participate in any future long-term incentive programs made generally available to the Company’s senior executives as determined by the Board.</w:t>
      </w:r>
    </w:p>
    <w:p>
      <w:pPr>
        <w:spacing w:after="0" w:line="176" w:lineRule="exact"/>
        <w:rPr>
          <w:rFonts w:ascii="Arial" w:cs="Arial" w:eastAsia="Arial" w:hAnsi="Arial"/>
          <w:sz w:val="22"/>
          <w:szCs w:val="22"/>
          <w:color w:val="010000"/>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312" w:lineRule="auto"/>
        <w:tabs>
          <w:tab w:leader="none" w:pos="1293"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 xml:space="preserve">The Employment Term and Executive’s employment hereunder may be terminated by either the Company or Executive at any time and for any reason;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otherwise provided herein, either party shall be required to give the other party at least 30 days’ advance written notice of any termination of Executive’s employment (and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59" w:lineRule="auto"/>
        <w:rPr>
          <w:sz w:val="20"/>
          <w:szCs w:val="20"/>
          <w:color w:val="auto"/>
        </w:rPr>
      </w:pPr>
      <w:r>
        <w:rPr>
          <w:rFonts w:ascii="Arial" w:cs="Arial" w:eastAsia="Arial" w:hAnsi="Arial"/>
          <w:sz w:val="21"/>
          <w:szCs w:val="21"/>
          <w:color w:val="auto"/>
        </w:rPr>
        <w:t xml:space="preserve">further that the Company shall be entitled to pay Executive Base Salary payments in lieu of such notice period). Upon termination of Executive’s employment during the Employment Term, Executive shall be entitled to the compensation and benefits described in this Section and shall have no further rights to any compensation or any other benefits from the Company or any of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that Executive’s rights with respect to any equity awards in the Company as may be approved by the Board shall, except as provided in this Section 4, be governed by the terms and conditions of the OIP and/or any other documents pursuant to which such equity awards have been granted. For the avoidance of doubt, nothing in this Section 4 or otherwise in this Agreement shall be in derogation of, or in any way limit, any additional accelerated vesting rights to which Executive may be entitled with respect to equity awards under the OIP and/or any other documents pursuant to which such equity awards have been granted.</w:t>
      </w:r>
    </w:p>
    <w:p>
      <w:pPr>
        <w:spacing w:after="0" w:line="173" w:lineRule="exact"/>
        <w:rPr>
          <w:sz w:val="20"/>
          <w:szCs w:val="20"/>
          <w:color w:val="auto"/>
        </w:rPr>
      </w:pPr>
    </w:p>
    <w:p>
      <w:pPr>
        <w:jc w:val="both"/>
        <w:ind w:firstLine="656"/>
        <w:spacing w:after="0" w:line="249" w:lineRule="auto"/>
        <w:tabs>
          <w:tab w:leader="none" w:pos="1291" w:val="left"/>
        </w:tabs>
        <w:numPr>
          <w:ilvl w:val="1"/>
          <w:numId w:val="47"/>
        </w:numPr>
        <w:rPr>
          <w:rFonts w:ascii="Arial" w:cs="Arial" w:eastAsia="Arial" w:hAnsi="Arial"/>
          <w:sz w:val="22"/>
          <w:szCs w:val="22"/>
          <w:color w:val="010000"/>
        </w:rPr>
      </w:pPr>
      <w:r>
        <w:rPr>
          <w:rFonts w:ascii="Arial" w:cs="Arial" w:eastAsia="Arial" w:hAnsi="Arial"/>
          <w:sz w:val="22"/>
          <w:szCs w:val="22"/>
          <w:b w:val="1"/>
          <w:bCs w:val="1"/>
          <w:color w:val="auto"/>
        </w:rPr>
        <w:t>Termination by the Company for Cause or by Executive Without Good Reason</w:t>
      </w:r>
      <w:r>
        <w:rPr>
          <w:rFonts w:ascii="Arial" w:cs="Arial" w:eastAsia="Arial" w:hAnsi="Arial"/>
          <w:sz w:val="22"/>
          <w:szCs w:val="22"/>
          <w:color w:val="auto"/>
        </w:rPr>
        <w:t>.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may be terminated by the Company for Cause, or by Executive without Good Reason. If Executive’s employment is terminated by the Company for Cause, or by Executive without Good Reason, Executive shall be entitled to receive: (i) any accrued but unpaid Base Salary; and (ii) reimbursement for unreimbursed business expenses properly incurred by Executive ((i) and (ii) together, the “</w:t>
      </w:r>
      <w:r>
        <w:rPr>
          <w:rFonts w:ascii="Arial" w:cs="Arial" w:eastAsia="Arial" w:hAnsi="Arial"/>
          <w:sz w:val="22"/>
          <w:szCs w:val="22"/>
          <w:u w:val="single" w:color="auto"/>
          <w:color w:val="auto"/>
        </w:rPr>
        <w:t>Accrued Amounts</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firstLine="656"/>
        <w:spacing w:after="0" w:line="290" w:lineRule="auto"/>
        <w:tabs>
          <w:tab w:leader="none" w:pos="1293" w:val="left"/>
        </w:tabs>
        <w:numPr>
          <w:ilvl w:val="1"/>
          <w:numId w:val="47"/>
        </w:numPr>
        <w:rPr>
          <w:rFonts w:ascii="Arial" w:cs="Arial" w:eastAsia="Arial" w:hAnsi="Arial"/>
          <w:sz w:val="19"/>
          <w:szCs w:val="19"/>
          <w:color w:val="010000"/>
        </w:rPr>
      </w:pPr>
      <w:r>
        <w:rPr>
          <w:rFonts w:ascii="Arial" w:cs="Arial" w:eastAsia="Arial" w:hAnsi="Arial"/>
          <w:sz w:val="19"/>
          <w:szCs w:val="19"/>
          <w:b w:val="1"/>
          <w:bCs w:val="1"/>
          <w:color w:val="auto"/>
        </w:rPr>
        <w:t>Termination by the Company Without Cause or by Executive for Good Reason</w:t>
      </w:r>
      <w:r>
        <w:rPr>
          <w:rFonts w:ascii="Arial" w:cs="Arial" w:eastAsia="Arial" w:hAnsi="Arial"/>
          <w:sz w:val="19"/>
          <w:szCs w:val="19"/>
          <w:color w:val="auto"/>
        </w:rPr>
        <w:t>. The Employment Term and</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hereunder may be terminated by the Company without Cause or by Executive for Good Reason. In the event of such a termination (subject to Section 4(d) below), Executive shall be entitled to receive (A) the Accrued Amounts, and</w:t>
      </w:r>
    </w:p>
    <w:p>
      <w:pPr>
        <w:spacing w:after="0" w:line="1" w:lineRule="exact"/>
        <w:rPr>
          <w:rFonts w:ascii="Arial" w:cs="Arial" w:eastAsia="Arial" w:hAnsi="Arial"/>
          <w:sz w:val="19"/>
          <w:szCs w:val="19"/>
          <w:color w:val="010000"/>
        </w:rPr>
      </w:pPr>
    </w:p>
    <w:p>
      <w:pPr>
        <w:jc w:val="both"/>
        <w:ind w:firstLine="8"/>
        <w:spacing w:after="0" w:line="284" w:lineRule="auto"/>
        <w:tabs>
          <w:tab w:leader="none" w:pos="348"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Severance Amount (as provided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Executive shall be entitled to receive the Severance Amount only if (i) Executive has materially complied with, and is in compliance in all material respects with, Sections 5, 6, and 7 of this Agreement, and (ii) Executive executes a general release of all claims and rights that Executive may have against the Company and its related entities and their respective equityholders, members, officers, directors, managers and employees relating to Executive’s employment and/or termination, in a form substantially similar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Release</w:t>
      </w:r>
      <w:r>
        <w:rPr>
          <w:rFonts w:ascii="Arial" w:cs="Arial" w:eastAsia="Arial" w:hAnsi="Arial"/>
          <w:sz w:val="19"/>
          <w:szCs w:val="19"/>
          <w:color w:val="auto"/>
        </w:rPr>
        <w:t>”) within 45 days following the Termination Date, and does not revoke the Release within any applicable revocation period. The Severance Amount shall equal (i) one year of the Base Salary rate as of the Termination Date, plus the Target Annual Bonus prorated based on the number of days that Executive is employed during the fiscal year in which the Termination Date occurs, in each case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Executive was entitled as of the Termination Date at the same level as active employees (with such benefits to be provided in the form of subsidized COBRA premiums); and (iv) accelerated vesting of the portion of Executive’s then-unvested equity awards subject to time-based vesting that are held by Executive as of the Termination Date and which were scheduled to vest within 12 months following the Termination Date. The cash termination payments described in this Section shall be paid to Executive within 60 days following the Termination Date, provided that if the period during which Executive may sign the Release straddles two calendar years, then such cash termination payments shall be paid to Executive in the second of such calendar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27" w:name="page128"/>
    <w:bookmarkEnd w:id="127"/>
    <w:p>
      <w:pPr>
        <w:jc w:val="both"/>
        <w:ind w:firstLine="656"/>
        <w:spacing w:after="0" w:line="286" w:lineRule="auto"/>
        <w:tabs>
          <w:tab w:leader="none" w:pos="1372" w:val="left"/>
        </w:tabs>
        <w:numPr>
          <w:ilvl w:val="0"/>
          <w:numId w:val="49"/>
        </w:numPr>
        <w:rPr>
          <w:rFonts w:ascii="Arial" w:cs="Arial" w:eastAsia="Arial" w:hAnsi="Arial"/>
          <w:sz w:val="19"/>
          <w:szCs w:val="19"/>
          <w:color w:val="010000"/>
        </w:rPr>
      </w:pPr>
      <w:r>
        <w:rPr>
          <w:rFonts w:ascii="Arial" w:cs="Arial" w:eastAsia="Arial" w:hAnsi="Arial"/>
          <w:sz w:val="19"/>
          <w:szCs w:val="19"/>
          <w:b w:val="1"/>
          <w:bCs w:val="1"/>
          <w:color w:val="auto"/>
        </w:rPr>
        <w:t>Termination by the Company Without Cause or by Executive for Good Reason during CIC Protection Period</w:t>
      </w:r>
      <w:r>
        <w:rPr>
          <w:rFonts w:ascii="Arial" w:cs="Arial" w:eastAsia="Arial" w:hAnsi="Arial"/>
          <w:sz w:val="19"/>
          <w:szCs w:val="19"/>
          <w:color w:val="auto"/>
        </w:rPr>
        <w:t>. In the event of a termination of Executive’s employment by the Company without Cause or by Executive for Good</w:t>
      </w:r>
      <w:r>
        <w:rPr>
          <w:rFonts w:ascii="Arial" w:cs="Arial" w:eastAsia="Arial" w:hAnsi="Arial"/>
          <w:sz w:val="19"/>
          <w:szCs w:val="19"/>
          <w:b w:val="1"/>
          <w:bCs w:val="1"/>
          <w:color w:val="auto"/>
        </w:rPr>
        <w:t xml:space="preserve"> </w:t>
      </w:r>
      <w:r>
        <w:rPr>
          <w:rFonts w:ascii="Arial" w:cs="Arial" w:eastAsia="Arial" w:hAnsi="Arial"/>
          <w:sz w:val="19"/>
          <w:szCs w:val="19"/>
          <w:color w:val="auto"/>
        </w:rPr>
        <w:t>Reason, which in either case occurs during the period beginning three months prior to, and ending 12 months following, a Change in Control (the “</w:t>
      </w:r>
      <w:r>
        <w:rPr>
          <w:rFonts w:ascii="Arial" w:cs="Arial" w:eastAsia="Arial" w:hAnsi="Arial"/>
          <w:sz w:val="19"/>
          <w:szCs w:val="19"/>
          <w:u w:val="single" w:color="auto"/>
          <w:color w:val="auto"/>
        </w:rPr>
        <w:t>CIC Protection Period</w:t>
      </w:r>
      <w:r>
        <w:rPr>
          <w:rFonts w:ascii="Arial" w:cs="Arial" w:eastAsia="Arial" w:hAnsi="Arial"/>
          <w:sz w:val="19"/>
          <w:szCs w:val="19"/>
          <w:color w:val="auto"/>
        </w:rPr>
        <w:t xml:space="preserve">”), then in lieu of the payments and benefits described under Section 4(c), Executive shall be entitled to receive (A) the Accrued Amounts, and (B) the CIC Severance Amount (as provided below); </w:t>
      </w:r>
      <w:r>
        <w:rPr>
          <w:rFonts w:ascii="Arial" w:cs="Arial" w:eastAsia="Arial" w:hAnsi="Arial"/>
          <w:sz w:val="19"/>
          <w:szCs w:val="19"/>
          <w:u w:val="single" w:color="auto"/>
          <w:color w:val="auto"/>
        </w:rPr>
        <w:t>provided</w:t>
      </w:r>
      <w:r>
        <w:rPr>
          <w:rFonts w:ascii="Arial" w:cs="Arial" w:eastAsia="Arial" w:hAnsi="Arial"/>
          <w:sz w:val="19"/>
          <w:szCs w:val="19"/>
          <w:color w:val="auto"/>
        </w:rPr>
        <w:t>, that Executive shall be entitled to receive the CIC Severance Amount only if (i) Executive has materially complied with, and is in compliance in all material respects with, Sections 5, 6, and 7 of this Agreement, and (ii) Executive executes the Release within 45 days following the Termination Date and does not revoke the Release within any applicable revocation period. The CIC Severance Amount shall equal (i) 18 months of the Base Salary rate as of the Termination Date, plus the Target Annual Bonus, in each case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Executive was entitled as of the Termination Date at the same level as active employees (with such benefits to be provided in the form of subsidized COBRA premiums); and (iv) full accelerated vesting of all then-unvested equity awards subject to time-based vesting that are held by Executive as of the Termination Date. The cash termination payments described in this Section shall be paid to Executive within 60 days following the Termination Date, provided that if the period during which Executive may sign the Release straddles two calendar years, then such cash termination payments shall be paid to Executive in the second of such calendar years.</w:t>
      </w:r>
    </w:p>
    <w:p>
      <w:pPr>
        <w:spacing w:after="0" w:line="200" w:lineRule="exact"/>
        <w:rPr>
          <w:rFonts w:ascii="Arial" w:cs="Arial" w:eastAsia="Arial" w:hAnsi="Arial"/>
          <w:sz w:val="19"/>
          <w:szCs w:val="19"/>
          <w:color w:val="010000"/>
        </w:rPr>
      </w:pPr>
    </w:p>
    <w:p>
      <w:pPr>
        <w:spacing w:after="0" w:line="210" w:lineRule="exact"/>
        <w:rPr>
          <w:rFonts w:ascii="Arial" w:cs="Arial" w:eastAsia="Arial" w:hAnsi="Arial"/>
          <w:sz w:val="19"/>
          <w:szCs w:val="19"/>
          <w:color w:val="010000"/>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63" w:lineRule="auto"/>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Executive’s employment hereunder shall terminate automatically upon Executive’s death during the Employment</w:t>
      </w:r>
      <w:r>
        <w:rPr>
          <w:rFonts w:ascii="Arial" w:cs="Arial" w:eastAsia="Arial" w:hAnsi="Arial"/>
          <w:sz w:val="22"/>
          <w:szCs w:val="22"/>
          <w:color w:val="010000"/>
        </w:rPr>
        <w:t xml:space="preserve"> </w:t>
      </w:r>
      <w:r>
        <w:rPr>
          <w:rFonts w:ascii="Arial" w:cs="Arial" w:eastAsia="Arial" w:hAnsi="Arial"/>
          <w:sz w:val="22"/>
          <w:szCs w:val="22"/>
          <w:color w:val="000000"/>
        </w:rPr>
        <w:t>Term, and the Company may terminate Executive’s employment on account of Executive’s Disability.</w:t>
      </w:r>
    </w:p>
    <w:p>
      <w:pPr>
        <w:spacing w:after="0" w:line="175" w:lineRule="exact"/>
        <w:rPr>
          <w:sz w:val="20"/>
          <w:szCs w:val="20"/>
          <w:color w:val="auto"/>
        </w:rPr>
      </w:pPr>
    </w:p>
    <w:p>
      <w:pPr>
        <w:jc w:val="both"/>
        <w:ind w:firstLine="1032"/>
        <w:spacing w:after="0" w:line="250"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If Executive’s employment is terminated during the Employment Term on account of Executive’s death or</w:t>
      </w:r>
      <w:r>
        <w:rPr>
          <w:rFonts w:ascii="Arial" w:cs="Arial" w:eastAsia="Arial" w:hAnsi="Arial"/>
          <w:sz w:val="22"/>
          <w:szCs w:val="22"/>
          <w:color w:val="010000"/>
        </w:rPr>
        <w:t xml:space="preserve"> </w:t>
      </w:r>
      <w:r>
        <w:rPr>
          <w:rFonts w:ascii="Arial" w:cs="Arial" w:eastAsia="Arial" w:hAnsi="Arial"/>
          <w:sz w:val="22"/>
          <w:szCs w:val="22"/>
          <w:color w:val="000000"/>
        </w:rPr>
        <w:t>Disability, Executive (or Executive’s estate and/or beneficiaries, as the case may be) shall be entitled to receive the Accrued Amounts plus the expected amount of Executive’s Annual Performance Bonus for the year in which such termination occurs, pro-rated through the Termination Date.</w:t>
      </w:r>
    </w:p>
    <w:p>
      <w:pPr>
        <w:spacing w:after="0" w:line="182" w:lineRule="exact"/>
        <w:rPr>
          <w:sz w:val="20"/>
          <w:szCs w:val="20"/>
          <w:color w:val="auto"/>
        </w:rPr>
      </w:pPr>
    </w:p>
    <w:p>
      <w:pPr>
        <w:jc w:val="both"/>
        <w:ind w:firstLine="656"/>
        <w:spacing w:after="0" w:line="256" w:lineRule="auto"/>
        <w:tabs>
          <w:tab w:leader="none" w:pos="1296" w:val="left"/>
        </w:tabs>
        <w:numPr>
          <w:ilvl w:val="0"/>
          <w:numId w:val="50"/>
        </w:numPr>
        <w:rPr>
          <w:rFonts w:ascii="Arial" w:cs="Arial" w:eastAsia="Arial" w:hAnsi="Arial"/>
          <w:sz w:val="22"/>
          <w:szCs w:val="22"/>
          <w:color w:val="010000"/>
        </w:rPr>
      </w:pPr>
      <w:r>
        <w:rPr>
          <w:rFonts w:ascii="Arial" w:cs="Arial" w:eastAsia="Arial" w:hAnsi="Arial"/>
          <w:sz w:val="22"/>
          <w:szCs w:val="22"/>
          <w:b w:val="1"/>
          <w:bCs w:val="1"/>
          <w:color w:val="auto"/>
        </w:rPr>
        <w:t xml:space="preserve">Resignation of All Other Positions. </w:t>
      </w:r>
      <w:r>
        <w:rPr>
          <w:rFonts w:ascii="Arial" w:cs="Arial" w:eastAsia="Arial" w:hAnsi="Arial"/>
          <w:sz w:val="22"/>
          <w:szCs w:val="22"/>
          <w:color w:val="auto"/>
        </w:rPr>
        <w:t>Upon termination of Executive’s employment hereunder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to resign from all positions that Executive holds as an officer or member of a board (or a committee thereof) of the Company or any of its affiliates.</w:t>
      </w:r>
    </w:p>
    <w:p>
      <w:pPr>
        <w:spacing w:after="0" w:line="176" w:lineRule="exact"/>
        <w:rPr>
          <w:rFonts w:ascii="Arial" w:cs="Arial" w:eastAsia="Arial" w:hAnsi="Arial"/>
          <w:sz w:val="22"/>
          <w:szCs w:val="22"/>
          <w:color w:val="010000"/>
        </w:rPr>
      </w:pPr>
    </w:p>
    <w:p>
      <w:pPr>
        <w:jc w:val="both"/>
        <w:ind w:firstLine="656"/>
        <w:spacing w:after="0" w:line="267" w:lineRule="auto"/>
        <w:tabs>
          <w:tab w:leader="none" w:pos="1291" w:val="left"/>
        </w:tabs>
        <w:numPr>
          <w:ilvl w:val="0"/>
          <w:numId w:val="50"/>
        </w:numPr>
        <w:rPr>
          <w:rFonts w:ascii="Arial" w:cs="Arial" w:eastAsia="Arial" w:hAnsi="Arial"/>
          <w:sz w:val="21"/>
          <w:szCs w:val="21"/>
          <w:color w:val="010000"/>
        </w:rPr>
      </w:pPr>
      <w:r>
        <w:rPr>
          <w:rFonts w:ascii="Arial" w:cs="Arial" w:eastAsia="Arial" w:hAnsi="Arial"/>
          <w:sz w:val="21"/>
          <w:szCs w:val="21"/>
          <w:b w:val="1"/>
          <w:bCs w:val="1"/>
          <w:u w:val="single" w:color="auto"/>
          <w:color w:val="auto"/>
        </w:rPr>
        <w:t>Section 280G</w:t>
      </w:r>
      <w:r>
        <w:rPr>
          <w:rFonts w:ascii="Arial" w:cs="Arial" w:eastAsia="Arial" w:hAnsi="Arial"/>
          <w:sz w:val="21"/>
          <w:szCs w:val="21"/>
          <w:color w:val="auto"/>
        </w:rPr>
        <w:t>. Notwithstanding anything in this Agreement to the contrary, if the payments and benefits to be</w:t>
      </w:r>
      <w:r>
        <w:rPr>
          <w:rFonts w:ascii="Arial" w:cs="Arial" w:eastAsia="Arial" w:hAnsi="Arial"/>
          <w:sz w:val="21"/>
          <w:szCs w:val="21"/>
          <w:b w:val="1"/>
          <w:bCs w:val="1"/>
          <w:color w:val="auto"/>
        </w:rPr>
        <w:t xml:space="preserve"> </w:t>
      </w:r>
      <w:r>
        <w:rPr>
          <w:rFonts w:ascii="Arial" w:cs="Arial" w:eastAsia="Arial" w:hAnsi="Arial"/>
          <w:sz w:val="21"/>
          <w:szCs w:val="21"/>
          <w:color w:val="auto"/>
        </w:rPr>
        <w:t>afforded to Executive under Section 4 hereof (the “</w:t>
      </w:r>
      <w:r>
        <w:rPr>
          <w:rFonts w:ascii="Arial" w:cs="Arial" w:eastAsia="Arial" w:hAnsi="Arial"/>
          <w:sz w:val="21"/>
          <w:szCs w:val="21"/>
          <w:u w:val="single" w:color="auto"/>
          <w:color w:val="auto"/>
        </w:rPr>
        <w:t>Severance Benefits</w:t>
      </w:r>
      <w:r>
        <w:rPr>
          <w:rFonts w:ascii="Arial" w:cs="Arial" w:eastAsia="Arial" w:hAnsi="Arial"/>
          <w:sz w:val="21"/>
          <w:szCs w:val="21"/>
          <w:color w:val="auto"/>
        </w:rPr>
        <w:t>”) either alone or together with other payments and benefits which Executive has the right receive from the Company (or any affiliate) would constitute a “parachute payment” under Section 280G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and but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89" w:lineRule="auto"/>
        <w:rPr>
          <w:sz w:val="20"/>
          <w:szCs w:val="20"/>
          <w:color w:val="auto"/>
        </w:rPr>
      </w:pPr>
      <w:r>
        <w:rPr>
          <w:rFonts w:ascii="Arial" w:cs="Arial" w:eastAsia="Arial" w:hAnsi="Arial"/>
          <w:sz w:val="19"/>
          <w:szCs w:val="19"/>
          <w:color w:val="auto"/>
        </w:rPr>
        <w:t>Section 4(f), would be subject to the excise tax imposed by Section 4999 of the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Severance Benefits shall be reduced (the “</w:t>
      </w:r>
      <w:r>
        <w:rPr>
          <w:rFonts w:ascii="Arial" w:cs="Arial" w:eastAsia="Arial" w:hAnsi="Arial"/>
          <w:sz w:val="19"/>
          <w:szCs w:val="19"/>
          <w:u w:val="single" w:color="auto"/>
          <w:color w:val="auto"/>
        </w:rPr>
        <w:t>Benefit Reduction</w:t>
      </w:r>
      <w:r>
        <w:rPr>
          <w:rFonts w:ascii="Arial" w:cs="Arial" w:eastAsia="Arial" w:hAnsi="Arial"/>
          <w:sz w:val="19"/>
          <w:szCs w:val="19"/>
          <w:color w:val="auto"/>
        </w:rPr>
        <w:t xml:space="preserve">”) by the minimum amount necessary to result in no portion of the Severance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Benefit Reduction shall only occur if such reduction would result in Executive’s “Net After-Tax Amount” attributable to the Severance Benefits being greater than it would be if no Benefit Reduction was effected. For this purpose, “Net After-Tax Amount” shall mean the net amount of Severance Benefits Executive is entitled under this Agreement after giving effect to all federal, state and local taxes which would be applicable to such payments and benefits, including but not limited to, the Excise Tax. Nothing contained herein shall result in the reduction of any payments or benefits to which Executive may be entitled upon termination of employment and/or a change in control other than as specified in this Section 4(f), or a reduction in the Severance Benefits below zero.</w:t>
      </w:r>
    </w:p>
    <w:p>
      <w:pPr>
        <w:spacing w:after="0" w:line="15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2"/>
          <w:szCs w:val="22"/>
          <w:color w:val="010000"/>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86" w:lineRule="auto"/>
        <w:rPr>
          <w:sz w:val="20"/>
          <w:szCs w:val="20"/>
          <w:color w:val="auto"/>
        </w:rPr>
      </w:pPr>
      <w:r>
        <w:rPr>
          <w:rFonts w:ascii="Arial" w:cs="Arial" w:eastAsia="Arial" w:hAnsi="Arial"/>
          <w:sz w:val="19"/>
          <w:szCs w:val="19"/>
          <w:color w:val="010000"/>
        </w:rPr>
        <w:t>(i)</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Cause</w:t>
      </w:r>
      <w:r>
        <w:rPr>
          <w:rFonts w:ascii="Arial" w:cs="Arial" w:eastAsia="Arial" w:hAnsi="Arial"/>
          <w:sz w:val="19"/>
          <w:szCs w:val="19"/>
          <w:color w:val="000000"/>
        </w:rPr>
        <w:t>” shall mean: (1) Executive’s willful and continued failure to perform</w:t>
      </w:r>
      <w:r>
        <w:rPr>
          <w:rFonts w:ascii="Arial" w:cs="Arial" w:eastAsia="Arial" w:hAnsi="Arial"/>
          <w:sz w:val="19"/>
          <w:szCs w:val="19"/>
          <w:color w:val="010000"/>
        </w:rPr>
        <w:t xml:space="preserve"> </w:t>
      </w:r>
      <w:r>
        <w:rPr>
          <w:rFonts w:ascii="Arial" w:cs="Arial" w:eastAsia="Arial" w:hAnsi="Arial"/>
          <w:sz w:val="19"/>
          <w:szCs w:val="19"/>
          <w:color w:val="000000"/>
        </w:rPr>
        <w:t>Executive’s duties (other than any such failure resulting from incapacity due to physical or mental illness); (2) Executive’s willful and continued failure to comply with any valid and legal directive of the Board; (3) Executive’s engagement in fraud, embezzlement, or other illegal or gross misconduct, which is, in each case, materially injurious to the Company or its affiliates;</w:t>
      </w:r>
    </w:p>
    <w:p>
      <w:pPr>
        <w:spacing w:after="0" w:line="3" w:lineRule="exact"/>
        <w:rPr>
          <w:sz w:val="20"/>
          <w:szCs w:val="20"/>
          <w:color w:val="auto"/>
        </w:rPr>
      </w:pPr>
    </w:p>
    <w:p>
      <w:pPr>
        <w:jc w:val="both"/>
        <w:ind w:firstLine="8"/>
        <w:spacing w:after="0" w:line="281" w:lineRule="auto"/>
        <w:tabs>
          <w:tab w:leader="none" w:pos="333"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Executive’s conviction of or plea of guilty or no contest to a crime that constitutes a felony or a crime that constitutes a misdemeanor involving moral turpitude; (5) Executive’s willful and continued violation of a material policy of the Company; or</w:t>
      </w:r>
    </w:p>
    <w:p>
      <w:pPr>
        <w:spacing w:after="0" w:line="1" w:lineRule="exact"/>
        <w:rPr>
          <w:rFonts w:ascii="Arial" w:cs="Arial" w:eastAsia="Arial" w:hAnsi="Arial"/>
          <w:sz w:val="19"/>
          <w:szCs w:val="19"/>
          <w:color w:val="auto"/>
        </w:rPr>
      </w:pPr>
    </w:p>
    <w:p>
      <w:pPr>
        <w:jc w:val="both"/>
        <w:ind w:firstLine="8"/>
        <w:spacing w:after="0" w:line="287" w:lineRule="auto"/>
        <w:tabs>
          <w:tab w:leader="none" w:pos="3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Executive’s willful and material breach of any material obligation under this Agreement or any other written agreement between Executive and the Company. Except for a failure, breach, or refusal which, by its nature, cannot reasonably be expected to be cured, Executive shall have 20 business days from the delivery of written notice by the Company within which to cure any acts constituting Cause;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Company reasonably expects irreparable injury from a delay of 20 business days, the Company may give Executive notice of such shorter period within which to cure as is reasonable under the circumstances, which may include the termination of Executive’s employment without notice and with immediate effect. For purposes of the definition, no act, or failure to act, by Executive shall be considered “willful” unless done, or omitted, by him in bad faith, or without a reasonable belief that such act or omission was in the best interests of the Company and its affiliates.</w:t>
      </w:r>
    </w:p>
    <w:p>
      <w:pPr>
        <w:spacing w:after="0" w:line="160" w:lineRule="exact"/>
        <w:rPr>
          <w:sz w:val="20"/>
          <w:szCs w:val="20"/>
          <w:color w:val="auto"/>
        </w:rPr>
      </w:pPr>
    </w:p>
    <w:p>
      <w:pPr>
        <w:ind w:left="1040"/>
        <w:spacing w:after="0"/>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Change in Control</w:t>
      </w:r>
      <w:r>
        <w:rPr>
          <w:rFonts w:ascii="Arial" w:cs="Arial" w:eastAsia="Arial" w:hAnsi="Arial"/>
          <w:sz w:val="19"/>
          <w:szCs w:val="19"/>
          <w:color w:val="000000"/>
        </w:rPr>
        <w:t>” shall have the same meaning given to such term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OIP.</w:t>
      </w:r>
    </w:p>
    <w:p>
      <w:pPr>
        <w:spacing w:after="0" w:line="202"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For purposes of this Agreement, “</w:t>
      </w:r>
      <w:r>
        <w:rPr>
          <w:rFonts w:ascii="Arial" w:cs="Arial" w:eastAsia="Arial" w:hAnsi="Arial"/>
          <w:sz w:val="22"/>
          <w:szCs w:val="22"/>
          <w:u w:val="single" w:color="auto"/>
          <w:color w:val="000000"/>
        </w:rPr>
        <w:t>Disability</w:t>
      </w:r>
      <w:r>
        <w:rPr>
          <w:rFonts w:ascii="Arial" w:cs="Arial" w:eastAsia="Arial" w:hAnsi="Arial"/>
          <w:sz w:val="22"/>
          <w:szCs w:val="22"/>
          <w:color w:val="000000"/>
        </w:rPr>
        <w:t>” shall mean Executive’s inability, due to physical or mental</w:t>
      </w:r>
      <w:r>
        <w:rPr>
          <w:rFonts w:ascii="Arial" w:cs="Arial" w:eastAsia="Arial" w:hAnsi="Arial"/>
          <w:sz w:val="22"/>
          <w:szCs w:val="22"/>
          <w:color w:val="010000"/>
        </w:rPr>
        <w:t xml:space="preserve"> </w:t>
      </w:r>
      <w:r>
        <w:rPr>
          <w:rFonts w:ascii="Arial" w:cs="Arial" w:eastAsia="Arial" w:hAnsi="Arial"/>
          <w:sz w:val="22"/>
          <w:szCs w:val="22"/>
          <w:color w:val="000000"/>
        </w:rPr>
        <w:t>incapacity, to perform the essential functions of his job for 180 consecutive days. Any question as to the existence of Executive’s Disability as to which Executive and the Company cannot agree shall be determined by a qualified, mutually agreed upon independent physician. The determination of Disability made in writing to the Company and Executive shall be final and conclusive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29" w:name="page130"/>
    <w:bookmarkEnd w:id="129"/>
    <w:p>
      <w:pPr>
        <w:jc w:val="both"/>
        <w:ind w:firstLine="984"/>
        <w:spacing w:after="0" w:line="286"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Good Reason</w:t>
      </w:r>
      <w:r>
        <w:rPr>
          <w:rFonts w:ascii="Arial" w:cs="Arial" w:eastAsia="Arial" w:hAnsi="Arial"/>
          <w:sz w:val="19"/>
          <w:szCs w:val="19"/>
          <w:color w:val="000000"/>
        </w:rPr>
        <w:t>” shall mean any of the following: (1) any material breach by the</w:t>
      </w:r>
      <w:r>
        <w:rPr>
          <w:rFonts w:ascii="Arial" w:cs="Arial" w:eastAsia="Arial" w:hAnsi="Arial"/>
          <w:sz w:val="19"/>
          <w:szCs w:val="19"/>
          <w:color w:val="010000"/>
        </w:rPr>
        <w:t xml:space="preserve"> </w:t>
      </w:r>
      <w:r>
        <w:rPr>
          <w:rFonts w:ascii="Arial" w:cs="Arial" w:eastAsia="Arial" w:hAnsi="Arial"/>
          <w:sz w:val="19"/>
          <w:szCs w:val="19"/>
          <w:color w:val="000000"/>
        </w:rPr>
        <w:t>Company of any material provision of this Agreement during the employment term without Executive’s written consent; (2) any change in Executive’s title, or any material diminution of Executive’s duties, responsibilities, or status in a manner not consistent with this Agreement, without Executive’s consent; (3) reduction of Executive’s Base Salary, without Executive’s consent; (4) relocation of Executive’s principal place of business that will require Executive to travel a materially greater distance on a regular basis (as compared with Executive’s prior practice) without Executive’s consent; or (5) the failure of a successor in interest to the Company (whether by merger, stock purchase, or acquisition of all or substantially all of the Company’s assets) to assume this Agreement within 15 days of such transaction. Executive cannot terminate Executive’s employment for Good Reason unless Executive has provided written notice to the Company of the existence of the circumstances providing grounds for termination for Good Reason within 30 days of the first occurrence of applicable grounds, and the Company has had a least 30 days from the date on which such notice is provided to cure such circumstances. If the Company fails to cure, and Executive does not resign for Good Reason within 20 days following the expiration of the Company’s cure period, then Executive will be deemed to have waived his right to terminate for Good Reason with respect to the grounds asserted.</w:t>
      </w:r>
    </w:p>
    <w:p>
      <w:pPr>
        <w:spacing w:after="0" w:line="16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Trade Secrets and Confidential Information; Confidentiality of Employment Terms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85" w:lineRule="auto"/>
        <w:tabs>
          <w:tab w:leader="none" w:pos="1293"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Executive acknowledges and agrees that, as a result of Executive’s employment, Executive will have access to trade secrets and other confidential and/or proprietary information of the Company, its customers, clients and vendors (“</w:t>
      </w:r>
      <w:r>
        <w:rPr>
          <w:rFonts w:ascii="Arial" w:cs="Arial" w:eastAsia="Arial" w:hAnsi="Arial"/>
          <w:sz w:val="19"/>
          <w:szCs w:val="19"/>
          <w:u w:val="single" w:color="auto"/>
          <w:color w:val="auto"/>
        </w:rPr>
        <w:t>Trade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Secrets and Confidential Information</w:t>
      </w:r>
      <w:r>
        <w:rPr>
          <w:rFonts w:ascii="Arial" w:cs="Arial" w:eastAsia="Arial" w:hAnsi="Arial"/>
          <w:sz w:val="19"/>
          <w:szCs w:val="19"/>
          <w:color w:val="auto"/>
        </w:rPr>
        <w:t xml:space="preserve">”). Such Trade Secrets and Confidential Information and other such information includes, but is not limited to, any and all: (i) customers, clients and vendors, and client, customer, supplier and vendor lists; (ii) accounting and business methods; (iii) services or products and the marketing of such services and products; (iv) fees, costs and pricing structures; (v) designs; (vi) analyses; (vii) drawings, photographs and reports; (viii) computer software, including operating systems, applications and program listings; (ix) flow charts, manuals and documentation; databases and database access and manipulation methods, tools and software; (xi) inventions, devices, new developments, methods, tools and processes, whether patentable or unpatentable and whether or not reduced to practice; (xii) copyrightable works; (xiii) technology and trade secrets; (xiv) templates, forms and formatting tools; (xv) specifications; (xvi) analysis reporting and analysis methods and processes; and (xvii) all similar and related information, in whatever form. The Company acknowledges that this protection only extends to confidential information and not publicly available and generally known or available information or information not protectable from non-disclosure under the applicable law. Executive agrees that Executive shall not, either directly or indirectly, disclose or use at any time, whether during Executive’s employment with the Company or for a period of three years thereafter, any Trade Secrets and Confidential Information, except to the extent that such disclosure or use is necessary for Executive to perform Executive’s duties pursuant to this Agreement or otherwise with respect to the Company’s business;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of a disclosure of any Trade Secrets and Confidential Information that Executive is requested or demanded to make under the guise of law, Executive must give the Company prompt written notice of any order, subpoena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48" w:lineRule="auto"/>
        <w:rPr>
          <w:sz w:val="20"/>
          <w:szCs w:val="20"/>
          <w:color w:val="auto"/>
        </w:rPr>
      </w:pPr>
      <w:r>
        <w:rPr>
          <w:rFonts w:ascii="Arial" w:cs="Arial" w:eastAsia="Arial" w:hAnsi="Arial"/>
          <w:sz w:val="22"/>
          <w:szCs w:val="22"/>
          <w:color w:val="auto"/>
        </w:rPr>
        <w:t>notice or information that relates to such a request or demand for disclosure compelled by law such that the Company will have sufficient opportunity to challenge the requested disclosure in advance of disclosure by Executive, and further provided that Executive shall (1) not disclose any more information than the minimum disclosure that is in fact required by law, and (2) cooperate fully with all efforts by the Company to obtain a protective order or similar confidentiality treatment for all such information prior to making any such disclosure.</w:t>
      </w:r>
    </w:p>
    <w:p>
      <w:pPr>
        <w:spacing w:after="0" w:line="192" w:lineRule="exact"/>
        <w:rPr>
          <w:sz w:val="20"/>
          <w:szCs w:val="20"/>
          <w:color w:val="auto"/>
        </w:rPr>
      </w:pPr>
    </w:p>
    <w:p>
      <w:pPr>
        <w:jc w:val="both"/>
        <w:ind w:firstLine="656"/>
        <w:spacing w:after="0" w:line="250" w:lineRule="auto"/>
        <w:tabs>
          <w:tab w:leader="none" w:pos="1291"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Executive covenants and agrees that, other than acknowledging the existence of an employer-employee relationship between the Company and Executive and as otherwise required by law (subject to the terms of Section 5(a) above), Executive shall not at any time divulge, directly or indirectly, any of the terms of this Agreement to any person or entity other than Executive’s legal counsel and Certified Public Accountant.</w:t>
      </w:r>
    </w:p>
    <w:p>
      <w:pPr>
        <w:spacing w:after="0" w:line="187" w:lineRule="exact"/>
        <w:rPr>
          <w:rFonts w:ascii="Arial" w:cs="Arial" w:eastAsia="Arial" w:hAnsi="Arial"/>
          <w:sz w:val="22"/>
          <w:szCs w:val="22"/>
          <w:color w:val="010000"/>
        </w:rPr>
      </w:pPr>
    </w:p>
    <w:p>
      <w:pPr>
        <w:jc w:val="both"/>
        <w:ind w:firstLine="656"/>
        <w:spacing w:after="0" w:line="302" w:lineRule="auto"/>
        <w:tabs>
          <w:tab w:leader="none" w:pos="1293"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Upon the Company’s request at any time, or upon the Company’s termination of Executive’s employment with the Company, Executive will return to the Company all originals and copies of Trade Secrets and Confidential Information. Executive’s obligations under this Agreement supplement, but do not supersede, cancel, or limit, other obligations Executive has to the Company or rights or remedies of the Company, including those under the Defend Trade Secrets Act (“</w:t>
      </w:r>
      <w:r>
        <w:rPr>
          <w:rFonts w:ascii="Arial" w:cs="Arial" w:eastAsia="Arial" w:hAnsi="Arial"/>
          <w:sz w:val="19"/>
          <w:szCs w:val="19"/>
          <w:u w:val="single" w:color="auto"/>
          <w:color w:val="auto"/>
        </w:rPr>
        <w:t>DTSA</w:t>
      </w:r>
      <w:r>
        <w:rPr>
          <w:rFonts w:ascii="Arial" w:cs="Arial" w:eastAsia="Arial" w:hAnsi="Arial"/>
          <w:sz w:val="19"/>
          <w:szCs w:val="19"/>
          <w:color w:val="auto"/>
        </w:rPr>
        <w:t>”).</w:t>
      </w:r>
    </w:p>
    <w:p>
      <w:pPr>
        <w:spacing w:after="0" w:line="142" w:lineRule="exact"/>
        <w:rPr>
          <w:rFonts w:ascii="Arial" w:cs="Arial" w:eastAsia="Arial" w:hAnsi="Arial"/>
          <w:sz w:val="19"/>
          <w:szCs w:val="19"/>
          <w:color w:val="010000"/>
        </w:rPr>
      </w:pPr>
    </w:p>
    <w:p>
      <w:pPr>
        <w:jc w:val="both"/>
        <w:ind w:firstLine="656"/>
        <w:spacing w:after="0" w:line="248" w:lineRule="auto"/>
        <w:tabs>
          <w:tab w:leader="none" w:pos="1291"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Executive acknowledges that the DTSA provides civil and criminal immunity for any disclosure of Trade Secrets and Confidential Information to his attorney, the government, or in a court filing under seal, so long as the purpose is for reporting or investigating a suspected violation of law. Executive further acknowledges that if he files a lawsuit for retaliation by virtue of reporting a suspected violation of the law, he may use Trade Secrets and Confidential Information in that anti-retaliation lawsuit.</w:t>
      </w:r>
    </w:p>
    <w:p>
      <w:pPr>
        <w:spacing w:after="0" w:line="185" w:lineRule="exact"/>
        <w:rPr>
          <w:rFonts w:ascii="Arial" w:cs="Arial" w:eastAsia="Arial" w:hAnsi="Arial"/>
          <w:sz w:val="22"/>
          <w:szCs w:val="22"/>
          <w:color w:val="010000"/>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Activities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95" w:lineRule="auto"/>
        <w:tabs>
          <w:tab w:leader="none" w:pos="1293" w:val="left"/>
        </w:tabs>
        <w:numPr>
          <w:ilvl w:val="1"/>
          <w:numId w:val="56"/>
        </w:numPr>
        <w:rPr>
          <w:rFonts w:ascii="Arial" w:cs="Arial" w:eastAsia="Arial" w:hAnsi="Arial"/>
          <w:sz w:val="19"/>
          <w:szCs w:val="19"/>
          <w:color w:val="010000"/>
        </w:rPr>
      </w:pPr>
      <w:r>
        <w:rPr>
          <w:rFonts w:ascii="Arial" w:cs="Arial" w:eastAsia="Arial" w:hAnsi="Arial"/>
          <w:sz w:val="19"/>
          <w:szCs w:val="19"/>
          <w:b w:val="1"/>
          <w:bCs w:val="1"/>
          <w:color w:val="auto"/>
        </w:rPr>
        <w:t>Non-Solicitation of Customers</w:t>
      </w:r>
      <w:r>
        <w:rPr>
          <w:rFonts w:ascii="Arial" w:cs="Arial" w:eastAsia="Arial" w:hAnsi="Arial"/>
          <w:sz w:val="19"/>
          <w:szCs w:val="19"/>
          <w:color w:val="auto"/>
        </w:rPr>
        <w:t>. During the Employment Term, without limiting Executive’s obligations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duties as an employee under applicable law, and for a period of 24 months running consecutively from the Termination Date (whether Executive’s employment is terminated for any reason or no reason), Executive shall not directly or indirectly: (i) solicit or divert any business or any customer (actual or potential) from the Company or assist any person, group or entity in doing so or attempting to do so; or (ii) cause or seek to cause any person, group or entity to refrain from dealing or doing business with the Company or assist any person, group or entity in doing so or attempting to do so.</w:t>
      </w:r>
    </w:p>
    <w:p>
      <w:pPr>
        <w:spacing w:after="0" w:line="143" w:lineRule="exact"/>
        <w:rPr>
          <w:rFonts w:ascii="Arial" w:cs="Arial" w:eastAsia="Arial" w:hAnsi="Arial"/>
          <w:sz w:val="19"/>
          <w:szCs w:val="19"/>
          <w:color w:val="010000"/>
        </w:rPr>
      </w:pPr>
    </w:p>
    <w:p>
      <w:pPr>
        <w:jc w:val="both"/>
        <w:ind w:firstLine="656"/>
        <w:spacing w:after="0" w:line="295" w:lineRule="auto"/>
        <w:tabs>
          <w:tab w:leader="none" w:pos="1291" w:val="left"/>
        </w:tabs>
        <w:numPr>
          <w:ilvl w:val="1"/>
          <w:numId w:val="56"/>
        </w:numPr>
        <w:rPr>
          <w:rFonts w:ascii="Arial" w:cs="Arial" w:eastAsia="Arial" w:hAnsi="Arial"/>
          <w:sz w:val="19"/>
          <w:szCs w:val="19"/>
          <w:color w:val="010000"/>
        </w:rPr>
      </w:pPr>
      <w:r>
        <w:rPr>
          <w:rFonts w:ascii="Arial" w:cs="Arial" w:eastAsia="Arial" w:hAnsi="Arial"/>
          <w:sz w:val="19"/>
          <w:szCs w:val="19"/>
          <w:b w:val="1"/>
          <w:bCs w:val="1"/>
          <w:color w:val="auto"/>
        </w:rPr>
        <w:t>Non-Solicitation of Executives</w:t>
      </w:r>
      <w:r>
        <w:rPr>
          <w:rFonts w:ascii="Arial" w:cs="Arial" w:eastAsia="Arial" w:hAnsi="Arial"/>
          <w:sz w:val="19"/>
          <w:szCs w:val="19"/>
          <w:color w:val="auto"/>
        </w:rPr>
        <w:t>. During the Employment Term, without limiting Executive’s obligations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duties as an employee under applicable law, and for a period of 24 months running consecutively from the Termination Date (whether Executive’s employment is terminated for any reason or no reason), Executive shall not, directly or indirectly, for Executive’s own account or on behalf of any other person or entity, solicit, encourage, entice, or cause, or attempt to solicit, encourage, entice or cause, any employee or contractor of the Company or any Company Party to: (i) breach or modify any provision of such employee’s employment agreement with the Company or any Company Party; (ii) reduce or 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31" w:name="page132"/>
    <w:bookmarkEnd w:id="131"/>
    <w:p>
      <w:pPr>
        <w:spacing w:after="0" w:line="263" w:lineRule="auto"/>
        <w:rPr>
          <w:sz w:val="20"/>
          <w:szCs w:val="20"/>
          <w:color w:val="auto"/>
        </w:rPr>
      </w:pPr>
      <w:r>
        <w:rPr>
          <w:rFonts w:ascii="Arial" w:cs="Arial" w:eastAsia="Arial" w:hAnsi="Arial"/>
          <w:sz w:val="22"/>
          <w:szCs w:val="22"/>
          <w:color w:val="auto"/>
        </w:rPr>
        <w:t>quality or quantity or availability of such employee’s services to the Company or any Company Party; or (iii) terminate such employee’s employment with the Company or any Company Party.</w:t>
      </w:r>
    </w:p>
    <w:p>
      <w:pPr>
        <w:spacing w:after="0" w:line="169" w:lineRule="exact"/>
        <w:rPr>
          <w:sz w:val="20"/>
          <w:szCs w:val="20"/>
          <w:color w:val="auto"/>
        </w:rPr>
      </w:pPr>
    </w:p>
    <w:p>
      <w:pPr>
        <w:jc w:val="both"/>
        <w:ind w:firstLine="656"/>
        <w:spacing w:after="0" w:line="286" w:lineRule="auto"/>
        <w:tabs>
          <w:tab w:leader="none" w:pos="1293" w:val="left"/>
        </w:tabs>
        <w:numPr>
          <w:ilvl w:val="0"/>
          <w:numId w:val="57"/>
        </w:numPr>
        <w:rPr>
          <w:rFonts w:ascii="Arial" w:cs="Arial" w:eastAsia="Arial" w:hAnsi="Arial"/>
          <w:sz w:val="19"/>
          <w:szCs w:val="19"/>
          <w:color w:val="010000"/>
        </w:rPr>
      </w:pPr>
      <w:r>
        <w:rPr>
          <w:rFonts w:ascii="Arial" w:cs="Arial" w:eastAsia="Arial" w:hAnsi="Arial"/>
          <w:sz w:val="19"/>
          <w:szCs w:val="19"/>
          <w:b w:val="1"/>
          <w:bCs w:val="1"/>
          <w:color w:val="auto"/>
        </w:rPr>
        <w:t>Non-Competition</w:t>
      </w:r>
      <w:r>
        <w:rPr>
          <w:rFonts w:ascii="Arial" w:cs="Arial" w:eastAsia="Arial" w:hAnsi="Arial"/>
          <w:sz w:val="19"/>
          <w:szCs w:val="19"/>
          <w:color w:val="auto"/>
        </w:rPr>
        <w:t>. Executive acknowledges and agrees that due to his position and responsibilities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Executive will have access to Trade Secrets and Confidential Information. Because of the Company’s protectable interest, and the good and valuable consideration offered to Executive during the Employment Term, Executive agrees and covenants that during the Employment Term and until the later of 12 months following the Termination Date or 24 months following the effective date of the Company’s initial public offering, he will not, directly or indirectly, engage in any “</w:t>
      </w:r>
      <w:r>
        <w:rPr>
          <w:rFonts w:ascii="Arial" w:cs="Arial" w:eastAsia="Arial" w:hAnsi="Arial"/>
          <w:sz w:val="19"/>
          <w:szCs w:val="19"/>
          <w:u w:val="single" w:color="auto"/>
          <w:color w:val="auto"/>
        </w:rPr>
        <w:t>Prohibited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Activity</w:t>
      </w:r>
      <w:r>
        <w:rPr>
          <w:rFonts w:ascii="Arial" w:cs="Arial" w:eastAsia="Arial" w:hAnsi="Arial"/>
          <w:sz w:val="19"/>
          <w:szCs w:val="19"/>
          <w:color w:val="auto"/>
        </w:rPr>
        <w:t>” anywhere that the Company does business. Prohibited Activity is defined as any activity Executive engages in that is the same or similar to the business of the Company, including, without limitation, the business of gathering, cataloguing, cleansing, filtering, organizing, or providing business contact information, firmographic or technographic information on business organizations, or predictive purchase intent data for use in sales, marketing, or recruiting, or any activity in which Executive contributes Executive’s knowledge, directly or indirectly, in whole or in part, as an employee, employer, operator, manager, advisor, consultant, contractor, agent, partner, director, stockholder, officer, volunteer, intern, or any other similar capacity to an entity engaged in the same or similar business of the Company. Prohibited Activity also includes activity that may require or inevitably require disclosure of trade secrets, proprietary information or Trade Secrets and Confidential Information. If and to the extent Massachusetts law is deemed to apply to this Section 6(c), this Section 6(c) shall not apply to the extent that it is unenforceable under Massachusetts law.</w:t>
      </w:r>
    </w:p>
    <w:p>
      <w:pPr>
        <w:spacing w:after="0" w:line="200" w:lineRule="exact"/>
        <w:rPr>
          <w:rFonts w:ascii="Arial" w:cs="Arial" w:eastAsia="Arial" w:hAnsi="Arial"/>
          <w:sz w:val="19"/>
          <w:szCs w:val="19"/>
          <w:color w:val="010000"/>
        </w:rPr>
      </w:pPr>
    </w:p>
    <w:p>
      <w:pPr>
        <w:spacing w:after="0" w:line="218" w:lineRule="exact"/>
        <w:rPr>
          <w:rFonts w:ascii="Arial" w:cs="Arial" w:eastAsia="Arial" w:hAnsi="Arial"/>
          <w:sz w:val="19"/>
          <w:szCs w:val="19"/>
          <w:color w:val="010000"/>
        </w:rPr>
      </w:pPr>
    </w:p>
    <w:p>
      <w:pPr>
        <w:jc w:val="both"/>
        <w:ind w:firstLine="656"/>
        <w:spacing w:after="0" w:line="264" w:lineRule="auto"/>
        <w:tabs>
          <w:tab w:leader="none" w:pos="1291" w:val="left"/>
        </w:tabs>
        <w:numPr>
          <w:ilvl w:val="0"/>
          <w:numId w:val="57"/>
        </w:numPr>
        <w:rPr>
          <w:rFonts w:ascii="Arial" w:cs="Arial" w:eastAsia="Arial" w:hAnsi="Arial"/>
          <w:sz w:val="21"/>
          <w:szCs w:val="21"/>
          <w:color w:val="010000"/>
        </w:rPr>
      </w:pPr>
      <w:r>
        <w:rPr>
          <w:rFonts w:ascii="Arial" w:cs="Arial" w:eastAsia="Arial" w:hAnsi="Arial"/>
          <w:sz w:val="21"/>
          <w:szCs w:val="21"/>
          <w:b w:val="1"/>
          <w:bCs w:val="1"/>
          <w:color w:val="auto"/>
        </w:rPr>
        <w:t>Non-Disparagement</w:t>
      </w:r>
      <w:r>
        <w:rPr>
          <w:rFonts w:ascii="Arial" w:cs="Arial" w:eastAsia="Arial" w:hAnsi="Arial"/>
          <w:sz w:val="21"/>
          <w:szCs w:val="21"/>
          <w:color w:val="auto"/>
        </w:rPr>
        <w:t>. Executive covenants and agrees that for the longest period legally enforceable, he shall not</w:t>
      </w:r>
      <w:r>
        <w:rPr>
          <w:rFonts w:ascii="Arial" w:cs="Arial" w:eastAsia="Arial" w:hAnsi="Arial"/>
          <w:sz w:val="21"/>
          <w:szCs w:val="21"/>
          <w:b w:val="1"/>
          <w:bCs w:val="1"/>
          <w:color w:val="auto"/>
        </w:rPr>
        <w:t xml:space="preserve"> </w:t>
      </w:r>
      <w:r>
        <w:rPr>
          <w:rFonts w:ascii="Arial" w:cs="Arial" w:eastAsia="Arial" w:hAnsi="Arial"/>
          <w:sz w:val="21"/>
          <w:szCs w:val="21"/>
          <w:color w:val="auto"/>
        </w:rPr>
        <w:t>disparage the image or reputation of the Company or any of its subsidiaries or affiliates and their officers, senior management employees and professional employees. The Company covenants and agrees that it (i) shall not, in any official or Company-sanctioned statement, disparage the image or reputation of Executive; and (ii) shall instruct its officers, directors and senior management employees not to disparage the image or reputation of Executive.</w:t>
      </w:r>
    </w:p>
    <w:p>
      <w:pPr>
        <w:spacing w:after="0" w:line="170" w:lineRule="exact"/>
        <w:rPr>
          <w:rFonts w:ascii="Arial" w:cs="Arial" w:eastAsia="Arial" w:hAnsi="Arial"/>
          <w:sz w:val="21"/>
          <w:szCs w:val="21"/>
          <w:color w:val="010000"/>
        </w:rPr>
      </w:pPr>
    </w:p>
    <w:p>
      <w:pPr>
        <w:jc w:val="both"/>
        <w:ind w:firstLine="656"/>
        <w:spacing w:after="0" w:line="289" w:lineRule="auto"/>
        <w:tabs>
          <w:tab w:leader="none" w:pos="1293" w:val="left"/>
        </w:tabs>
        <w:numPr>
          <w:ilvl w:val="0"/>
          <w:numId w:val="57"/>
        </w:numPr>
        <w:rPr>
          <w:rFonts w:ascii="Arial" w:cs="Arial" w:eastAsia="Arial" w:hAnsi="Arial"/>
          <w:sz w:val="19"/>
          <w:szCs w:val="19"/>
          <w:color w:val="010000"/>
        </w:rPr>
      </w:pPr>
      <w:r>
        <w:rPr>
          <w:rFonts w:ascii="Arial" w:cs="Arial" w:eastAsia="Arial" w:hAnsi="Arial"/>
          <w:sz w:val="19"/>
          <w:szCs w:val="19"/>
          <w:b w:val="1"/>
          <w:bCs w:val="1"/>
          <w:color w:val="auto"/>
        </w:rPr>
        <w:t>Permitted Activities</w:t>
      </w:r>
      <w:r>
        <w:rPr>
          <w:rFonts w:ascii="Arial" w:cs="Arial" w:eastAsia="Arial" w:hAnsi="Arial"/>
          <w:sz w:val="19"/>
          <w:szCs w:val="19"/>
          <w:color w:val="auto"/>
        </w:rPr>
        <w:t>. Notwithstanding any language in this Agreement to the contrary, nothing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prohibits or impedes Executive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communications and disclosures are consistent with applicable law. Executive does not need the prior authorization of the Company to make any such reports or disclosures and Executive is not required to notify the Company that Executive has made such reports or disclosures. Notwithstanding the foregoing, under no circumstance is Executive authorized to disclose any information covered by the Company’s attorney-client privilege or attorney work product or the Company’s trade secrets without prior written consent of the Company. An individual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color w:val="auto"/>
        </w:rPr>
        <w:t>be held criminally or civilly liable under any U.S. federal or state trade secret law for the disclosure of a trade secret that is made</w:t>
      </w:r>
    </w:p>
    <w:p>
      <w:pPr>
        <w:spacing w:after="0" w:line="56" w:lineRule="exact"/>
        <w:rPr>
          <w:sz w:val="20"/>
          <w:szCs w:val="20"/>
          <w:color w:val="auto"/>
        </w:rPr>
      </w:pPr>
    </w:p>
    <w:p>
      <w:pPr>
        <w:jc w:val="both"/>
        <w:ind w:firstLine="8"/>
        <w:spacing w:after="0" w:line="244" w:lineRule="auto"/>
        <w:tabs>
          <w:tab w:leader="none" w:pos="2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3" w:lineRule="exact"/>
        <w:rPr>
          <w:rFonts w:ascii="Arial" w:cs="Arial" w:eastAsia="Arial" w:hAnsi="Arial"/>
          <w:sz w:val="22"/>
          <w:szCs w:val="22"/>
          <w:color w:val="auto"/>
        </w:rPr>
      </w:pPr>
    </w:p>
    <w:p>
      <w:pPr>
        <w:jc w:val="both"/>
        <w:ind w:firstLine="656"/>
        <w:spacing w:after="0" w:line="259" w:lineRule="auto"/>
        <w:tabs>
          <w:tab w:leader="none" w:pos="1296" w:val="left"/>
        </w:tabs>
        <w:numPr>
          <w:ilvl w:val="1"/>
          <w:numId w:val="58"/>
        </w:numPr>
        <w:rPr>
          <w:rFonts w:ascii="Arial" w:cs="Arial" w:eastAsia="Arial" w:hAnsi="Arial"/>
          <w:sz w:val="21"/>
          <w:szCs w:val="21"/>
          <w:color w:val="010000"/>
        </w:rPr>
      </w:pPr>
      <w:r>
        <w:rPr>
          <w:rFonts w:ascii="Arial" w:cs="Arial" w:eastAsia="Arial" w:hAnsi="Arial"/>
          <w:sz w:val="21"/>
          <w:szCs w:val="21"/>
          <w:color w:val="auto"/>
        </w:rPr>
        <w:t>In the event that Executive shall breach any of the provisions of Section 6(a)-(d), or in the event that any such breach is threatened by Executive, in addition to and without limiting or waiving any other of the Company’s rights under this Agreement or any remedies available to the Company at law or in equity, the Company shall be entitled to immediate injunctive relief in any court, domestic or foreign, having the capacity to grant such relief, without the necessity of posting a bond, to restrain any such breach or threatened breach and to enforce the provisions of these Sections. Executive acknowledges and agrees that there is no adequate remedy at law for any such breach or threatened breach and, in the event that any action or proceeding is brought seeking injunctive relief, Executive shall be estopped from asserting as a defense thereto that there is an adequate remedy at law.</w:t>
      </w:r>
    </w:p>
    <w:p>
      <w:pPr>
        <w:spacing w:after="0" w:line="183" w:lineRule="exact"/>
        <w:rPr>
          <w:rFonts w:ascii="Arial" w:cs="Arial" w:eastAsia="Arial" w:hAnsi="Arial"/>
          <w:sz w:val="21"/>
          <w:szCs w:val="21"/>
          <w:color w:val="010000"/>
        </w:rPr>
      </w:pPr>
    </w:p>
    <w:p>
      <w:pPr>
        <w:jc w:val="both"/>
        <w:ind w:firstLine="656"/>
        <w:spacing w:after="0" w:line="258" w:lineRule="auto"/>
        <w:tabs>
          <w:tab w:leader="none" w:pos="1291" w:val="left"/>
        </w:tabs>
        <w:numPr>
          <w:ilvl w:val="1"/>
          <w:numId w:val="58"/>
        </w:numPr>
        <w:rPr>
          <w:rFonts w:ascii="Arial" w:cs="Arial" w:eastAsia="Arial" w:hAnsi="Arial"/>
          <w:sz w:val="21"/>
          <w:szCs w:val="21"/>
          <w:color w:val="010000"/>
        </w:rPr>
      </w:pPr>
      <w:r>
        <w:rPr>
          <w:rFonts w:ascii="Arial" w:cs="Arial" w:eastAsia="Arial" w:hAnsi="Arial"/>
          <w:sz w:val="21"/>
          <w:szCs w:val="21"/>
          <w:color w:val="auto"/>
        </w:rPr>
        <w:t>Executive acknowledges and agrees that (i) the foregoing restrictions and the duration and scope thereof as set forth in Section 6(a)-(d) (collectively, the “</w:t>
      </w:r>
      <w:r>
        <w:rPr>
          <w:rFonts w:ascii="Arial" w:cs="Arial" w:eastAsia="Arial" w:hAnsi="Arial"/>
          <w:sz w:val="21"/>
          <w:szCs w:val="21"/>
          <w:u w:val="single" w:color="auto"/>
          <w:color w:val="auto"/>
        </w:rPr>
        <w:t>Restrictions</w:t>
      </w:r>
      <w:r>
        <w:rPr>
          <w:rFonts w:ascii="Arial" w:cs="Arial" w:eastAsia="Arial" w:hAnsi="Arial"/>
          <w:sz w:val="21"/>
          <w:szCs w:val="21"/>
          <w:color w:val="auto"/>
        </w:rPr>
        <w:t>”) are agreed with respect to all of the circumstances reasonable and necessary for the protection of the Company and its business, and the Restrictions do not preclude Executive from earning a livelihood, nor do the Restrictions unreasonably impose limitations on Executive’s ability to earn a living, (ii) the potential harm to the Company of the non-enforcement of the Restrictions outweighs any harm to Executive of the enforcement of the Restrictions by injunction or otherwise, and (iii) that none of the rights, damages or other consideration set forth in Section 6(c), or any specific enforcement or injunction rights that the Company may have under this Agreement, shall limit, restrict or affect any other rights the Company may have, or any recovery the Company may be entitled to obtain, from any party, under any theory, or with respect to any agreement or relationship, including any such rights or potential recovery the Company may have pursuant to the other provisions of this Agreement.</w:t>
      </w:r>
    </w:p>
    <w:p>
      <w:pPr>
        <w:spacing w:after="0" w:line="17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Inventions and Patents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315" w:lineRule="auto"/>
        <w:tabs>
          <w:tab w:leader="none" w:pos="1293" w:val="left"/>
        </w:tabs>
        <w:numPr>
          <w:ilvl w:val="1"/>
          <w:numId w:val="59"/>
        </w:numPr>
        <w:rPr>
          <w:rFonts w:ascii="Arial" w:cs="Arial" w:eastAsia="Arial" w:hAnsi="Arial"/>
          <w:sz w:val="19"/>
          <w:szCs w:val="19"/>
          <w:color w:val="010000"/>
        </w:rPr>
      </w:pPr>
      <w:r>
        <w:rPr>
          <w:rFonts w:ascii="Arial" w:cs="Arial" w:eastAsia="Arial" w:hAnsi="Arial"/>
          <w:sz w:val="19"/>
          <w:szCs w:val="19"/>
          <w:b w:val="1"/>
          <w:bCs w:val="1"/>
          <w:color w:val="auto"/>
        </w:rPr>
        <w:t>Inventions Defined</w:t>
      </w:r>
      <w:r>
        <w:rPr>
          <w:rFonts w:ascii="Arial" w:cs="Arial" w:eastAsia="Arial" w:hAnsi="Arial"/>
          <w:sz w:val="19"/>
          <w:szCs w:val="19"/>
          <w:color w:val="auto"/>
        </w:rPr>
        <w:t>. “</w:t>
      </w:r>
      <w:r>
        <w:rPr>
          <w:rFonts w:ascii="Arial" w:cs="Arial" w:eastAsia="Arial" w:hAnsi="Arial"/>
          <w:sz w:val="19"/>
          <w:szCs w:val="19"/>
          <w:u w:val="single" w:color="auto"/>
          <w:color w:val="auto"/>
        </w:rPr>
        <w:t>Inventions</w:t>
      </w:r>
      <w:r>
        <w:rPr>
          <w:rFonts w:ascii="Arial" w:cs="Arial" w:eastAsia="Arial" w:hAnsi="Arial"/>
          <w:sz w:val="19"/>
          <w:szCs w:val="19"/>
          <w:color w:val="auto"/>
        </w:rPr>
        <w:t>” means inventions, original works of authorship, developments, concepts,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designs, discoveries, ideas, know-how, trademarks, and trade secrets, whether or not patentable or registrable under copyright or similar laws, that Executive may solely or jointly author, conceive, develop, or reduce to practice.</w:t>
      </w:r>
    </w:p>
    <w:p>
      <w:pPr>
        <w:spacing w:after="0" w:line="125" w:lineRule="exact"/>
        <w:rPr>
          <w:rFonts w:ascii="Arial" w:cs="Arial" w:eastAsia="Arial" w:hAnsi="Arial"/>
          <w:sz w:val="19"/>
          <w:szCs w:val="19"/>
          <w:color w:val="010000"/>
        </w:rPr>
      </w:pPr>
    </w:p>
    <w:p>
      <w:pPr>
        <w:jc w:val="both"/>
        <w:ind w:firstLine="656"/>
        <w:spacing w:after="0" w:line="315" w:lineRule="auto"/>
        <w:tabs>
          <w:tab w:leader="none" w:pos="1291" w:val="left"/>
        </w:tabs>
        <w:numPr>
          <w:ilvl w:val="1"/>
          <w:numId w:val="59"/>
        </w:numPr>
        <w:rPr>
          <w:rFonts w:ascii="Arial" w:cs="Arial" w:eastAsia="Arial" w:hAnsi="Arial"/>
          <w:sz w:val="19"/>
          <w:szCs w:val="19"/>
          <w:color w:val="010000"/>
        </w:rPr>
      </w:pPr>
      <w:r>
        <w:rPr>
          <w:rFonts w:ascii="Arial" w:cs="Arial" w:eastAsia="Arial" w:hAnsi="Arial"/>
          <w:sz w:val="19"/>
          <w:szCs w:val="19"/>
          <w:b w:val="1"/>
          <w:bCs w:val="1"/>
          <w:color w:val="auto"/>
        </w:rPr>
        <w:t>Assignment of Inventions and Works Made for Hire</w:t>
      </w:r>
      <w:r>
        <w:rPr>
          <w:rFonts w:ascii="Arial" w:cs="Arial" w:eastAsia="Arial" w:hAnsi="Arial"/>
          <w:sz w:val="19"/>
          <w:szCs w:val="19"/>
          <w:color w:val="auto"/>
        </w:rPr>
        <w:t>. Executive will promptly make a full written disclosure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hold in trust for the sole right and benefit of the Company, and will assign to the Company, or its designee, all of Executive’s right, title and interest (including all related intellectual property rights and the right to sue and collect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47" w:lineRule="auto"/>
        <w:rPr>
          <w:sz w:val="20"/>
          <w:szCs w:val="20"/>
          <w:color w:val="auto"/>
        </w:rPr>
      </w:pPr>
      <w:r>
        <w:rPr>
          <w:rFonts w:ascii="Arial" w:cs="Arial" w:eastAsia="Arial" w:hAnsi="Arial"/>
          <w:sz w:val="22"/>
          <w:szCs w:val="22"/>
          <w:color w:val="auto"/>
        </w:rPr>
        <w:t>for past, present and future infringement) in all Inventions that Executive creates during the Employment Term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Inventions</w:t>
      </w:r>
      <w:r>
        <w:rPr>
          <w:rFonts w:ascii="Arial" w:cs="Arial" w:eastAsia="Arial" w:hAnsi="Arial"/>
          <w:sz w:val="22"/>
          <w:szCs w:val="22"/>
          <w:color w:val="auto"/>
        </w:rPr>
        <w:t>”). In addition, all original works of authorship that are made by Executive (solely or jointly with others) within the scope of and during the period of the Employment Term and that are protectable by copyright are “works made for hire,” as that term is defined in the United States Copyright Act, and, in accordance, the Company will be considered the author of these works. Executive agrees that this assignment includes the present conveyance to the Company of ownership of Inventions that are not yet in existence.</w:t>
      </w:r>
    </w:p>
    <w:p>
      <w:pPr>
        <w:spacing w:after="0" w:line="187" w:lineRule="exact"/>
        <w:rPr>
          <w:sz w:val="20"/>
          <w:szCs w:val="20"/>
          <w:color w:val="auto"/>
        </w:rPr>
      </w:pPr>
    </w:p>
    <w:p>
      <w:pPr>
        <w:jc w:val="both"/>
        <w:ind w:firstLine="656"/>
        <w:spacing w:after="0" w:line="261" w:lineRule="auto"/>
        <w:tabs>
          <w:tab w:leader="none" w:pos="1293" w:val="left"/>
        </w:tabs>
        <w:numPr>
          <w:ilvl w:val="0"/>
          <w:numId w:val="60"/>
        </w:numPr>
        <w:rPr>
          <w:rFonts w:ascii="Arial" w:cs="Arial" w:eastAsia="Arial" w:hAnsi="Arial"/>
          <w:sz w:val="21"/>
          <w:szCs w:val="21"/>
          <w:color w:val="010000"/>
        </w:rPr>
      </w:pPr>
      <w:r>
        <w:rPr>
          <w:rFonts w:ascii="Arial" w:cs="Arial" w:eastAsia="Arial" w:hAnsi="Arial"/>
          <w:sz w:val="21"/>
          <w:szCs w:val="21"/>
          <w:b w:val="1"/>
          <w:bCs w:val="1"/>
          <w:color w:val="auto"/>
        </w:rPr>
        <w:t>Exception to Assignments</w:t>
      </w:r>
      <w:r>
        <w:rPr>
          <w:rFonts w:ascii="Arial" w:cs="Arial" w:eastAsia="Arial" w:hAnsi="Arial"/>
          <w:sz w:val="21"/>
          <w:szCs w:val="21"/>
          <w:color w:val="auto"/>
        </w:rPr>
        <w:t>. Notwithstanding any other provision in this Section to the contrary, Executive is not</w:t>
      </w:r>
      <w:r>
        <w:rPr>
          <w:rFonts w:ascii="Arial" w:cs="Arial" w:eastAsia="Arial" w:hAnsi="Arial"/>
          <w:sz w:val="21"/>
          <w:szCs w:val="21"/>
          <w:b w:val="1"/>
          <w:bCs w:val="1"/>
          <w:color w:val="auto"/>
        </w:rPr>
        <w:t xml:space="preserve"> </w:t>
      </w:r>
      <w:r>
        <w:rPr>
          <w:rFonts w:ascii="Arial" w:cs="Arial" w:eastAsia="Arial" w:hAnsi="Arial"/>
          <w:sz w:val="21"/>
          <w:szCs w:val="21"/>
          <w:color w:val="auto"/>
        </w:rPr>
        <w:t>obligated to assign or offer to assign to the Company any of Executive’s rights, title or interest in an Invention for which no equipment, supplies, facilities or trade secret information of the Company was used and that was developed entirely on Executive’s own time, unless (i) the Invention relates (A) at the time of conception or reduction to practice of the Invention, to the business of the Company, or (B) to the Company’s actual or demonstrably anticipated research or development, or (ii) the Invention results from any work performed by Executive for the Company. This notice is intended to satisfy any applicable requirements of the Revised Code of Washington Section 49.44.140.</w:t>
      </w:r>
    </w:p>
    <w:p>
      <w:pPr>
        <w:spacing w:after="0" w:line="173" w:lineRule="exact"/>
        <w:rPr>
          <w:rFonts w:ascii="Arial" w:cs="Arial" w:eastAsia="Arial" w:hAnsi="Arial"/>
          <w:sz w:val="21"/>
          <w:szCs w:val="21"/>
          <w:color w:val="010000"/>
        </w:rPr>
      </w:pPr>
    </w:p>
    <w:p>
      <w:pPr>
        <w:jc w:val="both"/>
        <w:ind w:firstLine="656"/>
        <w:spacing w:after="0" w:line="289" w:lineRule="auto"/>
        <w:tabs>
          <w:tab w:leader="none" w:pos="1291" w:val="left"/>
        </w:tabs>
        <w:numPr>
          <w:ilvl w:val="0"/>
          <w:numId w:val="60"/>
        </w:numPr>
        <w:rPr>
          <w:rFonts w:ascii="Arial" w:cs="Arial" w:eastAsia="Arial" w:hAnsi="Arial"/>
          <w:sz w:val="19"/>
          <w:szCs w:val="19"/>
          <w:color w:val="010000"/>
        </w:rPr>
      </w:pPr>
      <w:r>
        <w:rPr>
          <w:rFonts w:ascii="Arial" w:cs="Arial" w:eastAsia="Arial" w:hAnsi="Arial"/>
          <w:sz w:val="19"/>
          <w:szCs w:val="19"/>
          <w:b w:val="1"/>
          <w:bCs w:val="1"/>
          <w:color w:val="auto"/>
        </w:rPr>
        <w:t>Inventions Retained and Licensed</w:t>
      </w:r>
      <w:r>
        <w:rPr>
          <w:rFonts w:ascii="Arial" w:cs="Arial" w:eastAsia="Arial" w:hAnsi="Arial"/>
          <w:sz w:val="19"/>
          <w:szCs w:val="19"/>
          <w:color w:val="auto"/>
        </w:rPr>
        <w:t>. Executive has attached to this Agreement a list describing all Inventions that</w:t>
      </w:r>
      <w:r>
        <w:rPr>
          <w:rFonts w:ascii="Arial" w:cs="Arial" w:eastAsia="Arial" w:hAnsi="Arial"/>
          <w:sz w:val="19"/>
          <w:szCs w:val="19"/>
          <w:b w:val="1"/>
          <w:bCs w:val="1"/>
          <w:color w:val="auto"/>
        </w:rPr>
        <w:t xml:space="preserve"> </w:t>
      </w:r>
      <w:r>
        <w:rPr>
          <w:rFonts w:ascii="Arial" w:cs="Arial" w:eastAsia="Arial" w:hAnsi="Arial"/>
          <w:sz w:val="19"/>
          <w:szCs w:val="19"/>
          <w:color w:val="auto"/>
        </w:rPr>
        <w:t>were made by Executive prior to the Employment Term, that relate to the Company’s proposed business, products, or research and development, and that are not assigned to the Company under this Agreement (collectively, “</w:t>
      </w:r>
      <w:r>
        <w:rPr>
          <w:rFonts w:ascii="Arial" w:cs="Arial" w:eastAsia="Arial" w:hAnsi="Arial"/>
          <w:sz w:val="19"/>
          <w:szCs w:val="19"/>
          <w:u w:val="single" w:color="auto"/>
          <w:color w:val="auto"/>
        </w:rPr>
        <w:t>Prior Inventions</w:t>
      </w:r>
      <w:r>
        <w:rPr>
          <w:rFonts w:ascii="Arial" w:cs="Arial" w:eastAsia="Arial" w:hAnsi="Arial"/>
          <w:sz w:val="19"/>
          <w:szCs w:val="19"/>
          <w:color w:val="auto"/>
        </w:rPr>
        <w:t>”). If no list is attached or if no Prior Inventions are listed, Executive represents that there are no Prior Inventions. Furthermore, Executive represents and warrants that the inclusion of any Prior Inventions will not materially affect Executive’s ability to perform all obligations under this Agreement. If, in the course of the Employment Term, Executive incorporates into a the Company product, process or machine an Invention owned by Executive or in which Executive has an interest, the Company is granted a nonexclusive, royalty-free, irrevocable, perpetual, transferrable, worldwide license (with right to sublicense) to make, have modify, use, import, offer for sale, sell, reproduce, distribute, modify, adapt, prepare derivative works of, display, perform and otherwise exploit the Invention without restriction of any kind.</w:t>
      </w:r>
    </w:p>
    <w:p>
      <w:pPr>
        <w:spacing w:after="0" w:line="150" w:lineRule="exact"/>
        <w:rPr>
          <w:rFonts w:ascii="Arial" w:cs="Arial" w:eastAsia="Arial" w:hAnsi="Arial"/>
          <w:sz w:val="19"/>
          <w:szCs w:val="19"/>
          <w:color w:val="010000"/>
        </w:rPr>
      </w:pPr>
    </w:p>
    <w:p>
      <w:pPr>
        <w:jc w:val="both"/>
        <w:ind w:firstLine="656"/>
        <w:spacing w:after="0" w:line="256" w:lineRule="auto"/>
        <w:tabs>
          <w:tab w:leader="none" w:pos="1293" w:val="left"/>
        </w:tabs>
        <w:numPr>
          <w:ilvl w:val="0"/>
          <w:numId w:val="60"/>
        </w:numPr>
        <w:rPr>
          <w:rFonts w:ascii="Arial" w:cs="Arial" w:eastAsia="Arial" w:hAnsi="Arial"/>
          <w:sz w:val="22"/>
          <w:szCs w:val="22"/>
          <w:color w:val="010000"/>
        </w:rPr>
      </w:pPr>
      <w:r>
        <w:rPr>
          <w:rFonts w:ascii="Arial" w:cs="Arial" w:eastAsia="Arial" w:hAnsi="Arial"/>
          <w:sz w:val="22"/>
          <w:szCs w:val="22"/>
          <w:b w:val="1"/>
          <w:bCs w:val="1"/>
          <w:color w:val="auto"/>
        </w:rPr>
        <w:t>Third-Party Inventions</w:t>
      </w:r>
      <w:r>
        <w:rPr>
          <w:rFonts w:ascii="Arial" w:cs="Arial" w:eastAsia="Arial" w:hAnsi="Arial"/>
          <w:sz w:val="22"/>
          <w:szCs w:val="22"/>
          <w:color w:val="auto"/>
        </w:rPr>
        <w:t>. Executive will not incorporate any original work of authorship, development, concept,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 or trade secret owned, in whole or in part, by any third party, into any Company Invention without the Company’s prior written permission.</w:t>
      </w:r>
    </w:p>
    <w:p>
      <w:pPr>
        <w:spacing w:after="0" w:line="176" w:lineRule="exact"/>
        <w:rPr>
          <w:rFonts w:ascii="Arial" w:cs="Arial" w:eastAsia="Arial" w:hAnsi="Arial"/>
          <w:sz w:val="22"/>
          <w:szCs w:val="22"/>
          <w:color w:val="010000"/>
        </w:rPr>
      </w:pPr>
    </w:p>
    <w:p>
      <w:pPr>
        <w:jc w:val="both"/>
        <w:ind w:firstLine="656"/>
        <w:spacing w:after="0" w:line="264" w:lineRule="auto"/>
        <w:tabs>
          <w:tab w:leader="none" w:pos="1296" w:val="left"/>
        </w:tabs>
        <w:numPr>
          <w:ilvl w:val="0"/>
          <w:numId w:val="60"/>
        </w:numPr>
        <w:rPr>
          <w:rFonts w:ascii="Arial" w:cs="Arial" w:eastAsia="Arial" w:hAnsi="Arial"/>
          <w:sz w:val="21"/>
          <w:szCs w:val="21"/>
          <w:color w:val="010000"/>
        </w:rPr>
      </w:pPr>
      <w:r>
        <w:rPr>
          <w:rFonts w:ascii="Arial" w:cs="Arial" w:eastAsia="Arial" w:hAnsi="Arial"/>
          <w:sz w:val="21"/>
          <w:szCs w:val="21"/>
          <w:b w:val="1"/>
          <w:bCs w:val="1"/>
          <w:color w:val="auto"/>
        </w:rPr>
        <w:t>Moral Rights</w:t>
      </w:r>
      <w:r>
        <w:rPr>
          <w:rFonts w:ascii="Arial" w:cs="Arial" w:eastAsia="Arial" w:hAnsi="Arial"/>
          <w:sz w:val="21"/>
          <w:szCs w:val="21"/>
          <w:color w:val="auto"/>
        </w:rPr>
        <w:t>. Any assignment to the Company of the Company Inventions includes all rights of attribution,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paternity, integrity, modification, disclosure and withdrawal and any other rights throughout the world that may be known as or referred to as “moral rights,” “artist’s rights,” or the like (collectively, “</w:t>
      </w:r>
      <w:r>
        <w:rPr>
          <w:rFonts w:ascii="Arial" w:cs="Arial" w:eastAsia="Arial" w:hAnsi="Arial"/>
          <w:sz w:val="21"/>
          <w:szCs w:val="21"/>
          <w:u w:val="single" w:color="auto"/>
          <w:color w:val="auto"/>
        </w:rPr>
        <w:t>Moral Rights</w:t>
      </w:r>
      <w:r>
        <w:rPr>
          <w:rFonts w:ascii="Arial" w:cs="Arial" w:eastAsia="Arial" w:hAnsi="Arial"/>
          <w:sz w:val="21"/>
          <w:szCs w:val="21"/>
          <w:color w:val="auto"/>
        </w:rPr>
        <w:t>”). To the extent that Moral Rights cannot be assigned under applicable law, Executive hereby waives and agrees not to enforce any and all Moral Rights, including any limitation on subsequent modification, to the extent permitted under applicable law.</w:t>
      </w:r>
    </w:p>
    <w:p>
      <w:pPr>
        <w:spacing w:after="0" w:line="170" w:lineRule="exact"/>
        <w:rPr>
          <w:rFonts w:ascii="Arial" w:cs="Arial" w:eastAsia="Arial" w:hAnsi="Arial"/>
          <w:sz w:val="21"/>
          <w:szCs w:val="21"/>
          <w:color w:val="010000"/>
        </w:rPr>
      </w:pPr>
    </w:p>
    <w:p>
      <w:pPr>
        <w:ind w:right="20" w:firstLine="656"/>
        <w:spacing w:after="0" w:line="269" w:lineRule="auto"/>
        <w:tabs>
          <w:tab w:leader="none" w:pos="1291" w:val="left"/>
        </w:tabs>
        <w:numPr>
          <w:ilvl w:val="0"/>
          <w:numId w:val="60"/>
        </w:numPr>
        <w:rPr>
          <w:rFonts w:ascii="Arial" w:cs="Arial" w:eastAsia="Arial" w:hAnsi="Arial"/>
          <w:sz w:val="22"/>
          <w:szCs w:val="22"/>
          <w:color w:val="010000"/>
        </w:rPr>
      </w:pPr>
      <w:r>
        <w:rPr>
          <w:rFonts w:ascii="Arial" w:cs="Arial" w:eastAsia="Arial" w:hAnsi="Arial"/>
          <w:sz w:val="22"/>
          <w:szCs w:val="22"/>
          <w:b w:val="1"/>
          <w:bCs w:val="1"/>
          <w:color w:val="auto"/>
        </w:rPr>
        <w:t>Marketing of the Company Inventions</w:t>
      </w:r>
      <w:r>
        <w:rPr>
          <w:rFonts w:ascii="Arial" w:cs="Arial" w:eastAsia="Arial" w:hAnsi="Arial"/>
          <w:sz w:val="22"/>
          <w:szCs w:val="22"/>
          <w:color w:val="auto"/>
        </w:rPr>
        <w:t>. The decision whether or not to commercialize or market any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 developed by Executive solely or jointly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134" w:name="page135"/>
    <w:bookmarkEnd w:id="134"/>
    <w:p>
      <w:pPr>
        <w:spacing w:after="0" w:line="343" w:lineRule="auto"/>
        <w:rPr>
          <w:sz w:val="20"/>
          <w:szCs w:val="20"/>
          <w:color w:val="auto"/>
        </w:rPr>
      </w:pPr>
      <w:r>
        <w:rPr>
          <w:rFonts w:ascii="Arial" w:cs="Arial" w:eastAsia="Arial" w:hAnsi="Arial"/>
          <w:sz w:val="19"/>
          <w:szCs w:val="19"/>
          <w:color w:val="auto"/>
        </w:rPr>
        <w:t>others is within the Company’s sole discretion and for the Company’s sole benefit. Neither the Company nor any other entity will pay Executive a royalty as a result of the Company’s efforts to commercialize or market any Company Invention.</w:t>
      </w:r>
    </w:p>
    <w:p>
      <w:pPr>
        <w:spacing w:after="0" w:line="98" w:lineRule="exact"/>
        <w:rPr>
          <w:sz w:val="20"/>
          <w:szCs w:val="20"/>
          <w:color w:val="auto"/>
        </w:rPr>
      </w:pPr>
    </w:p>
    <w:p>
      <w:pPr>
        <w:jc w:val="both"/>
        <w:ind w:firstLine="656"/>
        <w:spacing w:after="0" w:line="252" w:lineRule="auto"/>
        <w:tabs>
          <w:tab w:leader="none" w:pos="1291" w:val="left"/>
        </w:tabs>
        <w:numPr>
          <w:ilvl w:val="1"/>
          <w:numId w:val="61"/>
        </w:numPr>
        <w:rPr>
          <w:rFonts w:ascii="Arial" w:cs="Arial" w:eastAsia="Arial" w:hAnsi="Arial"/>
          <w:sz w:val="22"/>
          <w:szCs w:val="22"/>
          <w:color w:val="010000"/>
        </w:rPr>
      </w:pPr>
      <w:r>
        <w:rPr>
          <w:rFonts w:ascii="Arial" w:cs="Arial" w:eastAsia="Arial" w:hAnsi="Arial"/>
          <w:sz w:val="22"/>
          <w:szCs w:val="22"/>
          <w:b w:val="1"/>
          <w:bCs w:val="1"/>
          <w:color w:val="auto"/>
        </w:rPr>
        <w:t>Maintenance of Records</w:t>
      </w:r>
      <w:r>
        <w:rPr>
          <w:rFonts w:ascii="Arial" w:cs="Arial" w:eastAsia="Arial" w:hAnsi="Arial"/>
          <w:sz w:val="22"/>
          <w:szCs w:val="22"/>
          <w:color w:val="auto"/>
        </w:rPr>
        <w:t>. Executive will keep and maintain adequate and current written records of all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Inventions. These records will be in the form of notes, sketches, drawings, electronic files, laboratory notebooks, and any other format that may be specified by the Company. At all times, the records will be available to the Company, and remain the sole property of the Company.</w:t>
      </w:r>
    </w:p>
    <w:p>
      <w:pPr>
        <w:spacing w:after="0" w:line="179" w:lineRule="exact"/>
        <w:rPr>
          <w:rFonts w:ascii="Arial" w:cs="Arial" w:eastAsia="Arial" w:hAnsi="Arial"/>
          <w:sz w:val="22"/>
          <w:szCs w:val="22"/>
          <w:color w:val="010000"/>
        </w:rPr>
      </w:pPr>
    </w:p>
    <w:p>
      <w:pPr>
        <w:jc w:val="both"/>
        <w:ind w:firstLine="656"/>
        <w:spacing w:after="0" w:line="259" w:lineRule="auto"/>
        <w:tabs>
          <w:tab w:leader="none" w:pos="1284" w:val="left"/>
        </w:tabs>
        <w:numPr>
          <w:ilvl w:val="1"/>
          <w:numId w:val="61"/>
        </w:numPr>
        <w:rPr>
          <w:rFonts w:ascii="Arial" w:cs="Arial" w:eastAsia="Arial" w:hAnsi="Arial"/>
          <w:sz w:val="21"/>
          <w:szCs w:val="21"/>
          <w:color w:val="010000"/>
        </w:rPr>
      </w:pPr>
      <w:r>
        <w:rPr>
          <w:rFonts w:ascii="Arial" w:cs="Arial" w:eastAsia="Arial" w:hAnsi="Arial"/>
          <w:sz w:val="21"/>
          <w:szCs w:val="21"/>
          <w:b w:val="1"/>
          <w:bCs w:val="1"/>
          <w:color w:val="auto"/>
        </w:rPr>
        <w:t>Further Assurances</w:t>
      </w:r>
      <w:r>
        <w:rPr>
          <w:rFonts w:ascii="Arial" w:cs="Arial" w:eastAsia="Arial" w:hAnsi="Arial"/>
          <w:sz w:val="21"/>
          <w:szCs w:val="21"/>
          <w:color w:val="auto"/>
        </w:rPr>
        <w:t>. Executive will assist the Company, or its designee, at the Company’s expense, in every</w:t>
      </w:r>
      <w:r>
        <w:rPr>
          <w:rFonts w:ascii="Arial" w:cs="Arial" w:eastAsia="Arial" w:hAnsi="Arial"/>
          <w:sz w:val="21"/>
          <w:szCs w:val="21"/>
          <w:b w:val="1"/>
          <w:bCs w:val="1"/>
          <w:color w:val="auto"/>
        </w:rPr>
        <w:t xml:space="preserve"> </w:t>
      </w:r>
      <w:r>
        <w:rPr>
          <w:rFonts w:ascii="Arial" w:cs="Arial" w:eastAsia="Arial" w:hAnsi="Arial"/>
          <w:sz w:val="21"/>
          <w:szCs w:val="21"/>
          <w:color w:val="auto"/>
        </w:rPr>
        <w:t>proper way to secure and protect the Company’s rights in the Company Inventions and any related copyrights, patents, mask work rights, or other intellectual property rights in any and all countries. Executive will disclose to the Company all pertinent information and data. Executive will execute all applications, specifications, oaths, assignments, and all other instruments that the Company deems necessary in order to apply for and obtain these rights and in order to deliver, assign and convey to the Company, its successors, assigns and nominees the sole and exclusive rights, title and interest in and to the Company Inventions, and any related copyrights, patents, mask work rights or other intellectual property rights. The Company will testify in a suit or other proceeding relating to such the Company Inventions and any rights relating thereto. Executive’s obligation to execute or cause to be executed, when it is in Executive’s power to do so, any instrument or papers will continue after the termination of this Agreement.</w:t>
      </w:r>
    </w:p>
    <w:p>
      <w:pPr>
        <w:spacing w:after="0" w:line="175" w:lineRule="exact"/>
        <w:rPr>
          <w:rFonts w:ascii="Arial" w:cs="Arial" w:eastAsia="Arial" w:hAnsi="Arial"/>
          <w:sz w:val="21"/>
          <w:szCs w:val="21"/>
          <w:color w:val="010000"/>
        </w:rPr>
      </w:pPr>
    </w:p>
    <w:p>
      <w:pPr>
        <w:jc w:val="both"/>
        <w:ind w:firstLine="8"/>
        <w:spacing w:after="0" w:line="256" w:lineRule="auto"/>
        <w:tabs>
          <w:tab w:leader="none" w:pos="648"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provided for herein shall be in writing and shall be deemed to have been given or made when</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delivered or delivered by reputable overnight courier service and deemed delivered in the case of courier service upon confirmation of receipt of the delivery or affirmative rejection thereof.</w:t>
      </w:r>
    </w:p>
    <w:p>
      <w:pPr>
        <w:spacing w:after="0" w:line="176" w:lineRule="exact"/>
        <w:rPr>
          <w:rFonts w:ascii="Arial" w:cs="Arial" w:eastAsia="Arial" w:hAnsi="Arial"/>
          <w:sz w:val="22"/>
          <w:szCs w:val="22"/>
          <w:color w:val="auto"/>
        </w:rPr>
      </w:pPr>
    </w:p>
    <w:p>
      <w:pPr>
        <w:jc w:val="both"/>
        <w:ind w:firstLine="8"/>
        <w:spacing w:after="0" w:line="291" w:lineRule="auto"/>
        <w:tabs>
          <w:tab w:leader="none" w:pos="648"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case any one or more of the provisions contained in this Agreement for any reason shall be held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invalid, illegal or unenforceable in any respect under any applicable law or rule in any jurisdiction, any such provision(s) shall be severed, but only to the minimum extent necessary to comply with applicable laws and rules. Such invalidity, illegality or unenforceability shall not affect any other portion of the same provision or of any other provision of this Agreement or any action in any other jurisdiction. In addition to the foregoing, if one or more of the provisions contained in this Agreement shall for any reason be held to be excessively broad or unreasonable as to the period, scope or geographical area so as to be unenforceable at law, such provision or provisions shall be modified or substituted by the appropriate judicial or governing body so as to cover the maximum period, scope or geographical area permitted by applicable law.</w:t>
      </w:r>
    </w:p>
    <w:p>
      <w:pPr>
        <w:spacing w:after="0" w:line="148" w:lineRule="exact"/>
        <w:rPr>
          <w:rFonts w:ascii="Arial" w:cs="Arial" w:eastAsia="Arial" w:hAnsi="Arial"/>
          <w:sz w:val="19"/>
          <w:szCs w:val="19"/>
          <w:color w:val="auto"/>
        </w:rPr>
      </w:pPr>
    </w:p>
    <w:p>
      <w:pPr>
        <w:jc w:val="both"/>
        <w:ind w:firstLine="8"/>
        <w:spacing w:after="0" w:line="267" w:lineRule="auto"/>
        <w:tabs>
          <w:tab w:leader="none" w:pos="648" w:val="left"/>
        </w:tabs>
        <w:numPr>
          <w:ilvl w:val="0"/>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Complete Agreement</w:t>
      </w:r>
      <w:r>
        <w:rPr>
          <w:rFonts w:ascii="Arial" w:cs="Arial" w:eastAsia="Arial" w:hAnsi="Arial"/>
          <w:sz w:val="21"/>
          <w:szCs w:val="21"/>
          <w:color w:val="auto"/>
        </w:rPr>
        <w:t>. This Agreement is fully integrated and embodies the complete agreement and understanding</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the Parties regarding Executive’s employment with the Company and supersedes and preempts any prior understandings, offers, agreements or representations by or between the Parties, written or oral, which may have related to the subject matter hereof in any way. No modification or amendment to this Agreement, nor any waiver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135" w:name="page136"/>
    <w:bookmarkEnd w:id="135"/>
    <w:p>
      <w:pPr>
        <w:spacing w:after="0" w:line="287" w:lineRule="auto"/>
        <w:rPr>
          <w:sz w:val="20"/>
          <w:szCs w:val="20"/>
          <w:color w:val="auto"/>
        </w:rPr>
      </w:pPr>
      <w:r>
        <w:rPr>
          <w:rFonts w:ascii="Arial" w:cs="Arial" w:eastAsia="Arial" w:hAnsi="Arial"/>
          <w:sz w:val="21"/>
          <w:szCs w:val="21"/>
          <w:color w:val="auto"/>
        </w:rPr>
        <w:t>any rights under this Agreement, will be effective unless in writing signed by both Parties. Any subsequent change or changes in Executive’s duties, obligations, rights or compensation will not affect the validity or scope of this Agreement.</w:t>
      </w:r>
    </w:p>
    <w:p>
      <w:pPr>
        <w:spacing w:after="0" w:line="145" w:lineRule="exact"/>
        <w:rPr>
          <w:sz w:val="20"/>
          <w:szCs w:val="20"/>
          <w:color w:val="auto"/>
        </w:rPr>
      </w:pPr>
    </w:p>
    <w:p>
      <w:pPr>
        <w:jc w:val="both"/>
        <w:ind w:firstLine="8"/>
        <w:spacing w:after="0" w:line="256"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No Strict Construction</w:t>
      </w:r>
      <w:r>
        <w:rPr>
          <w:rFonts w:ascii="Arial" w:cs="Arial" w:eastAsia="Arial" w:hAnsi="Arial"/>
          <w:sz w:val="22"/>
          <w:szCs w:val="22"/>
          <w:color w:val="auto"/>
        </w:rPr>
        <w:t>. The language used in this Agreement shall be deemed to be the language chosen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to express their mutual intent, and no rule of strict construction shall be applied against any party hereto, including the drafter hereof.</w:t>
      </w:r>
    </w:p>
    <w:p>
      <w:pPr>
        <w:spacing w:after="0" w:line="176" w:lineRule="exact"/>
        <w:rPr>
          <w:rFonts w:ascii="Arial" w:cs="Arial" w:eastAsia="Arial" w:hAnsi="Arial"/>
          <w:sz w:val="22"/>
          <w:szCs w:val="22"/>
          <w:color w:val="auto"/>
        </w:rPr>
      </w:pPr>
    </w:p>
    <w:p>
      <w:pPr>
        <w:jc w:val="both"/>
        <w:ind w:firstLine="8"/>
        <w:spacing w:after="0" w:line="274" w:lineRule="auto"/>
        <w:tabs>
          <w:tab w:leader="none" w:pos="648"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The headings and enumeration used in this Agreement are for ease of reference only and shall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interpretation of any provision. References to the singular shall include the plural and vice-versa, except when the context requires otherwise. All uses of the word “or” herein are as a logical disjunction unless otherwise specified.</w:t>
      </w:r>
    </w:p>
    <w:p>
      <w:pPr>
        <w:spacing w:after="0" w:line="158" w:lineRule="exact"/>
        <w:rPr>
          <w:rFonts w:ascii="Arial" w:cs="Arial" w:eastAsia="Arial" w:hAnsi="Arial"/>
          <w:sz w:val="21"/>
          <w:szCs w:val="21"/>
          <w:color w:val="auto"/>
        </w:rPr>
      </w:pPr>
    </w:p>
    <w:p>
      <w:pPr>
        <w:jc w:val="both"/>
        <w:ind w:firstLine="8"/>
        <w:spacing w:after="0" w:line="295" w:lineRule="auto"/>
        <w:tabs>
          <w:tab w:leader="none" w:pos="648"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Not a Partnership; Successors and Assigns</w:t>
      </w:r>
      <w:r>
        <w:rPr>
          <w:rFonts w:ascii="Arial" w:cs="Arial" w:eastAsia="Arial" w:hAnsi="Arial"/>
          <w:sz w:val="19"/>
          <w:szCs w:val="19"/>
          <w:color w:val="auto"/>
        </w:rPr>
        <w:t>. This Agreement forms an employer-employee relationship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as such, and the Company, as employer, and shall not form or be deemed to form a partnership or joint venture or any other relationship. Executive may not assign Executive’s rights or delegate Executive’s duties or obligations hereunder without the prior written consent of the Company. This Agreement and the benefit of each agreement and obligations of Executive hereunder may be freely assigned to and enforced by all successors and assigns of the Company, in its sole discretion, and such agreements and obligations shall operate and remain binding notwithstanding the termination of this Agreement.</w:t>
      </w:r>
    </w:p>
    <w:p>
      <w:pPr>
        <w:spacing w:after="0" w:line="386" w:lineRule="exact"/>
        <w:rPr>
          <w:rFonts w:ascii="Arial" w:cs="Arial" w:eastAsia="Arial" w:hAnsi="Arial"/>
          <w:sz w:val="19"/>
          <w:szCs w:val="19"/>
          <w:color w:val="auto"/>
        </w:rPr>
      </w:pPr>
    </w:p>
    <w:p>
      <w:pPr>
        <w:jc w:val="both"/>
        <w:ind w:firstLine="8"/>
        <w:spacing w:after="0" w:line="248" w:lineRule="auto"/>
        <w:tabs>
          <w:tab w:leader="none" w:pos="648"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Party Defined</w:t>
      </w:r>
      <w:r>
        <w:rPr>
          <w:rFonts w:ascii="Arial" w:cs="Arial" w:eastAsia="Arial" w:hAnsi="Arial"/>
          <w:sz w:val="22"/>
          <w:szCs w:val="22"/>
          <w:color w:val="auto"/>
        </w:rPr>
        <w:t>. For purposes of this Agreement, the “Company Parties” collectively (and, individually, a</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Company Party</w:t>
      </w:r>
      <w:r>
        <w:rPr>
          <w:rFonts w:ascii="Arial" w:cs="Arial" w:eastAsia="Arial" w:hAnsi="Arial"/>
          <w:sz w:val="22"/>
          <w:szCs w:val="22"/>
          <w:color w:val="auto"/>
        </w:rPr>
        <w:t>”) means the Company, and its subsidiaries and affiliates, and each and every other entity which is in control of, controlled by or directly or indirectly under common control with the Company. Any and all such entities and individuals is an intended third-party beneficiary of this Agreement. Should Executive be employed by or transferred to a successor, or to a member, subsidiary, affiliate or other related entity, this Agreement shall continue in full force and effect as part of the terms of Executive’s employment.</w:t>
      </w:r>
    </w:p>
    <w:p>
      <w:pPr>
        <w:spacing w:after="0" w:line="186" w:lineRule="exact"/>
        <w:rPr>
          <w:rFonts w:ascii="Arial" w:cs="Arial" w:eastAsia="Arial" w:hAnsi="Arial"/>
          <w:sz w:val="22"/>
          <w:szCs w:val="22"/>
          <w:color w:val="auto"/>
        </w:rPr>
      </w:pPr>
    </w:p>
    <w:p>
      <w:pPr>
        <w:jc w:val="both"/>
        <w:ind w:firstLine="8"/>
        <w:spacing w:after="0" w:line="256" w:lineRule="auto"/>
        <w:tabs>
          <w:tab w:leader="none" w:pos="648"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Choice of Law</w:t>
      </w:r>
      <w:r>
        <w:rPr>
          <w:rFonts w:ascii="Arial" w:cs="Arial" w:eastAsia="Arial" w:hAnsi="Arial"/>
          <w:sz w:val="22"/>
          <w:szCs w:val="22"/>
          <w:color w:val="auto"/>
        </w:rPr>
        <w:t>. This Agreement, and all of the rights and obligations of the parties hereto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relationship established hereby, shall be governed by and construed in accordance with the substantive laws of the State of Washington without giving effect to principles relating to conflicts of law.</w:t>
      </w:r>
    </w:p>
    <w:p>
      <w:pPr>
        <w:spacing w:after="0" w:line="176" w:lineRule="exact"/>
        <w:rPr>
          <w:rFonts w:ascii="Arial" w:cs="Arial" w:eastAsia="Arial" w:hAnsi="Arial"/>
          <w:sz w:val="22"/>
          <w:szCs w:val="22"/>
          <w:color w:val="auto"/>
        </w:rPr>
      </w:pPr>
    </w:p>
    <w:p>
      <w:pPr>
        <w:jc w:val="both"/>
        <w:ind w:firstLine="8"/>
        <w:spacing w:after="0" w:line="295" w:lineRule="auto"/>
        <w:tabs>
          <w:tab w:leader="none" w:pos="648"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color w:val="auto"/>
        </w:rPr>
        <w:t>. The provisions of this Agreement may be amended or waived only with the written consent of</w:t>
      </w:r>
      <w:r>
        <w:rPr>
          <w:rFonts w:ascii="Arial" w:cs="Arial" w:eastAsia="Arial" w:hAnsi="Arial"/>
          <w:sz w:val="19"/>
          <w:szCs w:val="19"/>
          <w:b w:val="1"/>
          <w:bCs w:val="1"/>
          <w:color w:val="auto"/>
        </w:rPr>
        <w:t xml:space="preserve"> </w:t>
      </w:r>
      <w:r>
        <w:rPr>
          <w:rFonts w:ascii="Arial" w:cs="Arial" w:eastAsia="Arial" w:hAnsi="Arial"/>
          <w:sz w:val="19"/>
          <w:szCs w:val="19"/>
          <w:color w:val="auto"/>
        </w:rPr>
        <w:t>both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No waiver or indulgence by the Company or any Company Party of any failure by Executive to keep or perform any promise or condition of this Agreement shall be a waiver of any preceding or succeeding breach of the same or any other promise or condition. No waiver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136" w:name="page137"/>
    <w:bookmarkEnd w:id="136"/>
    <w:p>
      <w:pPr>
        <w:spacing w:after="0" w:line="263" w:lineRule="auto"/>
        <w:rPr>
          <w:sz w:val="20"/>
          <w:szCs w:val="20"/>
          <w:color w:val="auto"/>
        </w:rPr>
      </w:pPr>
      <w:r>
        <w:rPr>
          <w:rFonts w:ascii="Arial" w:cs="Arial" w:eastAsia="Arial" w:hAnsi="Arial"/>
          <w:sz w:val="22"/>
          <w:szCs w:val="22"/>
          <w:color w:val="auto"/>
        </w:rPr>
        <w:t>any Company Party of any right shall be construed as a waiver of any other right. No Company Party shall be required to give notice to enforce strict adherence to all terms of this Agreement.</w:t>
      </w:r>
    </w:p>
    <w:p>
      <w:pPr>
        <w:spacing w:after="0" w:line="169" w:lineRule="exact"/>
        <w:rPr>
          <w:sz w:val="20"/>
          <w:szCs w:val="20"/>
          <w:color w:val="auto"/>
        </w:rPr>
      </w:pPr>
    </w:p>
    <w:p>
      <w:pPr>
        <w:jc w:val="both"/>
        <w:ind w:firstLine="8"/>
        <w:spacing w:after="0" w:line="284" w:lineRule="auto"/>
        <w:tabs>
          <w:tab w:leader="none" w:pos="648"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Dispute Resolution</w:t>
      </w:r>
      <w:r>
        <w:rPr>
          <w:rFonts w:ascii="Arial" w:cs="Arial" w:eastAsia="Arial" w:hAnsi="Arial"/>
          <w:sz w:val="19"/>
          <w:szCs w:val="19"/>
          <w:color w:val="auto"/>
        </w:rPr>
        <w:t>. The parties agree to solely arbitrate all grievances, disputes, claims, or causes of action arising out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or Executive’s employment with the Company, including claims Executive may have against the Company or against its officers, directors, supervisors, managers, employees or agents, unless arbitration is otherwise prohibited by law. Claims for violation of any federal, state or local statute, including, but not limited to, Title VII of the Civil Rights Act of 1964, the Civil Rights Act of 1991, the Age Discrimination in Employment Act of 1967, the Americans with Disabilities Act of 1990, the Family Medical Leave Act, and the Fair Labor Standards Act, and alleged wage and hour violations, including, but not limited to, claims for overtime, unpaid wages, and claims involving meal and rest breaks shall all be subject to this arbitration clause;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arbitration clause does not cover claims for sexual harassment or sexual assault brought under federal, state or local law. All claims subject to arbitration shall be settled by final and binding arbitration in accordance with the employment dispute resolution rules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in effect at the time the demand for arbitration is made. Accordingly, the parties are not permitted to pursue court action regarding claims that are subject to arbitration. Such arbitration shall be filed with the AAA and shall be heard before a single neutral arbitrator, who shall be selected as provided in AAA’s Rules and Procedures. Any arbitration filed by Executive shall be heard in Vancouver, Washington;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arbitration in Vancouver, Washington is impractical because Executive’s employment for the Company is located more than 100 miles from Vancouver, Washington, the arbitration may be held in the County and State where Executive last resided during Executive’s employment for the Company. The Company shall be responsible for the arbitrator’s fees and expenses in excess of any reasonable filing fee with the AAA;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each party shall pay its own costs and attorneys’ fees, if any;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if Executive prevails in any dispute regarding Executive’s rights under this Agreement, then the Company will reimburse his reasonable legal fees and expenses. The arbitrator shall issue a written decision that contains the essential findings and conclusions on which the decision is based. The arbitrator’s remedial authority shall be no greater than that which is available under the statutory or common law theory asserted. Judgment upon any award rendered by the arbitrator may be entered in any court with appropriate jurisdiction. Neither this agreement to arbitrate nor any demand for arbitration shall waive or otherwise affect the Company’s right to obtain any provisional remedy, including, without limitation, injunctive relief for unfair competition, the use or unauthorized disclosure or misappropriation of trade secrets, the disclosure of any other confidential information or the violation of the confidentiality or other provisions of Section 6(a)-(d) or Section 7 of this Agreement. Executive and the Company intend and agree that class action and representative action procedures are hereby waived and shall not be asserted, nor will they apply, in any arbitration pursuant to this agreement. EXECUTIVE AND THE COMPANY UNDERSTAND AND ACKNOWLEDGE THAT BY SIGNING THIS AGREEMENT, THE PARTIES ARE GIVING UP THE RIGHT TO A JURY TRIAL AND TO A TRIAL IN A COURT OF LAW.</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8"/>
        <w:spacing w:after="0" w:line="269" w:lineRule="auto"/>
        <w:tabs>
          <w:tab w:leader="none" w:pos="648"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Cooperation with Regard to Litigation</w:t>
      </w:r>
      <w:r>
        <w:rPr>
          <w:rFonts w:ascii="Arial" w:cs="Arial" w:eastAsia="Arial" w:hAnsi="Arial"/>
          <w:sz w:val="22"/>
          <w:szCs w:val="22"/>
          <w:color w:val="auto"/>
        </w:rPr>
        <w:t>. Executive agrees to cooperate with the Company during the term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thereafter (including following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248" w:lineRule="auto"/>
        <w:rPr>
          <w:sz w:val="20"/>
          <w:szCs w:val="20"/>
          <w:color w:val="auto"/>
        </w:rPr>
      </w:pPr>
      <w:r>
        <w:rPr>
          <w:rFonts w:ascii="Arial" w:cs="Arial" w:eastAsia="Arial" w:hAnsi="Arial"/>
          <w:sz w:val="22"/>
          <w:szCs w:val="22"/>
          <w:color w:val="auto"/>
        </w:rPr>
        <w:t>Executive’s employment for any reason or for no reason). Without limiting the foregoing, Executive shall be available to testify on behalf of the Company or its affiliates, in any action, suit or proceeding, whether civil, criminal, administrative or investigative, and to assist the Company or any of its affiliates in any such action, suit or proceeding, by providing information and meeting and consulting with its counsel and representatives. Reasonable out-of-pocket expenses incurred by Executive in compliance with this Section shall be reimbursed by the Company.</w:t>
      </w:r>
    </w:p>
    <w:p>
      <w:pPr>
        <w:spacing w:after="0" w:line="186" w:lineRule="exact"/>
        <w:rPr>
          <w:sz w:val="20"/>
          <w:szCs w:val="20"/>
          <w:color w:val="auto"/>
        </w:rPr>
      </w:pPr>
    </w:p>
    <w:p>
      <w:pPr>
        <w:jc w:val="both"/>
        <w:ind w:firstLine="8"/>
        <w:spacing w:after="0" w:line="256" w:lineRule="auto"/>
        <w:tabs>
          <w:tab w:leader="none" w:pos="648"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separate counterparts, each of which is deemed to be an original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taken together constitute one and the same agreement. Any counterpart may be executed by facsimile or electronic signature and such facsimile or electronic signature shall be deemed an original.</w:t>
      </w:r>
    </w:p>
    <w:p>
      <w:pPr>
        <w:spacing w:after="0" w:line="176" w:lineRule="exact"/>
        <w:rPr>
          <w:rFonts w:ascii="Arial" w:cs="Arial" w:eastAsia="Arial" w:hAnsi="Arial"/>
          <w:sz w:val="22"/>
          <w:szCs w:val="22"/>
          <w:color w:val="auto"/>
        </w:rPr>
      </w:pPr>
    </w:p>
    <w:p>
      <w:pPr>
        <w:jc w:val="both"/>
        <w:ind w:firstLine="8"/>
        <w:spacing w:after="0" w:line="295" w:lineRule="auto"/>
        <w:tabs>
          <w:tab w:leader="none" w:pos="648"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Section 409A</w:t>
      </w:r>
      <w:r>
        <w:rPr>
          <w:rFonts w:ascii="Arial" w:cs="Arial" w:eastAsia="Arial" w:hAnsi="Arial"/>
          <w:sz w:val="19"/>
          <w:szCs w:val="19"/>
          <w:color w:val="auto"/>
        </w:rPr>
        <w:t>. Notwithstanding any other provision of this Agreement to the contrary, the provision,</w:t>
      </w:r>
      <w:r>
        <w:rPr>
          <w:rFonts w:ascii="Arial" w:cs="Arial" w:eastAsia="Arial" w:hAnsi="Arial"/>
          <w:sz w:val="19"/>
          <w:szCs w:val="19"/>
          <w:b w:val="1"/>
          <w:bCs w:val="1"/>
          <w:color w:val="auto"/>
        </w:rPr>
        <w:t xml:space="preserve"> </w:t>
      </w:r>
      <w:r>
        <w:rPr>
          <w:rFonts w:ascii="Arial" w:cs="Arial" w:eastAsia="Arial" w:hAnsi="Arial"/>
          <w:sz w:val="19"/>
          <w:szCs w:val="19"/>
          <w:color w:val="auto"/>
        </w:rPr>
        <w:t>time and manner of payment or distribution of all compensation and benefits provided by this Agreement that constitute nonqualified deferred compensation subject to and not exempted from the requirements of Section 409A of the Code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409A Deferred Compensation</w:t>
      </w:r>
      <w:r>
        <w:rPr>
          <w:rFonts w:ascii="Arial" w:cs="Arial" w:eastAsia="Arial" w:hAnsi="Arial"/>
          <w:sz w:val="19"/>
          <w:szCs w:val="19"/>
          <w:color w:val="auto"/>
        </w:rPr>
        <w:t>”) shall be subject to, limited by and construed in accordance with the requirements of Section 409A and all regulations and other guidance promulgated by the Secretary of the Treasury pursuant to such Section (such Section, regulations and other guidance being referred to herein as “</w:t>
      </w:r>
      <w:r>
        <w:rPr>
          <w:rFonts w:ascii="Arial" w:cs="Arial" w:eastAsia="Arial" w:hAnsi="Arial"/>
          <w:sz w:val="19"/>
          <w:szCs w:val="19"/>
          <w:u w:val="single" w:color="auto"/>
          <w:color w:val="auto"/>
        </w:rPr>
        <w:t>Section 409A</w:t>
      </w:r>
      <w:r>
        <w:rPr>
          <w:rFonts w:ascii="Arial" w:cs="Arial" w:eastAsia="Arial" w:hAnsi="Arial"/>
          <w:sz w:val="19"/>
          <w:szCs w:val="19"/>
          <w:color w:val="auto"/>
        </w:rPr>
        <w:t>”), including the following:</w:t>
      </w:r>
    </w:p>
    <w:p>
      <w:pPr>
        <w:spacing w:after="0" w:line="143" w:lineRule="exact"/>
        <w:rPr>
          <w:rFonts w:ascii="Arial" w:cs="Arial" w:eastAsia="Arial" w:hAnsi="Arial"/>
          <w:sz w:val="19"/>
          <w:szCs w:val="19"/>
          <w:color w:val="auto"/>
        </w:rPr>
      </w:pPr>
    </w:p>
    <w:p>
      <w:pPr>
        <w:jc w:val="both"/>
        <w:ind w:firstLine="656"/>
        <w:spacing w:after="0" w:line="304" w:lineRule="auto"/>
        <w:tabs>
          <w:tab w:leader="none" w:pos="1293" w:val="left"/>
        </w:tabs>
        <w:numPr>
          <w:ilvl w:val="1"/>
          <w:numId w:val="65"/>
        </w:numPr>
        <w:rPr>
          <w:rFonts w:ascii="Arial" w:cs="Arial" w:eastAsia="Arial" w:hAnsi="Arial"/>
          <w:sz w:val="19"/>
          <w:szCs w:val="19"/>
          <w:color w:val="010000"/>
        </w:rPr>
      </w:pPr>
      <w:r>
        <w:rPr>
          <w:rFonts w:ascii="Arial" w:cs="Arial" w:eastAsia="Arial" w:hAnsi="Arial"/>
          <w:sz w:val="19"/>
          <w:szCs w:val="19"/>
          <w:b w:val="1"/>
          <w:bCs w:val="1"/>
          <w:color w:val="auto"/>
        </w:rPr>
        <w:t>Separation from Service</w:t>
      </w:r>
      <w:r>
        <w:rPr>
          <w:rFonts w:ascii="Arial" w:cs="Arial" w:eastAsia="Arial" w:hAnsi="Arial"/>
          <w:sz w:val="19"/>
          <w:szCs w:val="19"/>
          <w:color w:val="auto"/>
        </w:rPr>
        <w:t>. Payments and benefits constituting Section 409A Deferred Compensation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or provided pursuant to Section 4 upon Executive’s termination of employment shall be paid or provided only at the time of a termination of Executive’s employment that constitutes a Separation from Service. For the purposes of this Agreement, a “Separation from Service” is a separation from service within the meaning of Treasury Regulation Section 1.409A-1(h).</w:t>
      </w:r>
    </w:p>
    <w:p>
      <w:pPr>
        <w:spacing w:after="0" w:line="135" w:lineRule="exact"/>
        <w:rPr>
          <w:rFonts w:ascii="Arial" w:cs="Arial" w:eastAsia="Arial" w:hAnsi="Arial"/>
          <w:sz w:val="19"/>
          <w:szCs w:val="19"/>
          <w:color w:val="010000"/>
        </w:rPr>
      </w:pPr>
    </w:p>
    <w:p>
      <w:pPr>
        <w:jc w:val="both"/>
        <w:ind w:firstLine="656"/>
        <w:spacing w:after="0" w:line="291" w:lineRule="auto"/>
        <w:tabs>
          <w:tab w:leader="none" w:pos="1291" w:val="left"/>
        </w:tabs>
        <w:numPr>
          <w:ilvl w:val="1"/>
          <w:numId w:val="65"/>
        </w:numPr>
        <w:rPr>
          <w:rFonts w:ascii="Arial" w:cs="Arial" w:eastAsia="Arial" w:hAnsi="Arial"/>
          <w:sz w:val="19"/>
          <w:szCs w:val="19"/>
          <w:color w:val="010000"/>
        </w:rPr>
      </w:pPr>
      <w:r>
        <w:rPr>
          <w:rFonts w:ascii="Arial" w:cs="Arial" w:eastAsia="Arial" w:hAnsi="Arial"/>
          <w:sz w:val="19"/>
          <w:szCs w:val="19"/>
          <w:b w:val="1"/>
          <w:bCs w:val="1"/>
          <w:color w:val="auto"/>
        </w:rPr>
        <w:t>Six-Month Delay Applicable to Specified Employees</w:t>
      </w:r>
      <w:r>
        <w:rPr>
          <w:rFonts w:ascii="Arial" w:cs="Arial" w:eastAsia="Arial" w:hAnsi="Arial"/>
          <w:sz w:val="19"/>
          <w:szCs w:val="19"/>
          <w:color w:val="auto"/>
        </w:rPr>
        <w:t>. If, at the time of a Separation from Service of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is a “specified employee” within the meaning of Section 409A(a)(2)(B)(i) (a “</w:t>
      </w:r>
      <w:r>
        <w:rPr>
          <w:rFonts w:ascii="Arial" w:cs="Arial" w:eastAsia="Arial" w:hAnsi="Arial"/>
          <w:sz w:val="19"/>
          <w:szCs w:val="19"/>
          <w:u w:val="single" w:color="auto"/>
          <w:color w:val="auto"/>
        </w:rPr>
        <w:t>Specified Employee</w:t>
      </w:r>
      <w:r>
        <w:rPr>
          <w:rFonts w:ascii="Arial" w:cs="Arial" w:eastAsia="Arial" w:hAnsi="Arial"/>
          <w:sz w:val="19"/>
          <w:szCs w:val="19"/>
          <w:color w:val="auto"/>
        </w:rPr>
        <w:t>”), then any payments and benefits constituting Section 409A Deferred Compensation to be paid or provided pursuant to Section 4 upon the Separation from Service of Executive shall be paid or provided commencing on the later of (i) the date that is six months after the date of such Separation from Service or, if earlier, the date of death of Executive (in either case, the “</w:t>
      </w:r>
      <w:r>
        <w:rPr>
          <w:rFonts w:ascii="Arial" w:cs="Arial" w:eastAsia="Arial" w:hAnsi="Arial"/>
          <w:sz w:val="19"/>
          <w:szCs w:val="19"/>
          <w:u w:val="single" w:color="auto"/>
          <w:color w:val="auto"/>
        </w:rPr>
        <w:t>Delayed Payment Date</w:t>
      </w:r>
      <w:r>
        <w:rPr>
          <w:rFonts w:ascii="Arial" w:cs="Arial" w:eastAsia="Arial" w:hAnsi="Arial"/>
          <w:sz w:val="19"/>
          <w:szCs w:val="19"/>
          <w:color w:val="auto"/>
        </w:rPr>
        <w:t>”), or (ii) the date or dates on which such Section 409A Deferred Compensation would otherwise be paid or provided in accordance with Section 4. All such amounts that would, but for this Section 20(b), become payable prior to the Delayed Payment Date shall be accumulated and paid on the Delayed Payment Date.</w:t>
      </w:r>
    </w:p>
    <w:p>
      <w:pPr>
        <w:spacing w:after="0" w:line="148" w:lineRule="exact"/>
        <w:rPr>
          <w:rFonts w:ascii="Arial" w:cs="Arial" w:eastAsia="Arial" w:hAnsi="Arial"/>
          <w:sz w:val="19"/>
          <w:szCs w:val="19"/>
          <w:color w:val="010000"/>
        </w:rPr>
      </w:pPr>
    </w:p>
    <w:p>
      <w:pPr>
        <w:jc w:val="both"/>
        <w:ind w:firstLine="656"/>
        <w:spacing w:after="0" w:line="252" w:lineRule="auto"/>
        <w:tabs>
          <w:tab w:leader="none" w:pos="1293" w:val="left"/>
        </w:tabs>
        <w:numPr>
          <w:ilvl w:val="1"/>
          <w:numId w:val="65"/>
        </w:numPr>
        <w:rPr>
          <w:rFonts w:ascii="Arial" w:cs="Arial" w:eastAsia="Arial" w:hAnsi="Arial"/>
          <w:sz w:val="22"/>
          <w:szCs w:val="22"/>
          <w:color w:val="010000"/>
        </w:rPr>
      </w:pPr>
      <w:r>
        <w:rPr>
          <w:rFonts w:ascii="Arial" w:cs="Arial" w:eastAsia="Arial" w:hAnsi="Arial"/>
          <w:sz w:val="22"/>
          <w:szCs w:val="22"/>
          <w:b w:val="1"/>
          <w:bCs w:val="1"/>
          <w:color w:val="auto"/>
        </w:rPr>
        <w:t>Stock-Based Awards</w:t>
      </w:r>
      <w:r>
        <w:rPr>
          <w:rFonts w:ascii="Arial" w:cs="Arial" w:eastAsia="Arial" w:hAnsi="Arial"/>
          <w:sz w:val="22"/>
          <w:szCs w:val="22"/>
          <w:color w:val="auto"/>
        </w:rPr>
        <w:t>. The vesting of any stock-based compensation awards which constitute 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Deferred Compensation and are held by Executive, if Executive is a Specified Executive, shall be accelerated in accordance with this Agreement to the extent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that the payment in settlement of any such awards shall occur on the Delayed Payment Date, to the extent required pursuant to Section 20(b).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138" w:name="page139"/>
    <w:bookmarkEnd w:id="138"/>
    <w:p>
      <w:pPr>
        <w:jc w:val="both"/>
        <w:ind w:firstLine="656"/>
        <w:spacing w:after="0" w:line="256" w:lineRule="auto"/>
        <w:tabs>
          <w:tab w:leader="none" w:pos="1291" w:val="left"/>
        </w:tabs>
        <w:numPr>
          <w:ilvl w:val="0"/>
          <w:numId w:val="66"/>
        </w:numPr>
        <w:rPr>
          <w:rFonts w:ascii="Arial" w:cs="Arial" w:eastAsia="Arial" w:hAnsi="Arial"/>
          <w:sz w:val="22"/>
          <w:szCs w:val="22"/>
          <w:color w:val="010000"/>
        </w:rPr>
      </w:pPr>
      <w:r>
        <w:rPr>
          <w:rFonts w:ascii="Arial" w:cs="Arial" w:eastAsia="Arial" w:hAnsi="Arial"/>
          <w:sz w:val="22"/>
          <w:szCs w:val="22"/>
          <w:b w:val="1"/>
          <w:bCs w:val="1"/>
          <w:color w:val="auto"/>
        </w:rPr>
        <w:t>Installments</w:t>
      </w:r>
      <w:r>
        <w:rPr>
          <w:rFonts w:ascii="Arial" w:cs="Arial" w:eastAsia="Arial" w:hAnsi="Arial"/>
          <w:sz w:val="22"/>
          <w:szCs w:val="22"/>
          <w:color w:val="auto"/>
        </w:rPr>
        <w:t>. Executive’s right to receive any installment payments payable hereunder shall be treated as a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receive a series of separate payments and, accordingly, each such installment payment shall at all times be considered a separate and distinct payment for purposes of Section 409A.</w:t>
      </w:r>
    </w:p>
    <w:p>
      <w:pPr>
        <w:spacing w:after="0" w:line="176" w:lineRule="exact"/>
        <w:rPr>
          <w:rFonts w:ascii="Arial" w:cs="Arial" w:eastAsia="Arial" w:hAnsi="Arial"/>
          <w:sz w:val="22"/>
          <w:szCs w:val="22"/>
          <w:color w:val="010000"/>
        </w:rPr>
      </w:pPr>
    </w:p>
    <w:p>
      <w:pPr>
        <w:jc w:val="both"/>
        <w:ind w:firstLine="656"/>
        <w:spacing w:after="0" w:line="264" w:lineRule="auto"/>
        <w:tabs>
          <w:tab w:leader="none" w:pos="1293" w:val="left"/>
        </w:tabs>
        <w:numPr>
          <w:ilvl w:val="0"/>
          <w:numId w:val="66"/>
        </w:numPr>
        <w:rPr>
          <w:rFonts w:ascii="Arial" w:cs="Arial" w:eastAsia="Arial" w:hAnsi="Arial"/>
          <w:sz w:val="21"/>
          <w:szCs w:val="21"/>
          <w:color w:val="010000"/>
        </w:rPr>
      </w:pPr>
      <w:r>
        <w:rPr>
          <w:rFonts w:ascii="Arial" w:cs="Arial" w:eastAsia="Arial" w:hAnsi="Arial"/>
          <w:sz w:val="21"/>
          <w:szCs w:val="21"/>
          <w:b w:val="1"/>
          <w:bCs w:val="1"/>
          <w:color w:val="auto"/>
        </w:rPr>
        <w:t>Reimbursements</w:t>
      </w:r>
      <w:r>
        <w:rPr>
          <w:rFonts w:ascii="Arial" w:cs="Arial" w:eastAsia="Arial" w:hAnsi="Arial"/>
          <w:sz w:val="21"/>
          <w:szCs w:val="21"/>
          <w:color w:val="auto"/>
        </w:rPr>
        <w:t>. To the extent that any reimbursements payable to Executive pursuant to this Agreement are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409A,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70" w:lineRule="exact"/>
        <w:rPr>
          <w:rFonts w:ascii="Arial" w:cs="Arial" w:eastAsia="Arial" w:hAnsi="Arial"/>
          <w:sz w:val="21"/>
          <w:szCs w:val="21"/>
          <w:color w:val="010000"/>
        </w:rPr>
      </w:pPr>
    </w:p>
    <w:p>
      <w:pPr>
        <w:jc w:val="both"/>
        <w:ind w:firstLine="656"/>
        <w:spacing w:after="0" w:line="285" w:lineRule="auto"/>
        <w:tabs>
          <w:tab w:leader="none" w:pos="1296" w:val="left"/>
        </w:tabs>
        <w:numPr>
          <w:ilvl w:val="0"/>
          <w:numId w:val="66"/>
        </w:numPr>
        <w:rPr>
          <w:rFonts w:ascii="Arial" w:cs="Arial" w:eastAsia="Arial" w:hAnsi="Arial"/>
          <w:sz w:val="19"/>
          <w:szCs w:val="19"/>
          <w:color w:val="010000"/>
        </w:rPr>
      </w:pPr>
      <w:r>
        <w:rPr>
          <w:rFonts w:ascii="Arial" w:cs="Arial" w:eastAsia="Arial" w:hAnsi="Arial"/>
          <w:sz w:val="19"/>
          <w:szCs w:val="19"/>
          <w:b w:val="1"/>
          <w:bCs w:val="1"/>
          <w:color w:val="auto"/>
        </w:rPr>
        <w:t>Rights of the Company; Release of Liability</w:t>
      </w:r>
      <w:r>
        <w:rPr>
          <w:rFonts w:ascii="Arial" w:cs="Arial" w:eastAsia="Arial" w:hAnsi="Arial"/>
          <w:sz w:val="19"/>
          <w:szCs w:val="19"/>
          <w:color w:val="auto"/>
        </w:rPr>
        <w:t>. It is the mutual intention of Executive and the Company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Executive, make such modifications to the timing or manner of providing such payment and/or benefit to the extent it determines necessary or advisable to comply with the requirements of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in no event be obligated to pay any interest or other compensation in respect of any delay in the provision of such payments or benefits in order to comply with the requirements of Section 409A. Executive acknowledges that (i) the provisions of this Section 20 may result in a delay in the time which payments would otherwise be made pursuant to this Agreement and (ii) the Company is authorized to amend this Agreement, to void or amend any election made by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Executive. Executive hereby releases and holds harmless the Company, its directors, officers and stockholders from any and all claims that may arise from or relate to any tax liability, penalties, interest, costs, fees or other liability incurred by Executive as a result of the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1" w:right="3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9"/>
          <w:szCs w:val="19"/>
          <w:color w:val="auto"/>
        </w:rPr>
        <w:t>IN WITNESS WHEREOF, the Parties hereto have executed this Employment Agreement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 EXECUTIVE: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/s/ Joseph Christopher Hays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ZoomInfo Technologies Inc. Joseph Christopher Hays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Anthony Stark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Anthony Stark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Title: General Counsel &amp; Corporate Secretary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ZoomInfo Technologies LLC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Anthony Stark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Anthony Stark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Title: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ectPr>
          <w:pgSz w:w="11900" w:h="16838" w:orient="portrait"/>
          <w:cols w:equalWidth="0" w:num="1">
            <w:col w:w="11220"/>
          </w:cols>
          <w:pgMar w:left="320" w:top="1427" w:right="35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2"/>
          <w:szCs w:val="22"/>
          <w:b w:val="1"/>
          <w:bCs w:val="1"/>
          <w:color w:val="auto"/>
        </w:rPr>
        <w:t>Prior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Prior Inventions, Attached to Employment Agreement</w:t>
      </w:r>
    </w:p>
    <w:p>
      <w:pPr>
        <w:sectPr>
          <w:pgSz w:w="11900" w:h="16838" w:orient="portrait"/>
          <w:cols w:equalWidth="0" w:num="1">
            <w:col w:w="9019"/>
          </w:cols>
          <w:pgMar w:left="1440" w:top="1421" w:right="1440"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RELEASE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______________, between ZoomInfo Technologies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 and ZoomInfo Technologies LLC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 and Joseph Christopher Hays (“</w:t>
      </w:r>
      <w:r>
        <w:rPr>
          <w:rFonts w:ascii="Arial" w:cs="Arial" w:eastAsia="Arial" w:hAnsi="Arial"/>
          <w:sz w:val="22"/>
          <w:szCs w:val="22"/>
          <w:u w:val="single" w:color="auto"/>
          <w:color w:val="auto"/>
        </w:rPr>
        <w:t>you</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and  you  have  entered  into  that  certain  Employment  Agreement  dated  as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2020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WHEREAS, pursuant to the Employment Agreement, certain severance payments and benefits otherwise payable to you pursuant to the Employment Agreement (the “</w:t>
      </w:r>
      <w:r>
        <w:rPr>
          <w:rFonts w:ascii="Arial" w:cs="Arial" w:eastAsia="Arial" w:hAnsi="Arial"/>
          <w:sz w:val="21"/>
          <w:szCs w:val="21"/>
          <w:u w:val="single" w:color="auto"/>
          <w:color w:val="auto"/>
        </w:rPr>
        <w:t>Severance Benefits</w:t>
      </w:r>
      <w:r>
        <w:rPr>
          <w:rFonts w:ascii="Arial" w:cs="Arial" w:eastAsia="Arial" w:hAnsi="Arial"/>
          <w:sz w:val="21"/>
          <w:szCs w:val="21"/>
          <w:color w:val="auto"/>
        </w:rPr>
        <w:t>”) are subject to your execution, delivery and non-revocation of a release of claims substantially in the form of Exhibit A to the Employment Agreement.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in consideration of the Severance Benefits you hereby agree as follows:</w:t>
      </w:r>
    </w:p>
    <w:p>
      <w:pPr>
        <w:spacing w:after="0" w:line="220" w:lineRule="exact"/>
        <w:rPr>
          <w:sz w:val="20"/>
          <w:szCs w:val="20"/>
          <w:color w:val="auto"/>
        </w:rPr>
      </w:pPr>
    </w:p>
    <w:p>
      <w:pPr>
        <w:jc w:val="both"/>
        <w:ind w:firstLine="8"/>
        <w:spacing w:after="0" w:line="286" w:lineRule="auto"/>
        <w:tabs>
          <w:tab w:leader="none" w:pos="29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For and in consideration of the Severance Benefits to be made to you under the Employment Agreement, you hereby agree on behalf of yourself, your agents, assignees, attorneys, successors, assigns, heirs and executors, to, and you do hereby, fully and completely forever release the Company and its affiliates, predecessors and successors and all of their respective past and/or present officers, directors, partners, members, managing members, managers, employees, agents, representatives, administrators, attorneys, insurers and fiduciaries in their individual and/or representative capacities (hereinafter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xml:space="preserve">”), from any and all causes of action, suits, agreements, promises, damages, disputes, controversies, contentions, differences, judgments, claims, debts, dues, sums of money, accounts, reckonings, bonds, bills, specialties, covenants, contracts, variances, trespasses, extents, executions and demands of any kind whatsoever, which you or your heirs, executors, administrators, successors and assigns ever had, now have or may have hereafter against the Releasees or any of them, in law, admiralty or equity, whether known or unknown to you, for, upon, or by reason of, any matter, action, omission, course or thing whatsoever occurring, including, without limitation, in connection with or in relationship to your employment or other service relationship with the Company or its affiliates, the termination of any such employment or service relationship and any applicable employment, compensatory or equity arrangement with the Company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released claims shall not include any claims to enforce (a) your rights under, or with respect to, the Severance Benefits, or (b) your rights under, and with respect to, any “Accrued Amounts” (as defined in the Employment Agreement).</w:t>
      </w:r>
    </w:p>
    <w:p>
      <w:pPr>
        <w:spacing w:after="0" w:line="158" w:lineRule="exact"/>
        <w:rPr>
          <w:rFonts w:ascii="Arial" w:cs="Arial" w:eastAsia="Arial" w:hAnsi="Arial"/>
          <w:sz w:val="19"/>
          <w:szCs w:val="19"/>
          <w:color w:val="auto"/>
        </w:rPr>
      </w:pPr>
    </w:p>
    <w:p>
      <w:pPr>
        <w:jc w:val="both"/>
        <w:ind w:firstLine="656"/>
        <w:spacing w:after="0" w:line="250" w:lineRule="auto"/>
        <w:tabs>
          <w:tab w:leader="none" w:pos="931"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Notwithstanding the generality of paragraph 1 above, the Released Claims include, without limitation, (i) any and all claims under Title VII of the Civil Rights Act of 1964, the Age Discrimination in Employment Act of 1967, the Civil Rights Act of 1971, the Civil Rights Act of 1991, the Fair Labor Standards Act, the Employee Retirement Income Security Act of 1974, the Americans with Disabilities Act, the Family and Medical Leave Act of 1993,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85" w:lineRule="auto"/>
        <w:rPr>
          <w:sz w:val="20"/>
          <w:szCs w:val="20"/>
          <w:color w:val="auto"/>
        </w:rPr>
      </w:pPr>
      <w:r>
        <w:rPr>
          <w:rFonts w:ascii="Arial" w:cs="Arial" w:eastAsia="Arial" w:hAnsi="Arial"/>
          <w:sz w:val="19"/>
          <w:szCs w:val="19"/>
          <w:color w:val="auto"/>
        </w:rPr>
        <w:t>any and all other federal, state or local laws, statutes, rules and regulations pertaining to employment or otherwise, and (ii) any claims for wrongful discharge, breach of contract, fraud, misrepresentation or any compensation claims, or any other claims under any statute, rule or regulation or under the common law, including compensatory damages, punitive damages, attorney’s fees, costs, expenses and all claims for any other type of damage or relief. Nothing in this Agreement shall prohibit or impede you from communicating, cooperating or filing a complaint with any U.S. federal, state or local governmental or law enforcement branch, agency or entity (collectively, a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You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you be authorized to disclose any information covered by attorney-client privilege or attorney work product of the Company or any of its subsidiaries without prior written consent of Company’s General Counsel or other officer designated by the Company.</w:t>
      </w:r>
    </w:p>
    <w:p>
      <w:pPr>
        <w:spacing w:after="0" w:line="157" w:lineRule="exact"/>
        <w:rPr>
          <w:sz w:val="20"/>
          <w:szCs w:val="20"/>
          <w:color w:val="auto"/>
        </w:rPr>
      </w:pPr>
    </w:p>
    <w:p>
      <w:pPr>
        <w:jc w:val="both"/>
        <w:ind w:firstLine="656"/>
        <w:spacing w:after="0" w:line="256" w:lineRule="auto"/>
        <w:tabs>
          <w:tab w:leader="none" w:pos="959"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THIS MEANS THAT, BY SIGNING THIS AGREEMENT, YOU WILL HAVE WAIVED ANY RIGHT YOU MAY HAVE HAD TO BRING A LAWSUIT OR MAKE ANY CLAIM AGAINST THE RELEASEES BASED ON ANY ACTS OR OMISSIONS OF THE RELEASEES.</w:t>
      </w:r>
    </w:p>
    <w:p>
      <w:pPr>
        <w:spacing w:after="0" w:line="182" w:lineRule="exact"/>
        <w:rPr>
          <w:rFonts w:ascii="Arial" w:cs="Arial" w:eastAsia="Arial" w:hAnsi="Arial"/>
          <w:sz w:val="22"/>
          <w:szCs w:val="22"/>
          <w:b w:val="1"/>
          <w:bCs w:val="1"/>
          <w:color w:val="auto"/>
        </w:rPr>
      </w:pPr>
    </w:p>
    <w:p>
      <w:pPr>
        <w:jc w:val="both"/>
        <w:ind w:firstLine="656"/>
        <w:spacing w:after="0" w:line="289" w:lineRule="auto"/>
        <w:tabs>
          <w:tab w:leader="none" w:pos="919"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You represent that you have read carefully and fully understand the terms of this Agreement, and that you have been advised to consult with an attorney and have had the opportunity to consult with an attorney prior to signing this Agreement. You acknowledge that you are executing this Agreement voluntarily and knowingly and that you have not relied on any representations, promises or agreements of any kind made to you in connection with your decision to accept the terms of this Agreement, other than those set forth in this Agreement. You acknowledge that you have been given at least twenty-one (21) days to consider whether you want to sign this Agreement and that the Age Discrimination in Employment Act gives you the right to revoke this Agreement within seven (7) days after it is signed, and you understand that you will not receive any of the Severance Benefits due to you under the Employment Agreement until such seven (7) day revocation period has passed and then, only if you have not revoked this Agreement. To the extent you have executed this Agreement within less than twenty-one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27" w:right="339" w:bottom="1440" w:gutter="0" w:footer="0" w:header="0"/>
        </w:sectPr>
      </w:pPr>
    </w:p>
    <w:bookmarkStart w:id="143" w:name="page144"/>
    <w:bookmarkEnd w:id="143"/>
    <w:p>
      <w:pPr>
        <w:spacing w:after="0" w:line="263" w:lineRule="auto"/>
        <w:rPr>
          <w:sz w:val="20"/>
          <w:szCs w:val="20"/>
          <w:color w:val="auto"/>
        </w:rPr>
      </w:pPr>
      <w:r>
        <w:rPr>
          <w:rFonts w:ascii="Arial" w:cs="Arial" w:eastAsia="Arial" w:hAnsi="Arial"/>
          <w:sz w:val="22"/>
          <w:szCs w:val="22"/>
          <w:color w:val="auto"/>
        </w:rPr>
        <w:t>days after its delivery to you, you hereby acknowledge that your decision to execute this Agreement prior to the expiration of such twenty-one (21) day period was entirely voluntary.</w:t>
      </w:r>
    </w:p>
    <w:p>
      <w:pPr>
        <w:spacing w:after="0" w:line="175"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construed and interpreted under the laws of the State of Washington.</w:t>
      </w:r>
    </w:p>
    <w:p>
      <w:pPr>
        <w:spacing w:after="0" w:line="254" w:lineRule="exact"/>
        <w:rPr>
          <w:rFonts w:ascii="Arial" w:cs="Arial" w:eastAsia="Arial" w:hAnsi="Arial"/>
          <w:sz w:val="19"/>
          <w:szCs w:val="19"/>
          <w:color w:val="auto"/>
        </w:rPr>
      </w:pPr>
    </w:p>
    <w:p>
      <w:pPr>
        <w:jc w:val="both"/>
        <w:ind w:firstLine="8"/>
        <w:spacing w:after="0" w:line="253" w:lineRule="auto"/>
        <w:tabs>
          <w:tab w:leader="none" w:pos="28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Entire Agreement/Counterparts</w:t>
      </w:r>
      <w:r>
        <w:rPr>
          <w:rFonts w:ascii="Arial" w:cs="Arial" w:eastAsia="Arial" w:hAnsi="Arial"/>
          <w:sz w:val="22"/>
          <w:szCs w:val="22"/>
          <w:color w:val="auto"/>
        </w:rPr>
        <w:t>. This Agreement constitutes the entire agreement between the parties. It may not be modified or changed except by written instrument executed by all parties. This Agreement may be executed in counterparts, each of which shall constitute an original and which together shall constitute a single instrument.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27" w:right="339" w:bottom="1440" w:gutter="0" w:footer="0" w:header="0"/>
        </w:sectPr>
      </w:pPr>
    </w:p>
    <w:bookmarkStart w:id="144" w:name="page145"/>
    <w:bookmarkEnd w:id="144"/>
    <w:p>
      <w:pPr>
        <w:spacing w:after="0" w:line="263" w:lineRule="auto"/>
        <w:rPr>
          <w:sz w:val="20"/>
          <w:szCs w:val="20"/>
          <w:color w:val="auto"/>
        </w:rPr>
      </w:pPr>
      <w:r>
        <w:rPr>
          <w:rFonts w:ascii="Arial" w:cs="Arial" w:eastAsia="Arial" w:hAnsi="Arial"/>
          <w:sz w:val="22"/>
          <w:szCs w:val="22"/>
          <w:color w:val="auto"/>
        </w:rPr>
        <w:t>IN WITNESS WHEREOF, this Agreement has been signed by or on behalf of each of the parties, all as of the date first written above.</w:t>
      </w:r>
    </w:p>
    <w:p>
      <w:pPr>
        <w:spacing w:after="0" w:line="200" w:lineRule="exact"/>
        <w:rPr>
          <w:sz w:val="20"/>
          <w:szCs w:val="20"/>
          <w:color w:val="auto"/>
        </w:rPr>
      </w:pPr>
    </w:p>
    <w:p>
      <w:pPr>
        <w:spacing w:after="0" w:line="30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JOSEPH CHRISTOPHER HAYS</w:t>
      </w:r>
    </w:p>
    <w:p>
      <w:pPr>
        <w:spacing w:after="0" w:line="3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Reviewed, approved and agreed:</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20"/>
          </w:cols>
          <w:pgMar w:left="320" w:top="1427"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52"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21" w:right="339" w:bottom="1440" w:gutter="0" w:footer="0" w:header="0"/>
        </w:sectPr>
      </w:pPr>
    </w:p>
    <w:bookmarkStart w:id="146" w:name="page147"/>
    <w:bookmarkEnd w:id="146"/>
    <w:p>
      <w:pPr>
        <w:spacing w:after="0" w:line="200" w:lineRule="exact"/>
        <w:rPr>
          <w:sz w:val="20"/>
          <w:szCs w:val="20"/>
          <w:color w:val="auto"/>
        </w:rPr>
      </w:pPr>
    </w:p>
    <w:p>
      <w:pPr>
        <w:spacing w:after="0" w:line="37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31750</wp:posOffset>
            </wp:positionV>
            <wp:extent cx="3077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Henry Schuck</w:t>
      </w:r>
    </w:p>
    <w:p>
      <w:pPr>
        <w:spacing w:after="0" w:line="7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52"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660" w:right="540" w:hanging="4"/>
        <w:spacing w:after="0" w:line="277" w:lineRule="auto"/>
        <w:tabs>
          <w:tab w:leader="none" w:pos="9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21" w:right="339" w:bottom="1440" w:gutter="0" w:footer="0" w:header="0"/>
        </w:sectPr>
      </w:pPr>
    </w:p>
    <w:bookmarkStart w:id="148" w:name="page149"/>
    <w:bookmarkEnd w:id="148"/>
    <w:p>
      <w:pPr>
        <w:spacing w:after="0" w:line="200" w:lineRule="exact"/>
        <w:rPr>
          <w:sz w:val="20"/>
          <w:szCs w:val="20"/>
          <w:color w:val="auto"/>
        </w:rPr>
      </w:pPr>
    </w:p>
    <w:p>
      <w:pPr>
        <w:spacing w:after="0" w:line="37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31750</wp:posOffset>
            </wp:positionV>
            <wp:extent cx="3077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jc w:val="both"/>
        <w:ind w:right="80" w:firstLine="648"/>
        <w:spacing w:after="0" w:line="290" w:lineRule="auto"/>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 June 30, 2020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7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0861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Henry Schuck</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0861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lowerRoman"/>
      <w:start w:val="5"/>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lowerLetter"/>
      <w:start w:val="4"/>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lowerLetter"/>
      <w:start w:val="4"/>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lowerLetter"/>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lowerRoman"/>
      <w:start w:val="2"/>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
    </w:lvl>
    <w:lvl w:ilvl="1">
      <w:lvlJc w:val="left"/>
      <w:lvlText w:val="(%2)"/>
      <w:numFmt w:val="lowerLetter"/>
      <w:start w:val="1"/>
    </w:lvl>
  </w:abstractNum>
  <w:abstractNum w:abstractNumId="42">
    <w:nsid w:val="1CF10FD8"/>
    <w:multiLevelType w:val="hybridMultilevel"/>
    <w:lvl w:ilvl="0">
      <w:lvlJc w:val="left"/>
      <w:lvlText w:val="%1"/>
      <w:numFmt w:val="decimal"/>
      <w:start w:val="1"/>
    </w:lvl>
    <w:lvl w:ilvl="1">
      <w:lvlJc w:val="left"/>
      <w:lvlText w:val="(%2)"/>
      <w:numFmt w:val="lowerLetter"/>
      <w:start w:val="2"/>
    </w:lvl>
  </w:abstractNum>
  <w:abstractNum w:abstractNumId="43">
    <w:nsid w:val="180115BE"/>
    <w:multiLevelType w:val="hybridMultilevel"/>
    <w:lvl w:ilvl="0">
      <w:lvlJc w:val="left"/>
      <w:lvlText w:val="%1."/>
      <w:numFmt w:val="decimal"/>
      <w:start w:val="3"/>
    </w:lvl>
    <w:lvl w:ilvl="1">
      <w:lvlJc w:val="left"/>
      <w:lvlText w:val="(%2)"/>
      <w:numFmt w:val="lowerLetter"/>
      <w:start w:val="1"/>
    </w:lvl>
  </w:abstractNum>
  <w:abstractNum w:abstractNumId="44">
    <w:nsid w:val="235BA861"/>
    <w:multiLevelType w:val="hybridMultilevel"/>
    <w:lvl w:ilvl="0">
      <w:lvlJc w:val="left"/>
      <w:lvlText w:val="%1"/>
      <w:numFmt w:val="decimal"/>
      <w:start w:val="1"/>
    </w:lvl>
    <w:lvl w:ilvl="1">
      <w:lvlJc w:val="left"/>
      <w:lvlText w:val="(%2)"/>
      <w:numFmt w:val="lowerLetter"/>
      <w:start w:val="3"/>
    </w:lvl>
  </w:abstractNum>
  <w:abstractNum w:abstractNumId="45">
    <w:nsid w:val="47398C89"/>
    <w:multiLevelType w:val="hybridMultilevel"/>
    <w:lvl w:ilvl="0">
      <w:lvlJc w:val="left"/>
      <w:lvlText w:val="%1."/>
      <w:numFmt w:val="decimal"/>
      <w:start w:val="4"/>
    </w:lvl>
    <w:lvl w:ilvl="1">
      <w:lvlJc w:val="left"/>
      <w:lvlText w:val="(%2)"/>
      <w:numFmt w:val="lowerLetter"/>
      <w:start w:val="1"/>
    </w:lvl>
  </w:abstractNum>
  <w:abstractNum w:abstractNumId="46">
    <w:nsid w:val="354FE9F9"/>
    <w:multiLevelType w:val="hybridMultilevel"/>
    <w:lvl w:ilvl="0">
      <w:lvlJc w:val="left"/>
      <w:lvlText w:val="%1"/>
      <w:numFmt w:val="upperLetter"/>
      <w:start w:val="1"/>
    </w:lvl>
    <w:lvl w:ilvl="1">
      <w:lvlJc w:val="left"/>
      <w:lvlText w:val="(%2)"/>
      <w:numFmt w:val="lowerLetter"/>
      <w:start w:val="2"/>
    </w:lvl>
  </w:abstractNum>
  <w:abstractNum w:abstractNumId="47">
    <w:nsid w:val="15B5AF5C"/>
    <w:multiLevelType w:val="hybridMultilevel"/>
    <w:lvl w:ilvl="0">
      <w:lvlJc w:val="left"/>
      <w:lvlText w:val="(%1)"/>
      <w:numFmt w:val="upperLetter"/>
      <w:start w:val="2"/>
    </w:lvl>
    <w:lvl w:ilvl="1">
      <w:lvlJc w:val="left"/>
      <w:lvlText w:val="%2"/>
      <w:numFmt w:val="lowerLetter"/>
      <w:start w:val="1"/>
    </w:lvl>
  </w:abstractNum>
  <w:abstractNum w:abstractNumId="48">
    <w:nsid w:val="741226BB"/>
    <w:multiLevelType w:val="hybridMultilevel"/>
    <w:lvl w:ilvl="0">
      <w:lvlJc w:val="left"/>
      <w:lvlText w:val="(%1)"/>
      <w:numFmt w:val="lowerLetter"/>
      <w:start w:val="4"/>
    </w:lvl>
  </w:abstractNum>
  <w:abstractNum w:abstractNumId="49">
    <w:nsid w:val="D34B6A8"/>
    <w:multiLevelType w:val="hybridMultilevel"/>
    <w:lvl w:ilvl="0">
      <w:lvlJc w:val="left"/>
      <w:lvlText w:val="(%1)"/>
      <w:numFmt w:val="lowerLetter"/>
      <w:start w:val="6"/>
    </w:lvl>
  </w:abstractNum>
  <w:abstractNum w:abstractNumId="50">
    <w:nsid w:val="10233C99"/>
    <w:multiLevelType w:val="hybridMultilevel"/>
    <w:lvl w:ilvl="0">
      <w:lvlJc w:val="left"/>
      <w:lvlText w:val="(%1)"/>
      <w:numFmt w:val="lowerLetter"/>
      <w:start w:val="8"/>
    </w:lvl>
  </w:abstractNum>
  <w:abstractNum w:abstractNumId="51">
    <w:nsid w:val="3F6AB60F"/>
    <w:multiLevelType w:val="hybridMultilevel"/>
    <w:lvl w:ilvl="0">
      <w:lvlJc w:val="left"/>
      <w:lvlText w:val="(%1)"/>
      <w:numFmt w:val="decimal"/>
      <w:start w:val="4"/>
    </w:lvl>
  </w:abstractNum>
  <w:abstractNum w:abstractNumId="52">
    <w:nsid w:val="61574095"/>
    <w:multiLevelType w:val="hybridMultilevel"/>
    <w:lvl w:ilvl="0">
      <w:lvlJc w:val="left"/>
      <w:lvlText w:val="(%1)"/>
      <w:numFmt w:val="decimal"/>
      <w:start w:val="6"/>
    </w:lvl>
  </w:abstractNum>
  <w:abstractNum w:abstractNumId="53">
    <w:nsid w:val="7E0C57B1"/>
    <w:multiLevelType w:val="hybridMultilevel"/>
    <w:lvl w:ilvl="0">
      <w:lvlJc w:val="left"/>
      <w:lvlText w:val="%1."/>
      <w:numFmt w:val="decimal"/>
      <w:start w:val="5"/>
    </w:lvl>
    <w:lvl w:ilvl="1">
      <w:lvlJc w:val="left"/>
      <w:lvlText w:val="(%2)"/>
      <w:numFmt w:val="lowerLetter"/>
      <w:start w:val="1"/>
    </w:lvl>
  </w:abstractNum>
  <w:abstractNum w:abstractNumId="54">
    <w:nsid w:val="77AE35EB"/>
    <w:multiLevelType w:val="hybridMultilevel"/>
    <w:lvl w:ilvl="0">
      <w:lvlJc w:val="left"/>
      <w:lvlText w:val="%1"/>
      <w:numFmt w:val="decimal"/>
      <w:start w:val="1"/>
    </w:lvl>
    <w:lvl w:ilvl="1">
      <w:lvlJc w:val="left"/>
      <w:lvlText w:val="(%2)"/>
      <w:numFmt w:val="lowerLetter"/>
      <w:start w:val="2"/>
    </w:lvl>
  </w:abstractNum>
  <w:abstractNum w:abstractNumId="55">
    <w:nsid w:val="579BE4F1"/>
    <w:multiLevelType w:val="hybridMultilevel"/>
    <w:lvl w:ilvl="0">
      <w:lvlJc w:val="left"/>
      <w:lvlText w:val="%1."/>
      <w:numFmt w:val="decimal"/>
      <w:start w:val="6"/>
    </w:lvl>
    <w:lvl w:ilvl="1">
      <w:lvlJc w:val="left"/>
      <w:lvlText w:val="(%2)"/>
      <w:numFmt w:val="lowerLetter"/>
      <w:start w:val="1"/>
    </w:lvl>
  </w:abstractNum>
  <w:abstractNum w:abstractNumId="56">
    <w:nsid w:val="310C50B3"/>
    <w:multiLevelType w:val="hybridMultilevel"/>
    <w:lvl w:ilvl="0">
      <w:lvlJc w:val="left"/>
      <w:lvlText w:val="(%1)"/>
      <w:numFmt w:val="lowerLetter"/>
      <w:start w:val="3"/>
    </w:lvl>
  </w:abstractNum>
  <w:abstractNum w:abstractNumId="57">
    <w:nsid w:val="5FF87E05"/>
    <w:multiLevelType w:val="hybridMultilevel"/>
    <w:lvl w:ilvl="0">
      <w:lvlJc w:val="left"/>
      <w:lvlText w:val="(%1)"/>
      <w:numFmt w:val="lowerLetter"/>
      <w:start w:val="9"/>
    </w:lvl>
    <w:lvl w:ilvl="1">
      <w:lvlJc w:val="left"/>
      <w:lvlText w:val="(%2)"/>
      <w:numFmt w:val="lowerLetter"/>
      <w:start w:val="6"/>
    </w:lvl>
  </w:abstractNum>
  <w:abstractNum w:abstractNumId="58">
    <w:nsid w:val="2F305DEF"/>
    <w:multiLevelType w:val="hybridMultilevel"/>
    <w:lvl w:ilvl="0">
      <w:lvlJc w:val="left"/>
      <w:lvlText w:val="%1."/>
      <w:numFmt w:val="decimal"/>
      <w:start w:val="7"/>
    </w:lvl>
    <w:lvl w:ilvl="1">
      <w:lvlJc w:val="left"/>
      <w:lvlText w:val="(%2)"/>
      <w:numFmt w:val="lowerLetter"/>
      <w:start w:val="1"/>
    </w:lvl>
  </w:abstractNum>
  <w:abstractNum w:abstractNumId="59">
    <w:nsid w:val="25A70BF7"/>
    <w:multiLevelType w:val="hybridMultilevel"/>
    <w:lvl w:ilvl="0">
      <w:lvlJc w:val="left"/>
      <w:lvlText w:val="(%1)"/>
      <w:numFmt w:val="lowerLetter"/>
      <w:start w:val="3"/>
    </w:lvl>
  </w:abstractNum>
  <w:abstractNum w:abstractNumId="60">
    <w:nsid w:val="1DBABF00"/>
    <w:multiLevelType w:val="hybridMultilevel"/>
    <w:lvl w:ilvl="0">
      <w:lvlJc w:val="left"/>
      <w:lvlText w:val="%1"/>
      <w:numFmt w:val="decimal"/>
      <w:start w:val="1"/>
    </w:lvl>
    <w:lvl w:ilvl="1">
      <w:lvlJc w:val="left"/>
      <w:lvlText w:val="(%2)"/>
      <w:numFmt w:val="lowerLetter"/>
      <w:start w:val="8"/>
    </w:lvl>
  </w:abstractNum>
  <w:abstractNum w:abstractNumId="61">
    <w:nsid w:val="4AD084E9"/>
    <w:multiLevelType w:val="hybridMultilevel"/>
    <w:lvl w:ilvl="0">
      <w:lvlJc w:val="left"/>
      <w:lvlText w:val="%1."/>
      <w:numFmt w:val="decimal"/>
      <w:start w:val="8"/>
    </w:lvl>
    <w:lvl w:ilvl="1">
      <w:lvlJc w:val="left"/>
      <w:lvlText w:val="%2"/>
      <w:numFmt w:val="lowerLetter"/>
      <w:start w:val="1"/>
    </w:lvl>
  </w:abstractNum>
  <w:abstractNum w:abstractNumId="62">
    <w:nsid w:val="1F48EAA1"/>
    <w:multiLevelType w:val="hybridMultilevel"/>
    <w:lvl w:ilvl="0">
      <w:lvlJc w:val="left"/>
      <w:lvlText w:val="%1."/>
      <w:numFmt w:val="decimal"/>
      <w:start w:val="11"/>
    </w:lvl>
  </w:abstractNum>
  <w:abstractNum w:abstractNumId="63">
    <w:nsid w:val="1381823A"/>
    <w:multiLevelType w:val="hybridMultilevel"/>
    <w:lvl w:ilvl="0">
      <w:lvlJc w:val="left"/>
      <w:lvlText w:val="%1."/>
      <w:numFmt w:val="decimal"/>
      <w:start w:val="17"/>
    </w:lvl>
  </w:abstractNum>
  <w:abstractNum w:abstractNumId="64">
    <w:nsid w:val="5DB70AE5"/>
    <w:multiLevelType w:val="hybridMultilevel"/>
    <w:lvl w:ilvl="0">
      <w:lvlJc w:val="left"/>
      <w:lvlText w:val="%1."/>
      <w:numFmt w:val="decimal"/>
      <w:start w:val="19"/>
    </w:lvl>
    <w:lvl w:ilvl="1">
      <w:lvlJc w:val="left"/>
      <w:lvlText w:val="(%2)"/>
      <w:numFmt w:val="lowerLetter"/>
      <w:start w:val="1"/>
    </w:lvl>
  </w:abstractNum>
  <w:abstractNum w:abstractNumId="65">
    <w:nsid w:val="100F8FCA"/>
    <w:multiLevelType w:val="hybridMultilevel"/>
    <w:lvl w:ilvl="0">
      <w:lvlJc w:val="left"/>
      <w:lvlText w:val="(%1)"/>
      <w:numFmt w:val="lowerLetter"/>
      <w:start w:val="4"/>
    </w:lvl>
  </w:abstractNum>
  <w:abstractNum w:abstractNumId="66">
    <w:nsid w:val="6590700B"/>
    <w:multiLevelType w:val="hybridMultilevel"/>
    <w:lvl w:ilvl="0">
      <w:lvlJc w:val="left"/>
      <w:lvlText w:val="%1."/>
      <w:numFmt w:val="decimal"/>
      <w:start w:val="1"/>
    </w:lvl>
    <w:lvl w:ilvl="1">
      <w:lvlJc w:val="left"/>
      <w:lvlText w:val="%2."/>
      <w:numFmt w:val="lowerLetter"/>
      <w:start w:val="1"/>
    </w:lvl>
  </w:abstractNum>
  <w:abstractNum w:abstractNumId="67">
    <w:nsid w:val="15014ACB"/>
    <w:multiLevelType w:val="hybridMultilevel"/>
    <w:lvl w:ilvl="0">
      <w:lvlJc w:val="left"/>
      <w:lvlText w:val="%1."/>
      <w:numFmt w:val="lowerLetter"/>
      <w:start w:val="2"/>
    </w:lvl>
  </w:abstractNum>
  <w:abstractNum w:abstractNumId="68">
    <w:nsid w:val="5F5E7FD0"/>
    <w:multiLevelType w:val="hybridMultilevel"/>
    <w:lvl w:ilvl="0">
      <w:lvlJc w:val="left"/>
      <w:lvlText w:val="%1."/>
      <w:numFmt w:val="decimal"/>
      <w:start w:val="2"/>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39" Type="http://schemas.openxmlformats.org/officeDocument/2006/relationships/hyperlink" Target="http://www.sec.gov/Archives/edgar/data/1794515/000162828020009137/exhibit31-closing8xkxchart.htm" TargetMode="External"/><Relationship Id="rId140" Type="http://schemas.openxmlformats.org/officeDocument/2006/relationships/hyperlink" Target="http://www.sec.gov/Archives/edgar/data/1794515/000162828020009137/exhibit32-closing8xkxbylaws.htm" TargetMode="External"/><Relationship Id="rId141" Type="http://schemas.openxmlformats.org/officeDocument/2006/relationships/hyperlink" Target="http://www.sec.gov/Archives/edgar/data/1794515/000162828020009137/exhibit101-closing8xkxopco.htm" TargetMode="External"/><Relationship Id="rId142" Type="http://schemas.openxmlformats.org/officeDocument/2006/relationships/hyperlink" Target="http://www.sec.gov/Archives/edgar/data/1794515/000162828020009137/exhibit102-closing8xkxhold.htm" TargetMode="External"/><Relationship Id="rId143" Type="http://schemas.openxmlformats.org/officeDocument/2006/relationships/hyperlink" Target="http://www.sec.gov/Archives/edgar/data/1794515/000162828020009137/exhibit103-closing8xkxexch.htm" TargetMode="External"/><Relationship Id="rId144" Type="http://schemas.openxmlformats.org/officeDocument/2006/relationships/hyperlink" Target="http://www.sec.gov/Archives/edgar/data/1794515/000162828020009137/exhibit104-closing8xkxreor.htm" TargetMode="External"/><Relationship Id="rId145" Type="http://schemas.openxmlformats.org/officeDocument/2006/relationships/hyperlink" Target="https://www.sec.gov/Archives/edgar/data/1794515/000162828020009137/exhibit105-closing8xkxregi.htm" TargetMode="External"/><Relationship Id="rId146" Type="http://schemas.openxmlformats.org/officeDocument/2006/relationships/hyperlink" Target="http://www.sec.gov/Archives/edgar/data/1794515/000162828020009137/exhibit106-closing8xkxstoc.htm" TargetMode="External"/><Relationship Id="rId147" Type="http://schemas.openxmlformats.org/officeDocument/2006/relationships/hyperlink" Target="http://www.sec.gov/Archives/edgar/data/1794515/000162828020009137/exhibit107-closing8xkx2020.htm" TargetMode="External"/><Relationship Id="rId148" Type="http://schemas.openxmlformats.org/officeDocument/2006/relationships/hyperlink" Target="http://www.sec.gov/Archives/edgar/data/1794515/000162828020009137/exhibit108-closing8xkxempl.htm" TargetMode="External"/><Relationship Id="rId149" Type="http://schemas.openxmlformats.org/officeDocument/2006/relationships/hyperlink" Target="http://www.sec.gov/Archives/edgar/data/1794515/000162828020008444/exhibit109s-1aformofindemn.htm" TargetMode="External"/><Relationship Id="rId150" Type="http://schemas.openxmlformats.org/officeDocument/2006/relationships/hyperlink" Target="http://www.sec.gov/Archives/edgar/data/1794515/000162828020009137/exhibit109-closing8xkxform.htm" TargetMode="External"/><Relationship Id="rId151" Type="http://schemas.openxmlformats.org/officeDocument/2006/relationships/hyperlink" Target="http://www.sec.gov/Archives/edgar/data/1794515/000162828020008317/exhibit1028formofstandarde.htm" TargetMode="External"/><Relationship Id="rId152" Type="http://schemas.openxmlformats.org/officeDocument/2006/relationships/hyperlink" Target="http://www.sec.gov/Archives/edgar/data/1794515/000162828020008444/exhibit1029s-1aformofhenry.htm" TargetMode="External"/><Relationship Id="rId153" Type="http://schemas.openxmlformats.org/officeDocument/2006/relationships/hyperlink" Target="http://www.sec.gov/Archives/edgar/data/1794515/000162828020008317/exhibit1030formofleverager.htm" TargetMode="External"/><Relationship Id="rId154" Type="http://schemas.openxmlformats.org/officeDocument/2006/relationships/hyperlink" Target="http://www.sec.gov/Archives/edgar/data/1794515/000162828020008317/exhibit1031formofstandarde.htm" TargetMode="External"/><Relationship Id="rId155" Type="http://schemas.openxmlformats.org/officeDocument/2006/relationships/hyperlink" Target="http://www.sec.gov/Archives/edgar/data/1794515/000162828020008317/exhibit1032formofnon-emplo.htm" TargetMode="External"/><Relationship Id="rId156" Type="http://schemas.openxmlformats.org/officeDocument/2006/relationships/hyperlink" Target="http://www.sec.gov/Archives/edgar/data/1794515/000162828020008317/exhibit1033formofnon-emplo.htm" TargetMode="External"/><Relationship Id="rId157" Type="http://schemas.openxmlformats.org/officeDocument/2006/relationships/hyperlink" Target="http://www.sec.gov/Archives/edgar/data/1794515/000162828020008317/exhibit1034formofclasspuni.htm" TargetMode="External"/><Relationship Id="rId158" Type="http://schemas.openxmlformats.org/officeDocument/2006/relationships/hyperlink" Target="http://www.sec.gov/Archives/edgar/data/1794515/000162828020008317/exhibit1035formofltipunita.htm" TargetMode="External"/><Relationship Id="rId159" Type="http://schemas.openxmlformats.org/officeDocument/2006/relationships/hyperlink" Target="http://www.sec.gov/Archives/edgar/data/1794515/000162828020008317/exhibit1036formofrestric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2020-08-11T05:11:22Z</dcterms:created>
  <dcterms:modified xsi:type="dcterms:W3CDTF">2020-08-11T05:11:22Z</dcterms:modified>
</cp:coreProperties>
</file>