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492760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518160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52705</wp:posOffset>
            </wp:positionV>
            <wp:extent cx="1228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8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70485</wp:posOffset>
            </wp:positionV>
            <wp:extent cx="1228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3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(Mark One)</w:t>
      </w:r>
    </w:p>
    <w:p>
      <w:pPr>
        <w:spacing w:after="0" w:line="162" w:lineRule="exact"/>
        <w:rPr>
          <w:sz w:val="24"/>
          <w:szCs w:val="24"/>
          <w:color w:val="auto"/>
        </w:rPr>
      </w:pPr>
    </w:p>
    <w:p>
      <w:pPr>
        <w:ind w:left="4120" w:right="2080" w:hanging="3796"/>
        <w:spacing w:after="0" w:line="430" w:lineRule="auto"/>
        <w:tabs>
          <w:tab w:leader="none" w:pos="532"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4" w:lineRule="exact"/>
        <w:rPr>
          <w:sz w:val="24"/>
          <w:szCs w:val="24"/>
          <w:color w:val="auto"/>
        </w:rPr>
      </w:pPr>
    </w:p>
    <w:p>
      <w:pPr>
        <w:ind w:left="3860" w:right="1720" w:hanging="3536"/>
        <w:spacing w:after="0" w:line="430" w:lineRule="auto"/>
        <w:tabs>
          <w:tab w:leader="none" w:pos="525"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from________to________</w:t>
      </w:r>
    </w:p>
    <w:p>
      <w:pPr>
        <w:ind w:left="43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001-39310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167640</wp:posOffset>
            </wp:positionV>
            <wp:extent cx="12280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ZoomInfo Technologies Inc.</w:t>
      </w:r>
    </w:p>
    <w:p>
      <w:pPr>
        <w:spacing w:after="0" w:line="4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91440</wp:posOffset>
            </wp:positionV>
            <wp:extent cx="1228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320" w:lineRule="exact"/>
        <w:rPr>
          <w:sz w:val="24"/>
          <w:szCs w:val="24"/>
          <w:color w:val="auto"/>
        </w:rPr>
      </w:pPr>
    </w:p>
    <w:tbl>
      <w:tblPr>
        <w:tblLayout w:type="fixed"/>
        <w:tblInd w:w="2060" w:type="dxa"/>
        <w:tblCellMar>
          <w:top w:w="0" w:type="dxa"/>
          <w:left w:w="0" w:type="dxa"/>
          <w:bottom w:w="0" w:type="dxa"/>
          <w:right w:w="0" w:type="dxa"/>
        </w:tblCellMar>
      </w:tblPr>
      <w:tr>
        <w:trPr>
          <w:trHeight w:val="210"/>
        </w:trPr>
        <w:tc>
          <w:tcPr>
            <w:tcW w:w="3900" w:type="dxa"/>
            <w:vAlign w:val="bottom"/>
          </w:tcPr>
          <w:p>
            <w:pPr>
              <w:jc w:val="center"/>
              <w:ind w:right="1986"/>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180" w:type="dxa"/>
            <w:vAlign w:val="bottom"/>
          </w:tcPr>
          <w:p>
            <w:pPr>
              <w:jc w:val="center"/>
              <w:ind w:left="2006"/>
              <w:spacing w:after="0"/>
              <w:rPr>
                <w:sz w:val="20"/>
                <w:szCs w:val="20"/>
                <w:color w:val="auto"/>
              </w:rPr>
            </w:pPr>
            <w:r>
              <w:rPr>
                <w:rFonts w:ascii="Times New Roman" w:cs="Times New Roman" w:eastAsia="Times New Roman" w:hAnsi="Times New Roman"/>
                <w:sz w:val="16"/>
                <w:szCs w:val="16"/>
                <w:b w:val="1"/>
                <w:bCs w:val="1"/>
                <w:color w:val="auto"/>
              </w:rPr>
              <w:t>87-3037521</w:t>
            </w:r>
          </w:p>
        </w:tc>
      </w:tr>
      <w:tr>
        <w:trPr>
          <w:trHeight w:val="192"/>
        </w:trPr>
        <w:tc>
          <w:tcPr>
            <w:tcW w:w="3900" w:type="dxa"/>
            <w:vAlign w:val="bottom"/>
          </w:tcPr>
          <w:p>
            <w:pPr>
              <w:jc w:val="center"/>
              <w:ind w:right="1986"/>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80" w:type="dxa"/>
            <w:vAlign w:val="bottom"/>
          </w:tcPr>
          <w:p>
            <w:pPr>
              <w:jc w:val="center"/>
              <w:ind w:left="2006"/>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6"/>
        </w:trPr>
        <w:tc>
          <w:tcPr>
            <w:tcW w:w="3900" w:type="dxa"/>
            <w:vAlign w:val="bottom"/>
          </w:tcPr>
          <w:p>
            <w:pPr>
              <w:jc w:val="center"/>
              <w:ind w:right="1986"/>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80" w:type="dxa"/>
            <w:vAlign w:val="bottom"/>
          </w:tcPr>
          <w:p>
            <w:pPr>
              <w:jc w:val="center"/>
              <w:ind w:left="2006"/>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133350</wp:posOffset>
            </wp:positionV>
            <wp:extent cx="1228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29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805 Broadway Street, Suite 900</w:t>
      </w:r>
    </w:p>
    <w:p>
      <w:pPr>
        <w:spacing w:after="0" w:line="2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Vancouver, Washington 98660</w:t>
      </w:r>
    </w:p>
    <w:p>
      <w:pPr>
        <w:spacing w:after="0" w:line="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6"/>
          <w:szCs w:val="16"/>
          <w:b w:val="1"/>
          <w:bCs w:val="1"/>
          <w:color w:val="auto"/>
        </w:rPr>
        <w:t>Telephone: (800) 914-1220</w:t>
      </w:r>
    </w:p>
    <w:p>
      <w:pPr>
        <w:spacing w:after="0" w:line="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p>
      <w:pPr>
        <w:spacing w:after="0" w:line="15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85"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Title of Each Class</w:t>
            </w:r>
          </w:p>
        </w:tc>
        <w:tc>
          <w:tcPr>
            <w:tcW w:w="28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Symbol(s)</w:t>
            </w:r>
          </w:p>
        </w:tc>
        <w:tc>
          <w:tcPr>
            <w:tcW w:w="4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4"/>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Common Stock, par value $0.01 per share</w:t>
            </w:r>
          </w:p>
        </w:tc>
        <w:tc>
          <w:tcPr>
            <w:tcW w:w="28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ZI</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5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3058160</wp:posOffset>
            </wp:positionH>
            <wp:positionV relativeFrom="paragraph">
              <wp:posOffset>66675</wp:posOffset>
            </wp:positionV>
            <wp:extent cx="1228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28090" cy="8255"/>
                    </a:xfrm>
                    <a:prstGeom prst="rect">
                      <a:avLst/>
                    </a:prstGeom>
                    <a:noFill/>
                  </pic:spPr>
                </pic:pic>
              </a:graphicData>
            </a:graphic>
          </wp:anchor>
        </w:drawing>
      </w:r>
    </w:p>
    <w:p>
      <w:pPr>
        <w:spacing w:after="0" w:line="194"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a check mark if the registrant is a well-known seasoned issuer, as defined in Rule 405 of the Securities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57" w:lineRule="exact"/>
        <w:rPr>
          <w:sz w:val="24"/>
          <w:szCs w:val="24"/>
          <w:color w:val="auto"/>
        </w:rPr>
      </w:pPr>
    </w:p>
    <w:p>
      <w:pPr>
        <w:jc w:val="both"/>
        <w:ind w:firstLine="318"/>
        <w:spacing w:after="0" w:line="20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2" w:lineRule="exact"/>
        <w:rPr>
          <w:sz w:val="24"/>
          <w:szCs w:val="24"/>
          <w:color w:val="auto"/>
        </w:rPr>
      </w:pPr>
    </w:p>
    <w:p>
      <w:pPr>
        <w:jc w:val="both"/>
        <w:ind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3" w:lineRule="exact"/>
        <w:rPr>
          <w:sz w:val="24"/>
          <w:szCs w:val="24"/>
          <w:color w:val="auto"/>
        </w:rPr>
      </w:pPr>
    </w:p>
    <w:p>
      <w:pPr>
        <w:ind w:right="20" w:firstLine="318"/>
        <w:spacing w:after="0" w:line="297"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2"/>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Accelerated filer</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2"/>
        </w:trPr>
        <w:tc>
          <w:tcPr>
            <w:tcW w:w="16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60" w:type="dxa"/>
            <w:vAlign w:val="bottom"/>
          </w:tcPr>
          <w:p>
            <w:pPr>
              <w:ind w:left="200"/>
              <w:spacing w:after="0" w:line="161" w:lineRule="exact"/>
              <w:rPr>
                <w:sz w:val="20"/>
                <w:szCs w:val="20"/>
                <w:color w:val="auto"/>
              </w:rPr>
            </w:pPr>
            <w:r>
              <w:rPr>
                <w:rFonts w:ascii="MS PGothic" w:cs="MS PGothic" w:eastAsia="MS PGothic" w:hAnsi="MS PGothic"/>
                <w:sz w:val="16"/>
                <w:szCs w:val="16"/>
                <w:color w:val="auto"/>
              </w:rPr>
              <w:t>☐</w:t>
            </w:r>
          </w:p>
        </w:tc>
        <w:tc>
          <w:tcPr>
            <w:tcW w:w="53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68"/>
        </w:trPr>
        <w:tc>
          <w:tcPr>
            <w:tcW w:w="164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5360" w:type="dxa"/>
            <w:vAlign w:val="bottom"/>
          </w:tcPr>
          <w:p>
            <w:pPr>
              <w:ind w:left="3240"/>
              <w:spacing w:after="0"/>
              <w:rPr>
                <w:sz w:val="20"/>
                <w:szCs w:val="20"/>
                <w:color w:val="auto"/>
              </w:rPr>
            </w:pPr>
            <w:r>
              <w:rPr>
                <w:rFonts w:ascii="Times New Roman" w:cs="Times New Roman" w:eastAsia="Times New Roman" w:hAnsi="Times New Roman"/>
                <w:sz w:val="16"/>
                <w:szCs w:val="16"/>
                <w:color w:val="auto"/>
              </w:rPr>
              <w:t>Emerging growth company</w:t>
            </w:r>
          </w:p>
        </w:tc>
        <w:tc>
          <w:tcPr>
            <w:tcW w:w="54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13" w:lineRule="exact"/>
        <w:rPr>
          <w:sz w:val="24"/>
          <w:szCs w:val="24"/>
          <w:color w:val="auto"/>
        </w:rPr>
      </w:pPr>
    </w:p>
    <w:p>
      <w:pPr>
        <w:ind w:right="460" w:firstLine="318"/>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1" w:lineRule="exact"/>
        <w:rPr>
          <w:sz w:val="24"/>
          <w:szCs w:val="24"/>
          <w:color w:val="auto"/>
        </w:rPr>
      </w:pPr>
    </w:p>
    <w:p>
      <w:pPr>
        <w:ind w:right="100"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73" w:lineRule="exact"/>
        <w:rPr>
          <w:sz w:val="24"/>
          <w:szCs w:val="24"/>
          <w:color w:val="auto"/>
        </w:rPr>
      </w:pPr>
    </w:p>
    <w:p>
      <w:pPr>
        <w:ind w:right="20"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236220</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60" w:right="339" w:bottom="1440" w:gutter="0" w:footer="0" w:header="0"/>
        </w:sectPr>
      </w:pPr>
    </w:p>
    <w:bookmarkStart w:id="1" w:name="page2"/>
    <w:bookmarkEnd w:id="1"/>
    <w:p>
      <w:pPr>
        <w:jc w:val="both"/>
        <w:ind w:firstLine="318"/>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90" w:lineRule="exact"/>
        <w:rPr>
          <w:sz w:val="20"/>
          <w:szCs w:val="20"/>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by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3"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6"/>
          <w:szCs w:val="16"/>
          <w:color w:val="auto"/>
        </w:rPr>
        <w:t>As of June 28, 2024 (the last business day of the registrant’s most recently completed second fiscal quarter), the aggregate market value of the registrant’s voting and non-voting common equity held by non-affiliates was approximately $3.7 billion, based on the closing price per share of common stock on such date of $12.77 as reported on the Nasdaq Global Select Market.</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January 31, 2025, there were 342,292,205 shares of the registrant’s common stock outstanding.</w:t>
      </w:r>
    </w:p>
    <w:p>
      <w:pPr>
        <w:spacing w:after="0" w:line="167"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Portions of the registrant’s definitive proxy statement relating to the 2025 Annual Meeting of Stockholders of ZoomInfo Technologies Inc., which will be filed with the Securities and Exchange Commission within 120 days of December 31, 2024, are incorporated by reference in Item 10, Item 11, Item 12, Item 13 and Item 14 of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372745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124460</wp:posOffset>
            </wp:positionV>
            <wp:extent cx="7134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149860</wp:posOffset>
            </wp:positionV>
            <wp:extent cx="7134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60" w:type="dxa"/>
            <w:vAlign w:val="bottom"/>
            <w:gridSpan w:val="5"/>
          </w:tcPr>
          <w:p>
            <w:pPr>
              <w:jc w:val="center"/>
              <w:ind w:left="674"/>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0"/>
        </w:trPr>
        <w:tc>
          <w:tcPr>
            <w:tcW w:w="1220" w:type="dxa"/>
            <w:vAlign w:val="bottom"/>
          </w:tcPr>
          <w:p>
            <w:pPr>
              <w:spacing w:after="0"/>
              <w:rPr>
                <w:sz w:val="18"/>
                <w:szCs w:val="18"/>
                <w:color w:val="auto"/>
              </w:rPr>
            </w:pPr>
          </w:p>
        </w:tc>
        <w:tc>
          <w:tcPr>
            <w:tcW w:w="6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Glossary</w:t>
            </w:r>
          </w:p>
        </w:tc>
        <w:tc>
          <w:tcPr>
            <w:tcW w:w="8060" w:type="dxa"/>
            <w:vAlign w:val="bottom"/>
            <w:gridSpan w:val="30"/>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bottom w:val="single" w:sz="8" w:color="0000FF"/>
            </w:tcBorders>
            <w:gridSpan w:val="2"/>
          </w:tcPr>
          <w:p>
            <w:pPr>
              <w:jc w:val="center"/>
              <w:ind w:right="20"/>
              <w:spacing w:after="0"/>
              <w:rPr>
                <w:sz w:val="20"/>
                <w:szCs w:val="20"/>
                <w:color w:val="auto"/>
              </w:rPr>
            </w:pPr>
            <w:r>
              <w:rPr>
                <w:rFonts w:ascii="Times New Roman" w:cs="Times New Roman" w:eastAsia="Times New Roman" w:hAnsi="Times New Roman"/>
                <w:sz w:val="18"/>
                <w:szCs w:val="18"/>
                <w:color w:val="0000FF"/>
                <w:w w:val="99"/>
              </w:rPr>
              <w:t>ii</w:t>
            </w:r>
          </w:p>
        </w:tc>
        <w:tc>
          <w:tcPr>
            <w:tcW w:w="80" w:type="dxa"/>
            <w:vAlign w:val="bottom"/>
            <w:gridSpan w:val="2"/>
          </w:tcPr>
          <w:p>
            <w:pPr>
              <w:spacing w:after="0"/>
              <w:rPr>
                <w:sz w:val="18"/>
                <w:szCs w:val="18"/>
                <w:color w:val="auto"/>
              </w:rPr>
            </w:pPr>
          </w:p>
        </w:tc>
      </w:tr>
      <w:tr>
        <w:trPr>
          <w:trHeight w:val="205"/>
        </w:trPr>
        <w:tc>
          <w:tcPr>
            <w:tcW w:w="1220" w:type="dxa"/>
            <w:vAlign w:val="bottom"/>
          </w:tcPr>
          <w:p>
            <w:pPr>
              <w:spacing w:after="0"/>
              <w:rPr>
                <w:sz w:val="17"/>
                <w:szCs w:val="17"/>
                <w:color w:val="auto"/>
              </w:rPr>
            </w:pPr>
          </w:p>
        </w:tc>
        <w:tc>
          <w:tcPr>
            <w:tcW w:w="4440" w:type="dxa"/>
            <w:vAlign w:val="bottom"/>
            <w:tcBorders>
              <w:bottom w:val="single" w:sz="8" w:color="0000FF"/>
            </w:tcBorders>
            <w:gridSpan w:val="21"/>
          </w:tcPr>
          <w:p>
            <w:pPr>
              <w:spacing w:after="0" w:line="205" w:lineRule="exact"/>
              <w:rPr>
                <w:sz w:val="20"/>
                <w:szCs w:val="20"/>
                <w:color w:val="auto"/>
              </w:rPr>
            </w:pPr>
            <w:r>
              <w:rPr>
                <w:rFonts w:ascii="Times New Roman" w:cs="Times New Roman" w:eastAsia="Times New Roman" w:hAnsi="Times New Roman"/>
                <w:sz w:val="18"/>
                <w:szCs w:val="18"/>
                <w:color w:val="0000FF"/>
                <w:w w:val="97"/>
              </w:rPr>
              <w:t>Cautionary Statement Regarding Forward-Looking Statements</w:t>
            </w:r>
          </w:p>
        </w:tc>
        <w:tc>
          <w:tcPr>
            <w:tcW w:w="4260" w:type="dxa"/>
            <w:vAlign w:val="bottom"/>
            <w:gridSpan w:val="10"/>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bottom w:val="single" w:sz="8" w:color="0000FF"/>
            </w:tcBorders>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0000FF"/>
                <w:w w:val="85"/>
              </w:rPr>
              <w:t>iv</w:t>
            </w:r>
          </w:p>
        </w:tc>
        <w:tc>
          <w:tcPr>
            <w:tcW w:w="80" w:type="dxa"/>
            <w:vAlign w:val="bottom"/>
            <w:gridSpan w:val="2"/>
          </w:tcPr>
          <w:p>
            <w:pPr>
              <w:spacing w:after="0"/>
              <w:rPr>
                <w:sz w:val="17"/>
                <w:szCs w:val="17"/>
                <w:color w:val="auto"/>
              </w:rPr>
            </w:pPr>
          </w:p>
        </w:tc>
      </w:tr>
      <w:tr>
        <w:trPr>
          <w:trHeight w:val="417"/>
        </w:trPr>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3"/>
          </w:tcPr>
          <w:p>
            <w:pPr>
              <w:jc w:val="center"/>
              <w:ind w:right="4080"/>
              <w:spacing w:after="0"/>
              <w:rPr>
                <w:sz w:val="20"/>
                <w:szCs w:val="20"/>
                <w:color w:val="auto"/>
              </w:rPr>
            </w:pPr>
            <w:r>
              <w:rPr>
                <w:rFonts w:ascii="Times New Roman" w:cs="Times New Roman" w:eastAsia="Times New Roman" w:hAnsi="Times New Roman"/>
                <w:sz w:val="18"/>
                <w:szCs w:val="18"/>
                <w:color w:val="0000FF"/>
                <w:w w:val="96"/>
              </w:rPr>
              <w:t>Part I</w:t>
            </w: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w:t>
            </w:r>
          </w:p>
        </w:tc>
        <w:tc>
          <w:tcPr>
            <w:tcW w:w="64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6"/>
              </w:rPr>
              <w:t>Business</w:t>
            </w:r>
          </w:p>
        </w:tc>
        <w:tc>
          <w:tcPr>
            <w:tcW w:w="3560" w:type="dxa"/>
            <w:vAlign w:val="bottom"/>
            <w:gridSpan w:val="18"/>
          </w:tcPr>
          <w:p>
            <w:pPr>
              <w:spacing w:after="0"/>
              <w:rPr>
                <w:sz w:val="17"/>
                <w:szCs w:val="17"/>
                <w:color w:val="auto"/>
              </w:rPr>
            </w:pPr>
          </w:p>
        </w:tc>
        <w:tc>
          <w:tcPr>
            <w:tcW w:w="380" w:type="dxa"/>
            <w:vAlign w:val="bottom"/>
            <w:tcBorders>
              <w:top w:val="single" w:sz="8" w:color="0000FF"/>
            </w:tcBorders>
            <w:gridSpan w:val="3"/>
          </w:tcPr>
          <w:p>
            <w:pPr>
              <w:spacing w:after="0"/>
              <w:rPr>
                <w:sz w:val="17"/>
                <w:szCs w:val="17"/>
                <w:color w:val="auto"/>
              </w:rPr>
            </w:pPr>
          </w:p>
        </w:tc>
        <w:tc>
          <w:tcPr>
            <w:tcW w:w="4120" w:type="dxa"/>
            <w:vAlign w:val="bottom"/>
            <w:gridSpan w:val="9"/>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Risk Factors</w:t>
            </w:r>
          </w:p>
        </w:tc>
        <w:tc>
          <w:tcPr>
            <w:tcW w:w="7800" w:type="dxa"/>
            <w:vAlign w:val="bottom"/>
            <w:gridSpan w:val="27"/>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Borders>
              <w:bottom w:val="single" w:sz="8" w:color="0000FF"/>
            </w:tcBorders>
          </w:tcPr>
          <w:p>
            <w:pPr>
              <w:jc w:val="center"/>
              <w:spacing w:after="0" w:line="205" w:lineRule="exact"/>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1B.</w:t>
            </w:r>
          </w:p>
        </w:tc>
        <w:tc>
          <w:tcPr>
            <w:tcW w:w="202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Unresolved Staff Comments</w:t>
            </w:r>
          </w:p>
        </w:tc>
        <w:tc>
          <w:tcPr>
            <w:tcW w:w="6680" w:type="dxa"/>
            <w:vAlign w:val="bottom"/>
            <w:gridSpan w:val="20"/>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31</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1C.</w:t>
            </w:r>
          </w:p>
        </w:tc>
        <w:tc>
          <w:tcPr>
            <w:tcW w:w="100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6"/>
              </w:rPr>
              <w:t>Cybersecurity</w:t>
            </w:r>
          </w:p>
        </w:tc>
        <w:tc>
          <w:tcPr>
            <w:tcW w:w="7700" w:type="dxa"/>
            <w:vAlign w:val="bottom"/>
            <w:gridSpan w:val="26"/>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31</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5"/>
              </w:rPr>
              <w:t>Properties</w:t>
            </w:r>
          </w:p>
        </w:tc>
        <w:tc>
          <w:tcPr>
            <w:tcW w:w="7960" w:type="dxa"/>
            <w:vAlign w:val="bottom"/>
            <w:gridSpan w:val="29"/>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34</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3.</w:t>
            </w:r>
          </w:p>
        </w:tc>
        <w:tc>
          <w:tcPr>
            <w:tcW w:w="132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Legal Proceedings</w:t>
            </w:r>
          </w:p>
        </w:tc>
        <w:tc>
          <w:tcPr>
            <w:tcW w:w="7380" w:type="dxa"/>
            <w:vAlign w:val="bottom"/>
            <w:gridSpan w:val="24"/>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34</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4.</w:t>
            </w:r>
          </w:p>
        </w:tc>
        <w:tc>
          <w:tcPr>
            <w:tcW w:w="8700" w:type="dxa"/>
            <w:vAlign w:val="bottom"/>
            <w:gridSpan w:val="31"/>
          </w:tcPr>
          <w:p>
            <w:pPr>
              <w:spacing w:after="0" w:line="205" w:lineRule="exact"/>
              <w:rPr>
                <w:sz w:val="20"/>
                <w:szCs w:val="20"/>
                <w:color w:val="auto"/>
              </w:rPr>
            </w:pPr>
            <w:r>
              <w:rPr>
                <w:rFonts w:ascii="Times New Roman" w:cs="Times New Roman" w:eastAsia="Times New Roman" w:hAnsi="Times New Roman"/>
                <w:sz w:val="18"/>
                <w:szCs w:val="18"/>
                <w:color w:val="0000FF"/>
              </w:rPr>
              <w:t>Mine Safety Disclosures</w:t>
            </w:r>
          </w:p>
        </w:tc>
        <w:tc>
          <w:tcPr>
            <w:tcW w:w="1000" w:type="dxa"/>
            <w:vAlign w:val="bottom"/>
            <w:gridSpan w:val="4"/>
          </w:tcPr>
          <w:p>
            <w:pPr>
              <w:jc w:val="center"/>
              <w:ind w:left="734"/>
              <w:spacing w:after="0" w:line="205" w:lineRule="exact"/>
              <w:rPr>
                <w:sz w:val="20"/>
                <w:szCs w:val="20"/>
                <w:color w:val="auto"/>
              </w:rPr>
            </w:pPr>
            <w:r>
              <w:rPr>
                <w:rFonts w:ascii="Times New Roman" w:cs="Times New Roman" w:eastAsia="Times New Roman" w:hAnsi="Times New Roman"/>
                <w:sz w:val="18"/>
                <w:szCs w:val="18"/>
                <w:color w:val="0000FF"/>
                <w:w w:val="99"/>
              </w:rPr>
              <w:t>34</w:t>
            </w:r>
          </w:p>
        </w:tc>
        <w:tc>
          <w:tcPr>
            <w:tcW w:w="60" w:type="dxa"/>
            <w:vAlign w:val="bottom"/>
          </w:tcPr>
          <w:p>
            <w:pPr>
              <w:spacing w:after="0"/>
              <w:rPr>
                <w:sz w:val="17"/>
                <w:szCs w:val="17"/>
                <w:color w:val="auto"/>
              </w:rPr>
            </w:pPr>
          </w:p>
        </w:tc>
      </w:tr>
      <w:tr>
        <w:trPr>
          <w:trHeight w:val="417"/>
        </w:trPr>
        <w:tc>
          <w:tcPr>
            <w:tcW w:w="12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gridSpan w:val="13"/>
          </w:tcPr>
          <w:p>
            <w:pPr>
              <w:jc w:val="center"/>
              <w:ind w:right="4100"/>
              <w:spacing w:after="0"/>
              <w:rPr>
                <w:sz w:val="20"/>
                <w:szCs w:val="20"/>
                <w:color w:val="auto"/>
              </w:rPr>
            </w:pPr>
            <w:r>
              <w:rPr>
                <w:rFonts w:ascii="Times New Roman" w:cs="Times New Roman" w:eastAsia="Times New Roman" w:hAnsi="Times New Roman"/>
                <w:sz w:val="18"/>
                <w:szCs w:val="18"/>
                <w:color w:val="0000FF"/>
                <w:w w:val="96"/>
              </w:rPr>
              <w:t>Part II</w:t>
            </w: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5.</w:t>
            </w:r>
          </w:p>
        </w:tc>
        <w:tc>
          <w:tcPr>
            <w:tcW w:w="8700" w:type="dxa"/>
            <w:vAlign w:val="bottom"/>
            <w:gridSpan w:val="31"/>
          </w:tcPr>
          <w:p>
            <w:pPr>
              <w:spacing w:after="0" w:line="205"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00" w:type="dxa"/>
            <w:vAlign w:val="bottom"/>
            <w:gridSpan w:val="4"/>
          </w:tcPr>
          <w:p>
            <w:pPr>
              <w:jc w:val="center"/>
              <w:ind w:left="734"/>
              <w:spacing w:after="0" w:line="205" w:lineRule="exact"/>
              <w:rPr>
                <w:sz w:val="20"/>
                <w:szCs w:val="20"/>
                <w:color w:val="auto"/>
              </w:rPr>
            </w:pPr>
            <w:r>
              <w:rPr>
                <w:rFonts w:ascii="Times New Roman" w:cs="Times New Roman" w:eastAsia="Times New Roman" w:hAnsi="Times New Roman"/>
                <w:sz w:val="18"/>
                <w:szCs w:val="18"/>
                <w:color w:val="0000FF"/>
                <w:w w:val="99"/>
              </w:rPr>
              <w:t>35</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6.</w:t>
            </w:r>
          </w:p>
        </w:tc>
        <w:tc>
          <w:tcPr>
            <w:tcW w:w="780" w:type="dxa"/>
            <w:vAlign w:val="bottom"/>
            <w:tcBorders>
              <w:top w:val="single" w:sz="8" w:color="0000FF"/>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6"/>
              </w:rPr>
              <w:t>[Reserved]</w:t>
            </w:r>
          </w:p>
        </w:tc>
        <w:tc>
          <w:tcPr>
            <w:tcW w:w="7140" w:type="dxa"/>
            <w:vAlign w:val="bottom"/>
            <w:tcBorders>
              <w:top w:val="single" w:sz="8" w:color="0000FF"/>
            </w:tcBorders>
            <w:gridSpan w:val="27"/>
          </w:tcPr>
          <w:p>
            <w:pPr>
              <w:spacing w:after="0"/>
              <w:rPr>
                <w:sz w:val="17"/>
                <w:szCs w:val="17"/>
                <w:color w:val="auto"/>
              </w:rPr>
            </w:pP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top w:val="single" w:sz="8" w:color="0000FF"/>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36</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7.</w:t>
            </w:r>
          </w:p>
        </w:tc>
        <w:tc>
          <w:tcPr>
            <w:tcW w:w="6340" w:type="dxa"/>
            <w:vAlign w:val="bottom"/>
            <w:tcBorders>
              <w:bottom w:val="single" w:sz="8" w:color="0000FF"/>
            </w:tcBorders>
            <w:gridSpan w:val="27"/>
          </w:tcPr>
          <w:p>
            <w:pPr>
              <w:spacing w:after="0" w:line="205" w:lineRule="exact"/>
              <w:rPr>
                <w:sz w:val="20"/>
                <w:szCs w:val="20"/>
                <w:color w:val="auto"/>
              </w:rPr>
            </w:pPr>
            <w:r>
              <w:rPr>
                <w:rFonts w:ascii="Times New Roman" w:cs="Times New Roman" w:eastAsia="Times New Roman" w:hAnsi="Times New Roman"/>
                <w:sz w:val="18"/>
                <w:szCs w:val="18"/>
                <w:color w:val="0000FF"/>
                <w:w w:val="97"/>
              </w:rPr>
              <w:t>Management’s Discussion and Analysis of Financial Condition and Results of Operations</w:t>
            </w:r>
          </w:p>
        </w:tc>
        <w:tc>
          <w:tcPr>
            <w:tcW w:w="2360" w:type="dxa"/>
            <w:vAlign w:val="bottom"/>
            <w:gridSpan w:val="4"/>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37</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7A.</w:t>
            </w:r>
          </w:p>
        </w:tc>
        <w:tc>
          <w:tcPr>
            <w:tcW w:w="4280" w:type="dxa"/>
            <w:vAlign w:val="bottom"/>
            <w:tcBorders>
              <w:bottom w:val="single" w:sz="8" w:color="0000FF"/>
            </w:tcBorders>
            <w:gridSpan w:val="20"/>
          </w:tcPr>
          <w:p>
            <w:pPr>
              <w:spacing w:after="0" w:line="205" w:lineRule="exact"/>
              <w:rPr>
                <w:sz w:val="20"/>
                <w:szCs w:val="20"/>
                <w:color w:val="auto"/>
              </w:rPr>
            </w:pPr>
            <w:r>
              <w:rPr>
                <w:rFonts w:ascii="Times New Roman" w:cs="Times New Roman" w:eastAsia="Times New Roman" w:hAnsi="Times New Roman"/>
                <w:sz w:val="18"/>
                <w:szCs w:val="18"/>
                <w:color w:val="0000FF"/>
                <w:w w:val="97"/>
              </w:rPr>
              <w:t>Quantitative and Qualitative Disclosures About Market Risk</w:t>
            </w:r>
          </w:p>
        </w:tc>
        <w:tc>
          <w:tcPr>
            <w:tcW w:w="4420" w:type="dxa"/>
            <w:vAlign w:val="bottom"/>
            <w:gridSpan w:val="11"/>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line="205" w:lineRule="exact"/>
              <w:rPr>
                <w:sz w:val="20"/>
                <w:szCs w:val="20"/>
                <w:color w:val="auto"/>
              </w:rPr>
            </w:pPr>
            <w:r>
              <w:rPr>
                <w:rFonts w:ascii="Times New Roman" w:cs="Times New Roman" w:eastAsia="Times New Roman" w:hAnsi="Times New Roman"/>
                <w:sz w:val="18"/>
                <w:szCs w:val="18"/>
                <w:color w:val="0000FF"/>
                <w:w w:val="77"/>
              </w:rPr>
              <w:t>62</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8.</w:t>
            </w:r>
          </w:p>
        </w:tc>
        <w:tc>
          <w:tcPr>
            <w:tcW w:w="8700" w:type="dxa"/>
            <w:vAlign w:val="bottom"/>
            <w:gridSpan w:val="31"/>
          </w:tcPr>
          <w:p>
            <w:pPr>
              <w:spacing w:after="0" w:line="205"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00" w:type="dxa"/>
            <w:vAlign w:val="bottom"/>
            <w:gridSpan w:val="4"/>
          </w:tcPr>
          <w:p>
            <w:pPr>
              <w:jc w:val="center"/>
              <w:ind w:left="734"/>
              <w:spacing w:after="0" w:line="205" w:lineRule="exact"/>
              <w:rPr>
                <w:sz w:val="20"/>
                <w:szCs w:val="20"/>
                <w:color w:val="auto"/>
              </w:rPr>
            </w:pPr>
            <w:r>
              <w:rPr>
                <w:rFonts w:ascii="Times New Roman" w:cs="Times New Roman" w:eastAsia="Times New Roman" w:hAnsi="Times New Roman"/>
                <w:sz w:val="18"/>
                <w:szCs w:val="18"/>
                <w:color w:val="0000FF"/>
                <w:w w:val="99"/>
              </w:rPr>
              <w:t>64</w:t>
            </w:r>
          </w:p>
        </w:tc>
        <w:tc>
          <w:tcPr>
            <w:tcW w:w="6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56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9.</w:t>
            </w:r>
          </w:p>
        </w:tc>
        <w:tc>
          <w:tcPr>
            <w:tcW w:w="6360" w:type="dxa"/>
            <w:vAlign w:val="bottom"/>
            <w:tcBorders>
              <w:bottom w:val="single" w:sz="8" w:color="0000FF"/>
            </w:tcBorders>
            <w:gridSpan w:val="28"/>
          </w:tcPr>
          <w:p>
            <w:pPr>
              <w:spacing w:after="0" w:line="205" w:lineRule="exact"/>
              <w:rPr>
                <w:sz w:val="20"/>
                <w:szCs w:val="20"/>
                <w:color w:val="auto"/>
              </w:rPr>
            </w:pPr>
            <w:r>
              <w:rPr>
                <w:rFonts w:ascii="Times New Roman" w:cs="Times New Roman" w:eastAsia="Times New Roman" w:hAnsi="Times New Roman"/>
                <w:sz w:val="18"/>
                <w:szCs w:val="18"/>
                <w:color w:val="0000FF"/>
                <w:w w:val="97"/>
              </w:rPr>
              <w:t>Changes in and Disagreements with Accountants on Accounting and Financial Disclosure</w:t>
            </w:r>
          </w:p>
        </w:tc>
        <w:tc>
          <w:tcPr>
            <w:tcW w:w="2340" w:type="dxa"/>
            <w:vAlign w:val="bottom"/>
            <w:gridSpan w:val="3"/>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115</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9A.</w:t>
            </w:r>
          </w:p>
        </w:tc>
        <w:tc>
          <w:tcPr>
            <w:tcW w:w="1740" w:type="dxa"/>
            <w:vAlign w:val="bottom"/>
            <w:tcBorders>
              <w:bottom w:val="single" w:sz="8" w:color="0000FF"/>
            </w:tcBorders>
            <w:gridSpan w:val="9"/>
          </w:tcPr>
          <w:p>
            <w:pPr>
              <w:spacing w:after="0" w:line="205" w:lineRule="exact"/>
              <w:rPr>
                <w:sz w:val="20"/>
                <w:szCs w:val="20"/>
                <w:color w:val="auto"/>
              </w:rPr>
            </w:pPr>
            <w:r>
              <w:rPr>
                <w:rFonts w:ascii="Times New Roman" w:cs="Times New Roman" w:eastAsia="Times New Roman" w:hAnsi="Times New Roman"/>
                <w:sz w:val="18"/>
                <w:szCs w:val="18"/>
                <w:color w:val="0000FF"/>
                <w:w w:val="97"/>
              </w:rPr>
              <w:t>Controls and Procedures</w:t>
            </w:r>
          </w:p>
        </w:tc>
        <w:tc>
          <w:tcPr>
            <w:tcW w:w="6960" w:type="dxa"/>
            <w:vAlign w:val="bottom"/>
            <w:gridSpan w:val="22"/>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115</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9B.</w:t>
            </w:r>
          </w:p>
        </w:tc>
        <w:tc>
          <w:tcPr>
            <w:tcW w:w="130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Other Information</w:t>
            </w:r>
          </w:p>
        </w:tc>
        <w:tc>
          <w:tcPr>
            <w:tcW w:w="7400" w:type="dxa"/>
            <w:vAlign w:val="bottom"/>
            <w:gridSpan w:val="25"/>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116</w:t>
            </w:r>
          </w:p>
        </w:tc>
        <w:tc>
          <w:tcPr>
            <w:tcW w:w="60" w:type="dxa"/>
            <w:vAlign w:val="bottom"/>
          </w:tcPr>
          <w:p>
            <w:pPr>
              <w:spacing w:after="0"/>
              <w:rPr>
                <w:sz w:val="17"/>
                <w:szCs w:val="17"/>
                <w:color w:val="auto"/>
              </w:rPr>
            </w:pPr>
          </w:p>
        </w:tc>
      </w:tr>
      <w:tr>
        <w:trPr>
          <w:trHeight w:val="22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9C.</w:t>
            </w:r>
          </w:p>
        </w:tc>
        <w:tc>
          <w:tcPr>
            <w:tcW w:w="8700" w:type="dxa"/>
            <w:vAlign w:val="bottom"/>
            <w:gridSpan w:val="31"/>
          </w:tcPr>
          <w:p>
            <w:pPr>
              <w:spacing w:after="0" w:line="205"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1000" w:type="dxa"/>
            <w:vAlign w:val="bottom"/>
            <w:gridSpan w:val="4"/>
          </w:tcPr>
          <w:p>
            <w:pPr>
              <w:jc w:val="center"/>
              <w:ind w:left="654"/>
              <w:spacing w:after="0" w:line="205" w:lineRule="exact"/>
              <w:rPr>
                <w:sz w:val="20"/>
                <w:szCs w:val="20"/>
                <w:color w:val="auto"/>
              </w:rPr>
            </w:pPr>
            <w:r>
              <w:rPr>
                <w:rFonts w:ascii="Times New Roman" w:cs="Times New Roman" w:eastAsia="Times New Roman" w:hAnsi="Times New Roman"/>
                <w:sz w:val="18"/>
                <w:szCs w:val="18"/>
                <w:color w:val="0000FF"/>
                <w:w w:val="96"/>
              </w:rPr>
              <w:t>116</w:t>
            </w:r>
          </w:p>
        </w:tc>
        <w:tc>
          <w:tcPr>
            <w:tcW w:w="60" w:type="dxa"/>
            <w:vAlign w:val="bottom"/>
          </w:tcPr>
          <w:p>
            <w:pPr>
              <w:spacing w:after="0"/>
              <w:rPr>
                <w:sz w:val="19"/>
                <w:szCs w:val="19"/>
                <w:color w:val="auto"/>
              </w:rPr>
            </w:pPr>
          </w:p>
        </w:tc>
      </w:tr>
      <w:tr>
        <w:trPr>
          <w:trHeight w:val="397"/>
        </w:trPr>
        <w:tc>
          <w:tcPr>
            <w:tcW w:w="12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680" w:type="dxa"/>
            <w:vAlign w:val="bottom"/>
            <w:tcBorders>
              <w:top w:val="single" w:sz="8" w:color="0000FF"/>
            </w:tcBorders>
            <w:gridSpan w:val="9"/>
          </w:tcPr>
          <w:p>
            <w:pPr>
              <w:jc w:val="center"/>
              <w:ind w:right="140"/>
              <w:spacing w:after="0"/>
              <w:rPr>
                <w:sz w:val="20"/>
                <w:szCs w:val="20"/>
                <w:color w:val="auto"/>
              </w:rPr>
            </w:pPr>
            <w:r>
              <w:rPr>
                <w:rFonts w:ascii="Times New Roman" w:cs="Times New Roman" w:eastAsia="Times New Roman" w:hAnsi="Times New Roman"/>
                <w:sz w:val="18"/>
                <w:szCs w:val="18"/>
                <w:color w:val="0000FF"/>
                <w:w w:val="97"/>
              </w:rPr>
              <w:t>Part III</w:t>
            </w:r>
          </w:p>
        </w:tc>
        <w:tc>
          <w:tcPr>
            <w:tcW w:w="3900" w:type="dxa"/>
            <w:vAlign w:val="bottom"/>
            <w:gridSpan w:val="6"/>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10.</w:t>
            </w:r>
          </w:p>
        </w:tc>
        <w:tc>
          <w:tcPr>
            <w:tcW w:w="4120" w:type="dxa"/>
            <w:vAlign w:val="bottom"/>
            <w:tcBorders>
              <w:bottom w:val="single" w:sz="8" w:color="0000FF"/>
            </w:tcBorders>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20" w:type="dxa"/>
            <w:vAlign w:val="bottom"/>
          </w:tcPr>
          <w:p>
            <w:pPr>
              <w:spacing w:after="0"/>
              <w:rPr>
                <w:sz w:val="17"/>
                <w:szCs w:val="17"/>
                <w:color w:val="auto"/>
              </w:rPr>
            </w:pPr>
          </w:p>
        </w:tc>
        <w:tc>
          <w:tcPr>
            <w:tcW w:w="500" w:type="dxa"/>
            <w:vAlign w:val="bottom"/>
            <w:tcBorders>
              <w:top w:val="single" w:sz="8" w:color="0000FF"/>
            </w:tcBorders>
            <w:gridSpan w:val="7"/>
          </w:tcPr>
          <w:p>
            <w:pPr>
              <w:spacing w:after="0"/>
              <w:rPr>
                <w:sz w:val="17"/>
                <w:szCs w:val="17"/>
                <w:color w:val="auto"/>
              </w:rPr>
            </w:pPr>
          </w:p>
        </w:tc>
        <w:tc>
          <w:tcPr>
            <w:tcW w:w="406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117</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11.</w:t>
            </w:r>
          </w:p>
        </w:tc>
        <w:tc>
          <w:tcPr>
            <w:tcW w:w="280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rPr>
              <w:t>Executive Compensation</w:t>
            </w:r>
          </w:p>
        </w:tc>
        <w:tc>
          <w:tcPr>
            <w:tcW w:w="5900" w:type="dxa"/>
            <w:vAlign w:val="bottom"/>
            <w:gridSpan w:val="19"/>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117</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12.</w:t>
            </w:r>
          </w:p>
        </w:tc>
        <w:tc>
          <w:tcPr>
            <w:tcW w:w="7160" w:type="dxa"/>
            <w:vAlign w:val="bottom"/>
            <w:tcBorders>
              <w:bottom w:val="single" w:sz="8" w:color="0000FF"/>
            </w:tcBorders>
            <w:gridSpan w:val="29"/>
          </w:tcPr>
          <w:p>
            <w:pPr>
              <w:spacing w:after="0" w:line="205" w:lineRule="exact"/>
              <w:rPr>
                <w:sz w:val="20"/>
                <w:szCs w:val="20"/>
                <w:color w:val="auto"/>
              </w:rPr>
            </w:pPr>
            <w:r>
              <w:rPr>
                <w:rFonts w:ascii="Times New Roman" w:cs="Times New Roman" w:eastAsia="Times New Roman" w:hAnsi="Times New Roman"/>
                <w:sz w:val="18"/>
                <w:szCs w:val="18"/>
                <w:color w:val="0000FF"/>
                <w:w w:val="97"/>
              </w:rPr>
              <w:t>Security Ownership of Certain Beneficial Owners and Management and Related Stockholder Matters</w:t>
            </w:r>
          </w:p>
        </w:tc>
        <w:tc>
          <w:tcPr>
            <w:tcW w:w="1540" w:type="dxa"/>
            <w:vAlign w:val="bottom"/>
            <w:gridSpan w:val="2"/>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117</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13.</w:t>
            </w:r>
          </w:p>
        </w:tc>
        <w:tc>
          <w:tcPr>
            <w:tcW w:w="5360" w:type="dxa"/>
            <w:vAlign w:val="bottom"/>
            <w:tcBorders>
              <w:bottom w:val="single" w:sz="8" w:color="0000FF"/>
            </w:tcBorders>
            <w:gridSpan w:val="26"/>
          </w:tcPr>
          <w:p>
            <w:pPr>
              <w:spacing w:after="0" w:line="205" w:lineRule="exact"/>
              <w:rPr>
                <w:sz w:val="20"/>
                <w:szCs w:val="20"/>
                <w:color w:val="auto"/>
              </w:rPr>
            </w:pPr>
            <w:r>
              <w:rPr>
                <w:rFonts w:ascii="Times New Roman" w:cs="Times New Roman" w:eastAsia="Times New Roman" w:hAnsi="Times New Roman"/>
                <w:sz w:val="18"/>
                <w:szCs w:val="18"/>
                <w:color w:val="0000FF"/>
                <w:w w:val="97"/>
              </w:rPr>
              <w:t>Certain Relationships and Related Transactions, and Director Independence</w:t>
            </w:r>
          </w:p>
        </w:tc>
        <w:tc>
          <w:tcPr>
            <w:tcW w:w="3340" w:type="dxa"/>
            <w:vAlign w:val="bottom"/>
            <w:gridSpan w:val="5"/>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117</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14.</w:t>
            </w:r>
          </w:p>
        </w:tc>
        <w:tc>
          <w:tcPr>
            <w:tcW w:w="8700" w:type="dxa"/>
            <w:vAlign w:val="bottom"/>
            <w:gridSpan w:val="31"/>
          </w:tcPr>
          <w:p>
            <w:pPr>
              <w:spacing w:after="0" w:line="205" w:lineRule="exact"/>
              <w:rPr>
                <w:sz w:val="20"/>
                <w:szCs w:val="20"/>
                <w:color w:val="auto"/>
              </w:rPr>
            </w:pPr>
            <w:r>
              <w:rPr>
                <w:rFonts w:ascii="Times New Roman" w:cs="Times New Roman" w:eastAsia="Times New Roman" w:hAnsi="Times New Roman"/>
                <w:sz w:val="18"/>
                <w:szCs w:val="18"/>
                <w:color w:val="0000FF"/>
              </w:rPr>
              <w:t>Principal Accountant Fees and Services</w:t>
            </w:r>
          </w:p>
        </w:tc>
        <w:tc>
          <w:tcPr>
            <w:tcW w:w="1000" w:type="dxa"/>
            <w:vAlign w:val="bottom"/>
            <w:gridSpan w:val="4"/>
          </w:tcPr>
          <w:p>
            <w:pPr>
              <w:jc w:val="center"/>
              <w:ind w:left="654"/>
              <w:spacing w:after="0" w:line="205" w:lineRule="exact"/>
              <w:rPr>
                <w:sz w:val="20"/>
                <w:szCs w:val="20"/>
                <w:color w:val="auto"/>
              </w:rPr>
            </w:pPr>
            <w:r>
              <w:rPr>
                <w:rFonts w:ascii="Times New Roman" w:cs="Times New Roman" w:eastAsia="Times New Roman" w:hAnsi="Times New Roman"/>
                <w:sz w:val="18"/>
                <w:szCs w:val="18"/>
                <w:color w:val="0000FF"/>
                <w:w w:val="96"/>
              </w:rPr>
              <w:t>117</w:t>
            </w:r>
          </w:p>
        </w:tc>
        <w:tc>
          <w:tcPr>
            <w:tcW w:w="60" w:type="dxa"/>
            <w:vAlign w:val="bottom"/>
          </w:tcPr>
          <w:p>
            <w:pPr>
              <w:spacing w:after="0"/>
              <w:rPr>
                <w:sz w:val="17"/>
                <w:szCs w:val="17"/>
                <w:color w:val="auto"/>
              </w:rPr>
            </w:pPr>
          </w:p>
        </w:tc>
      </w:tr>
      <w:tr>
        <w:trPr>
          <w:trHeight w:val="417"/>
        </w:trPr>
        <w:tc>
          <w:tcPr>
            <w:tcW w:w="122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78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580" w:type="dxa"/>
            <w:vAlign w:val="bottom"/>
            <w:gridSpan w:val="15"/>
          </w:tcPr>
          <w:p>
            <w:pPr>
              <w:jc w:val="center"/>
              <w:ind w:right="4060"/>
              <w:spacing w:after="0"/>
              <w:rPr>
                <w:sz w:val="20"/>
                <w:szCs w:val="20"/>
                <w:color w:val="auto"/>
              </w:rPr>
            </w:pPr>
            <w:r>
              <w:rPr>
                <w:rFonts w:ascii="Times New Roman" w:cs="Times New Roman" w:eastAsia="Times New Roman" w:hAnsi="Times New Roman"/>
                <w:sz w:val="18"/>
                <w:szCs w:val="18"/>
                <w:color w:val="0000FF"/>
                <w:w w:val="98"/>
              </w:rPr>
              <w:t>Part IV</w:t>
            </w:r>
          </w:p>
        </w:tc>
        <w:tc>
          <w:tcPr>
            <w:tcW w:w="8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15.</w:t>
            </w:r>
          </w:p>
        </w:tc>
        <w:tc>
          <w:tcPr>
            <w:tcW w:w="304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Exhibit and Financial Statement Schedules</w:t>
            </w:r>
          </w:p>
        </w:tc>
        <w:tc>
          <w:tcPr>
            <w:tcW w:w="1080" w:type="dxa"/>
            <w:vAlign w:val="bottom"/>
            <w:gridSpan w:val="3"/>
          </w:tcPr>
          <w:p>
            <w:pPr>
              <w:spacing w:after="0"/>
              <w:rPr>
                <w:sz w:val="17"/>
                <w:szCs w:val="17"/>
                <w:color w:val="auto"/>
              </w:rPr>
            </w:pPr>
          </w:p>
        </w:tc>
        <w:tc>
          <w:tcPr>
            <w:tcW w:w="520" w:type="dxa"/>
            <w:vAlign w:val="bottom"/>
            <w:tcBorders>
              <w:top w:val="single" w:sz="8" w:color="0000FF"/>
            </w:tcBorders>
            <w:gridSpan w:val="8"/>
          </w:tcPr>
          <w:p>
            <w:pPr>
              <w:spacing w:after="0"/>
              <w:rPr>
                <w:sz w:val="17"/>
                <w:szCs w:val="17"/>
                <w:color w:val="auto"/>
              </w:rPr>
            </w:pPr>
          </w:p>
        </w:tc>
        <w:tc>
          <w:tcPr>
            <w:tcW w:w="4060" w:type="dxa"/>
            <w:vAlign w:val="bottom"/>
            <w:gridSpan w:val="7"/>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70"/>
              </w:rPr>
              <w:t>118</w:t>
            </w:r>
          </w:p>
        </w:tc>
        <w:tc>
          <w:tcPr>
            <w:tcW w:w="60" w:type="dxa"/>
            <w:vAlign w:val="bottom"/>
          </w:tcPr>
          <w:p>
            <w:pPr>
              <w:spacing w:after="0"/>
              <w:rPr>
                <w:sz w:val="17"/>
                <w:szCs w:val="17"/>
                <w:color w:val="auto"/>
              </w:rPr>
            </w:pPr>
          </w:p>
        </w:tc>
      </w:tr>
      <w:tr>
        <w:trPr>
          <w:trHeight w:val="205"/>
        </w:trPr>
        <w:tc>
          <w:tcPr>
            <w:tcW w:w="12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Item 16.</w:t>
            </w:r>
          </w:p>
        </w:tc>
        <w:tc>
          <w:tcPr>
            <w:tcW w:w="8700" w:type="dxa"/>
            <w:vAlign w:val="bottom"/>
            <w:gridSpan w:val="31"/>
          </w:tcPr>
          <w:p>
            <w:pPr>
              <w:spacing w:after="0" w:line="205" w:lineRule="exact"/>
              <w:rPr>
                <w:sz w:val="20"/>
                <w:szCs w:val="20"/>
                <w:color w:val="auto"/>
              </w:rPr>
            </w:pPr>
            <w:r>
              <w:rPr>
                <w:rFonts w:ascii="Times New Roman" w:cs="Times New Roman" w:eastAsia="Times New Roman" w:hAnsi="Times New Roman"/>
                <w:sz w:val="18"/>
                <w:szCs w:val="18"/>
                <w:color w:val="0000FF"/>
              </w:rPr>
              <w:t>Form 10-K Summary</w:t>
            </w:r>
          </w:p>
        </w:tc>
        <w:tc>
          <w:tcPr>
            <w:tcW w:w="1060" w:type="dxa"/>
            <w:vAlign w:val="bottom"/>
            <w:gridSpan w:val="5"/>
          </w:tcPr>
          <w:p>
            <w:pPr>
              <w:jc w:val="center"/>
              <w:ind w:left="674"/>
              <w:spacing w:after="0" w:line="205" w:lineRule="exact"/>
              <w:rPr>
                <w:sz w:val="20"/>
                <w:szCs w:val="20"/>
                <w:color w:val="auto"/>
              </w:rPr>
            </w:pPr>
            <w:r>
              <w:rPr>
                <w:rFonts w:ascii="Times New Roman" w:cs="Times New Roman" w:eastAsia="Times New Roman" w:hAnsi="Times New Roman"/>
                <w:sz w:val="18"/>
                <w:szCs w:val="18"/>
                <w:color w:val="0000FF"/>
                <w:w w:val="96"/>
              </w:rPr>
              <w:t>122</w:t>
            </w:r>
          </w:p>
        </w:tc>
      </w:tr>
      <w:tr>
        <w:trPr>
          <w:trHeight w:val="20"/>
        </w:trPr>
        <w:tc>
          <w:tcPr>
            <w:tcW w:w="1220" w:type="dxa"/>
            <w:vAlign w:val="bottom"/>
          </w:tcPr>
          <w:p>
            <w:pPr>
              <w:spacing w:after="0" w:line="20" w:lineRule="exact"/>
              <w:rPr>
                <w:sz w:val="1"/>
                <w:szCs w:val="1"/>
                <w:color w:val="auto"/>
              </w:rPr>
            </w:pPr>
          </w:p>
        </w:tc>
        <w:tc>
          <w:tcPr>
            <w:tcW w:w="740" w:type="dxa"/>
            <w:vAlign w:val="bottom"/>
            <w:tcBorders>
              <w:right w:val="single" w:sz="8" w:color="0000FF"/>
            </w:tcBorders>
            <w:gridSpan w:val="2"/>
            <w:shd w:val="clear" w:color="auto" w:fill="0000FF"/>
          </w:tcPr>
          <w:p>
            <w:pPr>
              <w:spacing w:after="0" w:line="20" w:lineRule="exact"/>
              <w:rPr>
                <w:sz w:val="1"/>
                <w:szCs w:val="1"/>
                <w:color w:val="auto"/>
              </w:rPr>
            </w:pPr>
          </w:p>
        </w:tc>
        <w:tc>
          <w:tcPr>
            <w:tcW w:w="7960" w:type="dxa"/>
            <w:vAlign w:val="bottom"/>
            <w:gridSpan w:val="29"/>
            <w:shd w:val="clear" w:color="auto" w:fill="0000FF"/>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40" w:type="dxa"/>
            <w:vAlign w:val="bottom"/>
            <w:gridSpan w:val="3"/>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r>
        <w:trPr>
          <w:trHeight w:val="205"/>
        </w:trPr>
        <w:tc>
          <w:tcPr>
            <w:tcW w:w="1220" w:type="dxa"/>
            <w:vAlign w:val="bottom"/>
          </w:tcPr>
          <w:p>
            <w:pPr>
              <w:spacing w:after="0"/>
              <w:rPr>
                <w:sz w:val="17"/>
                <w:szCs w:val="17"/>
                <w:color w:val="auto"/>
              </w:rPr>
            </w:pPr>
          </w:p>
        </w:tc>
        <w:tc>
          <w:tcPr>
            <w:tcW w:w="8700" w:type="dxa"/>
            <w:vAlign w:val="bottom"/>
            <w:gridSpan w:val="31"/>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1060" w:type="dxa"/>
            <w:vAlign w:val="bottom"/>
            <w:gridSpan w:val="5"/>
          </w:tcPr>
          <w:p>
            <w:pPr>
              <w:jc w:val="center"/>
              <w:ind w:left="674"/>
              <w:spacing w:after="0" w:line="205" w:lineRule="exact"/>
              <w:rPr>
                <w:sz w:val="20"/>
                <w:szCs w:val="20"/>
                <w:color w:val="auto"/>
              </w:rPr>
            </w:pPr>
            <w:r>
              <w:rPr>
                <w:rFonts w:ascii="Times New Roman" w:cs="Times New Roman" w:eastAsia="Times New Roman" w:hAnsi="Times New Roman"/>
                <w:sz w:val="18"/>
                <w:szCs w:val="18"/>
                <w:color w:val="0000FF"/>
                <w:w w:val="96"/>
              </w:rPr>
              <w:t>123</w:t>
            </w:r>
          </w:p>
        </w:tc>
      </w:tr>
      <w:tr>
        <w:trPr>
          <w:trHeight w:val="20"/>
        </w:trPr>
        <w:tc>
          <w:tcPr>
            <w:tcW w:w="12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170180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80"/>
          </w:cols>
          <w:pgMar w:left="340" w:top="1391" w:right="5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GLOSSARY</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As used in this Annual Report on Form 10-K (this “</w:t>
      </w:r>
      <w:r>
        <w:rPr>
          <w:rFonts w:ascii="Times New Roman" w:cs="Times New Roman" w:eastAsia="Times New Roman" w:hAnsi="Times New Roman"/>
          <w:sz w:val="18"/>
          <w:szCs w:val="18"/>
          <w:u w:val="single" w:color="auto"/>
          <w:color w:val="auto"/>
        </w:rPr>
        <w:t>Form 10-K</w:t>
      </w:r>
      <w:r>
        <w:rPr>
          <w:rFonts w:ascii="Times New Roman" w:cs="Times New Roman" w:eastAsia="Times New Roman" w:hAnsi="Times New Roman"/>
          <w:sz w:val="18"/>
          <w:szCs w:val="18"/>
          <w:color w:val="auto"/>
        </w:rPr>
        <w:t>”), the terms identified below have the meanings specified unless otherwise noted or the context indicates otherwise. References in this Form 10-K to “ZoomInfo Technologies Inc.” refer to ZoomInfo Technologies Inc. and not to any of its subsidiaries unless the context indicates otherwise. References in this Form 10-K to “ZoomInfo”, the “Company”, “we”, “us”, and “our” refer to ZoomInfo Technologies Inc. and its consolidated subsidiaries unless the context indicates otherwise.</w:t>
      </w:r>
    </w:p>
    <w:p>
      <w:pPr>
        <w:spacing w:after="0" w:line="114" w:lineRule="exact"/>
        <w:rPr>
          <w:sz w:val="20"/>
          <w:szCs w:val="20"/>
          <w:color w:val="auto"/>
        </w:rPr>
      </w:pPr>
    </w:p>
    <w:p>
      <w:pPr>
        <w:ind w:left="640" w:hanging="316"/>
        <w:spacing w:after="0" w:line="257"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ACV</w:t>
      </w:r>
      <w:r>
        <w:rPr>
          <w:rFonts w:ascii="Times New Roman" w:cs="Times New Roman" w:eastAsia="Times New Roman" w:hAnsi="Times New Roman"/>
          <w:sz w:val="18"/>
          <w:szCs w:val="18"/>
          <w:color w:val="auto"/>
        </w:rPr>
        <w:t>” refers to annual contract value, or the total annualized value that a customer has agreed to pay for subscription services at any particular point in time under contract(s) that are or were enforceable at that point in time.</w:t>
      </w: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Blocker Companies</w:t>
      </w:r>
      <w:r>
        <w:rPr>
          <w:rFonts w:ascii="Times New Roman" w:cs="Times New Roman" w:eastAsia="Times New Roman" w:hAnsi="Times New Roman"/>
          <w:sz w:val="18"/>
          <w:szCs w:val="18"/>
          <w:color w:val="auto"/>
        </w:rPr>
        <w:t>” refers to certain of our Pre-IPO OpCo Unitholders that are taxable as corporations for U.S. federal income tax purposes.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Class P Units</w:t>
      </w:r>
      <w:r>
        <w:rPr>
          <w:rFonts w:ascii="Times New Roman" w:cs="Times New Roman" w:eastAsia="Times New Roman" w:hAnsi="Times New Roman"/>
          <w:sz w:val="18"/>
          <w:szCs w:val="18"/>
          <w:color w:val="auto"/>
        </w:rPr>
        <w:t>” refers to Class P Units (including, without limitation, any indirectly held Class P Units) of ZoomInfo Holdings LLC.</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Class P Unitholders</w:t>
      </w:r>
      <w:r>
        <w:rPr>
          <w:rFonts w:ascii="Times New Roman" w:cs="Times New Roman" w:eastAsia="Times New Roman" w:hAnsi="Times New Roman"/>
          <w:sz w:val="18"/>
          <w:szCs w:val="18"/>
          <w:color w:val="auto"/>
        </w:rPr>
        <w:t>” refers to certain Pre-IPO Owners who continued to hold Class P Units following the consummation of the Reorganization Transactions and the IPO.</w:t>
      </w:r>
    </w:p>
    <w:p>
      <w:pPr>
        <w:spacing w:after="0" w:line="1" w:lineRule="exact"/>
        <w:rPr>
          <w:rFonts w:ascii="Times New Roman" w:cs="Times New Roman" w:eastAsia="Times New Roman" w:hAnsi="Times New Roman"/>
          <w:sz w:val="18"/>
          <w:szCs w:val="18"/>
          <w:color w:val="auto"/>
        </w:rPr>
      </w:pPr>
    </w:p>
    <w:p>
      <w:pPr>
        <w:ind w:left="640" w:hanging="316"/>
        <w:spacing w:after="0" w:line="260" w:lineRule="auto"/>
        <w:tabs>
          <w:tab w:leader="none" w:pos="6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Customers</w:t>
      </w:r>
      <w:r>
        <w:rPr>
          <w:rFonts w:ascii="Times New Roman" w:cs="Times New Roman" w:eastAsia="Times New Roman" w:hAnsi="Times New Roman"/>
          <w:sz w:val="17"/>
          <w:szCs w:val="17"/>
          <w:color w:val="auto"/>
        </w:rPr>
        <w:t>” refers to companies that have contracted with us to use our services and, at the time of measurement, maintain one or more active paid subscriptions to our platform. Paid subscriptions will generally include access for a number of employees or other affiliated persons of the customer.</w:t>
      </w:r>
    </w:p>
    <w:p>
      <w:pPr>
        <w:ind w:left="640" w:right="2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Tax Receivable Agreement</w:t>
      </w:r>
      <w:r>
        <w:rPr>
          <w:rFonts w:ascii="Times New Roman" w:cs="Times New Roman" w:eastAsia="Times New Roman" w:hAnsi="Times New Roman"/>
          <w:sz w:val="18"/>
          <w:szCs w:val="18"/>
          <w:color w:val="auto"/>
        </w:rPr>
        <w:t>” refers to the Tax Receivable Agreement, and amendments thereto, entered into with certain Pre-IPO OpCo Unitholders.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HoldCo Units</w:t>
      </w:r>
      <w:r>
        <w:rPr>
          <w:rFonts w:ascii="Times New Roman" w:cs="Times New Roman" w:eastAsia="Times New Roman" w:hAnsi="Times New Roman"/>
          <w:sz w:val="18"/>
          <w:szCs w:val="18"/>
          <w:color w:val="auto"/>
        </w:rPr>
        <w:t>” refers to the class of units of ZoomInfo HoldCo.</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HSKB</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HSKB I</w:t>
      </w:r>
      <w:r>
        <w:rPr>
          <w:rFonts w:ascii="Times New Roman" w:cs="Times New Roman" w:eastAsia="Times New Roman" w:hAnsi="Times New Roman"/>
          <w:sz w:val="18"/>
          <w:szCs w:val="18"/>
          <w:color w:val="auto"/>
        </w:rPr>
        <w:t>” refers to HSKB Funds, LLC, a privately held limited liability company formed on February 9, 2016 for the purpose of issuing equity to certain persons who had performed and would continue to perform services for ZoomInfo Holdings.</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HSKB II</w:t>
      </w:r>
      <w:r>
        <w:rPr>
          <w:rFonts w:ascii="Times New Roman" w:cs="Times New Roman" w:eastAsia="Times New Roman" w:hAnsi="Times New Roman"/>
          <w:sz w:val="18"/>
          <w:szCs w:val="18"/>
          <w:color w:val="auto"/>
        </w:rPr>
        <w:t>” refers to HSKB Funds II, LLC, a privately held limited liability company formed on May 28, 2020 for the purpose of effecting a reorganization of HSKB I at the time of the IPO and to issue equity to certain persons who had performed and would continue to perform services for ZoomInfo Holdings.</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Holdings LLC Units</w:t>
      </w:r>
      <w:r>
        <w:rPr>
          <w:rFonts w:ascii="Times New Roman" w:cs="Times New Roman" w:eastAsia="Times New Roman" w:hAnsi="Times New Roman"/>
          <w:sz w:val="18"/>
          <w:szCs w:val="18"/>
          <w:color w:val="auto"/>
        </w:rPr>
        <w:t>” refers to the class of units of ZoomInfo Holdings and does not include Class P Units.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Pre-Acquisition ZI</w:t>
      </w:r>
      <w:r>
        <w:rPr>
          <w:rFonts w:ascii="Times New Roman" w:cs="Times New Roman" w:eastAsia="Times New Roman" w:hAnsi="Times New Roman"/>
          <w:sz w:val="18"/>
          <w:szCs w:val="18"/>
          <w:color w:val="auto"/>
        </w:rPr>
        <w:t>” refers to Zoom Information Inc.</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Pre-IPO Blocker Holders</w:t>
      </w:r>
      <w:r>
        <w:rPr>
          <w:rFonts w:ascii="Times New Roman" w:cs="Times New Roman" w:eastAsia="Times New Roman" w:hAnsi="Times New Roman"/>
          <w:sz w:val="17"/>
          <w:szCs w:val="17"/>
          <w:color w:val="auto"/>
        </w:rPr>
        <w:t>” refers to the Pre-IPO Owners that held their interests in us through the Blocker Companies immediately prior to the IPO.</w:t>
      </w:r>
    </w:p>
    <w:p>
      <w:pPr>
        <w:spacing w:after="0" w:line="16"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HoldCo Unitholders</w:t>
      </w:r>
      <w:r>
        <w:rPr>
          <w:rFonts w:ascii="Times New Roman" w:cs="Times New Roman" w:eastAsia="Times New Roman" w:hAnsi="Times New Roman"/>
          <w:sz w:val="18"/>
          <w:szCs w:val="18"/>
          <w:color w:val="auto"/>
        </w:rPr>
        <w:t>” refers to the Pre-IPO Owners that held HoldCo Units immediately prior to the IPO.</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OpCo Unitholders</w:t>
      </w:r>
      <w:r>
        <w:rPr>
          <w:rFonts w:ascii="Times New Roman" w:cs="Times New Roman" w:eastAsia="Times New Roman" w:hAnsi="Times New Roman"/>
          <w:sz w:val="18"/>
          <w:szCs w:val="18"/>
          <w:color w:val="auto"/>
        </w:rPr>
        <w:t>” refers to the Pre-IPO Owners that held Holdings LLC Units immediately prior to the IPO.</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Pre-IPO Owners</w:t>
      </w:r>
      <w:r>
        <w:rPr>
          <w:rFonts w:ascii="Times New Roman" w:cs="Times New Roman" w:eastAsia="Times New Roman" w:hAnsi="Times New Roman"/>
          <w:sz w:val="18"/>
          <w:szCs w:val="18"/>
          <w:color w:val="auto"/>
        </w:rPr>
        <w:t>” refers collectively to the Sponsors, the Founders, and the management and other equity holders who were the owners of ZoomInfo Holdings immediately prior to the Reorganization Transactions.</w:t>
      </w:r>
    </w:p>
    <w:p>
      <w:pPr>
        <w:spacing w:after="0" w:line="1"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Tax Receivable Agreement</w:t>
      </w:r>
      <w:r>
        <w:rPr>
          <w:rFonts w:ascii="Times New Roman" w:cs="Times New Roman" w:eastAsia="Times New Roman" w:hAnsi="Times New Roman"/>
          <w:sz w:val="18"/>
          <w:szCs w:val="18"/>
          <w:color w:val="auto"/>
        </w:rPr>
        <w:t>” refers to the Tax Receivable Agreement, and amendments thereto, entered into with the Pre-IPO Blocker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Reorganization Transactions</w:t>
      </w:r>
      <w:r>
        <w:rPr>
          <w:rFonts w:ascii="Times New Roman" w:cs="Times New Roman" w:eastAsia="Times New Roman" w:hAnsi="Times New Roman"/>
          <w:sz w:val="18"/>
          <w:szCs w:val="18"/>
          <w:color w:val="auto"/>
        </w:rPr>
        <w:t>” refers to the following transactions in connection with the IPO:</w:t>
      </w:r>
    </w:p>
    <w:p>
      <w:pPr>
        <w:spacing w:after="0" w:line="2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Holdings effected a four-for-one reverse unit split;</w:t>
      </w:r>
    </w:p>
    <w:p>
      <w:pPr>
        <w:spacing w:after="0" w:line="5" w:lineRule="exact"/>
        <w:rPr>
          <w:rFonts w:ascii="Times New Roman" w:cs="Times New Roman" w:eastAsia="Times New Roman" w:hAnsi="Times New Roman"/>
          <w:sz w:val="18"/>
          <w:szCs w:val="18"/>
          <w:color w:val="auto"/>
        </w:rPr>
      </w:pPr>
    </w:p>
    <w:p>
      <w:pPr>
        <w:jc w:val="both"/>
        <w:ind w:left="1280" w:hanging="320"/>
        <w:spacing w:after="0" w:line="245" w:lineRule="auto"/>
        <w:tabs>
          <w:tab w:leader="none" w:pos="127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ZoomInfo Intermediate Inc. formed a new merger subsidiary with respect to each of the Blocker Companies through which certain of our Pre-IPO Blocker Holders held their interests in ZoomInfo Holdings, each merger subsidiary merged with and into the respective Blocker Companies in reverse-subsidiary mergers, and the surviving entities merged with and into ZoomInfo Intermediate Inc. (such mergers, the “Blocker Mergers”), which Blocker Mergers resulted in the Pre-IPO Blocker Holders receiving a combination of (i) shares of Class C common stock of ZoomInfo Intermediate Inc. and (ii) a cash amount in respect of reductions in such Pre-IPO Blocker Holders’ equity interests, based on the initial offering price of our Class A common stock in the IPO;</w:t>
      </w:r>
    </w:p>
    <w:p>
      <w:pPr>
        <w:spacing w:after="0" w:line="4" w:lineRule="exact"/>
        <w:rPr>
          <w:rFonts w:ascii="Times New Roman" w:cs="Times New Roman" w:eastAsia="Times New Roman" w:hAnsi="Times New Roman"/>
          <w:sz w:val="18"/>
          <w:szCs w:val="18"/>
          <w:color w:val="auto"/>
        </w:rPr>
      </w:pPr>
    </w:p>
    <w:p>
      <w:pPr>
        <w:jc w:val="both"/>
        <w:ind w:left="1280" w:hanging="320"/>
        <w:spacing w:after="0" w:line="245" w:lineRule="auto"/>
        <w:tabs>
          <w:tab w:leader="none" w:pos="129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Pre-IPO Owners acquired interests in ZoomInfo HoldCo as a result of the merger of an entity that held Holdings LLC Units on behalf of such Pre-IPO Owners into ZoomInfo HoldCo (the “ZoomInfo HoldCo Contributions”) and the redemption of some Holdings LLC Units pursuant to which the holders of such Holdings LLC Units received HoldCo Units; and</w:t>
      </w:r>
    </w:p>
    <w:p>
      <w:pPr>
        <w:spacing w:after="0" w:line="2" w:lineRule="exact"/>
        <w:rPr>
          <w:rFonts w:ascii="Times New Roman" w:cs="Times New Roman" w:eastAsia="Times New Roman" w:hAnsi="Times New Roman"/>
          <w:sz w:val="18"/>
          <w:szCs w:val="18"/>
          <w:color w:val="auto"/>
        </w:rPr>
      </w:pPr>
    </w:p>
    <w:p>
      <w:pPr>
        <w:jc w:val="both"/>
        <w:ind w:left="1280" w:hanging="320"/>
        <w:spacing w:after="0" w:line="245" w:lineRule="auto"/>
        <w:tabs>
          <w:tab w:leader="none" w:pos="1276"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liability company agreement of each of ZoomInfo Holdings and ZoomInfo HoldCo was amended and restated to, among other things, modify their capital structure by reclassifying the interests held by the Pre-IPO OpCo Unitholders, the Continuing Class P Unitholders, and the Pre-IPO HoldCo Unitholders, resulting in Holdings LLC Units of ZoomInfo Holdings, Class P Units of ZoomInfo Holdings, and HoldCo Units of ZoomInfo HoldCo, respectively (such reclassification, the “Reclassification”).</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Sponsors</w:t>
      </w:r>
      <w:r>
        <w:rPr>
          <w:rFonts w:ascii="Times New Roman" w:cs="Times New Roman" w:eastAsia="Times New Roman" w:hAnsi="Times New Roman"/>
          <w:sz w:val="18"/>
          <w:szCs w:val="18"/>
          <w:color w:val="auto"/>
        </w:rPr>
        <w:t>” refers collectively to investment funds associated with TA Associates, The Carlyle Group, and 22C Capital LLC and its predecessors.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Receivable Agreements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TRAs</w:t>
      </w:r>
      <w:r>
        <w:rPr>
          <w:rFonts w:ascii="Times New Roman" w:cs="Times New Roman" w:eastAsia="Times New Roman" w:hAnsi="Times New Roman"/>
          <w:sz w:val="18"/>
          <w:szCs w:val="18"/>
          <w:color w:val="auto"/>
        </w:rPr>
        <w:t>” refers collectively to the Exchange Tax Receivable Agreement and the Reorganization Tax Receivable Agreement.</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HoldCo</w:t>
      </w:r>
      <w:r>
        <w:rPr>
          <w:rFonts w:ascii="Times New Roman" w:cs="Times New Roman" w:eastAsia="Times New Roman" w:hAnsi="Times New Roman"/>
          <w:sz w:val="18"/>
          <w:szCs w:val="18"/>
          <w:color w:val="auto"/>
        </w:rPr>
        <w:t>” refers to ZoomInfo Intermediate Holdings LLC, a Delaware limited liability company, and a direct subsidiary of ZoomInfo Intermediate Inc., prior to its merger with and into ZoomInfo Intermediate Inc., in August 2021.</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Holdings</w:t>
      </w:r>
      <w:r>
        <w:rPr>
          <w:rFonts w:ascii="Times New Roman" w:cs="Times New Roman" w:eastAsia="Times New Roman" w:hAnsi="Times New Roman"/>
          <w:sz w:val="18"/>
          <w:szCs w:val="18"/>
          <w:color w:val="auto"/>
        </w:rPr>
        <w:t>” refers to ZoomInfo Holdings LLC (formerly known as DiscoverOrg Holdings, LLC), a Delaware limited liability company, and a direct subsidiary of ZoomInfo Technologies Inc. and ZoomInfo Intermediate Inc.</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Intermediate</w:t>
      </w:r>
      <w:r>
        <w:rPr>
          <w:rFonts w:ascii="Times New Roman" w:cs="Times New Roman" w:eastAsia="Times New Roman" w:hAnsi="Times New Roman"/>
          <w:sz w:val="18"/>
          <w:szCs w:val="18"/>
          <w:color w:val="auto"/>
        </w:rPr>
        <w:t>” refers to ZoomInfo Intermediate Inc., a Delaware corporation, and a direct subsidiary of ZoomInfo Technologies Inc.</w:t>
      </w:r>
    </w:p>
    <w:p>
      <w:pPr>
        <w:spacing w:after="0" w:line="5"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ZoomInfo Tax Group</w:t>
      </w:r>
      <w:r>
        <w:rPr>
          <w:rFonts w:ascii="Times New Roman" w:cs="Times New Roman" w:eastAsia="Times New Roman" w:hAnsi="Times New Roman"/>
          <w:sz w:val="18"/>
          <w:szCs w:val="18"/>
          <w:color w:val="auto"/>
        </w:rPr>
        <w:t>” refers to, collectively, ZoomInfo Technologies Inc. or any member of its affiliated, consolidated, combined, or unitary tax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From time to time we make statements concerning our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This Annual Report on Form 10-K contains forward-looking statements that reflect our current views with respect to, among other things, our operations and financial performance. These forward-looking statements are included throughout this Annual Report on Form 10-K, including in the sections entitled “Business”, “Risk Factors”, and “Management’s Discussion and Analysis of Financial Condition and Results of Operations”, and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“believe”, “can”, “continue”, “could”, “estimate”, “expect”, “forecast”, “goal”, “intend”, “may”, “might”, “objective”, “outlook”, “plan”, “potential”, “predict”, “projection”, “seek”, “should”, “target”, “trend”, “will”, “would” or the negative version of these words or other comparable words.</w:t>
      </w:r>
    </w:p>
    <w:p>
      <w:pPr>
        <w:spacing w:after="0" w:line="14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have based our forward-looking statements on beliefs and assumptions based on information available to us at the time the statements are made. We caution you that assumptions, beliefs, expectations, intentions and projections about future events may, and often do, vary materially from actual results. Therefore, we cannot assure you that actual results will not differ materially from those expressed or implied by our forward-looking statements.</w:t>
      </w:r>
    </w:p>
    <w:p>
      <w:pPr>
        <w:spacing w:after="0" w:line="12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 summary of some of the factors that could cause actual results to differ from those expressed or implied by our forward-looking statements, including forward-looking statements contained in this Annual Report on Form 10-K, is provided below under “Risk Factor Summary.” These factors should not be construed as exhaustive and should be read in conjunction with this Annual Report on Form 10-K and our other filings with the Securities and Exchange Commission (“SEC”), including the other cautionary statements that are included herein or therein. Should one or more of these risks or uncertainties materialize, or should any of our assumptions prove incorrect, our actual results may vary in material respects from those projected in these forward-looking statements. Factors or events that could cause our actual results to differ may emerge from time to time, and it is not possible for us to predict all of them. Our forward-looking statements do not reflect the potential impact of any future acquisitions, mergers, dispositions, joint ventures, investments, or other strategic transactions we may make. You should not place undue reliance on our forward-looking statements.</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Each forward-looking statement speaks only as of the date of the particular statement, and we undertake no obligation to update or revise any forward-looking statements whether as a result of new information, future developments or otherwise, except as required by law.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53" w:lineRule="exact"/>
        <w:rPr>
          <w:sz w:val="20"/>
          <w:szCs w:val="20"/>
          <w:color w:val="auto"/>
        </w:rPr>
      </w:pPr>
    </w:p>
    <w:p>
      <w:pPr>
        <w:jc w:val="both"/>
        <w:ind w:firstLine="318"/>
        <w:spacing w:after="0" w:line="236" w:lineRule="auto"/>
        <w:rPr>
          <w:sz w:val="20"/>
          <w:szCs w:val="20"/>
          <w:color w:val="auto"/>
        </w:rPr>
      </w:pPr>
      <w:r>
        <w:rPr>
          <w:rFonts w:ascii="Times New Roman" w:cs="Times New Roman" w:eastAsia="Times New Roman" w:hAnsi="Times New Roman"/>
          <w:sz w:val="18"/>
          <w:szCs w:val="18"/>
          <w:color w:val="auto"/>
        </w:rPr>
        <w:t>We are subject to various risks that could have a material adverse impact on our business, financial position, results of operations or cash flows. The following is a summary of the principal factors that make investing in our securities risky and may cause our actual results to differ materially from historical results and those expressed in forward-looking statements included in this Annual Report on Form 10-K, or otherwise made by us or on our behalf, in filings with the SEC, press releases, communications with investors and oral statements. The following is only a summary of the principal risks that may have a material adverse effect on our business, financial condition, results of operations and cash flows and should be read in conjunction with the more complete discussion of the risk factors we face, which are set forth in the section entitled “Risk Factors” in Part I, Item 1A in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168" w:lineRule="exact"/>
        <w:rPr>
          <w:sz w:val="20"/>
          <w:szCs w:val="20"/>
          <w:color w:val="auto"/>
        </w:rPr>
      </w:pPr>
    </w:p>
    <w:p>
      <w:pPr>
        <w:ind w:left="640" w:hanging="316"/>
        <w:spacing w:after="0" w:line="257"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customers may reduce spending on sales, marketing, recruiting and other technology and information as a result of weaker economic conditions, which could harm our revenue, results of operations, and cash flows;</w:t>
      </w:r>
    </w:p>
    <w:p>
      <w:pPr>
        <w:ind w:left="640" w:hanging="316"/>
        <w:spacing w:after="0" w:line="24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attract new customers, renew existing subscriptions, expand existing subscriptions, and collect revenue from our customers, which could harm our revenue growth, cash flows, and profitability;</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not able to obtain and maintain accurate, comprehensive, or reliable data, we could experience reduced demand for our products and services and have an adverse effect on our business, results of operations, and financial condition;</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including various small and medium-sized businesses who focus on B2B sales and marketing intelligence, have become, and larger and better-funded companies with significant resources may shift their existing business models to become, more competitive with us;</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experience competition from other companies and technologies that allow companies to gather and aggregate sales, marketing, recruiting, and other data, and competing products and services could provide greater appeal to customers;</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and the markets in which we compete are, rapidly evolving, including with respect to AI and AI-enabled products, which make it difficult to forecast demand for our services;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platform integrates or otherwise works with third-party systems that we do not control;</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could be negatively affected by changes in search engine algorithms and dynamics or other traffic-generating arrangements;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executive officers and other key employees, and the loss of or inability to attract, integrate, and retain these and other highly skilled employees could harm our business;</w:t>
      </w:r>
    </w:p>
    <w:p>
      <w:pPr>
        <w:spacing w:after="0" w:line="1"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upgrade, or implement adequate operational and financial resources, including our IT systems, we may be unable to execute our business plan; and</w:t>
      </w:r>
    </w:p>
    <w:p>
      <w:pPr>
        <w:spacing w:after="0" w:line="1"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successfully integrate acquired businesses, services, databases, and technologies into our operations, which could have an adverse effect on our business.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Privacy, Technology, and Security</w:t>
      </w:r>
    </w:p>
    <w:p>
      <w:pPr>
        <w:spacing w:after="0" w:line="168" w:lineRule="exact"/>
        <w:rPr>
          <w:sz w:val="20"/>
          <w:szCs w:val="20"/>
          <w:color w:val="auto"/>
        </w:rPr>
      </w:pPr>
    </w:p>
    <w:p>
      <w:pPr>
        <w:jc w:val="both"/>
        <w:ind w:left="640" w:hanging="316"/>
        <w:spacing w:after="0" w:line="253"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ind w:left="640" w:hanging="316"/>
        <w:spacing w:after="0" w:line="24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for any variety of claims, which could harm our reputation and adversely affect our business, results of operations, and financial condition;</w:t>
      </w:r>
    </w:p>
    <w:p>
      <w:pPr>
        <w:spacing w:after="0" w:line="1" w:lineRule="exact"/>
        <w:rPr>
          <w:rFonts w:ascii="Times New Roman" w:cs="Times New Roman" w:eastAsia="Times New Roman" w:hAnsi="Times New Roman"/>
          <w:sz w:val="18"/>
          <w:szCs w:val="18"/>
          <w:color w:val="auto"/>
        </w:rPr>
      </w:pPr>
    </w:p>
    <w:p>
      <w:pPr>
        <w:jc w:val="both"/>
        <w:ind w:left="640" w:hanging="316"/>
        <w:spacing w:after="0" w:line="245"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or changing laws and regulations may diminish the demand for our platform, restrict access to our platform, constrain the range of services we can provide, or require us to disclose or provide access to information in our possession, which could harm our business, results of operations, and financial condition;</w:t>
      </w:r>
    </w:p>
    <w:p>
      <w:pPr>
        <w:spacing w:after="0" w:line="2"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adequately protect or enforce our proprietary and intellectual property rights in our data or technology;</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our artificial intelligence (“AI”) capability introduces risks, which, if realized, could adversely impact our business;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Third-parties could use our products and services in a manner that is unlawful or contrary to our values or applicable law;</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and security vulnerabilities could result in serious harm to our reputation, business, and financial condition; and</w:t>
      </w:r>
    </w:p>
    <w:p>
      <w:pPr>
        <w:spacing w:after="0" w:line="5" w:lineRule="exact"/>
        <w:rPr>
          <w:rFonts w:ascii="Times New Roman" w:cs="Times New Roman" w:eastAsia="Times New Roman" w:hAnsi="Times New Roman"/>
          <w:sz w:val="18"/>
          <w:szCs w:val="18"/>
          <w:color w:val="auto"/>
        </w:rPr>
      </w:pPr>
    </w:p>
    <w:p>
      <w:pPr>
        <w:jc w:val="both"/>
        <w:ind w:left="640" w:hanging="316"/>
        <w:spacing w:after="0" w:line="248" w:lineRule="auto"/>
        <w:tabs>
          <w:tab w:leader="none" w:pos="6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Technical problems or disruptions that affect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Financial, Accounting and Credit Matters</w:t>
      </w:r>
    </w:p>
    <w:p>
      <w:pPr>
        <w:spacing w:after="0" w:line="168" w:lineRule="exact"/>
        <w:rPr>
          <w:sz w:val="20"/>
          <w:szCs w:val="20"/>
          <w:color w:val="auto"/>
        </w:rPr>
      </w:pPr>
    </w:p>
    <w:p>
      <w:pPr>
        <w:ind w:left="640" w:hanging="316"/>
        <w:spacing w:after="0" w:line="257"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generate revenue from sales of subscriptions to our platform and data, and any decline in demand for the types of products and services we offer would negatively impact our business;</w:t>
      </w:r>
    </w:p>
    <w:p>
      <w:pPr>
        <w:ind w:left="640" w:hanging="316"/>
        <w:spacing w:after="0" w:line="24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Downturns or upturns in new sales and renewals are not immediately reflected in full within our results of operations;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anticipate increasing operating expenses in the future, and we may not be able to maintain profitability;</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We have a substantial amount of debt, which could adversely affect our financial position and our ability to raise additional capital and prevent us from fulfilling our obligations;</w:t>
      </w:r>
    </w:p>
    <w:p>
      <w:pPr>
        <w:spacing w:after="0" w:line="1" w:lineRule="exact"/>
        <w:rPr>
          <w:rFonts w:ascii="Times New Roman" w:cs="Times New Roman" w:eastAsia="Times New Roman" w:hAnsi="Times New Roman"/>
          <w:sz w:val="18"/>
          <w:szCs w:val="18"/>
          <w:b w:val="1"/>
          <w:bCs w:val="1"/>
          <w:i w:val="1"/>
          <w:iCs w:val="1"/>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generate sufficient cash to service all of our indebtedness;</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may affect our results of operations and financial condition; and</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credit and other ratings could adversely impact our operations and lower our profitability.</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Taxation</w:t>
      </w:r>
    </w:p>
    <w:p>
      <w:pPr>
        <w:spacing w:after="0" w:line="168" w:lineRule="exact"/>
        <w:rPr>
          <w:sz w:val="20"/>
          <w:szCs w:val="20"/>
          <w:color w:val="auto"/>
        </w:rPr>
      </w:pPr>
    </w:p>
    <w:p>
      <w:pPr>
        <w:ind w:left="640" w:hanging="316"/>
        <w:spacing w:after="0" w:line="257"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 multinational organization faced with increasingly complex tax issues in many jurisdictions, and global tax developments may have a material impact to our business, cash flows, tax liabilities and results of operations;</w:t>
      </w:r>
    </w:p>
    <w:p>
      <w:pPr>
        <w:ind w:left="640" w:hanging="316"/>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changes in our effective tax rate and additional tax liabilities may impact our financial results;</w:t>
      </w:r>
    </w:p>
    <w:p>
      <w:pPr>
        <w:spacing w:after="0" w:line="5" w:lineRule="exact"/>
        <w:rPr>
          <w:rFonts w:ascii="Times New Roman" w:cs="Times New Roman" w:eastAsia="Times New Roman" w:hAnsi="Times New Roman"/>
          <w:sz w:val="18"/>
          <w:szCs w:val="18"/>
          <w:color w:val="auto"/>
        </w:rPr>
      </w:pPr>
    </w:p>
    <w:p>
      <w:pPr>
        <w:ind w:left="640" w:hanging="316"/>
        <w:spacing w:after="0" w:line="24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regulations in the various jurisdictions in which we operate could increase the cost of our products and services and adversely impact our business; and</w:t>
      </w:r>
    </w:p>
    <w:p>
      <w:pPr>
        <w:spacing w:after="0" w:line="1" w:lineRule="exact"/>
        <w:rPr>
          <w:rFonts w:ascii="Times New Roman" w:cs="Times New Roman" w:eastAsia="Times New Roman" w:hAnsi="Times New Roman"/>
          <w:sz w:val="18"/>
          <w:szCs w:val="18"/>
          <w:color w:val="auto"/>
        </w:rPr>
      </w:pPr>
    </w:p>
    <w:p>
      <w:pPr>
        <w:ind w:left="640" w:hanging="316"/>
        <w:spacing w:after="0" w:line="25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of operations may be adversely affected if we are required to collect sales or other related taxes for purchases of our products and services in jurisdictions where we have not historically done so.</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Geopolitical and Macroeconomic Factors</w:t>
      </w:r>
    </w:p>
    <w:p>
      <w:pPr>
        <w:spacing w:after="0" w:line="168" w:lineRule="exact"/>
        <w:rPr>
          <w:sz w:val="20"/>
          <w:szCs w:val="20"/>
          <w:color w:val="auto"/>
        </w:rPr>
      </w:pPr>
    </w:p>
    <w:p>
      <w:pPr>
        <w:ind w:left="640" w:hanging="316"/>
        <w:spacing w:after="0"/>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and sales outside the United States expose us to risks inherent in international operations; and</w:t>
      </w:r>
    </w:p>
    <w:p>
      <w:pPr>
        <w:spacing w:after="0" w:line="24" w:lineRule="exact"/>
        <w:rPr>
          <w:rFonts w:ascii="Times New Roman" w:cs="Times New Roman" w:eastAsia="Times New Roman" w:hAnsi="Times New Roman"/>
          <w:sz w:val="18"/>
          <w:szCs w:val="18"/>
          <w:color w:val="auto"/>
        </w:rPr>
      </w:pPr>
    </w:p>
    <w:p>
      <w:pPr>
        <w:jc w:val="both"/>
        <w:ind w:left="640" w:hanging="316"/>
        <w:spacing w:after="0" w:line="248" w:lineRule="auto"/>
        <w:tabs>
          <w:tab w:leader="none" w:pos="6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uncertainty and catastrophic events, including global pandemics, continued hostilities such as those between Russia and Ukraine, Israel and Hamas, as well as related and other conflicts due to rising tensions in the Middle East, have and may disrupt our business and adversely impact our business and future results of operations and financial condition.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Organizational Structure and Ownership of Our Common Stock</w:t>
      </w:r>
    </w:p>
    <w:p>
      <w:pPr>
        <w:spacing w:after="0" w:line="168" w:lineRule="exact"/>
        <w:rPr>
          <w:sz w:val="20"/>
          <w:szCs w:val="20"/>
          <w:color w:val="auto"/>
        </w:rPr>
      </w:pPr>
    </w:p>
    <w:p>
      <w:pPr>
        <w:ind w:left="640" w:hanging="316"/>
        <w:spacing w:after="0" w:line="257"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corporate structure and our tax receivable agreements may restrict our ability to make certain payments, increase the costs to consummate certain transactions, and limit our ability to realize the value of certain tax attributes; and</w:t>
      </w:r>
    </w:p>
    <w:p>
      <w:pPr>
        <w:ind w:left="640" w:hanging="31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our stockholders agreement have special rights and interests that may conflict with ours or yours in the future.</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 Disclosure</w:t>
      </w:r>
    </w:p>
    <w:p>
      <w:pPr>
        <w:spacing w:after="0" w:line="153" w:lineRule="exact"/>
        <w:rPr>
          <w:sz w:val="20"/>
          <w:szCs w:val="20"/>
          <w:color w:val="auto"/>
        </w:rPr>
      </w:pPr>
    </w:p>
    <w:p>
      <w:pPr>
        <w:jc w:val="both"/>
        <w:ind w:firstLine="318"/>
        <w:spacing w:after="0" w:line="235" w:lineRule="auto"/>
        <w:rPr>
          <w:sz w:val="20"/>
          <w:szCs w:val="20"/>
          <w:color w:val="auto"/>
        </w:rPr>
      </w:pPr>
      <w:r>
        <w:rPr>
          <w:rFonts w:ascii="Times New Roman" w:cs="Times New Roman" w:eastAsia="Times New Roman" w:hAnsi="Times New Roman"/>
          <w:sz w:val="18"/>
          <w:szCs w:val="18"/>
          <w:color w:val="auto"/>
        </w:rPr>
        <w:t>The Company intends to use its website as a distribution channel of material company information. Financial and other important information regarding the Company is routinely posted on and accessible through the Company’s website at https://ir.zoominfo.com. Accordingly, you should monitor the investor relations portion of our website at https://ir.zoominfo.com in addition to following our press releases, SEC filings, and public conference calls and webcasts (which are not incorporated herein or otherwise a part of this Annual Report on Form 10-K). In addition, you may automatically receive email alerts and other information about the Company when you enroll your email address by visiting the “Email Alerts” section of our investor relations page at https://ir.zoominfo.com. The information on or that can be accessed through our website is not incorporated herein or otherwise a part of this Annual Report on Form 10-K, and the inclusion of our website address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Market Data</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References to the Company being a leader in a market or product category, and the Company’s total addressable market size, refer to our belief that we have a leading market share position in each specified market and certain beliefs that we have about our market, respectively, unless the context otherwise requires, which are based upon our own analyses, industry and general publications, surveys and studies conducted by third parties, as the case may be. Industry and general publications, studies and surveys generally state that the information contained therein has been obtained from sources believed to be reliable, but the accuracy and completeness of such information, or the information that we have formulated based upon our own analysis is not guaranteed. The Company and/or these third parties may, in the future, alter the manner in which surveys and studies regarding the markets in which the Company operates are conducted. As a result, you should carefully consider the inherent risks and uncertainties associated with statements relating to industry and market positioning contained in this Annual Report on Form 10-K, including those discussed in Part I, Item 1A. “Risk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ZoomInfo is a global leader in modern go-to-market software, data, and intelligence for sales, marketing, operations, and recruiting teams. Our go-to-market intelligence platform empowers businesses with AI-ready insights, trusted data, and advanced automation providing sales, marketing, operations, and recruiting professionals accurate information and insights on the organizations and professionals they target. This enables our customers to shorten sales cycles and increase win rates by empowering sellers, marketers, and recruiters to efficiently deliver the right message to the right person at the right time in the right way.</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ZoomInfo is the modern go-to-market intelligence platform, consisting of three distinct layers that build upon each other:</w:t>
      </w:r>
    </w:p>
    <w:p>
      <w:pPr>
        <w:spacing w:after="0" w:line="162" w:lineRule="exact"/>
        <w:rPr>
          <w:sz w:val="20"/>
          <w:szCs w:val="20"/>
          <w:color w:val="auto"/>
        </w:rPr>
      </w:pPr>
    </w:p>
    <w:p>
      <w:pPr>
        <w:ind w:left="640" w:hanging="316"/>
        <w:spacing w:after="0" w:line="27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Intelligence Layer </w:t>
      </w:r>
      <w:r>
        <w:rPr>
          <w:rFonts w:ascii="Times New Roman" w:cs="Times New Roman" w:eastAsia="Times New Roman" w:hAnsi="Times New Roman"/>
          <w:sz w:val="18"/>
          <w:szCs w:val="18"/>
          <w:color w:val="auto"/>
        </w:rPr>
        <w:t>is the foundation of our data-driven strategy. Our best-in-class data, curated through first- and third-party sources,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billions of data points about companies and contacts, such as intent, hierarchy, location, and financial information.</w:t>
      </w:r>
    </w:p>
    <w:p>
      <w:pPr>
        <w:spacing w:after="0" w:line="106"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Orchestration Layer </w:t>
      </w:r>
      <w:r>
        <w:rPr>
          <w:rFonts w:ascii="Times New Roman" w:cs="Times New Roman" w:eastAsia="Times New Roman" w:hAnsi="Times New Roman"/>
          <w:sz w:val="18"/>
          <w:szCs w:val="18"/>
          <w:color w:val="auto"/>
        </w:rPr>
        <w:t>integrates and enriches our data sources. At this stage, our products assign and route data, leads, and insights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people. This creates a dataset that is continuously updated and can be used to power automated business workflows. Our services connect with major CRM system providers enabling sales operations professionals to access a suite of products, services, and solutions to ingest, match, enrich, and connect data feeds into multiple systems.</w:t>
      </w:r>
    </w:p>
    <w:p>
      <w:pPr>
        <w:spacing w:after="0" w:line="123"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Engagement Layer </w:t>
      </w:r>
      <w:r>
        <w:rPr>
          <w:rFonts w:ascii="Times New Roman" w:cs="Times New Roman" w:eastAsia="Times New Roman" w:hAnsi="Times New Roman"/>
          <w:sz w:val="18"/>
          <w:szCs w:val="18"/>
          <w:color w:val="auto"/>
        </w:rPr>
        <w:t>allows sales, marketing, operations, and recruiting professionals to put data-driven insights into action to identify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communicate with prospects and customers. Go-to-market professionals use our engagement layer for multi-touch and multi-channel sales engagement, web meeting recording, transcription, insight generation, and coaching. Marketers drive awareness, lead generation, and deal acceleration campaigns through account-based marketing, advertising, and onsite conversion optimization solutions including chat functionality. Recruiters and talent acquisition professionals can locate and reach more better suited candidates, use pipeline management tools to collaborate and organize the hiring process, and automate aspects of the candidate outreach process by more efficiently finding and engaging candidates.</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able to deliver high-quality intelligence at scale by leveraging an artificial intelligence (“AI”) and machine learning (“ML”) powered engine that gathers data from millions of sources and standardizes, matches to entities, verifies, cleans, and applies the processed data to companies and people at scale. This data engine along with our team of research analysts and data scientists enrich our platform by providing deep insights. Our customers access insights directly in our platform and can also integrate our data and insights directly into their CRM system or sales and marketing automation systems, to improve their existing go-to-market processes.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Platform</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modern, cloud-based operating system for revenue professionals delivers comprehensive and high-quality intelligence and analytics to provide sales, marketing, operations, and recruiting professionals accurate information and insights on the organizations and professionals they target.</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enhance the breadth of this intelligence with deep insights, such as personnel moves, pain points, or planned investments, technologies used by companies, intent signals, decision-maker contact information, advanced attributes (such as time series growth, granular department and location information, and employee trends), organizational charts, news and events, hierarchy information, locations, and funding details. All of this can be integrated directly into our customers’ CRM and sales and marketing automation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360-degree view of key business insights provides detailed understanding, and coupled with our analytics, shortens sales cycles and increases win rates by enabling sellers, marketers, and recruiters to deliver the right message, to the right person, at the right time, in the right way. Our intelligence is kept up-to-date in real time. This is accomplished through a combination of robust systems and processes leveraging AI, ML, and our proprietary human-in-the-loop approach.</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Data Engine</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deliver high-quality intelligence at scale by leveraging an AI and ML-powered engine that gathers data from millions of sources and standardizes, matches to entities, verifies, cleans, and applies the processed data to companies and people at scale. We aggregate and extract distinct types of data, such as revenue, locations, technologies, keywords, contact information, including email addresses, titles, and phone numbers, and many others, from millions of public and proprietary sources. Our evidence-based ML algorithm scores, ranks, and makes determinations about these billions of data points each week. To help train our AI and ML technologies and augment our contributory network, we have a team of research analysts and data scientists with deep expertise in cleaning business-to-business data. This human-in-the-loop team plays a strategic role, focusing on quality assurance and addressing data and intelligence gaps that technology alone cannot solve. We have processes in place to use our research team to tag anomalies in data, review data pieces that require another manual verification, identify patterns to transform this understanding into algorithms, and identify methods to automate data gathering. We are able to provide a contractual guarantee of the accuracy of certain data points as a result of our focus on quality.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Competition</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believe there are currently no competitors who offer a sales, marketing, operations, and recruiting intelligence platform as comprehensive as ours. We are able to provide revenue improvement; accurate and comprehensive data coverage; unique data points to leverage insights; and a platform that can be integrated and automated with a variety of CRM, marketing, operations, or recruiting platforms. In limited circumstances, we will see other vendors that focus on specific use-cases, niche end-markets, or leveraging legacy and/or inaccurate data sets try to compete in potential deals. These potential competitors include LinkedIn Sales Navigator, D&amp;B Hoovers, and TechTarget.</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the principal factors that drive competition between vendors in the market include:</w:t>
      </w:r>
    </w:p>
    <w:p>
      <w:pPr>
        <w:spacing w:after="0" w:line="164" w:lineRule="exact"/>
        <w:rPr>
          <w:sz w:val="20"/>
          <w:szCs w:val="20"/>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comprehensive platform offering;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and accuracy of data;</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data;</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use and deployment;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tangible benefits relative to pricing and ROI for customers;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privacy and security;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integrate with customers’ CRM and sales and marketing automation systems;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sophistication of solutions used to manage, maintain, and combine intelligence.</w:t>
      </w:r>
    </w:p>
    <w:p>
      <w:pPr>
        <w:spacing w:after="0" w:line="164" w:lineRule="exact"/>
        <w:rPr>
          <w:sz w:val="20"/>
          <w:szCs w:val="20"/>
          <w:color w:val="auto"/>
        </w:rPr>
      </w:pPr>
    </w:p>
    <w:p>
      <w:pPr>
        <w:ind w:firstLine="318"/>
        <w:spacing w:after="0" w:line="304" w:lineRule="auto"/>
        <w:rPr>
          <w:sz w:val="20"/>
          <w:szCs w:val="20"/>
          <w:color w:val="auto"/>
        </w:rPr>
      </w:pPr>
      <w:r>
        <w:rPr>
          <w:rFonts w:ascii="Times New Roman" w:cs="Times New Roman" w:eastAsia="Times New Roman" w:hAnsi="Times New Roman"/>
          <w:sz w:val="17"/>
          <w:szCs w:val="17"/>
          <w:color w:val="auto"/>
        </w:rPr>
        <w:t>We believe we compete favorably across these factors. We have achieved a median sales cycle of less than 30 days from opportunity creation to close. For additional information regarding the competitive business conditions we face, see “Risk Factors” in Part I, Item 1A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Customers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large and diversified customer base spans a wide variety of industry verticals, including software, business services, manufacturing, telecommunications, financial services, media and internet, transportation, education, hospitality, insurance, and real estate. Our customers range from the largest global enterprises, to mid-market companies, down to small businesses. No single customer contributed more than 1% of revenue for the year ended December 31, 2024.</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sell access to our platform to both new and existing customers. We price our subscriptions based on the functionality, users, and records under management that are included in our contracts. Our core paid products are ZoomInfo Copilot, ZoomInfo Sales, ZoomInfo Marketing, ZoomInfo Operations, and ZoomInfo Talent (with add-on options for some products), and we have a free community edition, ZoomInfo Lite.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Protecting our intellectual property and proprietary technology is an important aspect of our business. We rely on a combination of patent, copyright, trademark and trade secret laws in the United States and other jurisdictions, as well as written agreements and other contractual provisions, to protect our proprietary technology, processes, and other intellectual property.</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own a number of patents, registered trademarks (including ZOOMINFO and DISCOVERORG, among others), and copyrights in the United States.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have a portfolio of registered domain names (including zoominfo.com) for websites that we use in our business.</w:t>
      </w:r>
    </w:p>
    <w:p>
      <w:pPr>
        <w:spacing w:after="0" w:line="1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addition, we generally enter into confidentiality agreements and invention or work product assignment agreements with employees and contractors involved in the development of our proprietary intellectual property.</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intend to pursue additional intellectual property protection to the extent we believe it would be beneficial and cost-effective.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Privacy and Protection</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business contact information and other data we collect and process are an integral part of our products and services. Our respect for laws and regulations regarding the collection and processing of personal data underlies our commitment to stringent compliance standards as well as our strategy to improve our customer experience and build trust. Our privacy team is devoted to processing and fulfilling any requests regarding access to and deletion of their contact information in our platform. In particular, we have developed a “Trust Center” on our website as a one-stop-shop for any person to submit access requests, request opt-out, or delete their information from our database. We have implemented a program for providing direct notifications to individuals. In addition, we endeavor to honor opt-out requests across our entire database.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privacy and legal teams are focused on any applicable privacy laws and regulations and monitor changes to such laws and regulations with a view to implementing what we believe are best practices in the industry. Our sales, privacy, and data practices teams are well versed in helping customers and prospective customers navigate relevant privacy concerns and requirements with respect to our platform.</w:t>
      </w:r>
    </w:p>
    <w:p>
      <w:pPr>
        <w:spacing w:after="0" w:line="123"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For more information, please read “</w:t>
      </w:r>
      <w:r>
        <w:rPr>
          <w:rFonts w:ascii="Times New Roman" w:cs="Times New Roman" w:eastAsia="Times New Roman" w:hAnsi="Times New Roman"/>
          <w:sz w:val="18"/>
          <w:szCs w:val="18"/>
          <w:i w:val="1"/>
          <w:iCs w:val="1"/>
          <w:color w:val="auto"/>
        </w:rPr>
        <w:t>Risk Factors – Risks Related to Privacy, Technology, and Security - Changes in laws, regulations, and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 </w:t>
      </w:r>
      <w:r>
        <w:rPr>
          <w:rFonts w:ascii="Times New Roman" w:cs="Times New Roman" w:eastAsia="Times New Roman" w:hAnsi="Times New Roman"/>
          <w:sz w:val="18"/>
          <w:szCs w:val="18"/>
          <w:color w:val="auto"/>
        </w:rPr>
        <w:t>in Part I, Item 1A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2024, we had 3,508 employees, consisting of 697 in cost of service, 1,513 in sales and marketing, 832 in research and development, and 466 in general and administrative. Of these, 73% of our employees were located in North America, while 10%, 14%, 3%, were located in the Middle East, Asia, and Europe, respectively.</w:t>
      </w:r>
    </w:p>
    <w:p>
      <w:pPr>
        <w:spacing w:after="0" w:line="125"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We believe in the power of the team. Winning teams look for the best talent, regardless of background. We know that employees are our greatest asset, and we are proud of the culture that we foster in our workplaces.</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January 2025, we recommitted to being a signatory to the United Nations Global Compact, a global initiative that calls on companies to align their business practices with ten principles related to human rights, labor, environment, and anti-corruption.</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2023, we publicly committed to the California Equal Pay Pledge, ensuring that fair and equitable pay, regardless of race or gender is a normal business imperative. We also signed the Anti-Defamation League's Pledge to Fight Antisemitism.</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2024, approximately 28% of our U.S. workforce self-identified in one or more of the following groups: Black or African American, Hispanic or Latinx, Asian, Native American or Alaska Native, Native Hawaiian or Pacific Islander or Two or More Races or Ethnicities. In addition, 33% of the Company’s U.S. workforce identified as female and less than 1% identified as not specified.</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Compensation Committee of our Board of Directors reviews and oversees our incentive compensation plans, while the Nominating and Corporate Governance Committee of our Board of Directors oversees and approves the management continuity planning process.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Safety, and Wellness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aim to offer fair compensation and benefits that encourage employee well-being, as well as attract and retain top talent. Our compensation packages provide a competitive salary and bonus, medical, dental, vision, retirement benefits, and generous paid time off.</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believe that in-person connections are fundamental to cross-functional partnerships, driving innovation, facilitating professional growth, and establishing critical relationships. The pandemic has brought about unexpected changes to the global workforce, and we have adopted a hybrid model. This model allows employees who are assigned to an office to split their time between working at the office and at home.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Training and Development</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Ensuring our employees have access to development opportunities and understand how to grow their career at ZoomInfo is a key tenet of our talent and engagement practices. As part of our efforts, we invest in robust learning offerings for all employees, consisting of both online courses and live training on a variety of topics (with targeted learning programs for individual contributors and leaders). To enable continuous development, growth, and recognition, we also run a comprehensive annual performance and talent review process, which enables professional development of our employees to drive their professional development in a way that also aligns with our company objectives and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primary website address is https://www.zoominfo.com. Our Annual Report on Form 10-K, Quarterly Reports on Form 10-Q, Current Reports on Form 8-K, and other filings with the SEC, and all amendments to these filings, can be obtained free of charge from our website at http://ir.zoominfo.com/financial-information/sec-filings or by contacting our Investor Relations department at our office address listed above following our filing of any of these reports with the SEC. The SEC maintains an internet site that contains reports, proxy and information statements and other information regarding issuers that file electronically with the SEC at www.sec.gov. The contents of these websites are not incorporated into this filing. Further, the Company’s references to the URLs for these websites are intended to be inactive textual references only.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We are subject to various risks that could have a material adverse impact on our business, financial position, results of operations, or cash flows. Although it is not possible to predict or identify all such risks and uncertainties, they may include, but are not limited to, the factors discussed below. The risks described herein are not the only risks we may face. Additional risks and uncertainties not currently known to us or that we currently deem to be immaterial may also materially adversely affect our business, financial position, results of operations or cash flows. You should carefully review the information provided in this section before making an investment in our Company.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current and potential customers may reduce spending on sales, marketing, recruiting and other technology and information as a result of weaker economic conditions, which could harm our revenue, results of operations, and cash flows.</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revenue, results of operations, and cash flows depend on the overall demand for and use of technology and information for sales, marketing, and recruiting professionals, which depends in part on the amount of spending allocated by our customers or potential customers for professionals engaged in such activities. This spending depends on various factors, including, but not limited to, macroeconomic and geopolitical conditions. Accordingly, the effect of significant macroeconomic and geopolitical downturns, including falling demand for a variety of goods and services, inflation (including wage inflation), labor market constraints, higher interest rates, liquidity constraints, volatility in credit, equity, and foreign exchange markets, bankruptcies, global pandemics, wars, trade tensions, and catastrophic events, could impact the demand for and use of our products. Market volatility, decreased consumer confidence, and diminished growth expectations in both the U.S. and global economy as a result of the foregoing events, or other unforeseen events, may affect the rate of information technology (“IT”) spending and adversely affect our current and potential customers’ ability or willingness to renew or expand subscriptions or purchase our services, delay prospective customers’ purchasing decisions and thereby elongate our sales cycles, reduce the value or duration of their subscription contracts, or affect attrition rates, all of which could adversely affect our future sales and operating results. Weaker economic conditions can result in customers seeking to utilize free or lower-cost information or services that are available from alternative sources. Prolonged economic slowdowns may result in requests to renegotiate existing contracts on less advantageous terms to us than those currently in place, payment defaults on existing contracts, elongated sales cycles resulting in delays and increased sales costs, or non-renewal at the end of a contract term.</w:t>
      </w:r>
    </w:p>
    <w:p>
      <w:pPr>
        <w:spacing w:after="0" w:line="13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as part of our growth strategy, we are seeking to expand our enterprise customer base, which presents additional risks and challenges, including, but not limited to, longer and more complex average sales cycles and significant investments in sales talent, product capabilities, and operational infrastructure. Further, if the overall demand for and use of technology and information for sales, marketing, and recruiting professionals declines, or if there is a general decline of macroeconomic conditions, our revenue and cash flows may decline or grow less quickly than anticipated,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unable to attract new customers, renew existing subscriptions, expand subscriptions of current customers, and collect revenue from our customers, which could harm our revenue growth, cash flows, and profitability.</w:t>
      </w:r>
    </w:p>
    <w:p>
      <w:pPr>
        <w:spacing w:after="0" w:line="10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To increase our revenue and cash flows, and to achieve and maintain profitability, we must attract new customers, renew existing subscriptions, grow the subscriptions of existing customers, and collect revenue from our customers. Our go-to-market efforts are intended to identify and attract prospective customers and convert them into paying customers. In addition, we seek to renew existing subscriptions and expand existing customer subscriptions by adding new users, additional data entitlements, or additional products or services, including through expanding the adoption of our platform into other departments of our existing customers. We cannot predict with any certainty whether we will continue to achieve similar client acquisition and customer subscription renewal and growth rates in the future as we have in the past, in particular as it relates to attracting new, and retaining existing, enterprise customers.</w:t>
      </w:r>
    </w:p>
    <w:p>
      <w:pPr>
        <w:spacing w:after="0" w:line="116" w:lineRule="exact"/>
        <w:rPr>
          <w:sz w:val="20"/>
          <w:szCs w:val="20"/>
          <w:color w:val="auto"/>
        </w:rPr>
      </w:pPr>
    </w:p>
    <w:p>
      <w:pPr>
        <w:jc w:val="both"/>
        <w:ind w:firstLine="318"/>
        <w:spacing w:after="0" w:line="262" w:lineRule="auto"/>
        <w:rPr>
          <w:sz w:val="20"/>
          <w:szCs w:val="20"/>
          <w:color w:val="auto"/>
        </w:rPr>
      </w:pPr>
      <w:r>
        <w:rPr>
          <w:rFonts w:ascii="Times New Roman" w:cs="Times New Roman" w:eastAsia="Times New Roman" w:hAnsi="Times New Roman"/>
          <w:sz w:val="17"/>
          <w:szCs w:val="17"/>
          <w:color w:val="auto"/>
        </w:rPr>
        <w:t>Numerous factors may impede our ability to add new customers, renew and grow existing customer subscriptions, and collect revenue from our customers, including, but not limited to, our ability to continually enhance and improve our platform and the features, integrations, and capabilities we offer, and to introduce compelling new features, integrations, and capabilities to our products and services; our customers’ creditworthiness and our ability to timely manage the collection of accounts receivable; our ability to maintain our strong brand recognition and reputation as a leader in modern go-to-market software, data, and intelligence; our failure to attract and effectively train new sales and marketing personnel despite increasing our sales efforts; our failure to retain and motivate our current sales and marketing personnel; our ability to develop or expand relationships with partners; our failure to provide quality customer experience, including our ability to provide effective training and educational support to enable our customers to maximize the utility of our platform; customer consolidation or decreases in the number of users at the organization; our pricing or pricing structure; the pricing or capabilities of the products and services offered by our competitors; failure to diversify our customer base across industries, geographies and among enterprise, mid-market, and small business customers; failure to expand our sales and operations outside the United States, or if we experience challenges expanding or operating internationally; or our ability to ensure the effectiveness of our go-to-market programs. Additionally, during the second quarter of 2024, we deployed a new business risk model to flag and require upfront pre-payment from prospects at the greatest risk of non-payment. While this model is intended to mitigate the risk of non-payment and reduce future write-offs, it could limit our total addressable market by excluding potential customers. If our model inaccurately assesses risk or fails to properly balance risk mitigation with growth opportunities, our financial performance and competitive position may be adversely affected. Additionally, increasing our sales to large organizations (both existing and prospective customers) across various industries requires increasingly sophisticated and costly sales and account management efforts targeted at senior management and other personnel. Further, sales to large organizations often require longer sales cycles. If our efforts to sell to organizations are not successful, do not generate additional revenue, or require longer periods to realize revenue, then our business will suffer. If customers do not renew their subscriptions or renew on less favorable terms, including, but not limited to, price compressions, or fail to add more users, if we fail to expand subscriptions of existing customers, or if we fail to collect on our accounts receivable, our revenue and cash flows may decline or grow less quickly than anticipated, which would harm our business, results of operations,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and maintain accurate, comprehensive, or reliable data, we could experience reduced demand for our products and services and have an adverse effect on our business, results of operations, and financial condition.</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success depends on our customers’ confidence in the depth, breadth, and accuracy of our data. The task of establishing and maintaining accurate data is challenging and expensive. The depth, breadth, and accuracy of our data differentiates us from our competitors. Our standard contract with customers includes a quality guarantee pursuant to which a customer would have the right to terminate its subscription and we could be obligated to reimburse certain payments if the accuracy of our data were to fall below a certain threshold. If our data, including the data we obtain from third parties and our data extraction, cleaning, and insights, are not current, accurate, comprehensive, or reliable, or is otherwise actually, or perceived to be, of a lower standard than our competitors, it would increase the likelihood of negative customer experiences, which in turn would reduce the likelihood of customers renewing or upgrading their subscriptions and harm our reputation, making it more difficult to obtain new customers. In addition, if we are no longer able to maintain our high level of accuracy, we may face reimbursement or legal claims by our customers which could have an adverse effect on our business, results of operations, and financial condition.</w:t>
      </w:r>
    </w:p>
    <w:p>
      <w:pPr>
        <w:spacing w:after="0" w:line="13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also have a number of sources contributing to the depth, breadth, and accuracy of the data on our platform including our contributory network. We provide a “freemium” product, ZoomInfo Lite, which provides users with a set amount of monthly credits to use to access our contact data and, if the user elects, they may also participate in our contributory network in order to receive additional monthly credits. Similarly, many of our paying customers participate in our contributory network to improve the quality of the data within their CRM and similar systems. ZoomInfo Lite users may cease to participate in our contributory network. Our paying customers, including those who have migrated from ZoomInfo Lite, may elect not to participate for various reasons, including their sensitivity to sharing information within our contributory network or their determination that the benefits from sharing do not outweigh the potential harm from sharing. If we are not able to attract new participants or maintain existing participants in our contributory network, our ability to effectively gather new data and update and maintain the accuracy of our database could be adversely affected. Additionally, state laws currently in effect and those coming into effect in 2025, as well as other legal and regulatory changes are making, or will make, it easier for individuals to opt-out of having their personal data collected and processed. Although we already honor opt-out requests globally, such legal and regulatory changes could increase public awareness of this option, resulting in higher rates of opting out. Third-party intermediaries have emerged, and may continue to emerge, that offer services enabling individuals to opt out of their personal data being collected at scale (i.e., from multiple platforms, including ours). Consequently, our ability to grow our business may be harmed and our results of operations and financial condition could suffer.</w:t>
      </w:r>
    </w:p>
    <w:p>
      <w:pPr>
        <w:spacing w:after="0" w:line="23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Other companies, including various small and medium-sized businesses who focus on B2B sales and marketing intelligence, have become, and larger and better-funded companies with significant resources may shift their existing business models to become, more competitive with us.</w:t>
      </w:r>
    </w:p>
    <w:p>
      <w:pPr>
        <w:spacing w:after="0" w:line="1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Companies in related industries, such as CRM, business software, or advertising, including Salesforce, Oracle, Google, or Microsoft/LinkedIn, may choose to compete with us in the B2B sales and marketing intelligence space and would immediately have access to greater resources and brand recognition. We cannot anticipate how rapidly such a potential competitor could create products or services that would take significant market share from us or even surpass our products or services in quality. If a large, well-funded competitor entered our space, it could reduce the demand for our products and services and reduce the amount we could demand for subscription renewals or upgrades from existing customers, and the amount we could demand from new subscribers to our products and services, reducing our revenue and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many of our potential competitors, particularly those with greater financial and operating resources, including larger sales and marketing budgets and resources, as well as small and medium-sized businesses who focus on B2B sales and marketing intelligence, may have the ability to respond more quickly and effectively than we can to new or changing opportunities, technologies, such as AI and ML, standards or customer requirements. Many of our potential competitors may have established relationships with independent software vendors, partners, and customers, greater customer experience resources, greater resources to make acquisitions, lower labor and development costs, larger and more mature intellectual property portfolios, and substantially greater financial, technical, and other resources. New competitors, mergers and acquisitions in the technology industry, or alliances among competitors may emerge and rapidly acquire significant market share due to these or other factors. Companies resulting from these possible consolidations may create more compelling product offerings and be able to offer more attractive pricing options, making it more difficult for us to compete effectively. As a result, even if our products and services are more effective than the products and services that our competitors offer, potential customers might select competitive products and services in lieu of our services.</w:t>
      </w:r>
    </w:p>
    <w:p>
      <w:pPr>
        <w:spacing w:after="0" w:line="24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experience competition from other companies and technologies that allow companies to gather and aggregate sales, marketing, recruiting, and other data, and competing products and services could provide greater appeal to our customers.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market for sales, marketing, and recruiting technology and data requires continuous innovation. It is highly competitive, rapidly evolving, and fragmented. There are low barriers to entry, shifting customer needs and strategies, and frequent introductions of new technologies and of new products and services. Many prospective customers have invested substantial resources to implement, and gained substantial familiarity with, competing solutions, and therefore may be reluctant or unwilling to migrate from their current solution to ours. Many prospective customers may not appreciate differences in quality between our products and services and those of lower-priced competitors, and many prospects and current customers may not learn the best ways to use our products and services, making them less likely to obtain them or renew their subscriptions. New technologies and products may be or become better or more attractive to current or prospective customers than our products and services in one or more ways. Many current or prospective customers may find competing products or services more attractive, and many may choose or switch to competing products even if we do our best to innovate and provide superior products and services.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current competitors include:</w:t>
      </w:r>
    </w:p>
    <w:p>
      <w:pPr>
        <w:spacing w:after="0" w:line="164" w:lineRule="exact"/>
        <w:rPr>
          <w:sz w:val="20"/>
          <w:szCs w:val="20"/>
          <w:color w:val="auto"/>
        </w:rPr>
      </w:pPr>
    </w:p>
    <w:p>
      <w:pPr>
        <w:ind w:left="640" w:hanging="316"/>
        <w:spacing w:after="0" w:line="274"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online and offline sources of information on companies and business professionals, including government records, telephone books, company websites, and open online databases of business professionals, such as LinkedIn;</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customers’ internal and homegrown business contact databases;</w:t>
      </w:r>
    </w:p>
    <w:p>
      <w:pPr>
        <w:spacing w:after="0" w:line="16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used in conjunction with the foregoing or when additionally providing third-party sales and marketing data, (i) predictive analytics and customer data platform technologies or (ii) sales and marketing vendors, which may specialize in appointment setting, online ad targeting, email marketing, or other outsource go-to-market functions;</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vendors of sales automation, conversation or other artificial intelligence, and chat software;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of third-party company attributes, technology attributes, and business contact information;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of online content consumption data for predictive sales and marketing analytics;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user-based networks of companies and/or business professionals.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These risks could be exacerbated by weak macroeconomic and geopolitical conditions (including due to global pandemics or such as those related to the Russia-Ukraine war, and the conflict between Israel and Hamas, including after giving effect to the proposed January 2025 armistice and any uncertainties that may arise during any stage of the three-phase cease-fire proposal, as well as related and other conflicts due to rising tensions in the Middle East) and lower customer spending on sales and marketing. Weakened macroeconomic and geopolitical conditions could also disproportionately increase the likelihood that any given current or prospective customer would choose a lower-price alternative even if our products or services are superior. Some current and potential customers, particularly large organizations, have elected in the past, and may elect in the future, to rely on internal and homegrown databases, develop, or acquire their own software, programs, tools, and internal data quality teams that would reduce or eliminate the demand for our products and services.</w:t>
      </w:r>
    </w:p>
    <w:p>
      <w:pPr>
        <w:spacing w:after="0" w:line="12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If we fail to respond to changes in data technology, competitors may be able to develop products and services that will take market share from us, and the demand for our products and services, the delivery of our products and services, or our market reputation could be adversely affected. If demand for our platform declines for any of these or other reasons, our business, results of operations, and financial condition could be adversely affected.</w:t>
      </w:r>
    </w:p>
    <w:p>
      <w:pPr>
        <w:spacing w:after="0" w:line="227"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is, and the markets in which we compete are, rapidly evolving, including with respect to AI and AI-enabled products, which make it difficult to forecast demand for our services.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markets in which we compete are rapidly evolving, accordingly our future financial performance will depend in large part on the allocation of spending in traditional software as a service (“SaaS”) products and our ability to adapt to new market demands. In recent years, an increasing number of customers have been allocating their spending toward AI, ML, and generative AI capabilities. The SaaS market for artificial intelligence, machine learning, and generative AI workloads is expected to be an intensely competitive and rapidly evolving market, and our future financial performance may depend on our ability to adapt to, and capture new spending, in this market. However, our estimates of the market opportunity, including our forecast of the demand for our products and our ability to capture new spending, are subject to significant uncertainty and are based on assumptions and estimates that may not prove to be accurate. In addition, if the markets in which we compete experience a shift in customer demand, or if customers in these markets focus their new spending on, or shift their existing spending to, public cloud solutions or other solutions that do not interoperate with our solutions more quickly or more extensively than expected, our solutions may not compete as effectively, if at all.</w:t>
      </w:r>
    </w:p>
    <w:p>
      <w:pPr>
        <w:spacing w:after="0" w:line="134"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Our increasing reliance on AI and ML technologies exposes us to additional risks and uncertainties. The development and deployment of AI capabilities, including our Copilot product and other AI-enabled features, involves complex technical challenges and substantial infrastructure investments. If our AI models produce inaccurate, biased, or unreliable outputs, or if we fail to properly train or maintain these models, it could harm our reputation and customer relationships. Additionally, the costs of AI infrastructure, including computing resources and specialized talent, may increase more rapidly than anticipated, potentially affecting our margins and profitability. While we aim to maintain leadership in AI-driven go-to-market solutions, the AI technology landscape is rapidly evolving and highly competitive, with both established companies and new entrants making significant investments in competing technologies.</w:t>
      </w:r>
    </w:p>
    <w:p>
      <w:pPr>
        <w:spacing w:after="0" w:line="11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If we are unable to meet the demands of a rapidly evolving market, including as it relates to our AI capabilities, or if our estimates of the market opportunity, including our forecast of the demand for our products proves to be incorrect, our revenue and cash flows may decline or grow less quickly than anticipated, and we may not be able to achieve a return on our investment in our AI and AI-enabled solutions, which could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platform integrates or otherwise works with third-party systems that we do not control.</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technologies that allow our platform to interoperate with various third-party applications (which we call “integrations”) are critically important to our business. Many of our customers use our integrations to access our data from within, or send data to, CRM, marketing automation, applicant tracking, sales enablement, and other systems, including Salesforce, Marketo, HubSpot, Microsoft Dynamics, Oracle Sales Cloud, and a variety of other commonly used tools. The functionality of these integrations depends upon access to these systems, which is not within our control. Some of our competitors own, develop, operate, or distribute CRM and similar systems or have material business relationships with companies that own, develop, operate, or distribute CRM and similar systems that our platform integrates into. Moreover, some of these competitors have inherent advantages developing products and services that more tightly integrate with their CRM and similar systems or those of their business partners.</w:t>
      </w:r>
    </w:p>
    <w:p>
      <w:pPr>
        <w:spacing w:after="0" w:line="13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Third-party systems are constantly evolving, and it is difficult to predict with certainty the challenges that we may encounter in developing our platform for use in conjunction with such third-party systems, including as it relates to any deficiencies caused by, or originated from, such third-party systems. We may not be able to modify our integrations to assure compatibility with the systems of other third parties following any of their changes to their systems. Some operators of CRM and similar systems may cease to permit our access or the integration of our platform to their systems. For example, if Salesforce were to refuse to permit our integration to access its APIs, this integration would not function, and our customers’ experience would be hampered. Accordingly, this could leave our customers without a convenient way to integrate our products and services with the CRM.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negatively affected by changes in search engine algorithms and dynamics or other traffic-generating arrangements.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rely heavily on internet search engines, such as Google, including through the purchase of sales and marketing-related keywords and the indexing of our public-facing directory pages and other web pages, to generate a significant portion of the traffic to our website. Search engines frequently update and change the logic that determines the placement and display of results of a user’s search, and our competitors may implement certain search engine optimization efforts, such that the purchased or algorithmic placement of links to our website can be negatively affected. In addition, a significant amount of traffic is directed to our website through participation in pay-per-click and display advertising campaigns on search engines, including Google. Pricing and operating dynamics for these traffic sources can change rapidly, both technically and competitively. Moreover, a search engine could, for competitive or other purposes, alter its search algorithms or results, which could cause a website to place lower in search query results or inhibit participation in the search query results. If a major search engine changes its algorithms or results in a manner that negatively affects the search engine ranking, paid or unpaid, of our website, or if competitive dynamics impact the costs or effectiveness of search engine optimization, search engine marketing or other traffic-generating arrangements in a negative manner, our business and financial performance would be adversely affected.</w:t>
      </w:r>
    </w:p>
    <w:p>
      <w:pPr>
        <w:spacing w:after="0" w:line="24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depend on our executive officers and other key employees, and the loss of one or more of these employees or an inability to attract, integrate, and retain these and other highly skilled employees could harm our business.</w:t>
      </w:r>
    </w:p>
    <w:p>
      <w:pPr>
        <w:spacing w:after="0" w:line="107"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Our success depends largely upon the continued services of our executive officers and other key employees, including newly hired personnel. We rely on our leadership team in the areas of research and development, operations, security, analytics, marketing, sales, customer experience, and general and administrative functions and on individual contributors in our research and development and operations. From time to time, there have been, and may continue to be, changes in our executive management team resulting from the hiring or departure of executives, which could disrupt our business. The loss of one or more of our executive officers or key employees could harm our business. Changes in our executive management team, or failure or delay in integrating new members of the executive management team and other key employees into our business, may also cause disruptions in, and harm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continues to be led by our CEO and co-founder, Henry Schuck, who plays an important role in driving the Company’s culture, determining the strategy, and executing against that strategy across the Company. If Mr. Schuck’s services became unavailable to the Company for any reason, it may be difficult or impossible for the Company to find an adequate replacement, which could cause us to be less successful in maintaining our culture and developing and effectively executing on our company strategies.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highly skilled personnel in our industry can be intense. Competitors for technical and sales talent increasingly seek to hire our employees, and the availability of flexible, hybrid, or work-from-home arrangements has both intensified and expanded competition. Our increased emphasis on in-office work and associated hiring plans may reduce the talent pools from which we recruit and can increase the difficulty of hiring the highest quality personnel in efficient timeframes.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Also, as we continue to grow, we face challenges of integrating, developing, training, and motivating our employee base, and maintaining our company culture around the world. If we fail to hire and retain highly skilled employees or fail to manage organizational change in a manner that preserves our efficacy and the key aspects of our corporate culture, the quality of our products and services may suffer, which could negatively affect our brand and reputation and harm our ability to attract users, employees, and organizations.</w:t>
      </w:r>
    </w:p>
    <w:p>
      <w:pPr>
        <w:spacing w:after="0" w:line="22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upgrade, or implement adequate operational and financial resources, including our IT systems, we may be unable to execute our business plan.</w:t>
      </w:r>
    </w:p>
    <w:p>
      <w:pPr>
        <w:spacing w:after="0" w:line="1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have experienced, and expect to continue to experience, growth, which has placed, and may continue to place, significant demands on our management and our operational and financial resources. One area of growth has been in the number of customers using our products and services and in the amount of data in our databases. In addition, our organizational structure has become more complex as we have scaled our operational, financial, and management controls, as well as our reporting systems and procedures, and expanded internationally.</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manage growth in our operations and personnel, we will need to continue to grow and improve our operational, financial, and management controls and our reporting systems and procedures, including our IT systems. We will continue to require significant capital expenditures and the allocation of valuable management resources to grow and change in these areas. Our expansion has placed, and our expected future growth will continue to place, a significant strain on our management, customer experience, research and development, sales and marketing, administrative, financial, and other resources.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anticipate that significant additional investments will be required to scale our operations and increase productivity, to address the needs of our customers, to further develop and enhance our products and services, to expand into new geographic areas and to scale with our overall growth. If additional investments are required due to significant growth, this will increase our cost base, which will make it more difficult for us to offset any future revenue shortfalls by reducing expenses in the short term.</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also depend on IT systems to operate our business, and issues with maintaining, upgrading or implementing these systems could have a material adverse effect on our business. Our business has grown and continues to grow in size and complexity, which places significant demands on our IT systems. To effectively manage this growth and to ensure interoperability of our IT systems, our information systems and applications require an ongoing commitment of significant resources to maintain, protect, enhance and upgrade existing systems and develop and implement new systems, some of which may be costly, to keep pace with changing technology and our business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If the information we rely upon to run our businesses were to be found to be inaccurate or unreliable, if we fail to maintain or protect our IT systems and data integrity effectively, if we fail to develop and implement new or upgraded systems to meet our business needs in a timely manner, or if we fail to anticipate, plan for or manage significant disruptions to these systems, our competitive position could be harmed, we could have operational disruptions, we could lose existing customers, have difficulty preventing, detecting, and controlling fraud, have disputes with customers, have regulatory sanctions or penalties imposed or other legal problems, incur increased operating and administrative expenses, lose revenues as a result of a data privacy breach or theft of intellectual property or suffer other adverse consequences, any of which could have a material adverse effect on our business, results of operations, financial condition or cash flows.</w:t>
      </w:r>
    </w:p>
    <w:p>
      <w:pPr>
        <w:spacing w:after="0" w:line="23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As we acquire and invest in companies or technologies, we may not realize expected business or financial benefits and the acquisitions or investments could prove difficult to integrate, disrupt our business, dilute stockholder value, and adversely affect our business, results of operation, and financial condition.</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part of our business strategy, from time to time we make investments in, or acquisitions of, complementary businesses, services, databases, and technologies, and we expect that we will continue to make such investments and acquisitions in the future to further grow our business and our product and service offerings. Our strategy to make selective acquisitions to complement or expand our platform depends on our ability to identify, and the availability of, suitable acquisition candidates. We may not be able to find suitable acquisition candidates and we may not be able to complete acquisitions on favorable terms, if at all.</w:t>
      </w:r>
    </w:p>
    <w:p>
      <w:pPr>
        <w:spacing w:after="0" w:line="132"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Acquisitions and other transactions, arrangements, and investments also involve numerous risks and could create unforeseen operating difficulties and expenditures, including, but not limited to:</w:t>
      </w:r>
    </w:p>
    <w:p>
      <w:pPr>
        <w:spacing w:after="0" w:line="110" w:lineRule="exact"/>
        <w:rPr>
          <w:sz w:val="20"/>
          <w:szCs w:val="20"/>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to achieve the expected benefits on a timely basis or at all;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and the cost of, integrating operations, technologies, services, and platforms;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financial and managerial resources from existing operations;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entry into new markets in which we have little or no experience or where competitors may have stronger market positions;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write-offs of acquired assets or investments and potential financial and credit risks associated with acquired customers;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 maintaining the security standards for acquired technology consistent with our other services;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and regulatory risks associated with foreign countries and potential additional cybersecurity and compliance risks resulting from entry into new markets;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and costs of any such acquisitions, including the related integration into our tax structure and assessment of the impact on the realizability of our future tax assets or liabilities;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challenges by governmental authorities, including the Federal Trade Commission (the “FTC”) and the Department of Justice, for anti-competitive or other reasons.</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Any of these risks could harm our business. In addition, to facilitate these acquisitions or investments we may seek additional equity or debt financing, which may not be available on terms favorable to us or at all, which may affect our ability to complete subsequent acquisitions or investments and may affect the risks of owning our common stock. For example, if we finance acquisitions by issuing equity or convertible debt securities or loans, our existing stockholders may be diluted, or we could face constraints related to the terms of, and repayment obligation related to, the incurrence of indebtedness that could affect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ESG matters and related reporting obligations, expose us to risks that could adversely affect our reputation and performance.</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U.S. and international regulators, investors and other stakeholders are increasingly focused on ESG matters. We have established and publicly announced certain ESG goals. Our ability to achieve any ESG objective is subject to numerous risks, many of which are outside of our control. Examples of those risks include our ability to accurately track Scope 1, 2 and 3 greenhouse gas emissions, the evolving regulatory requirements affecting ESG standards or disclosures and our ability to recruit, develop and retain diverse talent in our workforce. These statements reflect current plans and aspirations and are not guarantees that the Company will be able to achieve them. The failure to accomplish or accurately track and report on these goals on a timely basis, or at all, could adversely affect our reputation, financial performance, and growth, and expose the Company to increased scrutiny from the investment community and enforcement authorities.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Privacy, Technology, and Security</w:t>
      </w:r>
    </w:p>
    <w:p>
      <w:pPr>
        <w:spacing w:after="0" w:line="2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and public perception concerning data privacy, or changes in the patterns of enforcement of existing laws and regulations, could impact our ability to efficiently gather, process, update, and/or provide some or all of the information we currently provide or the ability of our customers and users to use some or all of our products or services.</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business contact information and other data we collect and process are an integral part of our products and services. Regulators around the world have adopted or proposed requirements regarding the collection, use, transfer, security, storage, destruction, and other processing of personal data. Our products and services rely heavily on the collection and use of information to provide effective insights to our customers and users. In recent years, there has been an increase in attention to and regulation of data protection and data privacy across the globe, including the enactment of the GDPR, the United Kingdom’s transposition of GDPR into its domestic laws following Brexit in January 2021, India’s Digital Personal Data Protection Act passed in August 2023, the California Consumer Privacy Act as amended by the California Privacy Rights Act, and similar comprehensive privacy laws adopted in eighteen other states, including Colorado, Connecticut, Virginia, and Utah. Meanwhile, around the world there are ongoing discussions about how best to revise and modernize existing laws in jurisdictions such as Canada and Australia. Laws such as these give rise to an increasingly complex set of compliance obligations on us, as well as on many of our customers. These laws are not always uniform in the way they define and treat certain data types, including business-to-business data, biometric data or so called “sensitive” data, and we must often update our consumer notices and adapt our compliance programs to account for the differences between applicable laws. These laws can impose restrictions on our ability to gather personal data and provide such personal data to our customers, provide individuals with additional rights around their personal data, and place downstream obligations on our customers relating to their use of the information we provide.</w:t>
      </w:r>
    </w:p>
    <w:p>
      <w:pPr>
        <w:spacing w:after="0" w:line="13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Domestically, as members of the Republican Party now control both the White House and Congress, the national landscape has shifted. It is unclear if members of Congress will have enough votes to pass a Federal privacy law and while AI remains top of discussion in Congress, members of the Republican Party have indicated a pivot from comprehensive regulations in favor of less restrictions. Additionally, at Federal agencies including the FTC, it is unclear what the current Administration’s enforcement priorities will be and how the push to move away from additional regulations will be reflected at each relevant agency. This likely means states will continue to pursue both AI and privacy legislation. Nineteen states now have comprehensive privacy laws, and recently, dozens of additional states have pending legislation for both AI and privacy.</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These complex laws may be implemented, interpreted, or enforced in a non-uniform or inconsistent way across jurisdictions and we may not be aware of every development that impacts our business. These laws may also require us to make additional changes to our services in order for us or our customers to comply with such legal requirements. It may also increase our potential liability as a result of higher potential penalties for noncompliance.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These and other legal requirements could reduce our ability to gather personal data used in our products and services. They could reduce demand for our services, require us to take on more onerous obligations in our contracts, require us to add new provisions in our customer contracts related to the processing of personal information, and restrict our ability to store, transfer and process personal data. In some cases, it may impact our ability or our customers’ ability to offer our services in certain locations, to deploy our solutions, to reach current and prospective customers, or to derive insights from data globally. One area of particular risk remains data transfers between the United States and the European Union. On July 10, 2023, the European Commission adopted its adequacy decision for the EU-US DPF, 18 months after its predecessor, the EU-US Privacy Shield, was invalidated. While this does, for the time, assert that entities operating in the United States who have certified to the DPF ensure an adequate level of protection for transferring personal data from the European Union to the United States, future challenges seem imminent. The privacy advocacy organization NOYB, which previously challenged and facilitated the demise of both the Safe Harbor (Schrems I) and Privacy Shield (Schrems II) has already criticized the DPF for not doing enough to provide non-US citizens with reasonable privacy protections afforded to US citizens. The NOYB has more recently called the validity of the DPF into question in light of changes the White House is making to the members of the U.S. Privacy and Civil Liberties Oversight Board, which is tasked with overseeing U.S. surveillance practices and addressing complaints from EU citizens under the DPF. ZoomInfo is certified under the DPF, but still utilizes Standard Contractual Clauses as its cross-border transfer mechanism due to the uncertain future of the DPF. In the event any court blocks personal data transfers to or from a particular jurisdiction on the basis that certain or all such transfer mechanisms are not legally adequate, this could give rise to operational interruption in the performance of services for customers and internal processing of employee information, greater costs to implement alternative data transfer mechanisms that are still permitted, regulatory liabilities, or reputational harm.</w:t>
      </w:r>
    </w:p>
    <w:p>
      <w:pPr>
        <w:spacing w:after="0" w:line="14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cost of complying with existing or new data privacy or data protection laws and regulations may limit our ability to gather the personal data needed to provide our products and services. It could negatively impact the use or adoption of our products and services or products and services similar to ours, reduce overall demand for our products and services, or products and services similar to ours, make it more difficult for us or competitive solutions to meet expectations from or commitments to customers and users, lead to significant fines, penalties, or liabilities for noncompliance, impact our reputation, or slow the pace at which we close sales transactions, any of which could harm our business.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Furthermore, the uncertain and shifting regulatory environment and trust climate may cause concerns regarding data privacy and may cause our vendors, customers, users, or our customers’ customers to decline to provide the data necessary to allow us to offer our services to our customers and users effectively, or could prompt individuals to opt out of our collection of their personal data. Even the perception that the privacy of personal data is not satisfactorily protected or does not meet regulatory requirements could discourage prospective customers from subscribing to our products or services or discourage current customers from renewing their subscriptions.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the regulatory landscape is particularly complex and rapidly evolving with respect to AI technologies. New regulations specifically targeting AI development, deployment, and data usage are being proposed and implemented across various jurisdictions. These regulations may impose additional obligations related to algorithmic transparency, bias testing, and specific data protection measures for AI systems. Our AI-driven products and services may be subject to increased scrutiny under these new frameworks.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Compliance with any of the foregoing laws and regulations can be costly and can delay or impede the development of new products or services. We may incur substantial fines if we violate any laws or regulations relating to the collection or use of personal data. Our actual or alleged failure to comply with applicable privacy or data protection laws, regulations, and policies, or to protect personal data, could result in enforcement actions and significant penalties against us, which could result in negative publicity or costs, subject us to claims or other remedies, and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litigation for any variety of claims, which could harm our reputation and adversely affect our business, results of operations, and financial condition.</w:t>
      </w:r>
    </w:p>
    <w:p>
      <w:pPr>
        <w:spacing w:after="0" w:line="1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There is considerable patent and other intellectual property development activity in our market, and litigation, based on allegations of infringement or other violations of intellectual property, is frequent in software and internet-based industries. We may receive communications from third parties, including practicing entities and non-practicing entities, claiming that we have infringed their intellectual property rights.</w:t>
      </w:r>
    </w:p>
    <w:p>
      <w:pPr>
        <w:spacing w:after="0" w:line="12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addition, we may be sued by third parties for breach of contract, defamation, negligence, unfair competition, data breaches, privacy compliance, or copyright or trademark infringement or claims based on other theories. We could also be subject to claims that the collection or provision of certain information, including personal information by us or by third-parties with whom we interact breached laws or regulations relating to privacy or data protection. As a result of claims against us regarding suspected infringement, our technologies may be subject to injunction, we may be required to pay damages, or we may have to seek a license to continue certain practices (which may not be available on reasonable terms, if at all), all of which may significantly increase our operating expenses or may require us to restrict our business activities and limit our ability to deliver our products and services and/or certain features, integrations, and capabilities of our platform. As a result, we may also be required to develop alternative non-infringing technology, which could require significant effort and expense and/or cause us to alter our products or services, which could negatively affect our business. In addition, many of our subscription agreements require us to indemnify our customers for third-party intellectual property infringement claims, so any alleged infringement by us resulting in claims against such customers would increase our liability.</w:t>
      </w:r>
    </w:p>
    <w:p>
      <w:pPr>
        <w:spacing w:after="0" w:line="14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exposure to risks associated with various claims may be greater if we acquire other companies or technologies. For example, we may have a lower level of visibility into the development process with respect to intellectual property or the care taken to safeguard against infringement risks with respect to the acquired company or technology. In addition, third parties may make claims after we have acquired a company or technology that had not been asserted prior to our acquisition.</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the ordinary course of business, we may be involved in and subject to litigation for a variety of claims or disputes and receive regulatory inquiries. These claims, lawsuits, and proceedings could include labor and employment, wage and hour, commercial, data protection and privacy, intellectual property, antitrust, alleged securities law violations or other investor claims, and other matters. The number and significance of these potential claims and disputes may increase as our business expands. Any claim against us, regardless of its merit, could be costly, divert management’s attention and operational resources, and harm our reputation. In addition, we have entered into indemnification agreements with each of our directors and officers, pursuant to which we have agreed to indemnify our directors and officers to the fullest extent permitted by Delaware law. As a result, any claims for indemnification by our directors and officers may reduce our available funds to satisfy successful third-party claims against us and may reduce the amount of money available to us. As litigation is inherently unpredictable, we cannot assure you that any potential claims or disputes will not have a material adverse effect on our business, results of operations, and financial condition. Any claims or litigation, even if fully indemnified or insured, could make it more difficult to compete effectively or to obtain adequate insurance in the future.</w:t>
      </w:r>
    </w:p>
    <w:p>
      <w:pPr>
        <w:spacing w:after="0" w:line="14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we may be required to spend significant resources to monitor and protect our contractual, property, and other rights, including collection of payments and fees. Litigation has been and may be necessary in the future to enforce such rights. Such litigation could be costly, time consuming, and distracting to management and could result in the impairment or loss of our rights. Furthermore, our efforts to enforce our rights may be met with defenses, counterclaims, and countersuits attacking the validity and enforceability of such rights. Our inability to protect our rights, as well as any costly litigation or diversion of our management’s attention and resources, could have an adverse effect on our business, results of operations, and financial condition or injure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New or changing laws and regulations may diminish the demand for our platform, restrict access to our platform, constrain the range of services we can provide, or require us to disclose or provide access to information in our possession, which could harm our business, results of operations, and financial condition.</w:t>
      </w:r>
    </w:p>
    <w:p>
      <w:pPr>
        <w:spacing w:after="0" w:line="121"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platform depends on the ability of our users to access the internet and our platform could be blocked or restricted in some countries for various reasons. Further, it is possible that governments of one or more foreign countries may seek to limit access to or certain features of our platform in their countries, or impose other restrictions that may affect the availability of our platform, or certain features of our platform, in their countries for an extended period of time or indefinitely. In addition, governments in certain countries may seek to restrict or prohibit access to our platform if they consider us to be in violation of their laws (including privacy laws) and may require us to disclose or provide access to information in our possession. If we fail to anticipate developments in the law or fail for any reason to comply with relevant law, our platform could be further blocked or restricted and we could be exposed to significant liability that could harm our business. In the event that access to our platform is restricted, in whole or in part, in one or more countries or our competitors are able to successfully penetrate geographic markets that we cannot access, our ability to add new customers or renew or grow the subscriptions of existing customers may be adversely affected, we may not be able to maintain or grow our revenue as anticipated and our business, results of operations, and financial condition could be adversely affected.</w:t>
      </w:r>
    </w:p>
    <w:p>
      <w:pPr>
        <w:spacing w:after="0" w:line="140"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New laws and regulations in the area of AI may also impact our business. For example, the European Union’s Artificial Intelligence Act (“AI Act”), which achieved a consensus between the European Parliament and Council on December 9, 2023, introduces a regulatory landscape that businesses will need to navigate with caution. The AI Act's stringent measures against certain AI applications may impact businesses in our sector. Such measures include prohibitions on AI technologies that utilize sensitive personal attributes for biometric categorization, restrictions on indiscriminate collection of facial images for recognition databases, and limitations on emotion recognition systems that could be employed in consumer analysis or employee monitoring. Businesses must also be aware of the comprehensive transparency requirements mandated for general-purpose AI systems. This entails maintaining detailed technical documentation and ensuring compliance with EU copyright laws, with even more rigorous standards for high-impact general AI models. These models require exhaustive evaluations, risk assessments related to systemic impacts, adversarial testing, and reporting on aspects like energy efficiency, indicating a significant compliance burden for businesses. The scale of penalties for non-compliance range up to €35 million or 7% of global turnover, underscoring the importance of adherence to the new regulations where applicable. The AI Act demands a proactive approach to regulatory compliance, risk management, and an investment in infrastructure to align with the EU’s vision of a safe and ethical AI environment.</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or enforce our proprietary and intellectual property rights in our data or technology.</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success is dependent, in part, upon our ability to protect and enforce our intellectual property rights, including in our proprietary information and technology. No assurance can be given that our confidentiality, non-disclosure, or invention assignment agreements with employees, consultants, or other parties will not be breached and will otherwise be effective in controlling access to and distribution of our platform, or certain aspects of our platform, and proprietary information. Further, these agreements may not prevent our competitors from independently developing technologies that are substantially equivalent or superior to our platform. Additionally, certain unauthorized use of our intellectual property may go undetected, or we may face legal or practical barriers to enforcing our legal rights even where unauthorized use is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Current laws may not provide for adequate protection of our platform or data. In addition, legal standards relating to the validity, enforceability, and scope of protection of proprietary rights in internet-related businesses are uncertain and evolving, and changes in these standards may adversely impact the viability or value of our proprietary rights. Some license provisions protecting against unauthorized use, copying, transfer, and disclosure of our platform, or certain aspects of our platform may be unenforceable under the laws of certain jurisdictions. Further, the laws of some countries do not protect proprietary rights to the same extent as the laws of the United States, and mechanisms for enforcement of intellectual property rights in some foreign countries may be inadequate. To the extent we expand our international activities, our exposure to unauthorized copying and use of our data or certain aspects of our platform, or our data may increase. Further, competitors, foreign governments, foreign government-backed actors, criminals, or other third parties may gain unauthorized access to our proprietary information and technology. Accordingly, despite our efforts, we may be unable to prevent third parties from infringing upon or misappropriating our technology and intellectual property.</w:t>
      </w:r>
    </w:p>
    <w:p>
      <w:pPr>
        <w:spacing w:after="0" w:line="13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To monitor and protect our intellectual property rights, we may be required to spend significant resources, and we may or may not be able to detect infringement by our customers or third parties. Litigation has been and may be necessary in the future to enforce our intellectual property rights and to protect our trade secrets. Such litigation could be costly, time consuming, and distracting to management and could result in the impairment or loss of portions of our intellectual property. Furthermore, our efforts to enforce our intellectual property rights may be met with defenses, counterclaims, and countersuits attacking the validity and enforceability of our intellectual property rights. Our inability to protect our proprietary technology against unauthorized copying or use, as well as any costly litigation or diversion of our management’s attention and resources, could delay further sales or the implementation of our platform, impair the functionality of our platform, delay introductions of new features, integrations, and capabilities, result in our substituting inferior or more costly technologies into our platform, or injure our reputation. In addition, we may be required to license additional technology from third parties to develop and market new features, integrations, and capabilities, which may not be available on commercially reasonable terms, or at all, and our inability to license this technology could harm our ability to compete.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in our AI capability introduces risks, which, if realized, could adversely impact our business.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introduction of AI technologies into new or existing products may result in new or enhanced governmental or regulatory scrutiny, litigation, privacy, confidentiality or security risks, ethical concerns, legal liability, or other complications that could adversely affect our business, reputation, or financial results. The intellectual property ownership and license rights, including copyright, surrounding AI technologies has not been fully addressed by laws or regulations, and the use or adoption of third-party AI technologies into our business operations, products and services may result in exposure to claims of copyright infringement or other intellectual property misappropriation, as well as potential liability to customers.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AI technologies may use algorithms, datasets, or training methodologies that may be flawed or contain deficiencies that may be difficult to detect during testing. AI technologies, including generative AI, may create content that appears correct but is factually inaccurate, flawed or biased. Use of such content may be to the detriment of the user, or it may lead to discriminatory or other adverse outcomes, which may expose us to brand or reputational harm, competitive harm, and/or legal liability. The use of AI technologies presents emerging ethical and social issues that may result in brand or reputational harm, competitive harm, and/or legal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customers or unauthorized parties could use our products and services in a manner that is contrary to our values or applicable law, which could harm our relationships with consumers, customers, or employees or expose us to litigation or harm our reputation.</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Because our data includes the direct contact information for millions of individuals and businesses, our platform and data could be misused by customers, or by parties who have obtained access to our data without authorization, to contact individuals for purposes that we would not permit, including uses unrelated to B2B communication or recruiting, such as to harass or annoy individuals or to perpetrate scams. Our customers could use our products or services for purposes beyond the scope of their contractual terms or applicable laws or regulations. Our customers’ or third parties’ misuse of our data, inconsistent with its permitted use, could result in reputational damage, adversely affect our ability to attract new customers and cause existing customers to reduce or discontinue the use of our platform, any of which could harm our business and operating results.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brand may be negatively affected by the actions of persons using our platform that are hostile or inappropriate, by the actions of individuals acting under false or inauthentic identities, by the use of our products or services to disseminate information that is misleading (or intended to manipulate opinions), by perceived or actual efforts by governments to obtain access to user information for security-related purposes or to censor certain content on our platform or by the use of our products or services for illicit, objectionable, or illegal ends. Further, we may fail to respond expeditiously or appropriately to any of the foregoing misuses, or to otherwise address customer and individual concerns, which could erode confidence in our business.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Cyber-attacks and security vulnerabilities could result in serious harm to our reputation, business, and financial condition.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Threats to network and data security are constantly evolving and becoming increasingly diverse and sophisticated and have increased in scope and frequency. Our products and services, as well as our servers and computer systems and those of third parties that we rely on in our operations could be vulnerable to cybersecurity risks and threats or other events that could disrupt our IT systems and/or subject us to liability such as manmade or natural disasters (including those as a result of climate change) or software vulnerabilities. In addition, many of our employees work remotely, which increases our cyber security risk, creates data accessibility concerns, and makes us more susceptible to security breaches or business disruptions.</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have in the past been the target of attempts, and experienced incidents of attempts, to identify and exploit system vulnerabilities and/or penetrate or bypass our security measures in order to gain unauthorized access to our systems, including to use our platform and data for purposes other than its intended purpose or to create products that compete with our platform. We employ multiple methods at different layers of our systems designed to defend against intrusion and attack, to protect our systems and to resolve and mitigate the impact of any incidents. Despite our efforts to keep our systems secure and to remedy identified vulnerabilities, future attacks could be successful and could result in substantial liability or business risk. We expect that third parties will continue to attempt to gain unauthorized access to our systems or facilities through various means, including hacking into our systems or facilities, or those of our customers or vendors, or attempting to fraudulently induce our employees, customers, vendors or other users of our systems into disclosing sensitive information, which may in turn be used to access our IT systems. Our cybersecurity programs and efforts to protect our systems and data, and to prevent, detect and respond to data security incidents, may not prevent these threats or provide adequate security. We may experience breaches of our security measures due to human error, malfeasance, system errors or vulnerabilities, or other irregularities including attempts by former, current or future employees to misuse their authorized access and/or gain unauthorized access to our systems.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Such events could result in the release to the public of confidential information about our operations and financial condition and performance. Actual or perceived breaches of our security could subject us to regulatory investigations and orders, litigation, indemnity obligations, damages, penalties, fines and other costs in connection with actual and alleged contractual breaches, violations of applicable laws and regulations and other liabilities. Moreover, a security compromise or ransomware event could require us to devote significant management resources to address the problems created by the issue and to expend significant additional resources to upgrade further the security measures we employ to guard personal and confidential information against cyber-attacks and other attempts to access or otherwise compromise such information and could result in a disruption of our operations, particularly our digital operations. Any such incident could also materially damage our reputation and harm our business, results of operations and financial condition. We maintain errors, omissions, and cyber liability insurance policies covering certain security and privacy damages. However, we cannot be certain that our coverage will be adequate for liabilities actually incurred or that insurance will continue to be available to us on economically reasonable terms, or at all. Further, we may be subject to additional liability risks associated with data security breaches or other incidents by virtue of the private right of action granted to individuals under certain data privacy laws for actions arising from certain data security incidents.</w:t>
      </w:r>
    </w:p>
    <w:p>
      <w:pPr>
        <w:spacing w:after="0" w:line="24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Technical problems or disruptions that affect our customers’ ability to access our services, or the software, internal applications, database, and network systems underlying our services, could damage our reputation and brands and lead to reduced demand for our products and services, lower revenues, and increased costs.</w:t>
      </w:r>
    </w:p>
    <w:p>
      <w:pPr>
        <w:spacing w:after="0" w:line="121"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business, brand, reputation, and ability to attract and retain users and customers depend upon the satisfactory performance, reliability, and availability of our websites, which in turn depend upon the availability of the internet and our service providers. Interruptions in these systems, whether due to system failures, computer viruses, software errors, physical or electronic break-ins, or malicious hacks or attacks on our systems (such as denial of service attacks), could affect the security and availability of our services on our mobile applications and our websites and prevent or inhibit the ability of users to access our products or services. In addition, the software, internal applications, and systems underlying our products and services are complex and may not be error-free. We may encounter technical problems when we attempt to enhance our software, internal applications, and systems. Any inefficiencies, errors, or technical problems with our software, internal applications, and systems could reduce the quality of our products and services or interfere with our customers’ use of our products and services, which could reduce demand, lower our revenues, and increase our costs.</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systems and operations, and those of vendors critical to our services, are vulnerable to damage or interruption from fire, flood, earthquakes, power loss, security breaches, computer viruses, telecommunications failures, terrorist attacks, acts of war, electronic and physical break-ins and similar events. The occurrence of any of the foregoing events could result in damage to or failure of our systems and hardware. These risks may be increased with respect to operations housed at facilities outside of our direct control, and the majority of the communications, network, and computer hardware used to operate the cloud for our platform are located at facilities maintained by Google or Amazon, which we do not own or control.</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addition, problems faced or caused by our IT service providers, including content distribution service providers, private network providers, internet providers, third-party web-hosting providers, third-party data center hosting facilities, and cloud computing platform providers. or with the systems by which they allocate capacity among their customers (as applicable), could adversely affect the experience of our users.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Accounting and Credit Matters</w:t>
      </w:r>
    </w:p>
    <w:p>
      <w:pPr>
        <w:spacing w:after="0" w:line="26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generate revenue from sales of subscriptions to our platform and data, and any decline in demand for the types of products and services we offer would negatively impact our business.</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historically derived substantially all of our revenue from subscription services and expect to continue to generate revenue from the sale of subscriptions to our platform and data. As a result, the continued use of telephones and email as a primary means of B2B sales, marketing, and recruiting, and the continued use of internet cloud-based platforms to access telephone, email, and related information for such purposes, is critical to our future growth and success. If the sales and marketing information market fails to grow, or grows more slowly than we currently anticipate, or if there is a decrease in the use of telephones and email as primary means of B2B communication, demand for our platform and data would be negatively affected.</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Changes in user preferences for sales, marketing, and recruiting platforms may have a disproportionately greater impact on us than if we offered disparate products and services. Demand for sales, marketing, and recruiting platforms in general, and our platform and data in particular, is affected by a number of factors, many of which are beyond our control. Some of these potential factors include:</w:t>
      </w:r>
    </w:p>
    <w:p>
      <w:pPr>
        <w:spacing w:after="0" w:line="125" w:lineRule="exact"/>
        <w:rPr>
          <w:sz w:val="20"/>
          <w:szCs w:val="20"/>
          <w:color w:val="auto"/>
        </w:rPr>
      </w:pPr>
    </w:p>
    <w:p>
      <w:pPr>
        <w:ind w:left="640" w:hanging="316"/>
        <w:spacing w:after="0" w:line="274"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awareness and acceptance of the sales, marketing, and recruiting platform categories generally, and the growth, contraction and evolution of the categories;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products and services that compete with ours;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adoption and use;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features, and user experience, and the development and acceptance of new features, integrations, and capabilities;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accessibility across several devices, operating system, and applications;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with CRM and other related technologies;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the development of new systems and protocols for B2B communication.</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market is subject to rapidly changing user demand and preference trends. If we fail to successfully predict and address these changes and trends, meet user demands or achieve more widespread market acceptance of our platform and data, our business, results of operations, and financial condition could be harmed.</w:t>
      </w:r>
    </w:p>
    <w:p>
      <w:pPr>
        <w:spacing w:after="0" w:line="2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or generate cash flows necessary to expand our operations and invest in new technologies in the future could reduce our ability to compete successfully and harm our results of operations.</w:t>
      </w:r>
    </w:p>
    <w:p>
      <w:pPr>
        <w:spacing w:after="0" w:line="10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We may require additional financing, and we may not be able to obtain debt or equity financing on favorable terms, if at all. If we raise equity financing to fund operations or on an opportunistic basis, our stockholders may experience significant dilution of their ownership interests. Our existing secured credit facilities restrict our ability to, and the terms on which we may, incur additional indebtedness, and our ability to, and the terms on which we may, make certain restricted payments, including investments. See “</w:t>
      </w:r>
      <w:r>
        <w:rPr>
          <w:rFonts w:ascii="Times New Roman" w:cs="Times New Roman" w:eastAsia="Times New Roman" w:hAnsi="Times New Roman"/>
          <w:sz w:val="17"/>
          <w:szCs w:val="17"/>
          <w:i w:val="1"/>
          <w:iCs w:val="1"/>
          <w:color w:val="auto"/>
        </w:rPr>
        <w:t>We have a substantial amount of debt, which could adversely affect our financial position and our ability to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raise additional capital and prevent us from fulfilling our obligations</w:t>
      </w:r>
      <w:r>
        <w:rPr>
          <w:rFonts w:ascii="Times New Roman" w:cs="Times New Roman" w:eastAsia="Times New Roman" w:hAnsi="Times New Roman"/>
          <w:sz w:val="17"/>
          <w:szCs w:val="17"/>
          <w:color w:val="auto"/>
        </w:rPr>
        <w:t>” below. The terms of any additional debt financing may be similar or more restrictive.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effective internal controls over financial reporting in accordance with Section 404 of SOX could impair our ability to produce timely and accurate financial statements or comply with applicable regulations and have a material adverse effect on our business.</w:t>
      </w:r>
    </w:p>
    <w:p>
      <w:pPr>
        <w:spacing w:after="0" w:line="107"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As a public company, we are required by Section 404 of the Sarbanes-Oxley Act of 2002 to evaluate and determine the effectiveness of our internal controls over financial reporting and provide a management report on the internal controls over financial reporting, which must be attested to by our independent registered public accounting firm.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We have previously identified and reported a material weakness, and we may identify additional material weaknesses in internal controls in future periods, which could have a material adverse effect on our business, financial condition, and results of operations. Specifically, if we were to have another material weakness in our internal controls over financial reporting, we may not detect errors on a timely basis and our financial statements may be materially misstated. There could also be a negative reaction in the financial markets due to a loss of investor confidence in us and the reliability of our consolidated financial statements,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2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subscription revenue over the subscription term, downturns or upturns in new sales and renewals are not immediately reflected in full within our results of operations.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recognize revenue from subscriptions to our platform on a ratable basis over the term of the contract subscription period beginning on the date access to the platform is granted, provided all other revenue recognition criteria have been met. Our subscription arrangements generally have contractual terms requiring advance payment for annual or quarterly periods. As a result, much of the revenue we report each quarter is the recognition of deferred revenue from recurring subscriptions entered into during previous quarters. Consequently, a decline in new or renewed recurring subscription contracts in any one quarter will not be fully reflected in revenue in that quarter but will negatively affect our revenue in future quarters. Accordingly, the effect of significant downturns in new or renewed sales of our recurring subscriptions are not reflected in full in our results of operations until future periods. Our subscription model also makes it difficult for us to rapidly increase our revenue through additional sales in any period, as revenue from new customers is typically recognized over the applicable subscription term. By contrast, a majority of our costs are expensed as incurred, which could result in our recognition of more costs than revenue in the earlier portion of the subscription term and result in our inability to attain profitability in any given period.</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anticipate increasing operating expenses in the future, and we may not be able to maintain profitability.</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may not continue to achieve or maintain profitability in the future. Because the market for our platform is rapidly evolving, it is difficult for us to predict our future results of operations or the limits of our market opportunity. We expect our operating expenses to increase over the next several years as we aim to hire additional personnel, expand our partnerships, operations and infrastructure, both domestically and internationally, continue to enhance our platform and develop and expand its features, integrations, and capabilities, and expand and improve our platform. We also intend to continue to build and enhance our platform through both internal research and development and selectively pursuing acquisitions that can contribute to the capabilities of our platform. In addition, as we grow, we will incur additional significant legal, accounting, and other expenses. If our revenue does not increase to offset the expected increases in our operating expenses, we may not be profitable in future periods. In future periods, our revenue growth could slow or our revenue could decline for a number of reasons, including any failure to increase the number of organizations on our platform, any failure to increase our number of paying customers, a decrease in the growth of our overall market, our failure, for any reason, to continue to capitalize on growth opportunities, slowing demand for our platform, additional regulatory burdens, or increasing competition. As a result, our past financial performance may not be indicative of our future performance. Any failure by us to sustain profitability on a consistent basis could cause the value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a significant amount of goodwill and intangible assets on our balance sheet, and our results of operations may be adversely affected if we fail to realize the full value of our goodwill and intangible assets.</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Consolidated Balance Sheets reflect significant amounts of goodwill and intangible assets. In accordance with U.S. GAAP, goodwill and intangible assets with an indefinite life are not amortized but are subject to a periodic impairment evaluation. Goodwill and acquired intangible assets with an indefinite life are tested for impairment at least annually or when events and circumstances indicate that fair value of a reporting unit may be below their carrying value. Acquired intangible assets with definite lives are amortized on a straight-line basis over the estimated period over which we expect to realize economic value related to the intangible asset. In addition, we review long-lived assets, including operating lease right-of-use assets, for impairment whenever events or changes in circumstances indicate that the carrying value of an asset might not be recoverable. Recoverability of assets to be held and used is measured by a comparison of the carrying amount of an asset to the undiscounted future cash flows expected to be generated by the asset or group of assets. Our ability to realize the value of the goodwill and intangible assets will depend on the future cash flows of the businesses we have acquired, which in turn depend in part on how well we have integrated these businesses into our own business. Judgments made by management relate to the expected useful lives of long-lived assets and our ability to realize undiscounted cash flows of the carrying amounts of such assets. The accuracy of these judgments may be adversely affected by several factors, including significant:</w:t>
      </w:r>
    </w:p>
    <w:p>
      <w:pPr>
        <w:spacing w:after="0" w:line="138" w:lineRule="exact"/>
        <w:rPr>
          <w:sz w:val="20"/>
          <w:szCs w:val="20"/>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underperformance relative to historical or projected future operating results;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manner of our use of acquired assets or the strategy for our overall business;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industry or economic trends; or</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our market capitalization relative to net book value for a sustained period.</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These types of events or indicators and the resulting impairment analysis could result in impairment charges in the future. If we are not able to realize the value of the goodwill and intangible assets, we may be required to incur material charges relating to the impairment of those assets. Such impairment charges could materially and adversely affect our business, results of operations, and financial condition.</w:t>
      </w:r>
    </w:p>
    <w:p>
      <w:pPr>
        <w:spacing w:after="0" w:line="227"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have a substantial amount of debt, which could adversely affect our financial position and our ability to raise additional capital and prevent us from fulfilling our obligations.</w:t>
      </w:r>
    </w:p>
    <w:p>
      <w:pPr>
        <w:spacing w:after="0" w:line="10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2024, we had total outstanding indebtedness of $1,238.1 million consisting of outstanding borrowings under our first lien credit facilities and senior notes. Additionally, we had $250.0 million of availability under our first lien revolving credit facility as of December 31, 2024. Our substantial indebtedness may:</w:t>
      </w:r>
    </w:p>
    <w:p>
      <w:pPr>
        <w:spacing w:after="0" w:line="125"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difficult for us to satisfy our financial obligations, including with respect to our indebtedness;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for working capital, capital expenditures, acquisitions, or other general business purposes;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use a substantial portion of our cash flow from operations to make debt service payments instead of other purposes, thereby reducing the amount of cash flow available for future working capital, capital expenditures, acquisitions, or other general business purposes;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expose us to the risk of increased interest rates as certain of our borrowings, including under our secured credit facilities, are at variable rates of interest;</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pay dividends (although we historically have not paid, and currently do not anticipate paying, any cash dividends on our common stock (see the section entitled “Dividend Policy”);</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plan for, or react to, changes in our business and industry;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with our less-leveraged competitors;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the impact of adverse economic, competitive, and industry conditions;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16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addition, the credit agreement governing our secured credit facilities contains, and the agreements governing our future indebtedness may contain,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Furthermore, we may be able to incur substantial additional indebtedness in the future. The terms of the credit agreements governing our indebtedness limit, but do not prohibit, us from incurring additional indebtedness, and the additional indebtedness incurred in compliance with these restrictions could be substantial. These restrictions will also not prevent us from incurring obligations that do not constitute “Indebtedness” as defined in the agreements governing our indebtedness. If new indebtedness is added to our current debt levels, the related risks that we now face could intensify.</w:t>
      </w:r>
    </w:p>
    <w:p>
      <w:pPr>
        <w:spacing w:after="0" w:line="229"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due on our debt obligations or to refinance our debt obligations depends on our financial condition and operating performance, which are subject to prevailing economic, industry, and competitive conditions and to certain financial, business, legislative, regulatory, and other factors beyond our control, including those discussed elsewhere in this “Risk Factors” section. We may be unable to maintain a level of cash flow sufficient to permit us to pay the principal, premium, if any, and interest on our indebtedness.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If our cash flow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implement any such alternative measures on commercially reasonable terms or at all and, even if successful, those alternative actions may not allow us to meet our scheduled debt service obligations.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If we cannot make payments on our debt obligations, we will be in default and all outstanding principal and interest on our debt may be declared due and payable, the lenders under our secured credit facilities could terminate their commitments to loan money, our secured lenders (including the lenders under our secured credit facilities) could foreclose against the assets securing their borrowings, and we could be forced into bankruptcy or liquidation. In addition, any event of default or declaration of acceleration under one debt instrument could result in an event of default under one or more of our other debt instruments.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fluctuations may affect our results of operations and financial condition.</w:t>
      </w:r>
    </w:p>
    <w:p>
      <w:pPr>
        <w:spacing w:after="0" w:line="16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Because a substantial portion of our debt is variable-rate debt, fluctuations in interest rates could have a material effect on our business. During 2022 and 2023, the United States Federal Reserve raised interest rates significantly, and maintained such increased interest rates through the third quarter of 2024, in an attempt to combat historically high inflation. While the U.S. Federal Reserve has started to, and signaled its intention to continue to, lower interest rates, macroeconomic circumstances may change, resulting in delays or reversal of such actions, including by central banks around the world, which may result in a prolonged high-interest rate environment. As a result, we may incur higher interest costs if interest rates were to increase again in the future or if high interest rates continue to be maintained. We currently utilize, and may in the future utilize, derivative financial instruments such as interest rate swaps to hedge some of our exposure to interest rate fluctuations, but such instruments may not be effective in reducing our exposure to interest fluctuations, and we may discontinue utilizing them at any time. Further, there can be no assurance that the United States Federal Reserve will not raise rates in the future, and any such increase in interest costs could have a material adverse impact on our financial condition and the levels of cash we maintain for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credit and other ratings could adversely impact our operations and lower our profitability.</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Credit rating and other rating agencies continually revise their ratings and ratings methodologies for the companies that they follow, including us. These rating agencies also evaluate our industry as a whole and may change their credit and other ratings for us based on their overall view of our industry. Failure to maintain our credit ratings on long-term and short-term indebtedness could increase our cost of borrowing, reduce our ability to obtain intra-day borrowing, which we may need to operate our business, and adversely impact our results of operations.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68"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a multinational organization faced with increasingly complex tax issues in many jurisdictions, and global tax developments may have a material impact to our business, cash flows, tax liabilities and results of operations.</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a multinational organization, we may be subject to taxation in several jurisdictions around the world with increasingly complex tax laws, the application of which can be uncertain. The amount of taxes we pay in these jurisdictions could increase substantially as a result of changes in the applicable tax principles, including increased tax rates, new tax laws or revised interpretations of existing tax laws and precedents, or challenges to our tax positions by tax authorities, any of which could have a material adverse effect on our liquidity, financial condition or operating results. In addition, the authorities in these jurisdictions could review our tax returns and impose additional tax, interest and penalties, and the authorities could claim that various withholding requirements apply to us or our subsidiaries or assert that benefits of tax treaties are not available to us or our subsidiaries, or assert that we are subject to tax in a jurisdiction where we believe we have not established a taxable nexus, often referred to as a “permanent establishment” under international tax treaties, any of which could have a material adverse impact on our business, financial condition or cash flows.</w:t>
      </w:r>
    </w:p>
    <w:p>
      <w:pPr>
        <w:spacing w:after="0" w:line="137"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Global tax developments applicable to multinational businesses may have an adverse impact to our business, including certain approaches in addressing taxation of the digital economy. Rules proposed or enacted by the Organisation for Economic Co-operation and Development (“OECD”), the European Commission or tax authorities in the jurisdictions in which we operate or may operate in the future could have a material adverse impact to our profitability, cash flows, or results of operations. The OECD in particular has proposed significant changes to the international tax law framework in the form of the Pillar Two model rules which seek to implement a global minimum tax of 15%. While it is uncertain whether the United States will enact legislation to adopt Pillar Two, certain countries in which we operate have adopted legislation, and other countries are in the process of introducing legislation to implement Pillar Two. The potential effects of Pillar Two may vary depending on the specific provisions and rules implemented by each country that adopts it.</w:t>
      </w:r>
    </w:p>
    <w:p>
      <w:pPr>
        <w:spacing w:after="0" w:line="121"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also subject to tax examinations in multiple jurisdictions. While we regularly evaluate new information that may change our judgment resulting in recognition, derecognition, or changes in measurement of a tax position taken, there can be no assurance that the final determination of any examinations will not have an adverse effect on our operating results and financial position. As our brand becomes increasingly recognizable both domestically and internationally, our tax planning structure and corresponding profile may be subject to increased scrutiny and if we are perceived negatively, we may experience brand or reputational harm.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Unanticipated changes in our effective tax rate and additional tax liabilities may impact our financial results.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other jurisdictions. Our income tax obligations are generally determined based on our business operations in each jurisdiction. Significant judgment is often required in the determination of our worldwide provision for income taxes. Our effective tax rate could be impacted by changes in our earnings and losses in countries with differing statutory tax rates, changes in non-deductible expenses, changes in excess tax benefits of stock-based compensation, changes in the valuation of deferred tax assets and liabilities and our ability to utilize them, the applicability of withholding taxes, effects from acquisitions, changes in accounting principles, and tax laws in jurisdictions where we operate. Any changes, ambiguity, or uncertainty in taxing jurisdictions' administrative interpretations, decisions, policies, and positions could also materially impact our income tax liabilities and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our business continues to grow and if we become more profitable, our income tax obligations could significantly increase. If our existing tax credits and net operating loss carry-forwards become fully utilized, we may be unable to offset or otherwise mitigate our tax obligations to the same extent as in prior years. This could have a material impact on our future cash flows and operating results.</w:t>
      </w:r>
    </w:p>
    <w:p>
      <w:pPr>
        <w:spacing w:after="0" w:line="227" w:lineRule="exact"/>
        <w:rPr>
          <w:sz w:val="20"/>
          <w:szCs w:val="20"/>
          <w:color w:val="auto"/>
        </w:rPr>
      </w:pPr>
    </w:p>
    <w:p>
      <w:pPr>
        <w:ind w:right="3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tax laws or regulations in the various jurisdictions in which we operate could increase the cost of our products and services and adversely impact our business.</w:t>
      </w:r>
    </w:p>
    <w:p>
      <w:pPr>
        <w:spacing w:after="0" w:line="10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New income, sales, use, value add or other tax laws, statutes, rules, regulations, or ordinances could be enacted at any time. Further, existing laws, statutes, rules, regulations or ordinances could be interpreted, changed, modified or applied unfavorably to us. These actions could apply on either a retroactive or prospective basis and could give rise to additional tax liabilities, fines, interest and/or penalties, causing harm to our global business operations, financial results, and financial condition. If we raise our prices to offset the cost of these changes, existing and potential future customers may elect not to purchase our products and services in the future. Additionally, new, changed, modified, or newly interpreted or applied tax laws could increase our compliance, operating, and other costs, as well as the cost of our products and services.</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Additionally, the application of U.S. federal, state, local, and international tax laws to services provided electronically is vague and continually evolving. Existing tax laws, statutes, rules, regulations, or ordinances could be interpreted or applied adversely to us, possibly with retroactive effect, which could require us to pay additional tax amounts, as well as require us to pay interest, fines or penalties for amounts deemed past-due. If we are unsuccessful in collecting such taxes due from our customers, we could be held liable for such costs, thereby adversely affecting our future cash flows and results of operations.</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may also be subject to additional tax liabilities and penalties due to changes in non-income based taxes resulting from changes in federal, state, or international tax laws. Changes in taxing jurisdictions’ administrative interpretations, decisions, policies and positions, results of tax examinations, settlements or judicial decisions, changes in accounting principles, changes to the business operations, including acquisitions, as well as the evaluation of new information that results in a change to a tax position taken in a prior period can result in an increase in our tax obligations or cash taxes paid, adversely affecting our cash flows and financial results. In addition, the authorities in these jurisdictions could review our tax returns and impose additional tax, interest, and penalties, and the authorities could claim that various withholding requirements apply to us or assert that benefits of tax treaties are not available to us, any of which could harm us and our results of operations.</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Furthermore, as our employees continue to work remotely from geographic locations across the United States and internationally, we may become subject to additional taxes and our compliance burdens with respect to the tax laws of additional jurisdictions may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results of operations may be adversely affected if we are required to collect sales or other related taxes for purchases of our products and services in jurisdictions where we have not historically done so.</w:t>
      </w:r>
    </w:p>
    <w:p>
      <w:pPr>
        <w:spacing w:after="0" w:line="10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State, local, and non-U.S. jurisdictions have differing rules and regulations governing sales and use, value added, digital service and other taxes. The rules regarding tax nexus are complex and related regulations are subject to varying interpretations that may change over time. The application of the rules and regulations to products and services provided electronically is evolving and uncertain. We collect and remit U.S. sales tax, value-added tax (“VAT”), and goods and services tax (“GST”) in a number of jurisdictions. It is possible that we could face sales tax, VAT, or other tax audits and that our liability for these taxes could exceed our estimates if tax authorities assert that we are obligated to collect additional tax amounts from our customers and remit those taxes to the government. We could also be subject to audits in states and international jurisdictions for which we have not accrued tax liabilities. A successful assertion that we should be collecting additional sales or other taxes on our services in jurisdictions where we have not historically done so and do not accrue for sales taxes could result in material tax liabilities for past sales, as well as the imposition of interest and penalties. This could have the effect of discouraging organizations from subscribing to our products and services, or otherwise harm our business, results of operations, and financial condition. Any successful action by state, foreign, or other authorities to compel us to collect and remit sales tax, VAT, or other taxes, either retroactively, prospectively, or both, could have a material adverse impact on our results of operations, cash flows and financial condition.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Geopolitical and Macroeconomic Factors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 and sales outside the United States expose us to risks inherent in international operations.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success depends in part on our ability to expand our sales and operations outside of the United States. Any new markets or countries into which we attempt to sell subscriptions to our platform may not be as receptive to our products and services as we anticipate. We may also experience challenges expanding and operating internationally. A significant increase in international customers or an expansion of our operations into other countries, either directly or through third parties, could create additional risks and challenges, including:</w:t>
      </w:r>
    </w:p>
    <w:p>
      <w:pPr>
        <w:spacing w:after="0" w:line="127"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to localize our products and services, including translation into foreign languages and associated expenses;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local incumbents that better understand the local market, customs, and culture may market and operate more effectively, and may enjoy greater local affinity or awareness;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need to comply with foreign regulatory frameworks or business practices (including with respect to data privacy and security), which among other things may favor local competitors;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evolving domestic and international tax environments;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controls, which may make our products and services more expensive for international customers and could add volatility to our operating results;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vetting and monitoring internal or external sales or customer experience resources in new and evolving markets to confirm they maintain standards consistent with our brand and reputation;</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pricing environments;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or lesser protection of our intellectual property;</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or actual violations of domestic and international anti-corruption laws, export controls, anti-bribery laws, and sanctions regulations, which likelihood may increase with an increase of sales and operations in foreign jurisdictions;</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 including the imposition of new trade restrictions, trade protection measures, including tariffs and retaliatory tariffs, as well as any direct and indirect economic effects on the domestic and international markets, import or export requirements, trade embargoes, and other trade barriers;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hanging="316"/>
        <w:spacing w:after="0" w:line="304" w:lineRule="auto"/>
        <w:tabs>
          <w:tab w:leader="none" w:pos="6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factors beyond our control, such as terrorism, war, natural disasters, climate change and pandemics, could result in restrictions on business activity, or materially affect our targeted return to operations timeline after one of these declared incidents, which may vary significantly by region.</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Any of these factors could negatively impact our business and results of operations.</w:t>
      </w:r>
    </w:p>
    <w:p>
      <w:pPr>
        <w:spacing w:after="0" w:line="213"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Global economic uncertainty and catastrophic events, including global pandemics, continued hostilities between Russia and Ukraine, and Israel and Hamas, have and may disrupt our business and adversely impact our business and future results of operations and financial condition.</w:t>
      </w:r>
    </w:p>
    <w:p>
      <w:pPr>
        <w:spacing w:after="0" w:line="10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Recent events, including significant global inflation, bank failures and other liquidity events affecting financial institutions, supply chain disruption, the Russia-Ukraine war, the conflict between Israel and Hamas, including after giving effect to the proposed January 2025 armistice and any uncertainties that may arise during any stage of the three-phase cease-fire proposal, as well as related and other conflicts due to rising tensions in the Middle East, have adversely impacted and may continue to adversely impact global financial markets, economies, and business practices. These types of unpredictable events have adversely affected and could adversely affect our business and future results of operations, our ability to access funds from financial institutions and capital markets, and our financial condition due to cancellations and reductions in spend from customers in impacted industries, increases in our costs, or other disruption to our business. We experienced and may continue to experience longer sales cycles and more intense scrutiny, particularly for larger purchases and upgrades as customers and prospects re-assess their growth trajectory in light of the changing economic environment.</w:t>
      </w:r>
    </w:p>
    <w:p>
      <w:pPr>
        <w:spacing w:after="0" w:line="13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If global economic uncertainty and catastrophic events harm our business and results of operations, many of the other risks described in this Part I, Item 1A of this report may be heightened.</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w:t>
      </w:r>
    </w:p>
    <w:p>
      <w:pPr>
        <w:spacing w:after="0" w:line="26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ZoomInfo Technologies Inc. is a holding company, its only material asset is its interest in ZoomInfo Intermediate Inc. and ZoomInfo Holdings LLC, and ZoomInfo Technologies Inc. is accordingly dependent upon distributions from ZoomInfo Intermediate and its subsidiaries to pay taxes, make payments under the tax receivable agreements, and pay dividends.</w:t>
      </w:r>
    </w:p>
    <w:p>
      <w:pPr>
        <w:spacing w:after="0" w:line="121"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ZoomInfo Technologies Inc. is a holding company and has no material assets other than its ownership of common stock of ZoomInfo Intermediate Inc. and of Holdings LLC Units. ZoomInfo Technologies Inc. has no independent means of generating revenue. Although we have no current plans to pay cash dividends on our common stock, deterioration in the financial condition, earnings or cash flow of ZoomInfo Intermediate and its subsidiaries for any reason could limit or impair their ability to pay such distributions in the future. Additionally, to the extent that ZoomInfo Technologies Inc. needs funds, and ZoomInfo Intermediate or its subsidiaries are restricted from making such distributions under applicable law or regulation or under the terms of our financing arrangements, or is otherwise unable to provide such funds, it could materially adversely affect our liquidity and financial condition.</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have no current plans to pay cash dividends on our common stock. Payments of dividends, if any, will be at the discretion of our Board of Directors after taking into account various factors, including our business, operating results, and financial condition, current and anticipated cash needs, plans for expansion, and any legal or contractual limitations on our ability to pay dividends. Our existing secured credit facilities include, and any financing arrangement that we enter into in the future may include, restrictive covenants that limit our ability to pay dividends. In addition, ZoomInfo Midco LLC is generally prohibited under Delaware law from making a distribution to a member to the extent that, at the time of the distribution, after giving effect to the distribution, liabilities of ZoomInfo Midco LLC (with certain exceptions) exceed the fair value of its assets. Subsidiaries of ZoomInfo Midco LLC are generally subject to similar legal limitations on their ability to make distributions to ZoomInfo Midco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ZoomInfo Technologies Inc. is required to pay our Pre-IPO Owners for most of the benefits relating to any additional tax deductions and tax attributes that we may claim as a result of the ZoomInfo Tax Group’s share of existing tax basis acquired in the IPO and increases in its share of existing tax basis, including tax basis received in connection with sales or exchanges of Holdings LLC Units that occurred after the IPO.</w:t>
      </w:r>
    </w:p>
    <w:p>
      <w:pPr>
        <w:spacing w:after="0" w:line="121"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In connection with the IPO, we entered into two tax receivable agreements. We entered into (i) the Exchange Tax Receivable Agreement with certain of our Pre-IPO OpCo Unitholders and (ii) the Reorganization Tax Receivable Agreement with the Pre-IPO Blocker Holders. These tax receivable agreements provide for the payment by members of the ZoomInfo Tax Group to certain Pre-IPO Owners and Pre-IPO HoldCo Unitholders of 85% of the benefits, if any, that the ZoomInfo Tax Group is deemed to realize (calculated using certain assumptions) as a result of certain tax attributes and benefits covered by the tax receivable agreements. The Exchange Tax Receivable Agreement provides for the payment by members of the ZoomInfo Tax Group to certain Pre-IPO OpCo Unitholders and certain Pre-IPO HoldCo Unitholders of 85% of the benefits, if any, that the ZoomInfo Tax Group is deemed to realize (calculated using certain assumptions) as a result of (i) the ZoomInfo Tax Group’s allocable share of existing tax basis acquired in the IPO and (ii) increases in the ZoomInfo Tax Group’s allocable share of existing tax basis and tax basis adjustments that increased the tax basis of the tangible and intangible assets of the ZoomInfo Tax Group as a result of sales or exchanges of Holdings LLC Units for shares of common stock after the IPO, and certain other tax benefits, including tax benefits attributable to payments under the Exchange Tax Receivable Agreement. The Reorganization Tax Receivable Agreement provides for the payment by ZoomInfo Technologies Inc. to Pre-IPO Blocker Holders and certain Pre-IPO HoldCo Unitholders of 85% of the benefits, if any, that the ZoomInfo Tax Group is deemed to realize (calculated using certain assumptions) as a result of the ZoomInfo Tax Group’s utilization of certain tax attributes of the Blocker Companies (including the ZoomInfo Tax Group’s allocable share of existing tax basis acquired in the Reorganization Transactions), and certain other tax benefits.</w:t>
      </w:r>
    </w:p>
    <w:p>
      <w:pPr>
        <w:spacing w:after="0" w:line="14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each case, these increases in existing tax basis and tax basis adjustments generated over time may increase (for tax purposes) depreciation and amortization deductions and, therefore, may reduce the amount of tax that the ZoomInfo Tax Group would otherwise be required to pay in the future, although the U.S. Internal Revenue Service (the “IRS”) may challenge all or part of the validity of that tax basis, and a court could sustain such a challenge. Actual tax benefits realized by the ZoomInfo Tax Group may differ from tax benefits calculated under the tax receivable agreements as a result of the use of certain assumptions in the tax receivable agreements, including the use of an assumed weighted-average state and local income tax rate to calculate tax benefits. The payment obligations under the tax receivable agreements are an obligation of members of the ZoomInfo Tax Group, but not of ZoomInfo Holdings. While the amount of existing tax basis, the anticipated tax basis adjustments, and the actual amount and utilization of tax attributes, as well as the amount and timing of any payments under the tax receivable agreements, will vary depending upon a number of factors, including the amount and timing of our income, we expect that as a result of the size of the transfers and increases in the tax basis of the tangible and intangible assets of ZoomInfo Holdings and our possible utilization of tax attributes, including existing tax basis acquired at the time of the IPO, the payments that the members of the ZoomInfo Tax Group may make under the tax receivable agreements will be substantial. The payments under the tax receivable agreements are not conditioned upon continued ownership of us by the exchanging holders of Holdings LLC Units or the prior owners of the Blocker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 certain cases, payments under the tax receivable agreements may be accelerated and/or significantly exceed the actual benefits the ZoomInfo Tax Group realizes in respect of the tax attributes subject to the tax receivable agreements.</w:t>
      </w:r>
    </w:p>
    <w:p>
      <w:pPr>
        <w:spacing w:after="0" w:line="10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Members of the ZoomInfo Tax Group’s payment obligations under the tax receivable agreements may be accelerated in the event of certain changes of control and will be accelerated in the event it elects to terminate the tax receivable agreements early. The accelerated payments will relate to all relevant tax attributes that would subsequently be available to the ZoomInfo Tax Group. The accelerated payments required in such circumstances will be calculated by reference to the present value (at a discount rate equal to a per annum rate of the lesser of (i) 6.5% and (ii) LIBOR, or its successor rate, plus 100 basis points) of all future payments that holders of Holdings LLC Units or other recipients would have been entitled to receive under the tax receivable agreements, and such accelerated payments and any other future payments under the tax receivable agreements will utilize certain valuation assumptions, including that the ZoomInfo Tax Group will have sufficient taxable income to fully utilize the deductions arising from the increased tax deductions and tax basis and other benefits related to entering into the tax receivable agreements and sufficient taxable income to fully utilize any remaining net operating losses subject to the tax receivable agreements on a straight line basis over the shorter of the statutory expiration period for such net operating losses and the five-year period after the early termination or change of control. In addition, recipients of payments under the tax receivable agreements will not reimburse us for any payments previously made under the tax receivable agreements if such tax basis and the ZoomInfo Tax Group’s utilization of certain tax attributes is successfully challenged by the IRS (although any such detriment would be taken into account in future payments under the tax receivable agreements). The ZoomInfo Tax Group’s ability to achieve benefits from any existing tax basis, tax basis adjustments or other tax attributes, and the payments to be made under the tax receivable agreements, will depend upon a number of factors, including the timing and amount of our future income. As a result, even in the absence of a change of control or an election to terminate the tax receivable agreements, payments under the tax receivable agreements could be in excess of 85% of the ZoomInfo Tax Group’s actual cash tax benefits.</w:t>
      </w:r>
    </w:p>
    <w:p>
      <w:pPr>
        <w:spacing w:after="0" w:line="14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Accordingly, it is possible that the actual cash tax benefits realized by the ZoomInfo Tax Group may be significantly less than the corresponding tax receivable agreement payments or that payments under the tax receivable agreements may be made years in advance of the actual realization, if any, of the anticipated future tax benefits. There may be a material negative effect on our liquidity if the payments under the tax receivable agreements exceed the actual cash tax benefits that the ZoomInfo Tax Group realizes in respect of the tax attributes subject to the tax receivable agreements and/or payments to ZoomInfo Technologies Inc. by ZoomInfo Midco LLC are not sufficient to permit ZoomInfo Technologies Inc. to make payments under the tax receivable agreements after it has paid taxes and other expenses. We may need to incur additional indebtedness to finance payments under the tax receivable agreements to the extent our cash resources are insufficient to meet our obligations under the tax receivable agreements as a result of timing discrepancies or otherwise, and these obligations could have the effect of delaying, deferring, or preventing certain mergers, asset sales, other forms of business combinations, or other changes of control.</w:t>
      </w:r>
    </w:p>
    <w:p>
      <w:pPr>
        <w:spacing w:after="0" w:line="23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acceleration of payments under the tax receivable agreements in the case of certain changes of control may impair our ability to consummate change of control transactions or negatively impact the value received by owners of our common stock.</w:t>
      </w:r>
    </w:p>
    <w:p>
      <w:pPr>
        <w:spacing w:after="0" w:line="10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In the case of certain changes of control, payments under the tax receivable agreements may be accelerated and may significantly exceed the actual benefits the ZoomInfo Tax Group realizes in respect of the tax attributes subject to the tax receivable agreements. We expect that the payments that we may make under the tax receivable agreements in the event of a change of control will be substantial. As a result, our accelerated payment obligations and/or the assumptions adopted under the tax receivable agreements in the case of a change of control may impair our ability to consummate change of control transactions or negatively impact the value received by owners of our common stock in a change of control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parties to our stockholders agreement continue to have influence over us, and their interests may conflict with ours or yours in the future.</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Pursuant to the terms of our stockholders agreement, certain investment funds, including as of the Company’s fiscal year ended December 31, 2024, investment funds associated with The Carlyle Group (“Carlyle”), and Henry Schuck, our Chief Executive Officer, and Kirk Brown (collectively, our “Founders”) have designated a director to serve on our Board of Directors. Carlyle and our Founders have the right to designate at least one of our directors for so long as they beneficially own at least 5% of the voting power of all shares of our outstanding capital stock entitled to vote generally in the election of our directors. For so long as any such party has a designee continuing to serve on our Board of Directors, they will be able to significantly influence our management, business plans, and policies, including the appointment and removal of our officers, the composition of our Board of Directors, and decisions about whether to enter or not enter into significant transactions. The rights provided under the terms of the stockholders agreement could deprive you of an opportunity to receive a premium for your shares of our common stock as part of a sale of our Company and ultimately might affect the market price of our common stock.</w:t>
      </w:r>
    </w:p>
    <w:p>
      <w:pPr>
        <w:spacing w:after="0" w:line="23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organizational documents and Delaware law might discourage or delay acquisition attempts for us that you might consider favorable.</w:t>
      </w:r>
    </w:p>
    <w:p>
      <w:pPr>
        <w:spacing w:after="0" w:line="10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second amended and restated certificate of incorporation and amended and restated bylaws contain provisions that may make a merger with or acquisition of our Company more difficult without the approval of our Board of Directors. Among other things, these provisions:</w:t>
      </w:r>
    </w:p>
    <w:p>
      <w:pPr>
        <w:spacing w:after="0" w:line="110" w:lineRule="exact"/>
        <w:rPr>
          <w:sz w:val="20"/>
          <w:szCs w:val="20"/>
          <w:color w:val="auto"/>
        </w:rPr>
      </w:pPr>
    </w:p>
    <w:p>
      <w:pPr>
        <w:ind w:left="640" w:hanging="316"/>
        <w:spacing w:after="0" w:line="274"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Board of Directors is divided into three classes, as nearly equal in size as possible, with directors in each class serving three-year terms and with terms of the directors of only one class expiring in any given year;</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removal of directors only for cause and only upon the affirmative vote of the holders of at least 66⅔% in voting power of the 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82" w:lineRule="auto"/>
        <w:tabs>
          <w:tab w:leader="none" w:pos="635"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 us to authorize the issuance of shares of one or more series of preferred stock, including in connection with a stockholder rights plan, financing transactions, or otherwise, the terms of which series may be established and the shares of which may be issued without stockholder approval, and which may include super voting, special approval, dividend, or other rights or preferences superior to the rights of the holders of our common stock;</w:t>
      </w:r>
    </w:p>
    <w:p>
      <w:pPr>
        <w:spacing w:after="0" w:line="52" w:lineRule="exact"/>
        <w:rPr>
          <w:rFonts w:ascii="Times New Roman" w:cs="Times New Roman" w:eastAsia="Times New Roman" w:hAnsi="Times New Roman"/>
          <w:sz w:val="17"/>
          <w:szCs w:val="17"/>
          <w:color w:val="auto"/>
        </w:rPr>
      </w:pPr>
    </w:p>
    <w:p>
      <w:pPr>
        <w:jc w:val="both"/>
        <w:ind w:left="640" w:hanging="316"/>
        <w:spacing w:after="0" w:line="259"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stockholder action by written consent by holders of our common stock from and after the date on which the parties to our stockholders agreement cease to beneficially own at least 50% of the total voting power of all then-outstanding shares of our capital stock entitled to vote generally in the election of directors unless such action is recommended by all directors then in office;</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certain limitations on convening special stockholder meetings;</w:t>
      </w:r>
    </w:p>
    <w:p>
      <w:pPr>
        <w:spacing w:after="0" w:line="111"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 that the Board of Directors is expressly authorized to make, alter, or repeal our bylaws and (ii) that our stockholders may only amend our bylaws with the approval of 66⅔% or more of all of then-outstanding shares of our capital stock entitled to vote if the parties to our stockholders agreement beneficially own less than 50% of the total voting power of all then-outstanding shares of our capital stock entitled to vote generally in the election of directors;</w:t>
      </w:r>
    </w:p>
    <w:p>
      <w:pPr>
        <w:spacing w:after="0" w:line="74"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certain provisions of our second amended and restated certificate of incorporation may be amended only by the affirmative vote of the holders of at least 66⅔% in voting power of then-outstanding shares of our capital stock entitled to vote if the parties to our stockholders agreement beneficially own less than 50% of the total voting power of all then-outstanding shares of our capital stock entitled to vote generally in the election of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4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requirements for nominations for elections to our Board of Directors or for proposing matters that can be acted upon by stockholders at stockholder meetings.</w:t>
      </w:r>
    </w:p>
    <w:p>
      <w:pPr>
        <w:spacing w:after="0" w:line="11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Further, as a Delaware corporation, we are subject to provisions of Delaware law, which may impede or discourage a takeover attempt that our stockholders may find beneficial. These anti-takeover provisions and other provisions under Delaware law could discourage, delay, or prevent a transaction involving a change in control of our Company, including actions that our stockholders may deem advantageous, or negatively affect the trading price of our common stock. These provisions could also discourage proxy contests and make it more difficult for you and other stockholders to elect directors of your choosing and to cause us to take other corporate actions you desire. For further discussion of these and other such anti-takeover provisions, see “Description of Capital Stock—Anti-Takeover Effects of Our Second Amended and Restated Certificate of Incorporation and Amended and Restated Bylaws and Certain Provisions of Delaware Law” in Exhibit 4.1 to this Form 10-K.</w:t>
      </w:r>
    </w:p>
    <w:p>
      <w:pPr>
        <w:spacing w:after="0" w:line="134"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In addition, our second amended and restated certificate of incorporation provides that the Delaware Court of Chancery will be the exclusive forum for certain types of legal action and, unless we consent in writing to the selection of an alternative forum, the federal district courts of the United States of America shall be the exclusive forum for the resolution of any complaint asserting a cause of action arising under the Exchange Act or the Securities Act of 1933. This provision may make it more difficult for you and other stockholders to challenge certain corporate actions we take, by limiting your and other stockholders’ ability to obtain favorable or convenient judicial forums for disputes with us or our directors, officers, employees, agents or other stockholders.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Risk Management and Strategy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Commitment to Security</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Security is a foundation on which ZoomInfo builds and maintains customers’ trust. We are committed to protecting our information and our customers’ information from both intentional and unintentional misuse and have implemented a robust Information Security Management System (“ISMS”) that meets the ISO 27001 Standard requirements as well as the ISO 27701 (Privacy) and ISO 27017 (Cloud Security) standards. We have also earned AICPA’s SOC 2 attestation regarding the security, availability, and confidentiality controls around our services and meet the security requirements of the Cloud Security Alliance STAR program.</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Framework</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security program is risk-driven and integrated into our overall enterprise risk management process. We emphasize risk detection, which serves as the foundation for risk management-related business decisions. Our ISMS provides the structure for our overall security program and serves to assess, manage, monitor, and minimize our cybersecurity risks. The program includes:</w:t>
      </w:r>
    </w:p>
    <w:p>
      <w:pPr>
        <w:spacing w:after="0" w:line="125" w:lineRule="exact"/>
        <w:rPr>
          <w:sz w:val="20"/>
          <w:szCs w:val="20"/>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Context of the organization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Leadership</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evaluation</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ISMS consists of a set of policies and procedures that serve as a foundation for risk identification and remediation across all company assets. ZoomInfo’s ISMS implementation allows for the appropriate integration of security controls into existing or newly created business processes. ZoomInfo’s risk management platform is loosely based on the ISO 31000 Risk Management Standard, and continuous risk assessment activities are conducted in partnership and coordination with risk owners in various functions.</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Team and Internal Operations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cybersecurity team is comprised of a diverse group of security veterans with experience managing all facets of information risk including, but not limited to, Application Security, Data Governance, Security Engineering, Security Processes and Services, Secure Software Development, Governance Risk and Compliance, Risk Management, Cyber Threat Intelligence, Breach Readiness, Cyber Defense Center for monitoring, Offensive Security, and Security Awareness.</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also consult with outside experts to identify and implement best practices, help gauge the security climate, and identify effective methods for related skill development and information sharing.</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information security policies outline the roles and responsibilities within the organization, and our security team works directly with specific members of senior management we call “security ambassadors” to help ensure that the various information security directives are executed as required in their respective departments. Our security partners help to establish, assess, and enhance business processes by ensuring the required information security risk management practices are suitably embedded within their respective processes.</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All employees and contractors are required to participate in continuous and dynamic security awareness training. The training includes an overview of key security topics, policies, and responsibilities. Regular security bulletins are disseminated to employees and contractors with security alerts, tips and best practices, external resources, security procedures, and contact information so that they can ask security-related questions or raise concerns.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Prevention, Detection, and Response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ZoomInfo has implemented preventative security and detection measures, including asset protection and access controls in the following key areas:</w:t>
      </w:r>
    </w:p>
    <w:p>
      <w:pPr>
        <w:spacing w:after="0" w:line="164" w:lineRule="exact"/>
        <w:rPr>
          <w:sz w:val="20"/>
          <w:szCs w:val="20"/>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Assets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Protection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Protection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Security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Security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 Point Devices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Perimeter Defense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Protection</w:t>
      </w:r>
    </w:p>
    <w:p>
      <w:pPr>
        <w:spacing w:after="0" w:line="1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also maintain written incident response plans and conduct periodic cross-functional tabletop exercises to help assess our incident response plans, processes, and capabilities in addressing cybersecurity threats.</w:t>
      </w:r>
    </w:p>
    <w:p>
      <w:pPr>
        <w:spacing w:after="0" w:line="110"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As part of our security framework and evaluation of our supply chain risks, we review our service providers’ security practices and require appropriate certifications from them. We also perform an analysis of controls to manage our third-party security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information related to whether risks from cybersecurity threats have materially affected or are reasonably likely to materially affect ZoomInfo, see “Risk Factors—Cyber-attacks and security vulnerabilities could result in serious harm to our reputation, business, and financial condition” in Part I, Item 1A of this Annual Report on Form 10-K.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Cybersecurity Governance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Oversight of Risk Management Generally</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Board has extensive involvement in the oversight of risk management related to us and our business. The Board accomplishes this oversight both directly and through its Audit Committee, Compensation Committee, Nominating and Corporate Governance Committee, and Privacy, Security and Technology Committee, each of which assists the Board in overseeing a part of our overall risk management and regularly reports to the Board. The Audit Committee represents the Board by periodically reviewing our accounting, reporting and financial practices, including the integrity of our financial statements, the oversight of administrative and financial controls, our compliance with legal and regulatory requirements and our policies with respect to risk assessment and risk management. Through its regular meetings with management, including the finance, legal and internal audit functions, the Audit Committee reviews and discusses significant areas of our business and related risks and summarizes for the Board areas of risk and any mitigating factors. The Compensation Committee considers, and discusses with management, management’s assessment of certain risks, including whether any risks arising from our compensation policies and practices for our employees are reasonably likely to have a material adverse effect on us. The Nominating and Corporate Governance Committee oversees and evaluates programs and risks associated with Board organization, membership and structure, succession planning and corporate governance. In addition, our Board receives periodic detailed operating performance reviews from management. The Privacy, Security and Technology Committee represents the Board by periodically reviewing and discussing with Company management the Company’s major risk exposures relating to privacy, cybersecurity, and technology, and the steps the Company takes to detect, monitor, and actively manage such exposures.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Oversight of Privacy, Cybersecurity and Technology Risks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Board recognizes the importance of maintaining the trust and confidence of our customers and employees. As a part of its independent oversight of the key risks facing our company, the Board, primarily through its Privacy, Security and Technology Committee, devotes significant time and attention to the oversight of privacy, cybersecurity, and technology risks. The Privacy, Security, and Technology Committee oversees management’s approach to controls, policies, processes, and practices to gauge and address privacy, cybersecurity, and technology risks. The Privacy, Security, and Technology Committee regularly reports to the full Board and discusses the significant privacy, cybersecurity, and technology issues at the Board level.</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cybersecurity program is managed by our chief information security officer (“CISO”). Our CISO is informed about and monitors awareness, prevention, detection, mitigation, and remediation efforts through regular communication and reporting from members of the information security team. Our CISO has served in global information security roles for over 20 years, including serving as the Chief Information Security Officer for a leading cloud-based security company and other organizations. In addition, our chief information officer (“CIO”) has served in various leadership roles in the information technology field and has over 25 years of experience across multiple industries, including at adTech, semiconductor, consumer electronics, retail, software, and data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CISO, CIO, chief technology officer, general counsel, and other members of management are part of an executive-level Security Steering Committee, along with subcommittees comprised of cross-functional representatives focused on evaluating ZoomInfo’s data governance, cybersecurity incident response framework, security culture, and product and application security, among other areas. Members of the executive-level Security Steering Committee provide updates and analysis regarding cybersecurity, data privacy, and related security topics to the Board’s Privacy, Security, and Technology Committee at each meeting. In addition, our legal, privacy, and compliance teams are focused on applicable cybersecurity laws and regulations and monitor changes to such laws and regulations with a view to implementing what we believe are best practices in the industry.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corporate headquarters is located in Vancouver, Washington and consists of approximately 0.1 million square feet under a lease agreement that expires on August 31, 2025. In the third quarter of 2021, we executed a lease to occupy a new corporate headquarters in Vancouver, Washington, that consists of approximately 0.3 million square feet which is subject to remeasurement pursuant to the BOMA Standard upon completion of construction. We took possession of various spaces within our new headquarters in phases as sections of the property were made available by the landlord with lease commencement for certain spaces beginning in the second quarter of 2024 and anticipated occupancy beginning in the second half of 2025.</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maintain additional offices in Waltham, Massachusetts; Bethesda, Maryland; Conshohocken, Pennsylvania; San Francisco, California; Ra’anana, Israel; Toronto, Canada; Chennai, India; Bangalore, India; and London, England.</w:t>
      </w:r>
    </w:p>
    <w:p>
      <w:pPr>
        <w:spacing w:after="0" w:line="11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lease all of our facilities and do not own any real property. Our infrastructure operates out of third-party data centers hosted by Google and Amazon Web Services.</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believe our facilities are adequate and suitable for our current needs. We intend to add new facilities or expand existing facilities as we continue to add employees and expand geographically, and we believe that suitable additional or substitute space will be available as needed to accommodate any such expansion of our operations. In certain geographies, we anticipate that we will endeavor to sublease some of our committed space where the lease provides more space than we will require during certain periods of the lease.</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a description of certain legal and regulatory proceedings, please read “Legal matters” in Note 10 - Commitments and Contingencies of our audited consolidated financial statements included in Part II, Item 8 of this Form 10-K, which is incorporated herein by reference.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6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for Common Stock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common stock is listed and traded on the Nasdaq Stock Market under the trading symbol “ZI”.</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January 31, 2025, there were 11 holders of record of our common stock. The actual number of stockholders of common stock is greater than this number of record holders, and includes stockholders who are beneficial owners, but whose shares are held in street name by brokers and other nominees. This number of holders of record also does not include stockholders whose shares may be held in trust by other entities.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no current plans to pay dividends on our common stock. The declaration, amount, and payment of any future dividends on shares of common stock is at the sole discretion of our Board of Directors, and we may reduce or discontinue entirely the payment of such dividends at any time. Our Board of Directors may take into account general and economic conditions, our financial condition and operating results, our available cash and current and anticipated cash needs, capital requirements, contractual, legal, tax, and regulatory restrictions and implications on the payment of dividends by us to our stockholders or by our subsidiaries to us, and such other factors as our Board of Directors may deem relevant.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164"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The following shall not be deemed “filed” with the SEC for purposes of Section 18 of the Exchange Act, or otherwise subject to the liabilities under that section, and shall not be deemed to be incorporated by reference into any of our other filings under the Securities Act of 1933 or the Exchange Act.</w:t>
      </w:r>
    </w:p>
    <w:p>
      <w:pPr>
        <w:spacing w:after="0" w:line="10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graph below compares the cumulative total stockholder return on our common stock with the cumulative total return on the S&amp;P 500 Index (^GSPC) and the Nasdaq Computer Index (^IXCO), assuming an initial investment of $100 at the market close on June 4, 2020, the date our stock commenced trading on the Nasdaq Stock Market. Data for the S&amp;P 500 Index and the Nasdaq Computer Index assume reinvestment of dividends.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comparisons in the graph below are based upon historical data and are not indicative of, nor intended to forecast,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946150</wp:posOffset>
            </wp:positionH>
            <wp:positionV relativeFrom="paragraph">
              <wp:posOffset>149225</wp:posOffset>
            </wp:positionV>
            <wp:extent cx="5250180" cy="26085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250180" cy="2608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shares of common stock purchased by the Company during the periods indicated: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Maximum Number (or Approximate</w:t>
            </w:r>
          </w:p>
        </w:tc>
      </w:tr>
      <w:tr>
        <w:trPr>
          <w:trHeight w:val="212"/>
        </w:trPr>
        <w:tc>
          <w:tcPr>
            <w:tcW w:w="16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 Shares</w:t>
            </w:r>
          </w:p>
        </w:tc>
        <w:tc>
          <w:tcPr>
            <w:tcW w:w="120" w:type="dxa"/>
            <w:vAlign w:val="bottom"/>
          </w:tcPr>
          <w:p>
            <w:pPr>
              <w:spacing w:after="0"/>
              <w:rPr>
                <w:sz w:val="18"/>
                <w:szCs w:val="18"/>
                <w:color w:val="auto"/>
              </w:rPr>
            </w:pPr>
          </w:p>
        </w:tc>
        <w:tc>
          <w:tcPr>
            <w:tcW w:w="28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Dollar Value) of Shares that May Yet</w:t>
            </w:r>
          </w:p>
        </w:tc>
      </w:tr>
      <w:tr>
        <w:trPr>
          <w:trHeight w:val="209"/>
        </w:trPr>
        <w:tc>
          <w:tcPr>
            <w:tcW w:w="16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80" w:type="dxa"/>
            <w:vAlign w:val="bottom"/>
          </w:tcPr>
          <w:p>
            <w:pPr>
              <w:spacing w:after="0"/>
              <w:rPr>
                <w:sz w:val="18"/>
                <w:szCs w:val="18"/>
                <w:color w:val="auto"/>
              </w:rPr>
            </w:pPr>
          </w:p>
        </w:tc>
        <w:tc>
          <w:tcPr>
            <w:tcW w:w="2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Weighted Average Price</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Purchased as Part of Publicly</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2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7"/>
              </w:rPr>
              <w:t>be Purchased Under the Plan or</w:t>
            </w:r>
          </w:p>
        </w:tc>
      </w:tr>
      <w:tr>
        <w:trPr>
          <w:trHeight w:val="262"/>
        </w:trPr>
        <w:tc>
          <w:tcPr>
            <w:tcW w:w="16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92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Purchased</w:t>
            </w:r>
            <w:r>
              <w:rPr>
                <w:rFonts w:ascii="Times New Roman" w:cs="Times New Roman" w:eastAsia="Times New Roman" w:hAnsi="Times New Roman"/>
                <w:sz w:val="22"/>
                <w:szCs w:val="22"/>
                <w:b w:val="1"/>
                <w:bCs w:val="1"/>
                <w:color w:val="auto"/>
                <w:vertAlign w:val="superscript"/>
              </w:rPr>
              <w:t>(1)</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7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Paid Per Share</w:t>
            </w:r>
          </w:p>
        </w:tc>
        <w:tc>
          <w:tcPr>
            <w:tcW w:w="2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Announced Plans or Programs</w:t>
            </w:r>
            <w:r>
              <w:rPr>
                <w:rFonts w:ascii="Times New Roman" w:cs="Times New Roman" w:eastAsia="Times New Roman" w:hAnsi="Times New Roman"/>
                <w:sz w:val="22"/>
                <w:szCs w:val="22"/>
                <w:b w:val="1"/>
                <w:bCs w:val="1"/>
                <w:color w:val="auto"/>
                <w:w w:val="96"/>
                <w:vertAlign w:val="superscript"/>
              </w:rPr>
              <w:t>(2)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72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Programs</w:t>
            </w:r>
          </w:p>
        </w:tc>
      </w:tr>
      <w:tr>
        <w:trPr>
          <w:trHeight w:val="218"/>
        </w:trPr>
        <w:tc>
          <w:tcPr>
            <w:tcW w:w="1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2024</w:t>
            </w: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00" w:type="dxa"/>
            <w:vAlign w:val="bottom"/>
            <w:tcBorders>
              <w:top w:val="single" w:sz="8" w:color="CCEEFF"/>
            </w:tcBorders>
            <w:shd w:val="clear" w:color="auto" w:fill="CCEEFF"/>
          </w:tcPr>
          <w:p>
            <w:pPr>
              <w:spacing w:after="0"/>
              <w:rPr>
                <w:sz w:val="19"/>
                <w:szCs w:val="19"/>
                <w:color w:val="auto"/>
              </w:rPr>
            </w:pPr>
          </w:p>
        </w:tc>
        <w:tc>
          <w:tcPr>
            <w:tcW w:w="2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w:t>
            </w:r>
          </w:p>
        </w:tc>
      </w:tr>
      <w:tr>
        <w:trPr>
          <w:trHeight w:val="225"/>
        </w:trPr>
        <w:tc>
          <w:tcPr>
            <w:tcW w:w="1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2024</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1,908,248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00" w:type="dxa"/>
            <w:vAlign w:val="bottom"/>
          </w:tcPr>
          <w:p>
            <w:pPr>
              <w:spacing w:after="0"/>
              <w:rPr>
                <w:sz w:val="19"/>
                <w:szCs w:val="19"/>
                <w:color w:val="auto"/>
              </w:rPr>
            </w:pPr>
          </w:p>
        </w:tc>
        <w:tc>
          <w:tcPr>
            <w:tcW w:w="2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25"/>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19"/>
                <w:szCs w:val="19"/>
                <w:color w:val="auto"/>
              </w:rPr>
            </w:pPr>
          </w:p>
        </w:tc>
        <w:tc>
          <w:tcPr>
            <w:tcW w:w="2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w:t>
            </w:r>
          </w:p>
        </w:tc>
      </w:tr>
      <w:tr>
        <w:trPr>
          <w:trHeight w:val="219"/>
        </w:trPr>
        <w:tc>
          <w:tcPr>
            <w:tcW w:w="1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1,919,726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720" w:type="dxa"/>
            <w:vAlign w:val="bottom"/>
          </w:tcPr>
          <w:p>
            <w:pPr>
              <w:spacing w:after="0"/>
              <w:rPr>
                <w:sz w:val="19"/>
                <w:szCs w:val="19"/>
                <w:color w:val="auto"/>
              </w:rPr>
            </w:pPr>
          </w:p>
        </w:tc>
      </w:tr>
      <w:tr>
        <w:trPr>
          <w:trHeight w:val="20"/>
        </w:trPr>
        <w:tc>
          <w:tcPr>
            <w:tcW w:w="16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4" w:lineRule="exact"/>
        <w:rPr>
          <w:sz w:val="20"/>
          <w:szCs w:val="20"/>
          <w:color w:val="auto"/>
        </w:rPr>
      </w:pPr>
    </w:p>
    <w:p>
      <w:pPr>
        <w:ind w:left="320" w:hanging="314"/>
        <w:spacing w:after="0" w:line="247"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that were not purchased as part of publicly announced plans or programs were acquired through the withholding of shares to satisfy tax withholding obligations incurred upon the vesting of HSKB Phantom Units awarded under the HSKB Funds, LLC 2019 Phantom Unit Plan.</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50" w:lineRule="auto"/>
        <w:tabs>
          <w:tab w:leader="none" w:pos="32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2023, the Board authorized a program to repurchase the Company’s common stock (the “Share Repurchase Program”). The total authorizations in 2023 and 2024 were $600.0 million and $500.0 million, respectively, of which $137.6 million remained available and authorized for repurchases as of December 31, 2024.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6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audited consolidated financial statements and related notes included elsewhere in this Annual Report on Form 10-K. This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sections titled “Cautionary Statement Regarding Forward-Looking Statements” and “Risk Factors” included elsewhere in this Annual Report on Form 10-K.</w:t>
      </w:r>
    </w:p>
    <w:p>
      <w:pPr>
        <w:spacing w:after="0" w:line="128"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Numerical figures included in this Annual Report on Form 10-K are subject to immaterial rounding adjustments. Accordingly, numerical figures shown as totals in various tables may not be arithmetic aggregations of the figures that precede them.</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ZoomInfo is a global leader in modern go-to-market software, data, and intelligence for sales, marketing, operations, and recruiting teams. Our go-to-market intelligence platform empowers businesses with AI-ready insights, trusted data, and advanced automation providing sales, marketing, operations, and recruiting professionals accurate information and insights on the organizations and professionals they target. This enables our customers to shorten sales cycles and increase win rates by empowering sellers, marketers, and recruiters to efficiently deliver the right message to the right person at the right time in the right way.</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ZoomInfo is the modern go-to-market intelligence platform, consisting of three distinct layers that build upon each other:</w:t>
      </w:r>
    </w:p>
    <w:p>
      <w:pPr>
        <w:spacing w:after="0" w:line="162" w:lineRule="exact"/>
        <w:rPr>
          <w:sz w:val="20"/>
          <w:szCs w:val="20"/>
          <w:color w:val="auto"/>
        </w:rPr>
      </w:pPr>
    </w:p>
    <w:p>
      <w:pPr>
        <w:ind w:left="640" w:hanging="316"/>
        <w:spacing w:after="0" w:line="276"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Intelligence Layer </w:t>
      </w:r>
      <w:r>
        <w:rPr>
          <w:rFonts w:ascii="Times New Roman" w:cs="Times New Roman" w:eastAsia="Times New Roman" w:hAnsi="Times New Roman"/>
          <w:sz w:val="18"/>
          <w:szCs w:val="18"/>
          <w:color w:val="auto"/>
        </w:rPr>
        <w:t>is the foundation of our data-driven strategy. Our best-in-class data, curated through first- and third-party sources, includes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billions of data points about companies and contacts, such as intent, hierarchy, location, and financial information.</w:t>
      </w:r>
    </w:p>
    <w:p>
      <w:pPr>
        <w:spacing w:after="0" w:line="106" w:lineRule="exact"/>
        <w:rPr>
          <w:rFonts w:ascii="Times New Roman" w:cs="Times New Roman" w:eastAsia="Times New Roman" w:hAnsi="Times New Roman"/>
          <w:sz w:val="18"/>
          <w:szCs w:val="18"/>
          <w:color w:val="auto"/>
        </w:rPr>
      </w:pPr>
    </w:p>
    <w:p>
      <w:pPr>
        <w:jc w:val="both"/>
        <w:ind w:left="640" w:hanging="316"/>
        <w:spacing w:after="0" w:line="256"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Orchestration Layer </w:t>
      </w:r>
      <w:r>
        <w:rPr>
          <w:rFonts w:ascii="Times New Roman" w:cs="Times New Roman" w:eastAsia="Times New Roman" w:hAnsi="Times New Roman"/>
          <w:sz w:val="18"/>
          <w:szCs w:val="18"/>
          <w:color w:val="auto"/>
        </w:rPr>
        <w:t>integrates and enriches our data sources. At this stage, our products assign and route data, leads, and insights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people. This creates a dataset that is continuously updated and can be used to power automated business workflows. Our services connect with major CRM system providers enabling sales operations professionals to access a suite of products, services, and solutions to ingest, match, enrich, and connect data feeds into multiple systems.</w:t>
      </w:r>
    </w:p>
    <w:p>
      <w:pPr>
        <w:spacing w:after="0" w:line="123" w:lineRule="exact"/>
        <w:rPr>
          <w:rFonts w:ascii="Times New Roman" w:cs="Times New Roman" w:eastAsia="Times New Roman" w:hAnsi="Times New Roman"/>
          <w:sz w:val="18"/>
          <w:szCs w:val="18"/>
          <w:color w:val="auto"/>
        </w:rPr>
      </w:pPr>
    </w:p>
    <w:p>
      <w:pPr>
        <w:jc w:val="both"/>
        <w:ind w:left="640" w:hanging="316"/>
        <w:spacing w:after="0" w:line="251"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Engagement Layer </w:t>
      </w:r>
      <w:r>
        <w:rPr>
          <w:rFonts w:ascii="Times New Roman" w:cs="Times New Roman" w:eastAsia="Times New Roman" w:hAnsi="Times New Roman"/>
          <w:sz w:val="18"/>
          <w:szCs w:val="18"/>
          <w:color w:val="auto"/>
        </w:rPr>
        <w:t>allows sales, marketing, operations, and recruiting professionals to put data-driven insights into action to identify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communicate with prospects and customers. Go-to-market professionals use our engagement layer for multi-touch and multi-channel sales engagement, web meeting recording, transcription, insight generation, and coaching. Marketers drive awareness, lead generation, and deal acceleration campaigns through account-based marketing, advertising, and onsite conversion optimization solutions including chat functionality. Recruiters and talent acquisition professionals can locate and reach more better suited candidates, use pipeline management tools to collaborate and organize the hiring process, and automate aspects of the candidate outreach process by more efficiently finding and engaging candidates.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generate substantially all of our revenue from sales of subscriptions to our platform. Subscriptions include the use of our platform and access to customer support. Subscriptions generally range from one to three years in length. Over 49% of customer contracts (based on annualized value) are multi-year agreements. We typically bill our customers at the beginning of each annual, semi-annual, or quarterly period and recognize revenue ratably over the term of the subscription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sell access to our platform to both new and existing customers. We price our subscriptions based on the functionality, users, and records under management that are included in our contracts. Our core paid products are ZoomInfo Copilot, ZoomInfo Sales, ZoomInfo Marketing, ZoomInfo Operations, and ZoomInfo Talent (with add-on options for some products), and we have a free community edition, ZoomInfo Lite.</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software, insights, and data enable over 35,000 companies to go-to-market more effectively and efficiently. Our customers are primarily businesses that sell to other businesses and operate in almost every industry vertical. They range from the largest global enterprises, to mid-market companies, down to small businesses. The top five industries that we serve, as measured by ACV, on December 31, 2024 are software, which comprised 32% of ACV (compared to 33% a year prior), non-IT business services, which comprised 20% of ACV (compared to 18% a year prior), IT business services, which comprised 8% of ACV (compared to 10% a year prior), financial, insurance &amp; real estate, which comprised 8% of ACV (compared to 8% a year prior), and manufacturing, which comprised 6% of ACV (compared to 5% a year prior).</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year ended December 31, 2024, no single customer contributed more than 10% of revenue. Revenues derived from customers and partners located outside the United States, as determined based on the address provided by our customers and partners, accounted for approximately 12%, 13%, and 12% of total revenue for the years ended December 31, 2024, 2023, and 2022, respectively. As of December 31, 2024, 1,867 customers contracted for more than $100,000 in ACV for ZoomInfo services.</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generated revenue of $1,214.3 million for the year ended December 31, 2024, as compared to revenue for the year ended December 31, 2023 of $1,239.5 million, and GAAP income from operations of $97.4 million for the year ended December 31, 2024, as compared to GAAP income from operations of $259.5 million for the year ended December 31, 2023. GAAP operating income margin was 8% for the year ended December 31, 2024, as compared to 21% in 2023. GAAP net income for the year ended December 31, 2024 was $29.1 million, as compared to GAAP net income of $107.3 million for the year ended December 31, 2023. In addition to our consolidated U.S. GAAP financial measures, we review various non-GAAP financial measures, including Adjusted Operating Income, Adjusted Operating Income Margin, and Adjusted Net Income. See “Non-GAAP Financial Measures” below. Our Adjusted Operating Income was $428.5 million for the year ended December 31, 2024, as compared to $498.6 million for the year ended December 31, 2023. Our Adjusted Operating Income Margin was 35% for the year ended December 31, 2024, as compared to 40% in 2023. Adjusted net income was $363.8 million for the year ended December 31, 2024, as compared to $413.1 million for the year ended December 31, 2023. See “Non-GAAP Financial Measures” below for definitions.</w:t>
      </w:r>
    </w:p>
    <w:p>
      <w:pPr>
        <w:spacing w:after="0" w:line="14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discussion of our financial condition and results of operations for the year ended December 31, 2023 compared to the year ended December 31, 2022, included in Item 7. Management’s Discussion and Analysis of Financial Condition and Results of Operations, can be found in the Annual Report on Form 10-K for the year ended December 31,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Macroeconomic Conditions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business and financial condition have and may continue to be impacted by adverse macroeconomic conditions. See “Risk Factors - Geopolitical Risks and Macroeconomic Factors” in Part I, Item 1A of this Annual Report on Form 10-K for further discussion of the possible impact of these issues on our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Term Loan</w:t>
      </w:r>
    </w:p>
    <w:p>
      <w:pPr>
        <w:spacing w:after="0" w:line="2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June 2024, we entered into an amendment to our existing First Lien Credit Agreement (the "Seventh Amendment"), pursuant to which the Company completed a repricing of its First Lien Term Loan Facility, which decreased the applicable rate for both Base Rate loans and SOFR based loans by 50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Waltham Lease Restructurings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July 2024, the Company executed an agreement to restructure its existing lease commitments in Waltham, Massachusetts (“Waltham Lease Restructuring”). Pursuant to the agreement, the Company made a payment of $59.1 million. The Company also executed a new lease agreement for separate office space in Waltham, Massachusetts with the same landlord, with rent payments expected to commence in the fourth quarter of 2025. The lease will terminate on December 31, 2038.</w:t>
      </w:r>
    </w:p>
    <w:p>
      <w:pPr>
        <w:spacing w:after="0" w:line="12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November 2024, the Company executed two amendments to the Waltham Lease Restructuring agreement. Pursuant to the first amendment, the Company agreed to lease separate office space in Waltham, Massachusetts with the same landlord in place of certain remaining lease components, whereby the existing space terminated immediately upon execution. The associated derecognition of the right-of-use assets and liabilities resulted in a loss of $28.3 million which was allocated among the appropriate financial statement line items on the Consolidated Statements of Operations. The Company expects rent payments to commence in the first quarter of 2025. The lease ends on December 31, 2025, and undiscounted lease payments are $1.5 million. Additionally, in November 2024, the Company executed a second amendment to the Waltham Lease Restructuring agreement to extend the term for a portion of the remaining components, which were set to terminate on December 31, 2024, by three months and is set to terminate on March 31, 2025. The Company is not obligated to make any additional lease payments as a result of the extension. See Note 13 - Leases of our audited consolidated financial statement included in Part II, Item 8 of this Form 10-K for further information regarding the Waltham Lease Restructuring and amended agreements.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August 2024, the Company entered into an accelerated share repurchase agreement (the “ASR Transaction”) with a financial institution to repurchase an aggregate $125.0 million of the Company’s common stock. The Company repurchased and retired in total 12,431,216 shares for $125.0 million at an average price of $10.06 per share as part of the ASR Transaction. See the section entitled “</w:t>
      </w:r>
      <w:r>
        <w:rPr>
          <w:rFonts w:ascii="Times New Roman" w:cs="Times New Roman" w:eastAsia="Times New Roman" w:hAnsi="Times New Roman"/>
          <w:sz w:val="18"/>
          <w:szCs w:val="18"/>
          <w:i w:val="1"/>
          <w:iCs w:val="1"/>
          <w:color w:val="auto"/>
        </w:rPr>
        <w:t>Item 5. Market for Registrant’s Common Equity,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Stockholder Matters and Issuer Purchases of Equity Securities—Issuer Purchases of Equity Securities” </w:t>
      </w:r>
      <w:r>
        <w:rPr>
          <w:rFonts w:ascii="Times New Roman" w:cs="Times New Roman" w:eastAsia="Times New Roman" w:hAnsi="Times New Roman"/>
          <w:sz w:val="18"/>
          <w:szCs w:val="18"/>
          <w:color w:val="auto"/>
        </w:rPr>
        <w:t>for additional information</w:t>
      </w:r>
      <w:r>
        <w:rPr>
          <w:rFonts w:ascii="Times New Roman" w:cs="Times New Roman" w:eastAsia="Times New Roman" w:hAnsi="Times New Roman"/>
          <w:sz w:val="18"/>
          <w:szCs w:val="18"/>
          <w:i w:val="1"/>
          <w:iCs w:val="1"/>
          <w:color w:val="auto"/>
        </w:rPr>
        <w:t>.</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Separately, in February 2025, our board of directors authorized an additional $500.0 million in repurchases under the Share Repurchase Program.</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See Note 11 - Stockholders' Equity of our audited consolidated financial statements included in Part II, Item 8 of this Form 10-K for further information.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that the growth and future success of our business depends on many factors, including the following: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focused on continuing to grow the number of customers using our platform in the United States and around the world, and efficiently transacting with those customers. Acquiring new customers while optimizing the profile of those customers and the go-to-market channels we use to attract these customers will play a part in determining our operating results and growth prospects in the future. Acquiring new customers also strengthens the power of our contributory networks. We plan to continue to invest in our efficient go-to-market effort to expand our customer base. As of December 31, 2024, 2023 and 2022, we had over 35,000, 35,000, and 30,000 customers, respectively. We define a customer as a company that maintains one or more active paid subscriptions to our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Increasing Usage of Our Platform</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believe that expanding the value that we provide to our customers and the corresponding revenue generated as a result is an important measure of the health of our business. We monitor net revenue retention to measure that growth. Net revenue retention is a metric that we calculate based on customers of ZoomInfo at the beginning of the twelve-month period, and is calculated as: (a) the total ACV for those customers at the end of the twelve-month period, divided by (b) the total ACV for those customers at the beginning of the twelve-month period. Our net annual retention rate was 87% and 87% as of December 31, 2024 and 2023, respectively. In the near term, we expect our net retention rate to be impacted by macroeconomic conditions. See the caption above entitled “—Recent Developments — Impact of Macroeconomic Conditions.” Over the long term, we expect our net revenue retention rate to be influenced by our ability to move upmarket, as larger customers have historically exhibited higher net revenue retention. We also measure our success in expanding relationships with existing customers by the number of customers that contract for more than $100,000 in ACV. As of December 31, 2024, 2023 and 2022, our customers with over $100,000 in ACV was 1,867, 1,820, and 1,926, respectively.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the Comparability of Our Results of Operations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historical results of operations are not comparable from period to period and may not be comparable to our financial results of operations in future periods. Set forth below is a brief discussion of the key factors impacting the comparability of our results of operations.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Changing the Mix of Our Customer Base and Reducing Write-offs and Bad Debts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second quarter of 2024, we deployed a new business risk model to flag and require upfront pre-payment from prospects at the greatest risk of non-payment. This process was incorporated to mitigate the risk of future write-offs and invest in the long-term health of the Company. Concurrently, our efforts have shifted to customers more likely to pay, renew, and grow with us over time.</w:t>
      </w:r>
    </w:p>
    <w:p>
      <w:pPr>
        <w:spacing w:after="0" w:line="123"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color w:val="auto"/>
        </w:rPr>
        <w:t xml:space="preserve">As a result, we recorded an incremental charge during the second quarter of 2024 impacting our reported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charge represents a revision to our reserves for uncollectible accounts receivable, made up primarily of historical transactions with our SMB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Acquisitions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seek to grow through both internal development and the acquisition of businesses that broaden and strengthen our platform. Our recent acquisitions include Comparably, Inc. and Dogpatch Advisors, LLC in April 2022. These acquisitions have been a driver of our revenue, cost of service, operating expense, and interest expense growth when comparing the results for the years ended December 31, 2023 and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derive primarily all of our revenue from subscription services and the remainder from recurring usage-based services and other revenue. Our subscription services consist of our SaaS applications. Pricing of our subscription contracts are generally based on the functionality provided, the number of users that access our applications, and the amount of data that the customer integrates into their systems. Our subscription contracts typically have a term ranging from one to three years and are non-cancelable. We typically bill for services in advance either annually, semi-annually, or quarterly, and we typically require payment at the beginning of each annual, semi-annual, or quarterly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Subscription revenue is generally recognized ratably over the contract term starting with when our service is made available to the customer. Recurring usage-based revenue is recognized in the period services are utilized by our customers. Other revenue, comprised largely of implementation and professional services fees, is recognized as services are delivered. The amount of revenue recognized reflects the consideration we expect to be entitled to receive in exchange for these services. We record a contract asset when revenue recognized on a contract exceeds the billings to date for that contract.</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contract timing within the period. The unearned revenue balance does not represent the total contract value of annual or multi-year, non-cancelable subscription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6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Cost of service</w:t>
      </w:r>
      <w:r>
        <w:rPr>
          <w:rFonts w:ascii="Times New Roman" w:cs="Times New Roman" w:eastAsia="Times New Roman" w:hAnsi="Times New Roman"/>
          <w:sz w:val="18"/>
          <w:szCs w:val="18"/>
          <w:color w:val="auto"/>
        </w:rPr>
        <w:t>. Cost of service includes direct expenses related to the support and operations of our services and research teams including salaries,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benefits, equity-based compensation, and related expenses, such as employer taxes, allocated overhead for facilities, technology, third-party hosting fees, third-party data costs, and amortization of internally developed capitalized software.</w:t>
      </w:r>
    </w:p>
    <w:p>
      <w:pPr>
        <w:spacing w:after="0" w:line="1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anticipate continued investment in cost of service, with cost of service as a percentage of revenue expected to remain consistent or modestly increase.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driven by rising AI consumption costs and customer onboarding expenses as we migrate existing customers to Copilot and acquire and onboard new</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Copilot customers.</w:t>
      </w:r>
    </w:p>
    <w:p>
      <w:pPr>
        <w:spacing w:after="0" w:line="143"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Amortization of acquired technology. </w:t>
      </w:r>
      <w:r>
        <w:rPr>
          <w:rFonts w:ascii="Times New Roman" w:cs="Times New Roman" w:eastAsia="Times New Roman" w:hAnsi="Times New Roman"/>
          <w:sz w:val="18"/>
          <w:szCs w:val="18"/>
          <w:color w:val="auto"/>
        </w:rPr>
        <w:t>Amortization of acquired technology includes amortization expense for technology acquired in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combinations.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acquired technology will increase if we make additional acquisitions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Gross profit is revenue less cost of revenue, and gross margin is gross profit as a percentage of revenue. Gross profit has been and will continue to be affected by various factors, including leveraging economies of scale, the costs associated with third-party hosting services and third-party data, the level of amortization of acquired technology, and the extent to which we expand our customer support and research organizations. We expect that our gross margin will fluctuate from period to period depending on the interplay of these various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operating expenses consist of sales and marketing, research and development, general and administrative, and amortization of other acquired intangibles. The most significant component of our operating expenses is personnel costs, which consists of salaries, bonuses, sales commissions, equity-based compensation, and other employee-related benefits. Operating expenses also include overhead costs for facilities, technology, professional fees, depreciation and amortization expense, marketing, and restructuring and transaction-related expenses. We anticipate that restructuring and transaction-related expenses, including potential impairments, will be influenced by future acquisition activity, strategic restructuring activities, and the commencement of new leases. Specifically, as new leases commence, we may face increased impairment expenses for spaces that we do not intend to occupy and/or that we plan to sublease, which could cause these costs to vary, potentially significantly, from our historic levels. Refer to Note 13 - Leases of our audited consolidated financial statements included in Part II, Item 8 of this Form 10-K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Sales and marketing expenses primarily consist of employee compensation such as salaries, bonuses, sales commissions, equity-based compensation, and other employee-related benefits for our sales and marketing teams, as well as overhead costs, technology, and marketing programs. Sales commissions and related payroll taxes directly related to contract acquisition are capitalized and recognized as expenses over the estimated period of benefit.</w:t>
      </w:r>
    </w:p>
    <w:p>
      <w:pPr>
        <w:spacing w:after="0" w:line="126"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anticipate that we will continue to invest in sales and marketing capacity to enable future growth. We anticipate that sales and marketing expense excluding equity-based compensation as a percentage of revenue will fluctuate from period to period depending on the interplay of our growing investments in sales and marketing capacity excluding equity-based compensation, the recognition of revenue, and the amortization of deferred commissions costs.</w:t>
      </w:r>
    </w:p>
    <w:p>
      <w:pPr>
        <w:spacing w:after="0" w:line="104"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support our efforts to enhance our existing platform and develop new software products.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Research and development expenses primarily consist of employee compensation such as salaries, bonuses, equity-based compensation, and other employee-related benefits for our engineering and product management teams, as well as overhead costs, and technology. Research and development expenses do not reflect amortization of internally developed capitalized software. We believe that our core technologies and ongoing innovation represent a significant competitive advantage for us.</w:t>
      </w:r>
    </w:p>
    <w:p>
      <w:pPr>
        <w:spacing w:after="0" w:line="13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anticipate that we will continue to invest in research and development in order to develop new features and functionality to drive incremental customer value in the future and that research and development expense as a percentage of revenue will modestly increase in the short-term, but will modestly decrease in the long-term as we drive efficiencies in that organization.</w:t>
      </w:r>
    </w:p>
    <w:p>
      <w:pPr>
        <w:spacing w:after="0" w:line="12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primarily consist of employee-related costs such as salaries, bonuses, equity-based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compensation, and other employee related benefits for our executive, finance, legal, human resources, IT, and business operations and administrative teams, as well as overhead costs. Additionally, we incur expenses related to bad debt and collections, as well as for professional fees including legal services, accounting, banking, and other consulting services. General and administrative expenses also include restructuring and transaction-related expenses, such as impairment charges associated with our leasing activity. Refer to Note 13 - Leases of our audited consolidated financial statements included in Part II, Item 8 of this Form 10-K for further information. We also incur charges associated with litigation settlements, such as the Class Action settlement previously disclosed, which are presented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w:t>
      </w:r>
    </w:p>
    <w:p>
      <w:pPr>
        <w:spacing w:after="0" w:line="13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General and administrative expenses as a percentage of revenue may fluctuate during periods when we incur non-recurring restructuring and transaction-related expenses, such as those associated with acquisitions or impairments. Excluding these non-recurring items, we expect a more stable or declining trend over time.</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Amortization of other acquired intangibles</w:t>
      </w:r>
      <w:r>
        <w:rPr>
          <w:rFonts w:ascii="Times New Roman" w:cs="Times New Roman" w:eastAsia="Times New Roman" w:hAnsi="Times New Roman"/>
          <w:sz w:val="17"/>
          <w:szCs w:val="17"/>
          <w:color w:val="auto"/>
        </w:rPr>
        <w:t>. Amortization of acquired intangibles consists of amortization of customer relationships and brand portfolios.</w:t>
      </w:r>
    </w:p>
    <w:p>
      <w:pPr>
        <w:spacing w:after="0" w:line="1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anticipate that amortization of other acquired intangibles will increase if we make additional acquisitions in the future.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Interest expense, net </w:t>
      </w:r>
      <w:r>
        <w:rPr>
          <w:rFonts w:ascii="Times New Roman" w:cs="Times New Roman" w:eastAsia="Times New Roman" w:hAnsi="Times New Roman"/>
          <w:sz w:val="18"/>
          <w:szCs w:val="18"/>
          <w:color w:val="auto"/>
        </w:rPr>
        <w:t>represents the interest payable on our debt obligations and the amortization of debt discounts and debt issuance costs, less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w:t>
      </w:r>
    </w:p>
    <w:p>
      <w:pPr>
        <w:spacing w:after="0" w:line="10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interest expense could be impacted by changes in variable interest rates, the issuance of additional debt, or changes in our interest rate hedging strategies, such as entering into new hedging arrangements or the expiration of existing interest rate swaps.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on debt modification and extinguishment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Loss on debt modification and extinguishment </w:t>
      </w:r>
      <w:r>
        <w:rPr>
          <w:rFonts w:ascii="Times New Roman" w:cs="Times New Roman" w:eastAsia="Times New Roman" w:hAnsi="Times New Roman"/>
          <w:sz w:val="18"/>
          <w:szCs w:val="18"/>
          <w:color w:val="auto"/>
        </w:rPr>
        <w:t>consists of prepayment penalties and impairment of deferred financing costs associated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modification or extinguishment of debt, as well as new fees incurred with third parties in connection with debt modifications.</w:t>
      </w:r>
    </w:p>
    <w:p>
      <w:pPr>
        <w:spacing w:after="0" w:line="10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anticipate that losses related to debt modification and extinguishment will only occur if we extinguish indebtedness before the contractual repayment dates or amend our existing financing arrangements.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loss (income), net</w:t>
      </w:r>
    </w:p>
    <w:p>
      <w:pPr>
        <w:spacing w:after="0" w:line="166"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Other loss (income), net </w:t>
      </w:r>
      <w:r>
        <w:rPr>
          <w:rFonts w:ascii="Times New Roman" w:cs="Times New Roman" w:eastAsia="Times New Roman" w:hAnsi="Times New Roman"/>
          <w:sz w:val="18"/>
          <w:szCs w:val="18"/>
          <w:color w:val="auto"/>
        </w:rPr>
        <w:t>consists primarily of the remeasurement of TRA liabilities, investment income, and realized and unrealized gains and losses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to the impact of transactions denominated in a foreign currency.</w:t>
      </w:r>
    </w:p>
    <w:p>
      <w:pPr>
        <w:spacing w:after="0" w:line="10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Changes to existing tax law, including changes to the corporate income tax rates or the Company’s state tax footprint could lead to substantial remeasurement of the TRA liability recorded through </w:t>
      </w:r>
      <w:r>
        <w:rPr>
          <w:rFonts w:ascii="Times New Roman" w:cs="Times New Roman" w:eastAsia="Times New Roman" w:hAnsi="Times New Roman"/>
          <w:sz w:val="18"/>
          <w:szCs w:val="18"/>
          <w:i w:val="1"/>
          <w:iCs w:val="1"/>
          <w:color w:val="auto"/>
        </w:rPr>
        <w:t>Other loss (income), net</w:t>
      </w:r>
      <w:r>
        <w:rPr>
          <w:rFonts w:ascii="Times New Roman" w:cs="Times New Roman" w:eastAsia="Times New Roman" w:hAnsi="Times New Roman"/>
          <w:sz w:val="18"/>
          <w:szCs w:val="18"/>
          <w:color w:val="auto"/>
        </w:rPr>
        <w:t xml:space="preserve">. Additionally, the magnitude of </w:t>
      </w:r>
      <w:r>
        <w:rPr>
          <w:rFonts w:ascii="Times New Roman" w:cs="Times New Roman" w:eastAsia="Times New Roman" w:hAnsi="Times New Roman"/>
          <w:sz w:val="18"/>
          <w:szCs w:val="18"/>
          <w:i w:val="1"/>
          <w:iCs w:val="1"/>
          <w:color w:val="auto"/>
        </w:rPr>
        <w:t>Other loss (income), net</w:t>
      </w:r>
      <w:r>
        <w:rPr>
          <w:rFonts w:ascii="Times New Roman" w:cs="Times New Roman" w:eastAsia="Times New Roman" w:hAnsi="Times New Roman"/>
          <w:sz w:val="18"/>
          <w:szCs w:val="18"/>
          <w:color w:val="auto"/>
        </w:rPr>
        <w:t xml:space="preserve"> may increase as we expand operations internationally and add complexity to our operations. Refer to the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section below for further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(Benefit) for income taxes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temporary differences between the financial statement and tax basis of assets and liabilities, as well as from net operating loss and tax credit carryforwards. We evaluate the recoverability of these future deductible temporary differences, net operating losses and credits by assessing the carryforward period and adequacy of future expected taxable income from all sources, including reversing taxable temporary differences, future growth, and forecasted earnings, as well as historical earnings, taxable income in prior years, whether carryback is permitted under the law, and prudent and feasible tax planning strategies. A valuation allowance is established only if it is more likely than not that all or a portion of the deferred tax asset will not be realized.</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significant U.S. federal and state deferred tax assets, including deferred tax assets created by various historical restructuring events. The preponderance of our deferred tax assets have long lives or are otherwise indefinite. We regularly review whether it is more likely than not that our deferred tax assets will be realizable. As of December 31, 2024, a valuation allowance continues to be recorded against certain state-level attributes.</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value of our deferred tax assets are regularly remeasured to consider the impact of statutory changes and other guidance, as well as changes in our state income apportionment factors. Given the amount of our deferred tax assets, minor changes can materially affect our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A significant portion of our deferred tax assets are associated with our TRA, and upon a remeasurement of our deferred tax assets, the TRA liability is typically concurrently remeasured with a partially offsetting impact within </w:t>
      </w:r>
      <w:r>
        <w:rPr>
          <w:rFonts w:ascii="Times New Roman" w:cs="Times New Roman" w:eastAsia="Times New Roman" w:hAnsi="Times New Roman"/>
          <w:sz w:val="18"/>
          <w:szCs w:val="18"/>
          <w:i w:val="1"/>
          <w:iCs w:val="1"/>
          <w:color w:val="auto"/>
        </w:rPr>
        <w:t>Other loss (income), net</w:t>
      </w:r>
      <w:r>
        <w:rPr>
          <w:rFonts w:ascii="Times New Roman" w:cs="Times New Roman" w:eastAsia="Times New Roman" w:hAnsi="Times New Roman"/>
          <w:sz w:val="18"/>
          <w:szCs w:val="18"/>
          <w:color w:val="auto"/>
        </w:rPr>
        <w:t xml:space="preserve"> on the Consolidated Statements of Operations.</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We have regularly taken tax positions, including with respect to our various corporate events and restructurings, in the ordinary course of determining our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We recognize the tax benefit of an uncertain tax position only if it is more likely than not the position will be sustainable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examination by the taxing authority based on the technical merits. We regularly review our tax positions with consideration of a number of factors, including changes in facts or circumstances, changes in tax law or guidance, correspondence with tax authorities during the course of audits and effective settlement of audit issues. Changes in the recognition or measurement of uncertain tax positions could result in material increases or decreases in our </w:t>
      </w:r>
      <w:r>
        <w:rPr>
          <w:rFonts w:ascii="Times New Roman" w:cs="Times New Roman" w:eastAsia="Times New Roman" w:hAnsi="Times New Roman"/>
          <w:sz w:val="18"/>
          <w:szCs w:val="18"/>
          <w:i w:val="1"/>
          <w:iCs w:val="1"/>
          <w:color w:val="auto"/>
        </w:rPr>
        <w:t>Provision for income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in the period in which we make the change, which could have a material impact on our effective tax rate and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our results of operations for the years ended December 31, 2024, 2023, and 2022:</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0" w:type="dxa"/>
            <w:vAlign w:val="bottom"/>
          </w:tcPr>
          <w:p>
            <w:pPr>
              <w:spacing w:after="0"/>
              <w:rPr>
                <w:sz w:val="1"/>
                <w:szCs w:val="1"/>
                <w:color w:val="auto"/>
              </w:rPr>
            </w:pPr>
          </w:p>
        </w:tc>
      </w:tr>
      <w:tr>
        <w:trPr>
          <w:trHeight w:val="225"/>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25"/>
        </w:trPr>
        <w:tc>
          <w:tcPr>
            <w:tcW w:w="60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8"/>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0" w:type="dxa"/>
            <w:vAlign w:val="bottom"/>
          </w:tcPr>
          <w:p>
            <w:pPr>
              <w:spacing w:after="0"/>
              <w:rPr>
                <w:sz w:val="1"/>
                <w:szCs w:val="1"/>
                <w:color w:val="auto"/>
              </w:rPr>
            </w:pPr>
          </w:p>
        </w:tc>
      </w:tr>
      <w:tr>
        <w:trPr>
          <w:trHeight w:val="225"/>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0" w:type="dxa"/>
            <w:vAlign w:val="bottom"/>
          </w:tcPr>
          <w:p>
            <w:pPr>
              <w:spacing w:after="0"/>
              <w:rPr>
                <w:sz w:val="1"/>
                <w:szCs w:val="1"/>
                <w:color w:val="auto"/>
              </w:rPr>
            </w:pPr>
          </w:p>
        </w:tc>
      </w:tr>
      <w:tr>
        <w:trPr>
          <w:trHeight w:val="225"/>
        </w:trPr>
        <w:tc>
          <w:tcPr>
            <w:tcW w:w="6040" w:type="dxa"/>
            <w:vAlign w:val="bottom"/>
            <w:gridSpan w:val="2"/>
          </w:tcPr>
          <w:p>
            <w:pPr>
              <w:ind w:left="240"/>
              <w:spacing w:after="0" w:line="225"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25"/>
        </w:trPr>
        <w:tc>
          <w:tcPr>
            <w:tcW w:w="60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8"/>
        </w:trPr>
        <w:tc>
          <w:tcPr>
            <w:tcW w:w="320" w:type="dxa"/>
            <w:vAlign w:val="bottom"/>
            <w:shd w:val="clear" w:color="auto" w:fill="CCEEFF"/>
          </w:tcPr>
          <w:p>
            <w:pPr>
              <w:spacing w:after="0"/>
              <w:rPr>
                <w:sz w:val="19"/>
                <w:szCs w:val="19"/>
                <w:color w:val="auto"/>
              </w:rPr>
            </w:pPr>
          </w:p>
        </w:tc>
        <w:tc>
          <w:tcPr>
            <w:tcW w:w="57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0" w:type="dxa"/>
            <w:vAlign w:val="bottom"/>
          </w:tcPr>
          <w:p>
            <w:pPr>
              <w:spacing w:after="0"/>
              <w:rPr>
                <w:sz w:val="1"/>
                <w:szCs w:val="1"/>
                <w:color w:val="auto"/>
              </w:rPr>
            </w:pPr>
          </w:p>
        </w:tc>
      </w:tr>
      <w:tr>
        <w:trPr>
          <w:trHeight w:val="21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 net</w:t>
            </w:r>
          </w:p>
        </w:tc>
        <w:tc>
          <w:tcPr>
            <w:tcW w:w="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25"/>
        </w:trPr>
        <w:tc>
          <w:tcPr>
            <w:tcW w:w="60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loss (income), net</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8"/>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18"/>
        </w:trPr>
        <w:tc>
          <w:tcPr>
            <w:tcW w:w="60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__________________</w:t>
            </w: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604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Includes equity-based compensation expense as follows:</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3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160" w:type="dxa"/>
            <w:vAlign w:val="bottom"/>
            <w:tcBorders>
              <w:bottom w:val="single" w:sz="8" w:color="auto"/>
            </w:tcBorders>
            <w:gridSpan w:val="9"/>
          </w:tcPr>
          <w:p>
            <w:pPr>
              <w:ind w:left="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320" w:type="dxa"/>
            <w:vAlign w:val="bottom"/>
          </w:tcPr>
          <w:p>
            <w:pPr>
              <w:spacing w:after="0"/>
              <w:rPr>
                <w:sz w:val="17"/>
                <w:szCs w:val="17"/>
                <w:color w:val="auto"/>
              </w:rPr>
            </w:pPr>
          </w:p>
        </w:tc>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20" w:type="dxa"/>
            <w:vAlign w:val="bottom"/>
          </w:tcPr>
          <w:p>
            <w:pPr>
              <w:spacing w:after="0"/>
              <w:rPr>
                <w:sz w:val="17"/>
                <w:szCs w:val="17"/>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20" w:type="dxa"/>
            <w:vAlign w:val="bottom"/>
          </w:tcPr>
          <w:p>
            <w:pPr>
              <w:spacing w:after="0"/>
              <w:rPr>
                <w:sz w:val="18"/>
                <w:szCs w:val="18"/>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 w:type="dxa"/>
            <w:vAlign w:val="bottom"/>
          </w:tcPr>
          <w:p>
            <w:pPr>
              <w:spacing w:after="0"/>
              <w:rPr>
                <w:sz w:val="18"/>
                <w:szCs w:val="18"/>
                <w:color w:val="auto"/>
              </w:rPr>
            </w:pPr>
          </w:p>
        </w:tc>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320" w:type="dxa"/>
            <w:vAlign w:val="bottom"/>
          </w:tcPr>
          <w:p>
            <w:pPr>
              <w:spacing w:after="0"/>
              <w:rPr>
                <w:sz w:val="19"/>
                <w:szCs w:val="19"/>
                <w:color w:val="auto"/>
              </w:rPr>
            </w:pPr>
          </w:p>
        </w:tc>
        <w:tc>
          <w:tcPr>
            <w:tcW w:w="57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equity-based compensation expense</w:t>
            </w: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8"/>
              <w:spacing w:after="0"/>
              <w:rPr>
                <w:sz w:val="20"/>
                <w:szCs w:val="20"/>
                <w:color w:val="auto"/>
              </w:rPr>
            </w:pPr>
            <w:r>
              <w:rPr>
                <w:rFonts w:ascii="Times New Roman" w:cs="Times New Roman" w:eastAsia="Times New Roman" w:hAnsi="Times New Roman"/>
                <w:sz w:val="16"/>
                <w:szCs w:val="16"/>
                <w:color w:val="auto"/>
                <w:w w:val="99"/>
              </w:rPr>
              <w:t>$</w:t>
            </w: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Year Ended December 31, 2024 versus Year Ended December 31, 2023</w:t>
      </w:r>
    </w:p>
    <w:p>
      <w:pPr>
        <w:spacing w:after="0" w:line="16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Revenue was $1,214.3 million for the year ended December 31, 2024, a decrease of $25.2 million, or 2%, as compared to $1,239.5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The decrease was primarily due to elevated write-off levels resulting from the operational changes implemented during the second quarter of 2024. Refer to the Factors Affecting the Comparability of Our Results of Operations section above.</w:t>
      </w:r>
    </w:p>
    <w:p>
      <w:pPr>
        <w:spacing w:after="0" w:line="120" w:lineRule="exact"/>
        <w:rPr>
          <w:sz w:val="20"/>
          <w:szCs w:val="20"/>
          <w:color w:val="auto"/>
        </w:rPr>
      </w:pPr>
    </w:p>
    <w:p>
      <w:pPr>
        <w:jc w:val="both"/>
        <w:ind w:firstLine="318"/>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Cost of revenue. </w:t>
      </w:r>
      <w:r>
        <w:rPr>
          <w:rFonts w:ascii="Times New Roman" w:cs="Times New Roman" w:eastAsia="Times New Roman" w:hAnsi="Times New Roman"/>
          <w:sz w:val="17"/>
          <w:szCs w:val="17"/>
          <w:color w:val="auto"/>
        </w:rPr>
        <w:t>Cost of revenue was $189.8 million for the year ended December 31, 2024, an increase of $11.3 million, or 6%, as compared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$178.5 million for the year ended December 31, 2023. Excluding equity-based compensation expense, cost of revenue was $179.3 million for the year ended December 31, 2024, an increase of $16.5 million, or 10%, as compared to $162.8 million for the year end December 31, 2023. The increase was primarily due to charges incurred related to lease restructuring activities, depreciation expense on internally developed capitalized software, and hosting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Gross profit</w:t>
      </w:r>
      <w:r>
        <w:rPr>
          <w:rFonts w:ascii="Times New Roman" w:cs="Times New Roman" w:eastAsia="Times New Roman" w:hAnsi="Times New Roman"/>
          <w:sz w:val="18"/>
          <w:szCs w:val="18"/>
          <w:color w:val="auto"/>
        </w:rPr>
        <w:t>. Gross profit for the year ended December 31, 2024 was $1,024.5 million and represented a gross margin of 84%. Gross profit for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2023 was $1,061.0 million and represented a gross margin of 86%. The decrease in gross profit in the year ended December 31, 2024 relative to the year ended December 31, 2023 was a decrease of $36.5 million, or 3%. The gross profit and gross margin decline in the year ended December 31, 2024 was primarily due to lower revenues, as described above, and charges incurred related to lease restructuring activities, increased amortization expense on internally developed capitalized software, and hosting fees.</w:t>
      </w:r>
    </w:p>
    <w:p>
      <w:pPr>
        <w:spacing w:after="0" w:line="12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Operating expenses. </w:t>
      </w:r>
      <w:r>
        <w:rPr>
          <w:rFonts w:ascii="Times New Roman" w:cs="Times New Roman" w:eastAsia="Times New Roman" w:hAnsi="Times New Roman"/>
          <w:sz w:val="18"/>
          <w:szCs w:val="18"/>
          <w:color w:val="auto"/>
        </w:rPr>
        <w:t>Operating expenses were $927.1 million for the year ended December 31, 2024, an increase of $125.6 million, or 16%,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$801.5 million for the year ended December 31, 2023. Excluding equity-based compensation expense, operating expenses were $799.6 million for the year ended December 31, 2024, an increase of $150.0 million, or 23%, as compared to $649.6 million for the year ended December 31, 2023.</w:t>
      </w:r>
    </w:p>
    <w:p>
      <w:pPr>
        <w:spacing w:after="0" w:line="122" w:lineRule="exact"/>
        <w:rPr>
          <w:sz w:val="20"/>
          <w:szCs w:val="20"/>
          <w:color w:val="auto"/>
        </w:rPr>
      </w:pPr>
    </w:p>
    <w:p>
      <w:pPr>
        <w:jc w:val="both"/>
        <w:ind w:left="640" w:hanging="316"/>
        <w:spacing w:after="0" w:line="252" w:lineRule="auto"/>
        <w:tabs>
          <w:tab w:leader="none" w:pos="63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Sales and marketing for the year ended December 31, 2024 was $414.1 million representing an increase of $5.6 million, or 1%, as compared to $408.5 million for the year ended December 31, 2023. Sales and marketing, excluding equity-based compensation expense, for the year ended December 31, 2024 was $363.8 million representing an increase of $26.6 million, or 8%, as compared to $337.2 million for the year ended December 31, 2023 primarily due to charges incurred related to lease restructuring activities, and increased expenses relating to marketing, facilities, and employee-related benefits, offset by decreased compensation costs.</w:t>
      </w:r>
    </w:p>
    <w:p>
      <w:pPr>
        <w:spacing w:after="0" w:line="132" w:lineRule="exact"/>
        <w:rPr>
          <w:rFonts w:ascii="Times New Roman" w:cs="Times New Roman" w:eastAsia="Times New Roman" w:hAnsi="Times New Roman"/>
          <w:sz w:val="18"/>
          <w:szCs w:val="18"/>
          <w:i w:val="1"/>
          <w:iCs w:val="1"/>
          <w:color w:val="auto"/>
        </w:rPr>
      </w:pPr>
    </w:p>
    <w:p>
      <w:pPr>
        <w:jc w:val="both"/>
        <w:ind w:left="640" w:hanging="316"/>
        <w:spacing w:after="0" w:line="252"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for the year ended December 31, 2024 was $196.1 million representing an increase of $4.6 million, or 2%, as compared to $191.5 million for the year ended December 31, 2023. Research and development, excluding equity-based compensation expense, for the year ended December 31, 2024 was $155.6 million representing an increase of $9.2 million, or 6%, as compared to $146.4 million for the year ended December 31, 2023 primarily due to charges incurred related to lease restructuring activities, and increased employee-related benefits, offset by decreased compensation costs.</w:t>
      </w:r>
    </w:p>
    <w:p>
      <w:pPr>
        <w:spacing w:after="0" w:line="132" w:lineRule="exact"/>
        <w:rPr>
          <w:rFonts w:ascii="Times New Roman" w:cs="Times New Roman" w:eastAsia="Times New Roman" w:hAnsi="Times New Roman"/>
          <w:sz w:val="18"/>
          <w:szCs w:val="18"/>
          <w:color w:val="auto"/>
        </w:rPr>
      </w:pPr>
    </w:p>
    <w:p>
      <w:pPr>
        <w:jc w:val="both"/>
        <w:ind w:left="640" w:hanging="316"/>
        <w:spacing w:after="0" w:line="250"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for the year ended December 31, 2024 was $295.3 million representing an increase of $115.7 million, or 64%, as compared to $179.6 million for the year ended December 31, 2023. General and administrative, excluding equity-based compensation expense, for the year ended December 31, 2024 was $258.6 million representing an increase of $114.5 million, or 79%, as compared to $144.1 million for the year ended December 31, 2023 primarily due to lease impairment and abandonment charges, lease restructuring activities, charges incurred related to the Class Actions (See Note 10 - Commitments and Contingencies of our audited consolidated financial statements included in Part II, Item 8 of this Form 10-K for further information), incremental bad debt expense resulting from the change in accounting estimate, and increased compensation costs.</w:t>
      </w:r>
    </w:p>
    <w:p>
      <w:pPr>
        <w:spacing w:after="0" w:line="133"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other acquired intangibles was $21.6 million, representing a decrease of $0.3 million, or 1%, for the year ended December 31, 2024 as compared to $21.9 million for the year ended December 31, 2023.</w:t>
      </w:r>
    </w:p>
    <w:p>
      <w:pPr>
        <w:spacing w:after="0" w:line="108"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Equity-based compensation expense</w:t>
      </w:r>
      <w:r>
        <w:rPr>
          <w:rFonts w:ascii="Times New Roman" w:cs="Times New Roman" w:eastAsia="Times New Roman" w:hAnsi="Times New Roman"/>
          <w:sz w:val="18"/>
          <w:szCs w:val="18"/>
          <w:color w:val="auto"/>
        </w:rPr>
        <w:t>. Equity-based compensation expense was $138.0 million for the year ended December 31, 2024, a decrease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$29.6 million, or 18%, as compared to $167.6 million for the year ended December 31, 2023, due to lower weighted average grant date fair values of grants being amortized in the current period compared to those that were amortized in the prior year and higher capitalization of equity-based compensation, partially offset by decreased termination expense reversals.</w:t>
      </w:r>
    </w:p>
    <w:p>
      <w:pPr>
        <w:spacing w:after="0" w:line="124"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Income from operations was $97.4 million for the year ended December 31, 2024, a decrease of $162.1 million, or 62%,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$259.5 million for the year ended December 31, 2023. The decrease was primarily due to lease impairment and abandonment charges, lease restructuring activities, and costs incurred related to the Class Actions, as well as the change in accounting estimate of collectability of accounts receivable. Operating income margin was 8% for the year ended December 31, 2024 as compared to 21% for the year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Interest expense, net was $39.3 million for the year ended December 31, 2024, a decrease of $5.9 million, or 13%, as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$45.2 million for the year ended December 31, 2023. The decrease was primarily due to the completion of a debt repricing, which resulted in a lower margin on our variable rate debt, as well as reduced principal debt outstanding from repayments during the year and higher interest income.</w:t>
      </w:r>
    </w:p>
    <w:p>
      <w:pPr>
        <w:spacing w:after="0" w:line="12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Other loss (income), net. </w:t>
      </w:r>
      <w:r>
        <w:rPr>
          <w:rFonts w:ascii="Times New Roman" w:cs="Times New Roman" w:eastAsia="Times New Roman" w:hAnsi="Times New Roman"/>
          <w:sz w:val="18"/>
          <w:szCs w:val="18"/>
          <w:color w:val="auto"/>
        </w:rPr>
        <w:t>Other loss, net was $26.1 million for the year ended December 31, 2024 which primarily consists of the TRA remeasurement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 of $38.5 million, partially offset by investment income of $9.5 million, as compared to other income, net of $178.8 million for the year ended December 31, 2023 which primarily consists of the TRA remeasurement gain of $160.7 million and investment income of $22.0 million, partially offset by a loss on foreign currency transactions of $3.9 million.</w:t>
      </w:r>
    </w:p>
    <w:p>
      <w:pPr>
        <w:spacing w:after="0" w:line="124" w:lineRule="exact"/>
        <w:rPr>
          <w:sz w:val="20"/>
          <w:szCs w:val="20"/>
          <w:color w:val="auto"/>
        </w:rPr>
      </w:pPr>
    </w:p>
    <w:p>
      <w:pPr>
        <w:jc w:val="both"/>
        <w:ind w:firstLine="318"/>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Provision for income taxes. </w:t>
      </w:r>
      <w:r>
        <w:rPr>
          <w:rFonts w:ascii="Times New Roman" w:cs="Times New Roman" w:eastAsia="Times New Roman" w:hAnsi="Times New Roman"/>
          <w:sz w:val="17"/>
          <w:szCs w:val="17"/>
          <w:color w:val="auto"/>
        </w:rPr>
        <w:t>The Company is subject to income taxes in the United States and various foreign jurisdictions. Provision for income taxes for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year ended December 31, 2024 was $2.2 million, representing an effective tax rate of 7.2%, as compared to provision for income taxes of $281.5 million, representing an effective tax rate of 72.4%, for the year ended December 31, 2023. The decrease in income tax expense was primarily due to remeasurement of the deferred tax assets resulting from state tax law and apportionment changes and reduction in income before income taxes. The effective tax rate differed from the U.S. statutory rate of 21% due to the remeasurement of deferred tax assets for the effect of state tax law and apportionment changes and research and development tax credits, partially offset by non-deductible equity-based compensation expense, shortfalls in tax-deductible equity compensation compared to amounts recognized in our financial accounts, U.S. state taxes and valuation allowance established over certain state tax attributes. Refer to Note 17 - Income Taxes of our audited consolidated financial statements included in Part II, Item 8 of this Form 10-K for additional information.</w:t>
      </w:r>
    </w:p>
    <w:p>
      <w:pPr>
        <w:spacing w:after="0" w:line="12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Net income was $29.1 million for the year ended December 31, 2024, a decrease of $78.2 million or 73%, as compared to $107.3 million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year ended December 31, 2023. The decrease was primarily due to lease impairment and abandonment charges, lease restructuring activities, charges incurred related to the Class Actions, and impacts resulting from revising our estimates of collectability of accounts receivable.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addition to our results determined in accordance with U.S. GAAP, we believe certain non-GAAP measures are useful in evaluating our operating performance. These measures include, but are not limited to, Adjusted Operating Income, Adjusted Operating Income Margin, Adjusted EBITDA, and Adjusted Net Income and are used by management in making operating decisions, allocating financial resources, internal planning and forecasting, and for business strategy purposes. We believe that non-GAAP financial information is useful to investors because it eliminates certain items that affect period-over-period comparability, and it provides consistency with past financial performance and additional information about our underlying results and trends by excluding certain items that may not be indicative of our business, results of operations, or outlook.</w:t>
      </w:r>
    </w:p>
    <w:p>
      <w:pPr>
        <w:spacing w:after="0" w:line="13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view Adjusted Operating Income, Adjusted Operating Income Margin, Adjusted EBITDA, and Adjusted Net Income as operating performance measures. We believe that the most directly comparable U.S. GAAP financial measure to Adjusted Operating Income is U.S. GAAP operating income. We believe that the most directly comparable U.S. GAAP financial measure to Adjusted Operating Income Margin is U.S. GAAP operating income divided by U.S. GAAP revenue. We believe that the most directly comparable U.S. GAAP financial measure to Adjusted EBITDA and Adjusted Net Income is U.S. GAAP Net Income.</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Non-GAAP financial measures are not meant to be considered in isolation or as a substitute for the comparable GAAP measures, but rather as supplemental information to our business results. This information should be read only in conjunction with our consolidated financial statements prepared in accordance with U.S. GAAP. There are limitations to these non-GAAP financial measures because they are not prepared in accordance with U.S. GAAP and may not be comparable to similarly titled measures of other companies due to potential differences in methods of calculation and items or events being adjusted. In addition, other companies may use different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 Adjusted Operating Income Margin, and Adjusted Net Income</w:t>
      </w:r>
    </w:p>
    <w:p>
      <w:pPr>
        <w:spacing w:after="0" w:line="168"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We define Adjusted Operating Income as income (loss) from operations adjusted for, as applicable, (i) the impact of fair value adjustments to acquired unearned revenue, (ii) amortization of acquired technology and other acquired intangibles, (iii) equity-based compensation expense, (iv) restructuring and transaction-related expenses, (v) integration costs and acquisition-related expenses, and (vi) legal settlement. We exclude the impact of fair value adjustments to acquired unearned revenue and amortization of acquired technology and other acquired intangibles, as well as equity-based compensation expense, because these are non-cash expenses or non-cash fair value adjustments and we believe that excluding these items provides meaningful supplemental information regarding performance and ongoing cash-generation potential. We exclude restructuring and transaction-related expenses, as well as integration costs and acquisition-related compensation, because such expenses are episodic in nature and have no direct correlation to the cost of operating our business on an ongoing basis. We have also excluded charges associated with litigation settlements related to class actions because we believe it represents an extraordinary litigation expense outside of our ordinary course of business and is not indicative of our operative performance. Adjusted Operating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We define Adjusted Operating Income Margin as Adjusted Operating Income divided by the sum of revenue and the impact of fair value adjustments to acquired unearned revenue.</w:t>
      </w:r>
    </w:p>
    <w:p>
      <w:pPr>
        <w:spacing w:after="0" w:line="12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define Adjusted Net Income as net income (loss) adjusted for, as applicable, (i) the impact of fair value adjustments to acquired unearned revenue, (ii) loss on debt modification and extinguishment, (iii) amortization of acquired technology and other acquired intangibles, (iv) equity-based compensation expense, (v) restructuring and transaction-related expenses, (vi) integration costs and acquisition-related expenses, (vii) legal settlement, (viii) TRA liability remeasurement (benefit) expense, (ix) other (income) loss, net and (x) tax impacts of adjustments to net income (loss). Adjusted Net Income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Net Income should not be considered as an alternative to cash flows from operating activities as a measure of liquidity or as an alternative to operating income or net income as indicators of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xml:space="preserve"> to Adjusted Operating Income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60" w:type="dxa"/>
            <w:vAlign w:val="bottom"/>
            <w:tcBorders>
              <w:bottom w:val="single" w:sz="8" w:color="auto"/>
            </w:tcBorders>
          </w:tcPr>
          <w:p>
            <w:pPr>
              <w:spacing w:after="0"/>
              <w:rPr>
                <w:sz w:val="20"/>
                <w:szCs w:val="20"/>
                <w:color w:val="auto"/>
              </w:rPr>
            </w:pPr>
          </w:p>
        </w:tc>
      </w:tr>
      <w:tr>
        <w:trPr>
          <w:trHeight w:val="218"/>
        </w:trPr>
        <w:tc>
          <w:tcPr>
            <w:tcW w:w="6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unaudited)</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 (GAAP)</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r>
      <w:tr>
        <w:trPr>
          <w:trHeight w:val="225"/>
        </w:trPr>
        <w:tc>
          <w:tcPr>
            <w:tcW w:w="6520" w:type="dxa"/>
            <w:vAlign w:val="bottom"/>
          </w:tcPr>
          <w:p>
            <w:pPr>
              <w:ind w:left="180"/>
              <w:spacing w:after="0" w:line="225" w:lineRule="exact"/>
              <w:rPr>
                <w:sz w:val="20"/>
                <w:szCs w:val="20"/>
                <w:color w:val="auto"/>
              </w:rPr>
            </w:pPr>
            <w:r>
              <w:rPr>
                <w:rFonts w:ascii="Times New Roman" w:cs="Times New Roman" w:eastAsia="Times New Roman" w:hAnsi="Times New Roman"/>
                <w:sz w:val="18"/>
                <w:szCs w:val="18"/>
                <w:color w:val="auto"/>
              </w:rPr>
              <w:t xml:space="preserve">Impact of fair value adjustments to acquired unearned revenue </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5"/>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5"/>
        </w:trPr>
        <w:tc>
          <w:tcPr>
            <w:tcW w:w="6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25"/>
        </w:trPr>
        <w:tc>
          <w:tcPr>
            <w:tcW w:w="6520" w:type="dxa"/>
            <w:vAlign w:val="bottom"/>
          </w:tcPr>
          <w:p>
            <w:pPr>
              <w:ind w:left="180"/>
              <w:spacing w:after="0" w:line="225" w:lineRule="exact"/>
              <w:rPr>
                <w:sz w:val="20"/>
                <w:szCs w:val="20"/>
                <w:color w:val="auto"/>
              </w:rPr>
            </w:pPr>
            <w:r>
              <w:rPr>
                <w:rFonts w:ascii="Times New Roman" w:cs="Times New Roman" w:eastAsia="Times New Roman" w:hAnsi="Times New Roman"/>
                <w:sz w:val="18"/>
                <w:szCs w:val="18"/>
                <w:color w:val="auto"/>
              </w:rPr>
              <w:t xml:space="preserve">Restructuring and transaction-related expenses </w:t>
            </w:r>
            <w:r>
              <w:rPr>
                <w:rFonts w:ascii="Times New Roman" w:cs="Times New Roman" w:eastAsia="Times New Roman" w:hAnsi="Times New Roman"/>
                <w:sz w:val="22"/>
                <w:szCs w:val="22"/>
                <w:color w:val="auto"/>
                <w:vertAlign w:val="superscript"/>
              </w:rPr>
              <w:t>(2)</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5"/>
        </w:trPr>
        <w:tc>
          <w:tcPr>
            <w:tcW w:w="6520" w:type="dxa"/>
            <w:vAlign w:val="bottom"/>
            <w:shd w:val="clear" w:color="auto" w:fill="CCEEFF"/>
          </w:tcPr>
          <w:p>
            <w:pPr>
              <w:ind w:left="180"/>
              <w:spacing w:after="0" w:line="225" w:lineRule="exact"/>
              <w:rPr>
                <w:sz w:val="20"/>
                <w:szCs w:val="20"/>
                <w:color w:val="auto"/>
              </w:rPr>
            </w:pPr>
            <w:r>
              <w:rPr>
                <w:rFonts w:ascii="Times New Roman" w:cs="Times New Roman" w:eastAsia="Times New Roman" w:hAnsi="Times New Roman"/>
                <w:sz w:val="18"/>
                <w:szCs w:val="18"/>
                <w:color w:val="auto"/>
              </w:rPr>
              <w:t xml:space="preserve">Integration costs and acquisition-related expenses </w:t>
            </w:r>
            <w:r>
              <w:rPr>
                <w:rFonts w:ascii="Times New Roman" w:cs="Times New Roman" w:eastAsia="Times New Roman" w:hAnsi="Times New Roman"/>
                <w:sz w:val="22"/>
                <w:szCs w:val="22"/>
                <w:color w:val="auto"/>
                <w:vertAlign w:val="superscript"/>
              </w:rPr>
              <w:t>(3)</w:t>
            </w:r>
          </w:p>
        </w:tc>
        <w:tc>
          <w:tcPr>
            <w:tcW w:w="3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5"/>
        </w:trPr>
        <w:tc>
          <w:tcPr>
            <w:tcW w:w="6520" w:type="dxa"/>
            <w:vAlign w:val="bottom"/>
          </w:tcPr>
          <w:p>
            <w:pPr>
              <w:ind w:left="180"/>
              <w:spacing w:after="0" w:line="225"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2"/>
                <w:szCs w:val="22"/>
                <w:color w:val="auto"/>
                <w:vertAlign w:val="superscript"/>
              </w:rPr>
              <w:t>(4)</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Operating Income (Non-GAAP)</w:t>
            </w: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(GAAP)</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r>
      <w:tr>
        <w:trPr>
          <w:trHeight w:val="225"/>
        </w:trPr>
        <w:tc>
          <w:tcPr>
            <w:tcW w:w="6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Impact of fair value adjustments to acquired unearned revenue</w:t>
            </w:r>
          </w:p>
        </w:tc>
        <w:tc>
          <w:tcPr>
            <w:tcW w:w="320" w:type="dxa"/>
            <w:vAlign w:val="bottom"/>
          </w:tcPr>
          <w:p>
            <w:pPr>
              <w:spacing w:after="0"/>
              <w:rPr>
                <w:sz w:val="19"/>
                <w:szCs w:val="19"/>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43"/>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for adjusted operating margin calculation (Non-GAAP)</w:t>
            </w: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1,239.7</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Income Margin (GAAP)</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w:t>
            </w:r>
          </w:p>
        </w:tc>
      </w:tr>
      <w:tr>
        <w:trPr>
          <w:trHeight w:val="23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Operating Income Margin (Non-GAAP)</w:t>
            </w:r>
          </w:p>
        </w:tc>
        <w:tc>
          <w:tcPr>
            <w:tcW w:w="32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35%</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41%</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jc w:val="both"/>
        <w:ind w:left="320" w:hanging="314"/>
        <w:spacing w:after="0" w:line="247" w:lineRule="auto"/>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50" w:lineRule="auto"/>
        <w:tabs>
          <w:tab w:leader="none" w:pos="32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year ended December 31, 2024, this expense is primarily related to lease impairment and abandonment charges as well as lease restructuring activities. For the year ended December 31, 2023, this expense is primarily related to costs associated with a June 2023 reduction in force, and impairment charges related to the Ra’anana office and other offices. For the year ended December 31, 2022, this expense is primarily related to transition and retention payments related to 2021 and 2022 acquisitions. This expense is included in cost of service, sales and marketing, research and development, and general and administrative as follows:</w:t>
      </w:r>
    </w:p>
    <w:p>
      <w:pPr>
        <w:spacing w:after="0" w:line="36"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6"/>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120" w:type="dxa"/>
            <w:vAlign w:val="bottom"/>
            <w:tcBorders>
              <w:bottom w:val="single" w:sz="8" w:color="auto"/>
            </w:tcBorders>
          </w:tcPr>
          <w:p>
            <w:pPr>
              <w:spacing w:after="0"/>
              <w:rPr>
                <w:sz w:val="19"/>
                <w:szCs w:val="19"/>
                <w:color w:val="auto"/>
              </w:rPr>
            </w:pPr>
          </w:p>
        </w:tc>
      </w:tr>
      <w:tr>
        <w:trPr>
          <w:trHeight w:val="232"/>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32"/>
        </w:trPr>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restructuring and transaction-related expenses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320" w:hanging="314"/>
        <w:spacing w:after="0" w:line="266" w:lineRule="auto"/>
        <w:tabs>
          <w:tab w:leader="none" w:pos="32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integration activities for acquisitions and acquisition-related expenses, which includes transaction bonuses and retention awards. For the year ended December 31, 2022, this expense related to retention awards from the acquisitions of Clickagy, Everstring, and Insent, and professional fees relating to integration projects. This expense is included in cost of service, sales and marketing, research and development, and general and administrative as follows:</w:t>
      </w:r>
    </w:p>
    <w:p>
      <w:pPr>
        <w:spacing w:after="0" w:line="9"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6"/>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120" w:type="dxa"/>
            <w:vAlign w:val="bottom"/>
            <w:tcBorders>
              <w:bottom w:val="single" w:sz="8" w:color="auto"/>
            </w:tcBorders>
          </w:tcPr>
          <w:p>
            <w:pPr>
              <w:spacing w:after="0"/>
              <w:rPr>
                <w:sz w:val="19"/>
                <w:szCs w:val="19"/>
                <w:color w:val="auto"/>
              </w:rPr>
            </w:pPr>
          </w:p>
        </w:tc>
      </w:tr>
      <w:tr>
        <w:trPr>
          <w:trHeight w:val="232"/>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tcPr>
          <w:p>
            <w:pPr>
              <w:spacing w:after="0"/>
              <w:rPr>
                <w:sz w:val="18"/>
                <w:szCs w:val="18"/>
                <w:color w:val="auto"/>
              </w:rPr>
            </w:pPr>
          </w:p>
        </w:tc>
        <w:tc>
          <w:tcPr>
            <w:tcW w:w="106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18"/>
                <w:szCs w:val="18"/>
                <w:color w:val="auto"/>
              </w:rPr>
            </w:pPr>
          </w:p>
        </w:tc>
        <w:tc>
          <w:tcPr>
            <w:tcW w:w="106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32"/>
        </w:trPr>
        <w:tc>
          <w:tcPr>
            <w:tcW w:w="5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integration costs and acquisition-related expenses</w:t>
            </w: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both"/>
        <w:ind w:left="320" w:hanging="314"/>
        <w:spacing w:after="0" w:line="266" w:lineRule="auto"/>
        <w:tabs>
          <w:tab w:leader="none" w:pos="32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year ended December 31, 2024, these charges are primarily related to costs incurred due to the Class Actions. See Note 10 - Commitments and Contingencies of our audited consolidated financial statements included in Part II, Item 8 of this Form 10-K for further information.</w:t>
      </w:r>
    </w:p>
    <w:p>
      <w:pPr>
        <w:spacing w:after="0" w:line="11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Adjusted Operating Income for the year ended December 31, 2024 was $428.5 million and represented an Adjusted Operating Income Margin of 35%. Adjusted Operating Income for the year ended December 31, 2023 was $498.6 million and represented an Adjusted Operating Income Margin of 40%. The change in Adjusted Operating Income in the year ended December 31, 2024 relative to the year ended December 31, 2023 was a decrease of $70.1 million, or 14%, and primarily due to the change in accounting estimate of collectability of accounts receivable resulting in both reduced revenues as well as incremental bad debt expense combined with increased employee benefit and facility expenses.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xml:space="preserve"> to Adjusted Net Income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19"/>
        </w:trPr>
        <w:tc>
          <w:tcPr>
            <w:tcW w:w="6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unaudited)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5"/>
        </w:trPr>
        <w:tc>
          <w:tcPr>
            <w:tcW w:w="654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Impact of fair value adjustments to acquired unearned revenue </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5"/>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5"/>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25"/>
        </w:trPr>
        <w:tc>
          <w:tcPr>
            <w:tcW w:w="654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Restructuring and transaction-related expenses </w:t>
            </w:r>
            <w:r>
              <w:rPr>
                <w:rFonts w:ascii="Times New Roman" w:cs="Times New Roman" w:eastAsia="Times New Roman" w:hAnsi="Times New Roman"/>
                <w:sz w:val="22"/>
                <w:szCs w:val="22"/>
                <w:color w:val="auto"/>
                <w:vertAlign w:val="superscript"/>
              </w:rPr>
              <w:t>(2)</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5"/>
        </w:trPr>
        <w:tc>
          <w:tcPr>
            <w:tcW w:w="654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Integration costs and acquisition-related expenses </w:t>
            </w:r>
            <w:r>
              <w:rPr>
                <w:rFonts w:ascii="Times New Roman" w:cs="Times New Roman" w:eastAsia="Times New Roman" w:hAnsi="Times New Roman"/>
                <w:sz w:val="22"/>
                <w:szCs w:val="22"/>
                <w:color w:val="auto"/>
                <w:vertAlign w:val="superscript"/>
              </w:rPr>
              <w:t>(3)</w:t>
            </w:r>
          </w:p>
        </w:tc>
        <w:tc>
          <w:tcPr>
            <w:tcW w:w="34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5"/>
        </w:trPr>
        <w:tc>
          <w:tcPr>
            <w:tcW w:w="654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2"/>
                <w:szCs w:val="22"/>
                <w:color w:val="auto"/>
                <w:vertAlign w:val="superscript"/>
              </w:rPr>
              <w:t>(4)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5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 liability remeasurement (benefit)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25"/>
        </w:trPr>
        <w:tc>
          <w:tcPr>
            <w:tcW w:w="6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540" w:type="dxa"/>
            <w:vAlign w:val="bottom"/>
            <w:tcBorders>
              <w:bottom w:val="single" w:sz="8" w:color="CCEEFF"/>
            </w:tcBorders>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Tax impacts of adjustments to net income (loss) </w:t>
            </w:r>
            <w:r>
              <w:rPr>
                <w:rFonts w:ascii="Times New Roman" w:cs="Times New Roman" w:eastAsia="Times New Roman" w:hAnsi="Times New Roman"/>
                <w:sz w:val="22"/>
                <w:szCs w:val="22"/>
                <w:color w:val="auto"/>
                <w:vertAlign w:val="superscript"/>
              </w:rPr>
              <w:t>(5)</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w:t>
            </w:r>
          </w:p>
        </w:tc>
      </w:tr>
      <w:tr>
        <w:trPr>
          <w:trHeight w:val="244"/>
        </w:trPr>
        <w:tc>
          <w:tcPr>
            <w:tcW w:w="6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363.8</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363.5</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jc w:val="both"/>
        <w:ind w:left="320" w:hanging="314"/>
        <w:spacing w:after="0" w:line="254" w:lineRule="auto"/>
        <w:tabs>
          <w:tab w:leader="none" w:pos="32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320" w:hanging="314"/>
        <w:spacing w:after="0" w:line="255" w:lineRule="auto"/>
        <w:tabs>
          <w:tab w:leader="none" w:pos="3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year ended December 31, 2024, this expense is primarily related to lease impairment and abandonment charges as well as lease restructuring activities. For the year ended December 31, 2023, this expense is primarily related to costs associated with a June 2023 reduction in force, and impairment charges related to the Ra’anana office and other offices. For the year ended December 31, 2022, this expense is primarily related to transition and retention payments related to 2021 and 2022 acquisitions. This expense is included in cost of service, sales and marketing, research and development, and general and administrative as follows:</w:t>
      </w:r>
    </w:p>
    <w:p>
      <w:pPr>
        <w:spacing w:after="0" w:line="18"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6"/>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120" w:type="dxa"/>
            <w:vAlign w:val="bottom"/>
            <w:tcBorders>
              <w:bottom w:val="single" w:sz="8" w:color="auto"/>
            </w:tcBorders>
          </w:tcPr>
          <w:p>
            <w:pPr>
              <w:spacing w:after="0"/>
              <w:rPr>
                <w:sz w:val="19"/>
                <w:szCs w:val="19"/>
                <w:color w:val="auto"/>
              </w:rPr>
            </w:pPr>
          </w:p>
        </w:tc>
      </w:tr>
      <w:tr>
        <w:trPr>
          <w:trHeight w:val="232"/>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32"/>
        </w:trPr>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restructuring and transaction-related expenses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both"/>
        <w:ind w:left="320" w:hanging="314"/>
        <w:spacing w:after="0" w:line="266" w:lineRule="auto"/>
        <w:tabs>
          <w:tab w:leader="none" w:pos="320"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integration activities for acquisitions and acquisition-related expenses, which includes transaction bonuses and retention awards. For the year ended December 31, 2022, this expense related to retention awards from the acquisitions of Clickagy, Everstring, and Insent, and professional fees relating to integration projects. This expense is included in cost of service, sales and marketing, research and development, and general and administrative as follows:</w:t>
      </w:r>
    </w:p>
    <w:p>
      <w:pPr>
        <w:spacing w:after="0" w:line="9"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6"/>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120" w:type="dxa"/>
            <w:vAlign w:val="bottom"/>
            <w:tcBorders>
              <w:bottom w:val="single" w:sz="8" w:color="auto"/>
            </w:tcBorders>
          </w:tcPr>
          <w:p>
            <w:pPr>
              <w:spacing w:after="0"/>
              <w:rPr>
                <w:sz w:val="19"/>
                <w:szCs w:val="19"/>
                <w:color w:val="auto"/>
              </w:rPr>
            </w:pPr>
          </w:p>
        </w:tc>
      </w:tr>
      <w:tr>
        <w:trPr>
          <w:trHeight w:val="232"/>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2"/>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tcPr>
          <w:p>
            <w:pPr>
              <w:spacing w:after="0"/>
              <w:rPr>
                <w:sz w:val="18"/>
                <w:szCs w:val="18"/>
                <w:color w:val="auto"/>
              </w:rPr>
            </w:pPr>
          </w:p>
        </w:tc>
        <w:tc>
          <w:tcPr>
            <w:tcW w:w="106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18"/>
                <w:szCs w:val="18"/>
                <w:color w:val="auto"/>
              </w:rPr>
            </w:pPr>
          </w:p>
        </w:tc>
        <w:tc>
          <w:tcPr>
            <w:tcW w:w="106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32"/>
        </w:trPr>
        <w:tc>
          <w:tcPr>
            <w:tcW w:w="59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integration costs and acquisition-related expenses</w:t>
            </w: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both"/>
        <w:ind w:left="320" w:hanging="314"/>
        <w:spacing w:after="0" w:line="255" w:lineRule="auto"/>
        <w:tabs>
          <w:tab w:leader="none" w:pos="3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year ended December 31, 2024, these charges are primarily related to costs incurred due to the Class Actions. See Note 10 - Commitments and Contingencies of our audited consolidated financial statements included in Part II, Item 8 of this Form 10-K for further information.</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49" w:lineRule="auto"/>
        <w:tabs>
          <w:tab w:leader="none" w:pos="32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tax expense associated with Net income (GAAP) excluded from Adjusted Net Income (Non-GAAP). The Company calculates the tax impacts of adjustments to net income (loss) by taking the total gross value of the adjustments and multiplying it by the Company’s U.S. federal and state statutory tax rate. We then recalculate the tax impact of book-tax differences related to equity compensation, the tax receivable agreements, restructuring and transaction-related expenses, and items that are deemed to be unrelated to current year operating income or are one-time in nature, such as provision to return true-ups. For the year ended December 31, 2024, these primarily relate to adjusting out $30.1 million of tax benefit from the effects of changes in state tax law and apportionment, recognizing $63.6 million of tax benefit related to the amortization of costs associated with corporate structure simplification, and adjusting out $17.5 million of tax expense from non-deductible stock-based compensation. For the year ended December 31, 2023, these primarily relate to adjusting out $138.4 million of tax expense from the effects of changes in state tax law and apportionment, recognizing $60.0 million of tax benefit related to the amortization of costs associated with corporate structure simplification, and adjusting out $23.4 million of tax expense from non-deductible stock-based compensation. For the year ended December 31, 2022, these primarily relate to adjusting out $71.1 million of tax expense from the effects of changes in state tax law and apportionment, recognizing $59.1 million of tax benefit related to the amortization of costs associated with corporate structure simplification, and adjusting out $12.4 million of tax expense from non-deductible stock-based compensation. We believe the exclusion of these adjustments provides investors with useful information about the Company’s underlying results and trends, allowing them to better understand and compare net income (loss) related to ongoing operations and the related current and deferred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EBITDA is defined as earnings before interest, taxes, depreciation, and amortization. Management further adjusts EBITDA to exclude certain items of a significant or unusual nature, including other (income) expense, net, loss on debt modification and extinguishment, impact of certain non-cash items, such as fair value adjustments to acquired unearned revenue and equity-based compensation expense, restructuring and transaction-related expenses, integration costs and acquisition-related expenses, and litigation settlement. We exclude these items because these are non-cash expenses or non-cash fair value adjustments, which we do not consider indicative of performance and ongoing cash-generation potential or are episodic in nature and have no direct correlation to the cost of operating our business on an ongoing basis. Adjusted EBITDA is presented because it is used by management to evaluate our financial performance and for planning and forecasting purposes. Additionally, we believe that it and similar measures are widely used by securities analysts and investors as a means of evaluating a company’s operating performance. Adjusted EBITDA should not be considered as an alternative to cash flows from operating activities as a measure of liquidity or as an alternative to operating income or net income as indicators of operating performance.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 presents a reconciliation of </w:t>
      </w:r>
      <w:r>
        <w:rPr>
          <w:rFonts w:ascii="Times New Roman" w:cs="Times New Roman" w:eastAsia="Times New Roman" w:hAnsi="Times New Roman"/>
          <w:sz w:val="18"/>
          <w:szCs w:val="18"/>
          <w:i w:val="1"/>
          <w:iCs w:val="1"/>
          <w:color w:val="auto"/>
        </w:rPr>
        <w:t>Net income</w:t>
      </w:r>
      <w:r>
        <w:rPr>
          <w:rFonts w:ascii="Times New Roman" w:cs="Times New Roman" w:eastAsia="Times New Roman" w:hAnsi="Times New Roman"/>
          <w:sz w:val="18"/>
          <w:szCs w:val="18"/>
          <w:color w:val="auto"/>
        </w:rPr>
        <w:t xml:space="preserve"> to Adjusted EBITDA for the periods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5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6"/>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Borders>
              <w:bottom w:val="single" w:sz="8" w:color="auto"/>
            </w:tcBorders>
          </w:tcPr>
          <w:p>
            <w:pPr>
              <w:spacing w:after="0"/>
              <w:rPr>
                <w:sz w:val="20"/>
                <w:szCs w:val="20"/>
                <w:color w:val="auto"/>
              </w:rPr>
            </w:pPr>
          </w:p>
        </w:tc>
      </w:tr>
      <w:tr>
        <w:trPr>
          <w:trHeight w:val="218"/>
        </w:trPr>
        <w:tc>
          <w:tcPr>
            <w:tcW w:w="6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unaudited)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5"/>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25"/>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5"/>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56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Depreciation expense </w:t>
            </w:r>
            <w:r>
              <w:rPr>
                <w:rFonts w:ascii="Times New Roman" w:cs="Times New Roman" w:eastAsia="Times New Roman" w:hAnsi="Times New Roman"/>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5"/>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25"/>
        </w:trPr>
        <w:tc>
          <w:tcPr>
            <w:tcW w:w="6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25"/>
        </w:trPr>
        <w:tc>
          <w:tcPr>
            <w:tcW w:w="656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Other loss (income), net </w:t>
            </w:r>
            <w:r>
              <w:rPr>
                <w:rFonts w:ascii="Times New Roman" w:cs="Times New Roman" w:eastAsia="Times New Roman" w:hAnsi="Times New Roman"/>
                <w:sz w:val="22"/>
                <w:szCs w:val="22"/>
                <w:color w:val="auto"/>
                <w:vertAlign w:val="superscript"/>
              </w:rPr>
              <w:t>(2)</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5"/>
        </w:trPr>
        <w:tc>
          <w:tcPr>
            <w:tcW w:w="656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Impact of fair value adjustments to acquired unearned revenue </w:t>
            </w:r>
            <w:r>
              <w:rPr>
                <w:rFonts w:ascii="Times New Roman" w:cs="Times New Roman" w:eastAsia="Times New Roman" w:hAnsi="Times New Roman"/>
                <w:sz w:val="22"/>
                <w:szCs w:val="22"/>
                <w:color w:val="auto"/>
                <w:vertAlign w:val="superscript"/>
              </w:rPr>
              <w:t>(3)</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5"/>
        </w:trPr>
        <w:tc>
          <w:tcPr>
            <w:tcW w:w="6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r>
      <w:tr>
        <w:trPr>
          <w:trHeight w:val="225"/>
        </w:trPr>
        <w:tc>
          <w:tcPr>
            <w:tcW w:w="656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Restructuring and transaction-related expenses </w:t>
            </w:r>
            <w:r>
              <w:rPr>
                <w:rFonts w:ascii="Times New Roman" w:cs="Times New Roman" w:eastAsia="Times New Roman" w:hAnsi="Times New Roman"/>
                <w:sz w:val="22"/>
                <w:szCs w:val="22"/>
                <w:color w:val="auto"/>
                <w:vertAlign w:val="superscript"/>
              </w:rPr>
              <w:t>(4)</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5"/>
        </w:trPr>
        <w:tc>
          <w:tcPr>
            <w:tcW w:w="656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Integration costs and acquisition-related expenses </w:t>
            </w:r>
            <w:r>
              <w:rPr>
                <w:rFonts w:ascii="Times New Roman" w:cs="Times New Roman" w:eastAsia="Times New Roman" w:hAnsi="Times New Roman"/>
                <w:sz w:val="22"/>
                <w:szCs w:val="22"/>
                <w:color w:val="auto"/>
                <w:vertAlign w:val="superscript"/>
              </w:rPr>
              <w:t>(5)</w:t>
            </w:r>
          </w:p>
        </w:tc>
        <w:tc>
          <w:tcPr>
            <w:tcW w:w="34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5"/>
        </w:trPr>
        <w:tc>
          <w:tcPr>
            <w:tcW w:w="6560" w:type="dxa"/>
            <w:vAlign w:val="bottom"/>
            <w:shd w:val="clear" w:color="auto" w:fill="CCEEFF"/>
          </w:tcPr>
          <w:p>
            <w:pPr>
              <w:ind w:left="100"/>
              <w:spacing w:after="0" w:line="225" w:lineRule="exact"/>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2"/>
                <w:szCs w:val="22"/>
                <w:color w:val="auto"/>
                <w:vertAlign w:val="superscript"/>
              </w:rPr>
              <w:t>(6)</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(Non-GAAP)</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465.4</w:t>
            </w:r>
          </w:p>
        </w:tc>
      </w:tr>
      <w:tr>
        <w:trPr>
          <w:trHeight w:val="20"/>
        </w:trPr>
        <w:tc>
          <w:tcPr>
            <w:tcW w:w="6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ind w:left="320" w:right="20" w:hanging="314"/>
        <w:spacing w:after="0" w:line="244"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for the year ended December 31, 2024 exclude the accelerated depreciation associated with the Waltham Lease Restructuring. Refer to Note 5 - Property and Equipment and Note 13 - Leases of our audited consolidated financial statements included in Part II, Item 8 of this Form 10-K for further information.</w:t>
      </w:r>
    </w:p>
    <w:p>
      <w:pPr>
        <w:spacing w:after="0" w:line="1"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represents revaluations on tax receivable agreement liability and foreign exchange remeasurement gains and losses.</w:t>
      </w:r>
    </w:p>
    <w:p>
      <w:pPr>
        <w:spacing w:after="0" w:line="10" w:lineRule="exact"/>
        <w:rPr>
          <w:rFonts w:ascii="Times New Roman" w:cs="Times New Roman" w:eastAsia="Times New Roman" w:hAnsi="Times New Roman"/>
          <w:sz w:val="16"/>
          <w:szCs w:val="16"/>
          <w:color w:val="auto"/>
        </w:rPr>
      </w:pPr>
    </w:p>
    <w:p>
      <w:pPr>
        <w:jc w:val="both"/>
        <w:ind w:left="320" w:hanging="314"/>
        <w:spacing w:after="0" w:line="254" w:lineRule="auto"/>
        <w:tabs>
          <w:tab w:leader="none" w:pos="32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impact of fair value adjustments to acquired unearned revenue relating to services billed by an acquired company prior to our acquisition of that company. These adjustments represent the difference between the revenue recognized based on management’s estimate of fair value of acquired unearned revenue and the receipts billed prior to the acquisition less revenue recognized prior to the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both"/>
        <w:ind w:left="320" w:hanging="314"/>
        <w:spacing w:after="0" w:line="255" w:lineRule="auto"/>
        <w:tabs>
          <w:tab w:leader="none" w:pos="32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year ended December 31, 2024, this expense is primarily related to lease impairment and abandonment charges as well as lease restructuring activities. For the year ended December 31, 2023, this expense is primarily related to costs associated with a June 2023 reduction in force, and impairment charges related to the Ra’anana office and other offices. For the year ended December 31, 2022, this expense is primarily related to transition and retention payments related to 2021 and 2022 acquisitions. This expense is included in cost of service, sales and marketing, research and development, and general and administrative as follows:</w:t>
      </w:r>
    </w:p>
    <w:p>
      <w:pPr>
        <w:spacing w:after="0" w:line="18"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9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6"/>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96"/>
              </w:rPr>
              <w:t>Year Ended December 31,</w:t>
            </w:r>
          </w:p>
        </w:tc>
        <w:tc>
          <w:tcPr>
            <w:tcW w:w="1120" w:type="dxa"/>
            <w:vAlign w:val="bottom"/>
            <w:tcBorders>
              <w:bottom w:val="single" w:sz="8" w:color="auto"/>
            </w:tcBorders>
          </w:tcPr>
          <w:p>
            <w:pPr>
              <w:spacing w:after="0"/>
              <w:rPr>
                <w:sz w:val="19"/>
                <w:szCs w:val="19"/>
                <w:color w:val="auto"/>
              </w:rPr>
            </w:pPr>
          </w:p>
        </w:tc>
      </w:tr>
      <w:tr>
        <w:trPr>
          <w:trHeight w:val="236"/>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08"/>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0"/>
        </w:trPr>
        <w:tc>
          <w:tcPr>
            <w:tcW w:w="5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0"/>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32"/>
        </w:trPr>
        <w:tc>
          <w:tcPr>
            <w:tcW w:w="5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restructuring and transaction-related expenses</w:t>
            </w: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both"/>
        <w:ind w:left="320" w:hanging="314"/>
        <w:spacing w:after="0" w:line="266" w:lineRule="auto"/>
        <w:tabs>
          <w:tab w:leader="none" w:pos="32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integration activities for acquisitions and acquisition-related expenses, which includes transaction bonuses and retention awards. For the year ended December 31, 2022, this expense related to retention awards from the acquisitions of Clickagy, Everstring, and Insent, and professional fees relating to integration projects. This expense is included in cost of service, sales and marketing, research and development, and general and administrative as follows:</w:t>
      </w:r>
    </w:p>
    <w:p>
      <w:pPr>
        <w:spacing w:after="0" w:line="9" w:lineRule="exact"/>
        <w:rPr>
          <w:sz w:val="20"/>
          <w:szCs w:val="20"/>
          <w:color w:val="auto"/>
        </w:rPr>
      </w:pPr>
    </w:p>
    <w:tbl>
      <w:tblPr>
        <w:tblLayout w:type="fixed"/>
        <w:tblInd w:w="320" w:type="dxa"/>
        <w:tblCellMar>
          <w:top w:w="0" w:type="dxa"/>
          <w:left w:w="0" w:type="dxa"/>
          <w:bottom w:w="0" w:type="dxa"/>
          <w:right w:w="0" w:type="dxa"/>
        </w:tblCellMar>
      </w:tblPr>
      <w:tr>
        <w:trPr>
          <w:trHeight w:val="221"/>
        </w:trPr>
        <w:tc>
          <w:tcPr>
            <w:tcW w:w="59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6"/>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8"/>
              </w:rPr>
              <w:t>Year Ended December 31,</w:t>
            </w:r>
          </w:p>
        </w:tc>
        <w:tc>
          <w:tcPr>
            <w:tcW w:w="1120" w:type="dxa"/>
            <w:vAlign w:val="bottom"/>
            <w:tcBorders>
              <w:bottom w:val="single" w:sz="8" w:color="auto"/>
            </w:tcBorders>
          </w:tcPr>
          <w:p>
            <w:pPr>
              <w:spacing w:after="0"/>
              <w:rPr>
                <w:sz w:val="19"/>
                <w:szCs w:val="19"/>
                <w:color w:val="auto"/>
              </w:rPr>
            </w:pPr>
          </w:p>
        </w:tc>
      </w:tr>
      <w:tr>
        <w:trPr>
          <w:trHeight w:val="232"/>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212"/>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0"/>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tcPr>
          <w:p>
            <w:pPr>
              <w:spacing w:after="0"/>
              <w:rPr>
                <w:sz w:val="18"/>
                <w:szCs w:val="18"/>
                <w:color w:val="auto"/>
              </w:rPr>
            </w:pPr>
          </w:p>
        </w:tc>
        <w:tc>
          <w:tcPr>
            <w:tcW w:w="106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r>
      <w:tr>
        <w:trPr>
          <w:trHeight w:val="214"/>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10"/>
        </w:trPr>
        <w:tc>
          <w:tcPr>
            <w:tcW w:w="5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Pr>
          <w:p>
            <w:pPr>
              <w:spacing w:after="0"/>
              <w:rPr>
                <w:sz w:val="18"/>
                <w:szCs w:val="18"/>
                <w:color w:val="auto"/>
              </w:rPr>
            </w:pPr>
          </w:p>
        </w:tc>
        <w:tc>
          <w:tcPr>
            <w:tcW w:w="1060" w:type="dxa"/>
            <w:vAlign w:val="bottom"/>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32"/>
        </w:trPr>
        <w:tc>
          <w:tcPr>
            <w:tcW w:w="592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integration costs and acquisition-related expenses</w:t>
            </w: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6"/>
                <w:szCs w:val="16"/>
                <w:color w:val="auto"/>
                <w:w w:val="87"/>
              </w:rPr>
              <w:t>—</w:t>
            </w: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jc w:val="both"/>
        <w:ind w:left="320" w:hanging="314"/>
        <w:spacing w:after="0" w:line="266" w:lineRule="auto"/>
        <w:tabs>
          <w:tab w:leader="none" w:pos="320" w:val="left"/>
        </w:tabs>
        <w:numPr>
          <w:ilvl w:val="0"/>
          <w:numId w:val="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year ended December 31, 2024, these charges are primarily related to costs incurred due to the Class Actions. See Note 10 - Commitments and Contingencies of our audited consolidated financial statements included in Part II, Item 8 of this Form 10-K for further information.</w:t>
      </w:r>
    </w:p>
    <w:p>
      <w:pPr>
        <w:spacing w:after="0" w:line="11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Adjusted EBITDA for the year ended December 31, 2024 was $452.4 million, a decrease of $65.8 million, or 13%, relative to $518.2 million for the year ended December 31, 2023. This decrease was primarily due to the change in accounting estimate of collectability of accounts receivable resulting in both reduced revenues as well as increased bad debt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December 31, 2024, we had $139.9 million of cash and cash equivalents, and $250.0 million available under our first lien revolving credit facility. We have financed our operations primarily through cash generated from operations and financed various acquisitions through cash generated from operations supplemented with debt offerings.</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We believe that our cash flows from operations and existing available cash and cash equivalents, together with our other available external financing sources, will be adequate to fund our operating and capital needs for at least the next 12 months and for the foreseeable future. We are currently in compliance with the covenants under the credit agreements governing our secured credit facilities, and we expect to remain in compliance with our covenants.</w:t>
      </w:r>
    </w:p>
    <w:p>
      <w:pPr>
        <w:spacing w:after="0" w:line="10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generally invoice our subscription customers for services annually, semi-annually, or quarterly in advance of delivery. Therefore, a substantial source of our cash is from such prepayments, which are included on our Consolidated Balance Sheets as unearned revenue. Unearned revenue consists of billed fees for our subscriptions, prior to satisfying the criteria for revenue recognition, which are subsequently recognized as revenue in accordance with our revenue recognition policy. As of December 31, 2024, we had unearned revenue of $477.9 million, of which $473.8 million was recorded as a current liability and is expected to be recorded as revenue in the next 12 months, provided all other revenue recognition criteria have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ZoomInfo Technologies Inc. is a holding company with no material assets other than its ownership of common stock of ZoomInfo Intermediate Inc. and Holdings LLC Units and has no independent means of generating revenue. Although we have no current plans to pay cash dividends on our common stock, in the event ZoomInfo Technologies Inc. were to declare any cash dividend, ZoomInfo Technologies Inc. may have to cause ZoomInfo Intermediate Inc. and ZoomInfo Holdings and their subsidiaries to make distributions to ZoomInfo Technologies Inc. in part through distributions to ZoomInfo Intermediate Inc. and ZoomInfo Holdings, in an amount sufficient to cover such cash dividends declared by us. Deterioration in the financial condition, earnings, or cash flow of ZoomInfo Intermediate and its subsidiaries for any reason could limit or impair their ability to pay such distributions. In addition, the terms of our financing arrangements contain covenants that may restrict ZoomInfo Intermediate Inc., ZoomInfo Holdings and their subsidiaries from paying such distributions, subject to certain exceptions. Further, ZoomInfo Midco LLC is generally prohibited under Delaware law from making a distribution to a member to the extent that, at the time of the distribution, after giving effect to the distribution, liabilities of ZoomInfo Midco LLC (with certain exceptions), as applicable, exceed the fair value of its assets. Subsidiaries of ZoomInfo Midco LLC are generally subject to similar legal limitations on their ability to make distributions to ZoomInfo Midco LLC. See “Risk Factors - Organizational Structure Risk Factors” in Part I, Item 1A of this Annual Report on Form 10-K.</w:t>
      </w:r>
    </w:p>
    <w:p>
      <w:pPr>
        <w:spacing w:after="0" w:line="12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cash flows from operations, borrowing availability, and overall liquidity are subject to risks and uncertainties. We may not be able to obtain additional liquidity on reasonable terms, or at all. In addition, our liquidity and our ability to meet our obligations and to fund our capital requirements are dependent on our future financial performance, which is subject to general economic, financial, and other factors that are beyond our control. Accordingly, our business may not generate sufficient cash flow from operations and future borrowings may not be available from additional indebtedness or otherwise to meet our liquidity needs. If we decide to pursue one or more significant acquisitions, we may incur additional debt or sell additional equity to finance such acquisitions, which would result in additional expenses or dilution. See “Risk Factors” in Part I, Item 1A of this Annual Report on Form 10-K.</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 Cash Flows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160" w:type="dxa"/>
            <w:vAlign w:val="bottom"/>
            <w:gridSpan w:val="6"/>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Pr>
          <w:p>
            <w:pPr>
              <w:spacing w:after="0"/>
              <w:rPr>
                <w:sz w:val="20"/>
                <w:szCs w:val="20"/>
                <w:color w:val="auto"/>
              </w:rPr>
            </w:pPr>
          </w:p>
        </w:tc>
      </w:tr>
      <w:tr>
        <w:trPr>
          <w:trHeight w:val="25"/>
        </w:trPr>
        <w:tc>
          <w:tcPr>
            <w:tcW w:w="66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4"/>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20"/>
                <w:szCs w:val="20"/>
                <w:color w:val="auto"/>
              </w:rPr>
            </w:pPr>
          </w:p>
        </w:tc>
        <w:tc>
          <w:tcPr>
            <w:tcW w:w="110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40" w:type="dxa"/>
            <w:vAlign w:val="bottom"/>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4"/>
        </w:trPr>
        <w:tc>
          <w:tcPr>
            <w:tcW w:w="6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18"/>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w:t>
            </w:r>
          </w:p>
        </w:tc>
      </w:tr>
      <w:tr>
        <w:trPr>
          <w:trHeight w:val="225"/>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w:t>
            </w:r>
          </w:p>
        </w:tc>
      </w:tr>
      <w:tr>
        <w:trPr>
          <w:trHeight w:val="225"/>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19"/>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r>
      <w:tr>
        <w:trPr>
          <w:trHeight w:val="20"/>
        </w:trPr>
        <w:tc>
          <w:tcPr>
            <w:tcW w:w="66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was $369.4 million for the year ended December 31, 2024 as a result of net income of $29.1 million and non-cash adjustments of $425.3 million, partially offset by the net change in our operating assets and liabilities of $85.0 million. The non-cash adjustments are primarily comprised of equity-based compensation expense of $138.0 million, depreciation and amortization of $85.7 million, amortization of deferred commission costs of $67.6 million, asset impairments of $57.4 million, provision for bad debt expense of $42.8 million, and tax receivable agreement remeasurement of $38.5 million. The net change in operating assets and liabilities was primarily the result of a decrease in accrued expenses and other liabilities of $43.4 million, an increase in deferred costs and other assets of $35.5 million, a decrease in accounts payable of $17.7 million, and an increase in accounts receivable of $16.9 million, offset by an increase in unearned revenue of $36.1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was $434.9 million for the year ended December 31, 2023 as a result of net income of $107.3 million, adjusted by non-cash charges of $485.2 million and the change in our operating assets net of operating liabilities of $157.6 million. The non-cash charges are primarily comprised of deferred tax assets net of deferred tax liabilities of $276.7 million, equity-based compensation expense of $167.6 million, depreciation and amortization of $80.6 million, and amortization of deferred commission costs of $75.3 million, partially offset by tax receivable agreement remeasurement of $160.7 million. The net change in operating assets and liabilities was primarily the result of an increase in accounts receivable of $82.8 million, an increase in deferred costs and other assets of $78.2 million, and a decrease in accrued expenses and other liabilities of $11.2 million, partially offset by an increase in unearned revenue of $22.0 million.</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may continue to make future acquisitions as part of our business strategy which may require the use of capital resources and drive additional future restructuring and transaction-related cash expenditures as well as integration and acquisition-related cash costs. During the years ended December 31, 2024, 2023, and 2022 we incurred the following cash expenditures: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8"/>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interest expense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25"/>
        </w:trPr>
        <w:tc>
          <w:tcPr>
            <w:tcW w:w="63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Restructuring and transaction-related expenses paid in cash </w:t>
            </w:r>
            <w:r>
              <w:rPr>
                <w:rFonts w:ascii="Times New Roman" w:cs="Times New Roman" w:eastAsia="Times New Roman" w:hAnsi="Times New Roman"/>
                <w:sz w:val="22"/>
                <w:szCs w:val="22"/>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5"/>
        </w:trPr>
        <w:tc>
          <w:tcPr>
            <w:tcW w:w="636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Integration costs and acquisition-related expenses paid in cash </w:t>
            </w:r>
            <w:r>
              <w:rPr>
                <w:rFonts w:ascii="Times New Roman" w:cs="Times New Roman" w:eastAsia="Times New Roman" w:hAnsi="Times New Roman"/>
                <w:sz w:val="22"/>
                <w:szCs w:val="22"/>
                <w:color w:val="auto"/>
                <w:vertAlign w:val="superscript"/>
              </w:rPr>
              <w:t>(2)</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02"/>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Litigation settlement payments </w:t>
            </w:r>
            <w:r>
              <w:rPr>
                <w:rFonts w:ascii="Times New Roman" w:cs="Times New Roman" w:eastAsia="Times New Roman" w:hAnsi="Times New Roman"/>
                <w:sz w:val="22"/>
                <w:szCs w:val="22"/>
                <w:color w:val="auto"/>
                <w:vertAlign w:val="superscript"/>
              </w:rPr>
              <w:t>(3)</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jc w:val="both"/>
        <w:ind w:left="320" w:hanging="314"/>
        <w:spacing w:after="0" w:line="247" w:lineRule="auto"/>
        <w:tabs>
          <w:tab w:leader="none" w:pos="3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directly associated with acquisition or disposal activities, including employee severance and termination benefits, contract termination fees and penalties, and other exit or disposal costs. For the year ended December 31, 2024, these payments related primarily to the Waltham Lease Restructuring. See Note 13 - Leases of our audited consolidated financial statements included in Part II, Item 8 of this Form 10-K for further information. For the year ended December 31, 2023, these payments related primarily to a June 2023 reduction in force, legal costs paid related to 2021 and 2022 acquisitions, and Waltham sublease costs. For the year ended December 31, 2022, these payments related primarily to transition bonuses paid related to 2022 acquisitions offset by payment received for the Waltham sublease termination.</w:t>
      </w:r>
    </w:p>
    <w:p>
      <w:pPr>
        <w:spacing w:after="0" w:line="3" w:lineRule="exact"/>
        <w:rPr>
          <w:rFonts w:ascii="Times New Roman" w:cs="Times New Roman" w:eastAsia="Times New Roman" w:hAnsi="Times New Roman"/>
          <w:sz w:val="16"/>
          <w:szCs w:val="16"/>
          <w:color w:val="auto"/>
        </w:rPr>
      </w:pPr>
    </w:p>
    <w:p>
      <w:pPr>
        <w:jc w:val="both"/>
        <w:ind w:left="320" w:hanging="314"/>
        <w:spacing w:after="0" w:line="250" w:lineRule="auto"/>
        <w:tabs>
          <w:tab w:leader="none" w:pos="3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cash payments directly associated with integration activities for acquisitions and acquisition-related compensation, which includes transaction bonuses and retention awards. For the years ended December 31, 2024 and 2023, these payments related to deferred compensation from the acquisition of Insent. For the year ended December 31, 2022, these payments related to retention awards from the acquisitions of Clickagy, Everstring, and Insent, and professional fees relating to integration projects.</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54" w:lineRule="auto"/>
        <w:tabs>
          <w:tab w:leader="none" w:pos="32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year ended December 31, 2024, these charges are primarily related to costs incurred due to the Class Actions. See Note 10 - Commitments and Contingencies of our audited consolidated financial statements included in Part II, Item 8 of this Form 10-K for further information.</w:t>
      </w:r>
    </w:p>
    <w:p>
      <w:pPr>
        <w:spacing w:after="0" w:line="12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Future demands on our capital resources associated with our debt facilities may also be impacted by changes in reference interest rates and the potential that we incur additional debt in order to fund additional acquisitions or for other corporate purposes. Future demands on our capital resources associated with transaction expenses and restructuring activities and integration costs and transaction-related compensation will be dependent on the frequency and magnitude of future acquisitions and restructuring and integration activities that we pursue. As part of our business strategy, we expect to continue to pursue acquisitions of, or investments in, complementary businesses from time to time; however, we cannot predict the magnitude or frequency of such acquisitions or investments.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2024 was $13.4 million, primarily consisting of maturities of short-term investments of $82.2 million, partially offset by purchases of property and equipment and other assets of $64.9 million, and payments of initial direct costs of $3.4 million.</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provided by investing activities for the year ended December 31, 2023 was $24.4 million, consisting of maturities of short-term investments of $194.5 million, partially offset by purchases of short-term investments of $145.0 million, and purchases of property and equipment and other assets of $26.5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we continue to grow and invest in our business, we expect to continue to invest in property and equipment and opportunistically pursue acquisitions.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2024 was $690.0 million which was primarily comprised of payments relating to the repurchase of common stock of $565.6 million, TRA payments of $94.0 million, and payment of taxes related to net share settlement of equity awards of $22.8 million.</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Net cash used in financing activities for the year ended December 31, 2023 was $427.2 million which was primarily comprised of payments relating to the repurchase of common stock of $400.1 million and payment of taxes related to net share settlement of equity awards of $24.5 million, partially offset by proceeds from issuance of common stock under the employee stock purchase plan of $7.2 million.</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7 - Financing Arrangements of our audited consolidated financial statements included in Part II, Item 8 of this Form 10-K for additional information related to each of our borrowings.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As of December 31, 2024, the aggregate remaining balance of $650.0 million of 3.875% Senior Notes is due, in its entirety, at the contractual maturity date of February 1, 2029. Interest on the Senior Notes is payable semi-annually in arrears beginning on August 1, 2021. As of December 31, 2024, the Company has a remaining balance of $588.1 million with respect to its first lien term loans. The Company is obligated to make principal payments each quarter in the amount of 0.25% of the aggregate initial outstanding amount, with the remaining balance due at the contractual maturity date of February 28, 2030. The foregoing currently represent the only existing required future debt principal repayment obligations that will require future uses of the Company’s cash.</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first lien term debt has a variable interest rate whereby the Company can elect to use a Base Rate or SOFR plus an applicable rate. The applicable rate is 0.75% for Base Rate loans or 1.75% for SOFR loans. The effective interest rate on the first lien debt was 6.56% and 7.83% as of December 31, 2024 and December 31, 2023, respectively.</w:t>
      </w:r>
    </w:p>
    <w:p>
      <w:pPr>
        <w:spacing w:after="0" w:line="125"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The first lien revolving credit facility, which had no amount outstanding as of December 31, 2024,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w:t>
      </w:r>
    </w:p>
    <w:p>
      <w:pPr>
        <w:spacing w:after="0" w:line="10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total net leverage ratio to Adjusted EBITDA is defined as total contractual maturity of outstanding indebtedness less cash and cash equivalents, restricted cash, and short-term investments (as applicable), divided by trailing twelve months Adjusted EBITDA. Adjusted EBITDA for the twelve months ended December 31, 2024 was $452.4 million. Our total net leverage ratio to Adjusted EBITDA as of December 31, 2024 was 2.4x.</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leverage ratios)</w:t>
            </w:r>
          </w:p>
        </w:tc>
        <w:tc>
          <w:tcPr>
            <w:tcW w:w="11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4"/>
        </w:trPr>
        <w:tc>
          <w:tcPr>
            <w:tcW w:w="8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outstanding indebtedness</w:t>
            </w:r>
          </w:p>
        </w:tc>
        <w:tc>
          <w:tcPr>
            <w:tcW w:w="118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r>
      <w:tr>
        <w:trPr>
          <w:trHeight w:val="225"/>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and restricted cash</w:t>
            </w:r>
          </w:p>
        </w:tc>
        <w:tc>
          <w:tcPr>
            <w:tcW w:w="1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18"/>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contractual maturity of outstanding indebtedness</w:t>
            </w:r>
          </w:p>
        </w:tc>
        <w:tc>
          <w:tcPr>
            <w:tcW w:w="118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w:t>
            </w:r>
          </w:p>
        </w:tc>
      </w:tr>
      <w:tr>
        <w:trPr>
          <w:trHeight w:val="218"/>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Trailing Twelve Months (TTM) Adjusted EBITDA</w:t>
            </w:r>
          </w:p>
        </w:tc>
        <w:tc>
          <w:tcPr>
            <w:tcW w:w="118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452.4</w:t>
            </w:r>
          </w:p>
        </w:tc>
      </w:tr>
      <w:tr>
        <w:trPr>
          <w:trHeight w:val="244"/>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leverage ratio to Adjusted EBITDA</w:t>
            </w:r>
          </w:p>
        </w:tc>
        <w:tc>
          <w:tcPr>
            <w:tcW w:w="11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consolidated first lien net leverage ratio is defined in the agreement governing our existing first lien credit facilities (the “First Lien Credit Agreement”) as total contractual maturity of outstanding First Lien indebtedness less cash and cash equivalents and short-term investments (as applicable), divided by trailing twelve months Cash EBITDA (defined as Consolidated EBITDA in our Credit Agreements). Cash EBITDA differs from Adjusted EBITDA due to certain defined add-backs, including cash generated from changes in unearned revenue; see table below for reconciliation. Cash EBITDA for the twelve months ended December 31, 2024 was $495.2 million. Our consolidated first lien net leverage ratio as of December 31, 2024 was 0.9x.</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leverage ratios)</w:t>
            </w:r>
          </w:p>
        </w:tc>
        <w:tc>
          <w:tcPr>
            <w:tcW w:w="12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24"/>
        </w:trPr>
        <w:tc>
          <w:tcPr>
            <w:tcW w:w="8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2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First Lien indebtedness</w:t>
            </w:r>
          </w:p>
        </w:tc>
        <w:tc>
          <w:tcPr>
            <w:tcW w:w="1240" w:type="dxa"/>
            <w:vAlign w:val="bottom"/>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w:t>
            </w:r>
          </w:p>
        </w:tc>
      </w:tr>
      <w:tr>
        <w:trPr>
          <w:trHeight w:val="225"/>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w:t>
            </w:r>
          </w:p>
        </w:tc>
        <w:tc>
          <w:tcPr>
            <w:tcW w:w="1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19"/>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contractual maturity of First Lien indebtedness</w:t>
            </w:r>
          </w:p>
        </w:tc>
        <w:tc>
          <w:tcPr>
            <w:tcW w:w="1240" w:type="dxa"/>
            <w:vAlign w:val="bottom"/>
            <w:tcBorders>
              <w:bottom w:val="single" w:sz="8" w:color="auto"/>
            </w:tcBorders>
            <w:shd w:val="clear" w:color="auto" w:fill="CCEEFF"/>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448.2</w:t>
            </w:r>
          </w:p>
        </w:tc>
      </w:tr>
      <w:tr>
        <w:trPr>
          <w:trHeight w:val="218"/>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Trailing Twelve Months (TTM) Cash EBITDA</w:t>
            </w:r>
          </w:p>
        </w:tc>
        <w:tc>
          <w:tcPr>
            <w:tcW w:w="1240" w:type="dxa"/>
            <w:vAlign w:val="bottom"/>
            <w:tcBorders>
              <w:bottom w:val="single" w:sz="8" w:color="auto"/>
            </w:tcBorders>
          </w:tcPr>
          <w:p>
            <w:pPr>
              <w:jc w:val="right"/>
              <w:ind w:right="1032"/>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w:t>
            </w:r>
          </w:p>
        </w:tc>
      </w:tr>
      <w:tr>
        <w:trPr>
          <w:trHeight w:val="24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Consolidated first lien net leverage ratio</w:t>
            </w:r>
          </w:p>
        </w:tc>
        <w:tc>
          <w:tcPr>
            <w:tcW w:w="1240" w:type="dxa"/>
            <w:vAlign w:val="bottom"/>
            <w:tcBorders>
              <w:bottom w:val="single" w:sz="8" w:color="auto"/>
            </w:tcBorders>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total net leverage ratio to Cash EBITDA (defined as Consolidated EBITDA in our Credit Agreements) is defined as total contractual maturity of outstanding indebtedness less cash and cash equivalents, restricted cash, and short-term investments (as applicable), divided by trailing twelve months Cash EBITDA. Cash EBITDA for the twelve months ended December 31, 2024 was $495.2 million. Our total net leverage ratio to Cash EBITDA as of December 31, 2024 was 2.2x.</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 except leverage ratios)</w:t>
            </w:r>
          </w:p>
        </w:tc>
        <w:tc>
          <w:tcPr>
            <w:tcW w:w="118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4"/>
        </w:trPr>
        <w:tc>
          <w:tcPr>
            <w:tcW w:w="8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5"/>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maturity of outstanding indebtedness</w:t>
            </w:r>
          </w:p>
        </w:tc>
        <w:tc>
          <w:tcPr>
            <w:tcW w:w="1180" w:type="dxa"/>
            <w:vAlign w:val="bottom"/>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r>
      <w:tr>
        <w:trPr>
          <w:trHeight w:val="225"/>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Cash and cash equivalents, and restricted cash</w:t>
            </w:r>
          </w:p>
        </w:tc>
        <w:tc>
          <w:tcPr>
            <w:tcW w:w="1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w:t>
            </w:r>
          </w:p>
        </w:tc>
      </w:tr>
      <w:tr>
        <w:trPr>
          <w:trHeight w:val="218"/>
        </w:trPr>
        <w:tc>
          <w:tcPr>
            <w:tcW w:w="84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contractual maturity of outstanding indebtedness</w:t>
            </w:r>
          </w:p>
        </w:tc>
        <w:tc>
          <w:tcPr>
            <w:tcW w:w="1180" w:type="dxa"/>
            <w:vAlign w:val="bottom"/>
            <w:tcBorders>
              <w:bottom w:val="single" w:sz="8" w:color="auto"/>
            </w:tcBorders>
            <w:shd w:val="clear" w:color="auto" w:fill="CCEEFF"/>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1,089.1</w:t>
            </w:r>
          </w:p>
        </w:tc>
      </w:tr>
      <w:tr>
        <w:trPr>
          <w:trHeight w:val="218"/>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Trailing Twelve Months (TTM) Cash EBITDA</w:t>
            </w:r>
          </w:p>
        </w:tc>
        <w:tc>
          <w:tcPr>
            <w:tcW w:w="1180" w:type="dxa"/>
            <w:vAlign w:val="bottom"/>
            <w:tcBorders>
              <w:bottom w:val="single" w:sz="8" w:color="auto"/>
            </w:tcBorders>
          </w:tcPr>
          <w:p>
            <w:pPr>
              <w:jc w:val="right"/>
              <w:ind w:right="972"/>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w:t>
            </w:r>
          </w:p>
        </w:tc>
      </w:tr>
      <w:tr>
        <w:trPr>
          <w:trHeight w:val="244"/>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net leverage ratio to Cash EBITDA</w:t>
            </w:r>
          </w:p>
        </w:tc>
        <w:tc>
          <w:tcPr>
            <w:tcW w:w="1180" w:type="dxa"/>
            <w:vAlign w:val="bottom"/>
            <w:tcBorders>
              <w:bottom w:val="single" w:sz="8" w:color="auto"/>
            </w:tcBorders>
            <w:shd w:val="clear" w:color="auto" w:fill="CCEEFF"/>
          </w:tcPr>
          <w:p>
            <w:pPr>
              <w:spacing w:after="0"/>
              <w:rPr>
                <w:sz w:val="20"/>
                <w:szCs w:val="20"/>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2.2x</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151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Net income (GAAP)</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xml:space="preserve">Depreciation expense </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34860" cy="1428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Amortization of acquired technology</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Amortization of other acquired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 xml:space="preserve">Other loss (income), net </w:t>
      </w:r>
      <w:r>
        <w:rPr>
          <w:rFonts w:ascii="Times New Roman" w:cs="Times New Roman" w:eastAsia="Times New Roman" w:hAnsi="Times New Roman"/>
          <w:sz w:val="22"/>
          <w:szCs w:val="22"/>
          <w:color w:val="auto"/>
          <w:vertAlign w:val="superscript"/>
        </w:rPr>
        <w:t>(2)</w:t>
      </w:r>
    </w:p>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1428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 xml:space="preserve">Restructuring and transaction-related expenses </w:t>
      </w:r>
      <w:r>
        <w:rPr>
          <w:rFonts w:ascii="Times New Roman" w:cs="Times New Roman" w:eastAsia="Times New Roman" w:hAnsi="Times New Roman"/>
          <w:sz w:val="21"/>
          <w:szCs w:val="21"/>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-8890</wp:posOffset>
            </wp:positionV>
            <wp:extent cx="7134860" cy="1682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 xml:space="preserve">Litigation settlement </w:t>
      </w:r>
      <w:r>
        <w:rPr>
          <w:rFonts w:ascii="Times New Roman" w:cs="Times New Roman" w:eastAsia="Times New Roman" w:hAnsi="Times New Roman"/>
          <w:sz w:val="22"/>
          <w:szCs w:val="22"/>
          <w:color w:val="auto"/>
          <w:vertAlign w:val="superscript"/>
        </w:rPr>
        <w:t>(4)</w:t>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Adjusted EBITDA (Non-GAAP)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1905</wp:posOffset>
            </wp:positionV>
            <wp:extent cx="7134860" cy="1428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Unearned revenue adjustment</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Cash rent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120"/>
        <w:spacing w:after="0"/>
        <w:rPr>
          <w:sz w:val="20"/>
          <w:szCs w:val="20"/>
          <w:color w:val="auto"/>
        </w:rPr>
      </w:pPr>
      <w:r>
        <w:rPr>
          <w:rFonts w:ascii="Times New Roman" w:cs="Times New Roman" w:eastAsia="Times New Roman" w:hAnsi="Times New Roman"/>
          <w:sz w:val="18"/>
          <w:szCs w:val="18"/>
          <w:color w:val="auto"/>
        </w:rPr>
        <w:t>Other lender adjustments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EBITDA (Non-GAAP)</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220" w:type="dxa"/>
            <w:vAlign w:val="bottom"/>
          </w:tcPr>
          <w:p>
            <w:pPr>
              <w:spacing w:after="0"/>
              <w:rPr>
                <w:sz w:val="19"/>
                <w:szCs w:val="19"/>
                <w:color w:val="auto"/>
              </w:rPr>
            </w:pPr>
          </w:p>
        </w:tc>
        <w:tc>
          <w:tcPr>
            <w:tcW w:w="26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Trailing Twelve Months as of</w:t>
            </w:r>
          </w:p>
        </w:tc>
      </w:tr>
      <w:tr>
        <w:trPr>
          <w:trHeight w:val="232"/>
        </w:trPr>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13"/>
        </w:trPr>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w:t>
            </w:r>
          </w:p>
        </w:tc>
      </w:tr>
      <w:tr>
        <w:trPr>
          <w:trHeight w:val="231"/>
        </w:trPr>
        <w:tc>
          <w:tcPr>
            <w:tcW w:w="220" w:type="dxa"/>
            <w:vAlign w:val="bottom"/>
          </w:tcPr>
          <w:p>
            <w:pPr>
              <w:spacing w:after="0"/>
              <w:rPr>
                <w:sz w:val="20"/>
                <w:szCs w:val="20"/>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r>
      <w:tr>
        <w:trPr>
          <w:trHeight w:val="264"/>
        </w:trPr>
        <w:tc>
          <w:tcPr>
            <w:tcW w:w="220" w:type="dxa"/>
            <w:vAlign w:val="bottom"/>
            <w:tcBorders>
              <w:bottom w:val="single" w:sz="8" w:color="auto"/>
            </w:tcBorders>
          </w:tcPr>
          <w:p>
            <w:pPr>
              <w:spacing w:after="0"/>
              <w:rPr>
                <w:sz w:val="22"/>
                <w:szCs w:val="22"/>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13"/>
        </w:trPr>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452.4</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25"/>
        </w:trPr>
        <w:tc>
          <w:tcPr>
            <w:tcW w:w="220" w:type="dxa"/>
            <w:vAlign w:val="bottom"/>
          </w:tcPr>
          <w:p>
            <w:pPr>
              <w:spacing w:after="0"/>
              <w:rPr>
                <w:sz w:val="19"/>
                <w:szCs w:val="19"/>
                <w:color w:val="auto"/>
              </w:rPr>
            </w:pP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9"/>
        </w:trPr>
        <w:tc>
          <w:tcPr>
            <w:tcW w:w="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495.2</w:t>
            </w: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80" w:space="720"/>
            <w:col w:w="28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ind w:left="320" w:right="20" w:hanging="314"/>
        <w:spacing w:after="0" w:line="250" w:lineRule="auto"/>
        <w:tabs>
          <w:tab w:leader="none" w:pos="3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for the year ended December 31, 2024 exclude the accelerated depreciation associated with the Waltham Lease Restructuring. Refer to Note 5 - Property and Equipment and Note 13 - Leases of our audited consolidated financial statements included in Part II, Item 8 of this Form 10-K for further information.</w:t>
      </w:r>
    </w:p>
    <w:p>
      <w:pPr>
        <w:ind w:left="320" w:hanging="314"/>
        <w:spacing w:after="0"/>
        <w:tabs>
          <w:tab w:leader="none" w:pos="3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represents revaluations on tax receivable agreement liability and foreign exchange remeasurement gains and losses.</w:t>
      </w:r>
    </w:p>
    <w:p>
      <w:pPr>
        <w:spacing w:after="0" w:line="5" w:lineRule="exact"/>
        <w:rPr>
          <w:rFonts w:ascii="Times New Roman" w:cs="Times New Roman" w:eastAsia="Times New Roman" w:hAnsi="Times New Roman"/>
          <w:sz w:val="16"/>
          <w:szCs w:val="16"/>
          <w:color w:val="auto"/>
        </w:rPr>
      </w:pPr>
    </w:p>
    <w:p>
      <w:pPr>
        <w:jc w:val="both"/>
        <w:ind w:left="320" w:hanging="314"/>
        <w:spacing w:after="0" w:line="247" w:lineRule="auto"/>
        <w:tabs>
          <w:tab w:leader="none" w:pos="3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costs directly associated with acquisition or disposal activities, including employee severance and termination benefits, contract termination fees and penalties, and other exit or disposal costs. For the year ended December 31, 2024, this expense is primarily related to lease impairment and abandonment charges as well as lease restructuring activities.</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60" w:lineRule="auto"/>
        <w:tabs>
          <w:tab w:leader="none" w:pos="320" w:val="left"/>
        </w:tabs>
        <w:numPr>
          <w:ilvl w:val="0"/>
          <w:numId w:val="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charges associated with certain legal settlements. For the year ended December 31, 2024, these charges are primarily related to costs incurred due to the Class Actions. See Note 10 - Commitments and Contingencies of our audited consolidated financial statements included in Part II, Item 8 of this Form 10-K for further information.</w:t>
      </w:r>
    </w:p>
    <w:p>
      <w:pPr>
        <w:spacing w:after="0" w:line="11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In addition, the credit agreement governing our first lien term loan contains restrictive covenants that may limit our ability to engage in activities that may be in our long-term best interest. These restrictive covenants include, among others, limitations on our ability to pay dividends or make other distributions in respect of, or repurchase or redeem, capital stock, prepay, redeem, or repurchase certain debt, make acquisitions, investments, loans, and advances, or sell or otherwise dispose of assets. Our failure to comply with those covenants could result in an event of default which, if not cured or waived, could result in the acceleration of substantially all of our debt. The Company may be able to incur substantial additional indebtedness in the future. The terms of the credit agreements governing our first lien term loan limit, but do not prohibit, the Company from incurring additional indebtedness, and the additional indebtedness incurred in compliance with these restrictions could be substantial. These restrictions will also not prevent the Company from incurring obligations that do not constitute “Indebtedness” as defined in the agreements governing our indebtedness.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Capital expenditures increased by $38.4 million, or 145%, to $64.9 million in the year ended December 31, 2024 compared to the year ended December 31, 2023, as a result of increased expenditures related to new facilities and increased capitalization of development expenses.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entered into two Tax Receivable Agreements. We entered into (i) the Exchange Tax Receivable Agreement with certain Pre-IPO OpCo Unitholders and (ii) the Reorganization Tax Receivable Agreement with the Pre-IPO Blocker Holders. These Tax Receivable Agreements provide for the payment by members of the ZoomInfo Tax Group to such Pre-IPO Owners and certain Pre-IPO HoldCo Unitholders of 85% of the benefits, if any, that the ZoomInfo Tax Group actually realizes, or is deemed to realize in certain circumstances, as a result of utilization or deemed utilization of certain tax attributes and benefits covered by the Tax Receivable Agreements.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tax attributes and benefits covered by the Exchange Tax Receivable Agreement include (i) the ZoomInfo Tax Group’s allocable share of existing tax basis acquired in the IPO and (ii) increases in the ZoomInfo Tax Group’s allocable share of existing tax basis and tax basis adjustments that increased the tax basis of the tangible and intangible assets of the ZoomInfo Tax Group as a result of sales or exchanges of Holdings LLC Units for shares of common stock after the IPO, as well as certain other tax benefits, including tax benefits attributable to payments under the Exchange Tax Receivable Agreement.</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tax attributes and benefits covered by the Reorganization Tax Receivable Agreement include certain tax attributes of the Blocker Companies (including the ZoomInfo Tax Group’s allocable share of existing tax basis acquired in the Reorganization Transactions), and certain other tax benefits.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each case, these increases in existing tax basis and tax basis adjustments generated over time may increase the ZoomInfo Tax Group’s depreciation and amortization deductions for tax purposes and, therefore, may reduce the amount of tax that the ZoomInfo Tax Group would otherwise be required to pay in the future, although the IRS may challenge all or part of the validity of that tax basis, and a court could sustain such a challenge.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ZoomInfo Tax Group’s allocable share of existing tax basis acquired in the IPO and the increase in the ZoomInfo Tax Group’s allocable share of existing tax basis and the tax basis adjustments upon exchanges of Holdings LLC Units for shares of common stock may also decrease gains (or increase losses) on future dispositions of certain capital assets to the extent tax basis is allocated to those capital assets. The ZoomInfo Tax Group expects to benefit from the remaining 15% of realized cash tax benefits.</w:t>
      </w:r>
    </w:p>
    <w:p>
      <w:pPr>
        <w:spacing w:after="0" w:line="127"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For purposes of the tax receivable agreements, the realized cash tax benefits will be computed by comparing the actual income tax liability of the ZoomInfo Tax Group (calculated with certain assumptions) to the amount of such taxes that the ZoomInfo Tax Group would have been required to pay had the tax receivable agreements not been entered into and had there been no existing tax basis, no anticipated tax basis adjustments of the assets of the ZoomInfo Tax Group as a result of exchanges, and no utilization of certain tax attributes of the Blocker Companies (including the Blocker Companies’ allocable share of existing tax basis). The term of each tax receivable agreement will continue until all such tax benefits have been utilized or expired, unless (i) ZoomInfo Tax Group exercises its right to terminate one or both tax receivable agreements for an amount based on the agreed payments remaining to be made under the agreement, (ii) ZoomInfo Tax Group breaches any of its material obligations under one or both tax receivable agreements in which case all obligations (including any additional interest due relating to any deferred payments) generally will be accelerated and due as if ZoomInfo Tax Group had exercised its right to terminate the tax receivable agreements, or (iii) there is a change of control of ZoomInfo Tax Group, in which case the Pre-IPO Owners may elect to receive an amount based on the agreed payments remaining to be made under the agreement determined as described above in clause (i). Estimating the amount of payments that may be made under the tax receivable agreements is by its nature imprecise, insofar as the calculation of amounts payable depends on a variety of factors. The amount of existing tax basis and the anticipated tax basis adjustments, as well as the amount and timing of any payments under the tax receivable agreements, will vary depending upon a number of factors, including our blended federal and state tax rate, the amount and timing of our income and deductions, and situations where no net benefit is received from the tax attributes.</w:t>
      </w:r>
    </w:p>
    <w:p>
      <w:pPr>
        <w:spacing w:after="0" w:line="14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expect that as a result of the size of the ZoomInfo Tax Group’s allocable share of existing tax basis acquired in the IPO, the increase in the ZoomInfo Tax Group’s allocable share of existing tax basis and the tax basis adjustment of the tangible and intangible assets of the ZoomInfo Tax Group upon the exchange of Holdings LLC Units for shares of common stock and our expected utilization of certain tax attributes, the payments that ZoomInfo Tax Group may make under the tax receivable agreements will be substantial. As of December 31, 2024, the Company had a liability of $2,762.5 million related to its projected obligations under the Tax Receivable Agreements in connection with the Reorganization Transactions and Holdings LLC Units. During the year ended December 31, 2024, $94.0 million was paid to TRA holders pursuant to the Tax Receivable Agreements. There were no payments made pursuant to the Tax Receivable Agreements during the years ended December 31, 2023. The payments under the tax receivable agreements are not conditioned upon continued ownership of us by the exchanging holders of Holdings LLC Units. Refer to Note 16 - Tax Receivable Agreements of our audited consolidated financial statements included in Part II, Item 8 of this Form 10-K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our material contractual obligations as of December 31, 2024 and the years in which these obligations are due: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4"/>
                <w:szCs w:val="14"/>
                <w:color w:val="auto"/>
              </w:rPr>
            </w:pPr>
          </w:p>
        </w:tc>
        <w:tc>
          <w:tcPr>
            <w:tcW w:w="1280" w:type="dxa"/>
            <w:vAlign w:val="bottom"/>
            <w:gridSpan w:val="2"/>
          </w:tcPr>
          <w:p>
            <w:pPr>
              <w:jc w:val="center"/>
              <w:ind w:right="220"/>
              <w:spacing w:after="0" w:line="165" w:lineRule="exact"/>
              <w:rPr>
                <w:sz w:val="20"/>
                <w:szCs w:val="20"/>
                <w:color w:val="auto"/>
              </w:rPr>
            </w:pPr>
            <w:r>
              <w:rPr>
                <w:rFonts w:ascii="Times New Roman" w:cs="Times New Roman" w:eastAsia="Times New Roman" w:hAnsi="Times New Roman"/>
                <w:sz w:val="18"/>
                <w:szCs w:val="18"/>
                <w:b w:val="1"/>
                <w:bCs w:val="1"/>
                <w:color w:val="auto"/>
                <w:w w:val="97"/>
              </w:rPr>
              <w:t>Less than one</w:t>
            </w:r>
          </w:p>
        </w:tc>
        <w:tc>
          <w:tcPr>
            <w:tcW w:w="140" w:type="dxa"/>
            <w:vAlign w:val="bottom"/>
          </w:tcPr>
          <w:p>
            <w:pPr>
              <w:spacing w:after="0"/>
              <w:rPr>
                <w:sz w:val="14"/>
                <w:szCs w:val="14"/>
                <w:color w:val="auto"/>
              </w:rPr>
            </w:pPr>
          </w:p>
        </w:tc>
        <w:tc>
          <w:tcPr>
            <w:tcW w:w="1260" w:type="dxa"/>
            <w:vAlign w:val="bottom"/>
            <w:gridSpan w:val="2"/>
          </w:tcPr>
          <w:p>
            <w:pPr>
              <w:ind w:left="40"/>
              <w:spacing w:after="0" w:line="165" w:lineRule="exact"/>
              <w:rPr>
                <w:sz w:val="20"/>
                <w:szCs w:val="20"/>
                <w:color w:val="auto"/>
              </w:rPr>
            </w:pPr>
            <w:r>
              <w:rPr>
                <w:rFonts w:ascii="Times New Roman" w:cs="Times New Roman" w:eastAsia="Times New Roman" w:hAnsi="Times New Roman"/>
                <w:sz w:val="18"/>
                <w:szCs w:val="18"/>
                <w:b w:val="1"/>
                <w:bCs w:val="1"/>
                <w:color w:val="auto"/>
              </w:rPr>
              <w:t>One to three</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65" w:lineRule="exact"/>
              <w:rPr>
                <w:sz w:val="20"/>
                <w:szCs w:val="20"/>
                <w:color w:val="auto"/>
              </w:rPr>
            </w:pPr>
            <w:r>
              <w:rPr>
                <w:rFonts w:ascii="Times New Roman" w:cs="Times New Roman" w:eastAsia="Times New Roman" w:hAnsi="Times New Roman"/>
                <w:sz w:val="18"/>
                <w:szCs w:val="18"/>
                <w:b w:val="1"/>
                <w:bCs w:val="1"/>
                <w:color w:val="auto"/>
                <w:w w:val="97"/>
              </w:rPr>
              <w:t>Three to five</w:t>
            </w:r>
          </w:p>
        </w:tc>
        <w:tc>
          <w:tcPr>
            <w:tcW w:w="120" w:type="dxa"/>
            <w:vAlign w:val="bottom"/>
          </w:tcPr>
          <w:p>
            <w:pPr>
              <w:spacing w:after="0"/>
              <w:rPr>
                <w:sz w:val="14"/>
                <w:szCs w:val="14"/>
                <w:color w:val="auto"/>
              </w:rPr>
            </w:pPr>
          </w:p>
        </w:tc>
        <w:tc>
          <w:tcPr>
            <w:tcW w:w="1180" w:type="dxa"/>
            <w:vAlign w:val="bottom"/>
          </w:tcPr>
          <w:p>
            <w:pPr>
              <w:jc w:val="right"/>
              <w:ind w:right="72"/>
              <w:spacing w:after="0" w:line="165" w:lineRule="exact"/>
              <w:rPr>
                <w:sz w:val="20"/>
                <w:szCs w:val="20"/>
                <w:color w:val="auto"/>
              </w:rPr>
            </w:pPr>
            <w:r>
              <w:rPr>
                <w:rFonts w:ascii="Times New Roman" w:cs="Times New Roman" w:eastAsia="Times New Roman" w:hAnsi="Times New Roman"/>
                <w:sz w:val="18"/>
                <w:szCs w:val="18"/>
                <w:b w:val="1"/>
                <w:bCs w:val="1"/>
                <w:color w:val="auto"/>
                <w:w w:val="99"/>
              </w:rPr>
              <w:t>Greater than</w:t>
            </w:r>
          </w:p>
        </w:tc>
        <w:tc>
          <w:tcPr>
            <w:tcW w:w="0" w:type="dxa"/>
            <w:vAlign w:val="bottom"/>
          </w:tcPr>
          <w:p>
            <w:pPr>
              <w:spacing w:after="0"/>
              <w:rPr>
                <w:sz w:val="1"/>
                <w:szCs w:val="1"/>
                <w:color w:val="auto"/>
              </w:rPr>
            </w:pPr>
          </w:p>
        </w:tc>
      </w:tr>
      <w:tr>
        <w:trPr>
          <w:trHeight w:val="238"/>
        </w:trPr>
        <w:tc>
          <w:tcPr>
            <w:tcW w:w="43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40" w:type="dxa"/>
            <w:vAlign w:val="bottom"/>
          </w:tcPr>
          <w:p>
            <w:pPr>
              <w:spacing w:after="0"/>
              <w:rPr>
                <w:sz w:val="20"/>
                <w:szCs w:val="20"/>
                <w:color w:val="auto"/>
              </w:rPr>
            </w:pPr>
          </w:p>
        </w:tc>
        <w:tc>
          <w:tcPr>
            <w:tcW w:w="12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140" w:type="dxa"/>
            <w:vAlign w:val="bottom"/>
          </w:tcPr>
          <w:p>
            <w:pPr>
              <w:spacing w:after="0"/>
              <w:rPr>
                <w:sz w:val="20"/>
                <w:szCs w:val="20"/>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120" w:type="dxa"/>
            <w:vAlign w:val="bottom"/>
          </w:tcPr>
          <w:p>
            <w:pPr>
              <w:spacing w:after="0"/>
              <w:rPr>
                <w:sz w:val="20"/>
                <w:szCs w:val="20"/>
                <w:color w:val="auto"/>
              </w:rPr>
            </w:pPr>
          </w:p>
        </w:tc>
        <w:tc>
          <w:tcPr>
            <w:tcW w:w="11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five years</w:t>
            </w:r>
          </w:p>
        </w:tc>
        <w:tc>
          <w:tcPr>
            <w:tcW w:w="0" w:type="dxa"/>
            <w:vAlign w:val="bottom"/>
          </w:tcPr>
          <w:p>
            <w:pPr>
              <w:spacing w:after="0"/>
              <w:rPr>
                <w:sz w:val="1"/>
                <w:szCs w:val="1"/>
                <w:color w:val="auto"/>
              </w:rPr>
            </w:pPr>
          </w:p>
        </w:tc>
      </w:tr>
      <w:tr>
        <w:trPr>
          <w:trHeight w:val="218"/>
        </w:trPr>
        <w:tc>
          <w:tcPr>
            <w:tcW w:w="4320" w:type="dxa"/>
            <w:vAlign w:val="bottom"/>
            <w:tcBorders>
              <w:top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Long-term indebtedness </w:t>
            </w:r>
            <w:r>
              <w:rPr>
                <w:rFonts w:ascii="Times New Roman" w:cs="Times New Roman" w:eastAsia="Times New Roman" w:hAnsi="Times New Roman"/>
                <w:sz w:val="22"/>
                <w:szCs w:val="22"/>
                <w:color w:val="auto"/>
                <w:vertAlign w:val="superscript"/>
              </w:rPr>
              <w:t>(1)</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558.6</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Operating leases </w:t>
            </w:r>
            <w:r>
              <w:rPr>
                <w:rFonts w:ascii="Times New Roman" w:cs="Times New Roman" w:eastAsia="Times New Roman" w:hAnsi="Times New Roman"/>
                <w:sz w:val="22"/>
                <w:szCs w:val="22"/>
                <w:color w:val="auto"/>
                <w:vertAlign w:val="superscript"/>
              </w:rPr>
              <w:t>(2)</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25"/>
        </w:trPr>
        <w:tc>
          <w:tcPr>
            <w:tcW w:w="432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Deferred consideration and employee compensation </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32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Purchase obligations </w:t>
            </w:r>
            <w:r>
              <w:rPr>
                <w:rFonts w:ascii="Times New Roman" w:cs="Times New Roman" w:eastAsia="Times New Roman" w:hAnsi="Times New Roman"/>
                <w:sz w:val="22"/>
                <w:szCs w:val="22"/>
                <w:color w:val="auto"/>
                <w:vertAlign w:val="superscript"/>
              </w:rPr>
              <w:t>(4)</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contractual obligations</w:t>
            </w: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jc w:val="both"/>
        <w:ind w:left="320" w:hanging="314"/>
        <w:spacing w:after="0" w:line="247" w:lineRule="auto"/>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future principal payments on long-term indebtedness through the scheduled maturity dates thereof. Indebtedness is discussed in Note 7 - Financing Arrangements of our audited consolidated financial statements included in Part II, Item 8 of this Form 10-K. Interest incurred on amounts we borrow is based on relative borrowing levels, fluctuations in the variable interest rates, and the spread we pay over those interest rates. As such, we are unable to quantify our future obligations relating to interest and therefore no amounts have been included in the above table.</w:t>
      </w:r>
    </w:p>
    <w:p>
      <w:pPr>
        <w:spacing w:after="0" w:line="2" w:lineRule="exact"/>
        <w:rPr>
          <w:rFonts w:ascii="Times New Roman" w:cs="Times New Roman" w:eastAsia="Times New Roman" w:hAnsi="Times New Roman"/>
          <w:sz w:val="16"/>
          <w:szCs w:val="16"/>
          <w:color w:val="auto"/>
        </w:rPr>
      </w:pPr>
    </w:p>
    <w:p>
      <w:pPr>
        <w:ind w:left="320" w:right="20" w:hanging="314"/>
        <w:spacing w:after="0" w:line="247" w:lineRule="auto"/>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future payments on existing operating leases, including future tenant improvement allowance reimbursements through the scheduled expiration dates thereof. This amount excludes executed lease agreements that commence after December 31, 2024.</w:t>
      </w:r>
    </w:p>
    <w:p>
      <w:pPr>
        <w:spacing w:after="0" w:line="1" w:lineRule="exact"/>
        <w:rPr>
          <w:rFonts w:ascii="Times New Roman" w:cs="Times New Roman" w:eastAsia="Times New Roman" w:hAnsi="Times New Roman"/>
          <w:sz w:val="16"/>
          <w:szCs w:val="16"/>
          <w:color w:val="auto"/>
        </w:rPr>
      </w:pPr>
    </w:p>
    <w:p>
      <w:pPr>
        <w:jc w:val="both"/>
        <w:ind w:left="320" w:hanging="314"/>
        <w:spacing w:after="0" w:line="249" w:lineRule="auto"/>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deferred consideration and employee compensation related to the Dogpatch acquisitions at the currently estimated payout amounts, undiscounted. Acquisitions and related deferred consideration are discussed in Note 10 - Commitments and Contingencies of our audited consolidated financial statements included in Part II, Item 8 of this Form 10-K. Estimated contingent consideration is subject to change depending on results of factors each arrangement is based on.</w:t>
      </w:r>
    </w:p>
    <w:p>
      <w:pPr>
        <w:spacing w:after="0" w:line="1"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relates to third-party cloud hosting and software as a service arrangements.</w:t>
      </w:r>
    </w:p>
    <w:p>
      <w:pPr>
        <w:spacing w:after="0" w:line="14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amounts included in the table above represent agreements that are enforceable and legally binding. Any obligations under contracts that we can cancel without significant penalty are not included here, because the ultimate timing of these liabilities cannot be determined; therefore, we have excluded these amounts from the contractual obligations table above. Purchase orders issued in the ordinary course of business are not included in the table above as they represent authorizations to purchase the items rather than binding agreements. However, if such claims arise in the future, they could have a material effect on our financial position, results of operations, and cash flows.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payments that we may be required to make under the tax receivable agreements that we entered into may be significant and are not reflected in the contractual obligations tables set forth above, as we are currently unable to estimate the amounts and timing of the payments that may be due thereunder.</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accounting principles generally accepted in the United States of America (“U.S. GAAP”). Our critical accounting policies are those that we believe have the most significant impact to the presentation of our financial position and results of operations and that require the most difficult, subjective, or complex judgments. In many cases, the accounting treatment of a transaction is specifically dictated by U.S. GAAP with no need for the application of judgment.</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certain circumstances, however, 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1 - Business, Basis of Presentation, and Summary of Significant Accounting Policies of our audited consolidated financial statements included in Part II, Item 8 of this Form 10-K, we believe the following topics reflect our critical accounting policies and our more significant judgment and estimates used in the preparation of our financial statements.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allocate the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13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our IPO, we entered into two Tax Receivable Agreements with certain non-controlling interest holders (the “TRA Holders”). The TRAs generally provide for payment by the Company to the TRA Holders of 85% of the net cash savings, if any, in U.S. federal, state and local income tax or franchise tax based on income that the Company actually realizes or is deemed to realize in certain circumstances. The Company will retain the benefit of the remaining 15% of these net cash savings.</w:t>
      </w:r>
    </w:p>
    <w:p>
      <w:pPr>
        <w:spacing w:after="0" w:line="125"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We account for amounts payable under the TRA in accordance with Accounting Standards Codification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Amounts payable under the TRA are accrued by a charge to income when it is probable that a liability has been incurred and the amount is estimable. As such, subsequent changes to the measurement of the TRA liability are recognized in the statements of income as a component of </w:t>
      </w:r>
      <w:r>
        <w:rPr>
          <w:rFonts w:ascii="Times New Roman" w:cs="Times New Roman" w:eastAsia="Times New Roman" w:hAnsi="Times New Roman"/>
          <w:sz w:val="18"/>
          <w:szCs w:val="18"/>
          <w:i w:val="1"/>
          <w:iCs w:val="1"/>
          <w:color w:val="auto"/>
        </w:rPr>
        <w:t>Other loss (income), net</w:t>
      </w:r>
      <w:r>
        <w:rPr>
          <w:rFonts w:ascii="Times New Roman" w:cs="Times New Roman" w:eastAsia="Times New Roman" w:hAnsi="Times New Roman"/>
          <w:sz w:val="18"/>
          <w:szCs w:val="18"/>
          <w:color w:val="auto"/>
        </w:rPr>
        <w:t>. Refer to Note 16 - Tax Receivable Agreements of our audited consolidated financial statements included in Part II, Item 8 of this Form 10-K for additional information.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ZoomInfo Technologies Inc. is a corporation, and it and its U.S. affiliates are subject to U.S. federal and state income tax. Additionally, our operations in Canada, India, Israel, and the U.K. are subject to local country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temporary differences between the financial statement and tax basis of assets and liabilities. Deferred tax assets and liabilities are measured using enacted tax rates in effect for the year in which the differences are expected to reverse. The effect on deferred tax assets and liabilities of a change in tax law is recognized in the Consolidated Statements of Operations in the period that includes the enactment date.</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reviews all available evidence to evaluate the realizability of its deferred tax assets, including consideration of both positive and negative evidence, scheduled reversals of deferred tax assets and liabilities, projected future taxable income, tax planning strategies and results of recent operations. If, based on the weight of available evidence, it is more likely than not that the deferred tax assets will not be realized, a valuation allowance is recorded. Our judgment regarding future profitability may change due to many factors, including future market conditions and the ability to successfully execute our business plans and tax planning strategies. If there is a change in our ability to recover certain deferred tax assets, our income tax provision would increase or decrease in the period in which the assessment is changed.</w:t>
      </w:r>
    </w:p>
    <w:p>
      <w:pPr>
        <w:spacing w:after="0" w:line="21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the tax benefit of an uncertain tax position only if it is more likely than not that the position is sustainable upon examination by the taxing authority, based solely on its technical merits. The tax benefit recognized is measured as the largest amount of benefit which is greater than 50 percent likely to be realized upon settlement with the taxing authority. The Company recognizes interest and penalties within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on the Consolidated Statements of Operations. Refer to Note 17 - Income Taxes of our audited consolidated financial statements included in Part II, Item 8 of this Form 10-K for additional information.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1 - Business, Basis of Presentation, and Summary of Significant Accounting Policies of our audited consolidated financial statements included in Part II, Item 8 of this Form 10-K regarding recently issued accounting pronouncements.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market risk in the ordinary course of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do not believe that inflation has had a material direct effect on our business, financial condition, or results of operations. Our business, financial condition, or results of operations may be impacted by macroeconomic conditions, including underlying factors such as inflation. See “Risk Factors - Geopolitical and Macroeconomic Factors” in Part I, Item 1A of this Annual Report on Form 10-K for further discussion of the possible impact of these issues on our business. If our costs were to become subject to significant inflationary pressures, we may not be able to fully offset higher costs through price increases and our inability or failure to do so could potentially harm our business, financial condition, and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68"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Our operating results are subject to market risk from interest rate fluctuations on our first lien term loan, which bears a variable interest rate based on SOFR. As of December 31, 2024, the total principal balance outstanding was $588.1 million. We have implemented a hedging strategy to mitigate the interest rate risk by entering into certain derivative instruments (refer to Note 7 - Financing Arrangements of our audited consolidated financial statements included in Part II, Item 8 of this Form 10-K). Based on the outstanding balances and interest rates of our debt as of December 31, 2024, a hypothetical relative increase or decrease in our effective interest rate by 100 basis points or 1% would have caused an immaterial corresponding change over the next 12 months.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Additionally, from time to time, we have dedesignated certain cash flow hedging relationships due to repricing of the terms and partial prepayment of the outstanding principal of our first lien term loan since loan inception. As of December 31, 2024, all cash flow hedging relationships are designated as accounting hedges.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date, our sales contracts have primarily been denominated in U.S. dollars. We have foreign entities established in Israel, Canada, United Kingdom, India, and Australia. The functional currency of these foreign subsidiaries is the U.S. dollar. A stronger U.S. dollar could make our solution more expensive outside the United States and therefore reduce demand, while a weaker U.S. dollar could have the opposite effect. Such economic exposure to currency fluctuations is difficult to measure or predict because our sales are influenced by many factors in addition to the impact of currency fluctuations.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To manage the foreign currency exchange rate risk and to reduce the volatility associated with the fluctuation of foreign currencies, we may use foreign exchange forward contracts or other financial instruments from time to time. In the second quarter of 2024, the Company re-initiated a foreign currency hedging program (see Note 8 - Derivatives and Hedging Activities of our audited consolidated financial statements included in Part II, Item 8 of this Form 10-K). This program aimed to mitigate potential adverse effects on our financial results from significant currency movements.</w:t>
      </w:r>
    </w:p>
    <w:p>
      <w:pPr>
        <w:spacing w:after="0" w:line="12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Monetary assets and liabilities of the foreign subsidiaries are re-measured into U.S. dollars at the exchange rates in effect at the reporting date, non-monetary assets and liabilities are re-measured at historical rates, and revenue and expenses are re-measured at average exchange rates in effect during each reporting period. Foreign currency transaction gains and losses are recorded to </w:t>
      </w:r>
      <w:r>
        <w:rPr>
          <w:rFonts w:ascii="Times New Roman" w:cs="Times New Roman" w:eastAsia="Times New Roman" w:hAnsi="Times New Roman"/>
          <w:sz w:val="18"/>
          <w:szCs w:val="18"/>
          <w:i w:val="1"/>
          <w:iCs w:val="1"/>
          <w:color w:val="auto"/>
        </w:rPr>
        <w:t>Other loss (income), net</w:t>
      </w:r>
      <w:r>
        <w:rPr>
          <w:rFonts w:ascii="Times New Roman" w:cs="Times New Roman" w:eastAsia="Times New Roman" w:hAnsi="Times New Roman"/>
          <w:sz w:val="18"/>
          <w:szCs w:val="18"/>
          <w:color w:val="auto"/>
        </w:rPr>
        <w:t xml:space="preserve"> on our Consolidated Statements of Operations. Although the impact of currency fluctuations on our financial results has been immaterial in the past and we believe that for the reasons cited above, currency fluctuations will not be significant in the future, there can be no guarantee that the impact of currency fluctuations or our hedging activities will not be material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Our financial instruments that are exposed to concentrations of credit risk consist primarily of cash and cash equivalents and trade and other receivables. We hold cash with reputable financial institutions that often exceed federally insured limits. We manage our credit risk by concentrating our cash deposits with multiple high-quality financial institutions and periodically evaluating the credit quality of those institutions. The carrying value of cash approximates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7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180" w:type="dxa"/>
            <w:vAlign w:val="bottom"/>
          </w:tcPr>
          <w:p>
            <w:pPr>
              <w:spacing w:after="0"/>
              <w:rPr>
                <w:sz w:val="20"/>
                <w:szCs w:val="20"/>
                <w:color w:val="auto"/>
              </w:rPr>
            </w:pPr>
          </w:p>
        </w:tc>
      </w:tr>
      <w:tr>
        <w:trPr>
          <w:trHeight w:val="371"/>
        </w:trPr>
        <w:tc>
          <w:tcPr>
            <w:tcW w:w="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58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180" w:type="dxa"/>
            <w:vAlign w:val="bottom"/>
          </w:tcPr>
          <w:p>
            <w:pPr>
              <w:spacing w:after="0"/>
              <w:rPr>
                <w:sz w:val="24"/>
                <w:szCs w:val="24"/>
                <w:color w:val="auto"/>
              </w:rPr>
            </w:pPr>
          </w:p>
        </w:tc>
      </w:tr>
      <w:tr>
        <w:trPr>
          <w:trHeight w:val="411"/>
        </w:trPr>
        <w:tc>
          <w:tcPr>
            <w:tcW w:w="20" w:type="dxa"/>
            <w:vAlign w:val="bottom"/>
          </w:tcPr>
          <w:p>
            <w:pPr>
              <w:spacing w:after="0"/>
              <w:rPr>
                <w:sz w:val="24"/>
                <w:szCs w:val="24"/>
                <w:color w:val="auto"/>
              </w:rPr>
            </w:pPr>
          </w:p>
        </w:tc>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Audited Consolidated Financial Statements of ZoomInfo Technologies Inc. and Subsidiaries</w:t>
            </w:r>
          </w:p>
        </w:tc>
        <w:tc>
          <w:tcPr>
            <w:tcW w:w="180" w:type="dxa"/>
            <w:vAlign w:val="bottom"/>
          </w:tcPr>
          <w:p>
            <w:pPr>
              <w:spacing w:after="0"/>
              <w:rPr>
                <w:sz w:val="24"/>
                <w:szCs w:val="24"/>
                <w:color w:val="auto"/>
              </w:rPr>
            </w:pPr>
          </w:p>
        </w:tc>
      </w:tr>
      <w:tr>
        <w:trPr>
          <w:trHeight w:val="449"/>
        </w:trPr>
        <w:tc>
          <w:tcPr>
            <w:tcW w:w="20" w:type="dxa"/>
            <w:vAlign w:val="bottom"/>
          </w:tcPr>
          <w:p>
            <w:pPr>
              <w:spacing w:after="0"/>
              <w:rPr>
                <w:sz w:val="24"/>
                <w:szCs w:val="24"/>
                <w:color w:val="auto"/>
              </w:rPr>
            </w:pPr>
          </w:p>
        </w:tc>
        <w:tc>
          <w:tcPr>
            <w:tcW w:w="106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(KPMG LLP; Portland, Oregon; Auditor Firm ID: 185)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3051F2"/>
                <w:w w:val="88"/>
              </w:rPr>
              <w:t>65</w:t>
            </w:r>
          </w:p>
        </w:tc>
      </w:tr>
      <w:tr>
        <w:trPr>
          <w:trHeight w:val="205"/>
        </w:trPr>
        <w:tc>
          <w:tcPr>
            <w:tcW w:w="20" w:type="dxa"/>
            <w:vAlign w:val="bottom"/>
          </w:tcPr>
          <w:p>
            <w:pPr>
              <w:spacing w:after="0"/>
              <w:rPr>
                <w:sz w:val="17"/>
                <w:szCs w:val="17"/>
                <w:color w:val="auto"/>
              </w:rPr>
            </w:pPr>
          </w:p>
        </w:tc>
        <w:tc>
          <w:tcPr>
            <w:tcW w:w="2060" w:type="dxa"/>
            <w:vAlign w:val="bottom"/>
            <w:tcBorders>
              <w:top w:val="single" w:sz="8" w:color="0000FF"/>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2080" w:type="dxa"/>
            <w:vAlign w:val="bottom"/>
            <w:tcBorders>
              <w:top w:val="single" w:sz="8" w:color="0000FF"/>
            </w:tcBorders>
            <w:gridSpan w:val="5"/>
          </w:tcPr>
          <w:p>
            <w:pPr>
              <w:spacing w:after="0"/>
              <w:rPr>
                <w:sz w:val="17"/>
                <w:szCs w:val="17"/>
                <w:color w:val="auto"/>
              </w:rPr>
            </w:pPr>
          </w:p>
        </w:tc>
        <w:tc>
          <w:tcPr>
            <w:tcW w:w="6540" w:type="dxa"/>
            <w:vAlign w:val="bottom"/>
            <w:gridSpan w:val="2"/>
          </w:tcPr>
          <w:p>
            <w:pPr>
              <w:spacing w:after="0"/>
              <w:rPr>
                <w:sz w:val="17"/>
                <w:szCs w:val="17"/>
                <w:color w:val="auto"/>
              </w:rPr>
            </w:pPr>
          </w:p>
        </w:tc>
        <w:tc>
          <w:tcPr>
            <w:tcW w:w="180" w:type="dxa"/>
            <w:vAlign w:val="bottom"/>
            <w:tcBorders>
              <w:top w:val="single" w:sz="8" w:color="3051F2"/>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68</w:t>
            </w:r>
          </w:p>
        </w:tc>
      </w:tr>
      <w:tr>
        <w:trPr>
          <w:trHeight w:val="205"/>
        </w:trPr>
        <w:tc>
          <w:tcPr>
            <w:tcW w:w="20" w:type="dxa"/>
            <w:vAlign w:val="bottom"/>
          </w:tcPr>
          <w:p>
            <w:pPr>
              <w:spacing w:after="0"/>
              <w:rPr>
                <w:sz w:val="17"/>
                <w:szCs w:val="17"/>
                <w:color w:val="auto"/>
              </w:rPr>
            </w:pPr>
          </w:p>
        </w:tc>
        <w:tc>
          <w:tcPr>
            <w:tcW w:w="10680" w:type="dxa"/>
            <w:vAlign w:val="bottom"/>
            <w:gridSpan w:val="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Operations</w:t>
            </w:r>
          </w:p>
        </w:tc>
        <w:tc>
          <w:tcPr>
            <w:tcW w:w="180" w:type="dxa"/>
            <w:vAlign w:val="bottom"/>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69</w:t>
            </w:r>
          </w:p>
        </w:tc>
      </w:tr>
      <w:tr>
        <w:trPr>
          <w:trHeight w:val="20"/>
        </w:trPr>
        <w:tc>
          <w:tcPr>
            <w:tcW w:w="20" w:type="dxa"/>
            <w:vAlign w:val="bottom"/>
          </w:tcPr>
          <w:p>
            <w:pPr>
              <w:spacing w:after="0" w:line="20" w:lineRule="exact"/>
              <w:rPr>
                <w:sz w:val="1"/>
                <w:szCs w:val="1"/>
                <w:color w:val="auto"/>
              </w:rPr>
            </w:pPr>
          </w:p>
        </w:tc>
        <w:tc>
          <w:tcPr>
            <w:tcW w:w="27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368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w:t>
            </w:r>
          </w:p>
        </w:tc>
        <w:tc>
          <w:tcPr>
            <w:tcW w:w="7000" w:type="dxa"/>
            <w:vAlign w:val="bottom"/>
            <w:gridSpan w:val="3"/>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70</w:t>
            </w:r>
          </w:p>
        </w:tc>
      </w:tr>
      <w:tr>
        <w:trPr>
          <w:trHeight w:val="205"/>
        </w:trPr>
        <w:tc>
          <w:tcPr>
            <w:tcW w:w="20" w:type="dxa"/>
            <w:vAlign w:val="bottom"/>
          </w:tcPr>
          <w:p>
            <w:pPr>
              <w:spacing w:after="0"/>
              <w:rPr>
                <w:sz w:val="17"/>
                <w:szCs w:val="17"/>
                <w:color w:val="auto"/>
              </w:rPr>
            </w:pPr>
          </w:p>
        </w:tc>
        <w:tc>
          <w:tcPr>
            <w:tcW w:w="430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Changes in Stockholders' Equity</w:t>
            </w:r>
          </w:p>
        </w:tc>
        <w:tc>
          <w:tcPr>
            <w:tcW w:w="6380" w:type="dxa"/>
            <w:vAlign w:val="bottom"/>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71</w:t>
            </w:r>
          </w:p>
        </w:tc>
      </w:tr>
      <w:tr>
        <w:trPr>
          <w:trHeight w:val="205"/>
        </w:trPr>
        <w:tc>
          <w:tcPr>
            <w:tcW w:w="20" w:type="dxa"/>
            <w:vAlign w:val="bottom"/>
          </w:tcPr>
          <w:p>
            <w:pPr>
              <w:spacing w:after="0"/>
              <w:rPr>
                <w:sz w:val="17"/>
                <w:szCs w:val="17"/>
                <w:color w:val="auto"/>
              </w:rPr>
            </w:pPr>
          </w:p>
        </w:tc>
        <w:tc>
          <w:tcPr>
            <w:tcW w:w="282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7860" w:type="dxa"/>
            <w:vAlign w:val="bottom"/>
            <w:gridSpan w:val="5"/>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72</w:t>
            </w:r>
          </w:p>
        </w:tc>
      </w:tr>
      <w:tr>
        <w:trPr>
          <w:trHeight w:val="205"/>
        </w:trPr>
        <w:tc>
          <w:tcPr>
            <w:tcW w:w="20" w:type="dxa"/>
            <w:vAlign w:val="bottom"/>
          </w:tcPr>
          <w:p>
            <w:pPr>
              <w:spacing w:after="0"/>
              <w:rPr>
                <w:sz w:val="17"/>
                <w:szCs w:val="17"/>
                <w:color w:val="auto"/>
              </w:rPr>
            </w:pPr>
          </w:p>
        </w:tc>
        <w:tc>
          <w:tcPr>
            <w:tcW w:w="310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7580" w:type="dxa"/>
            <w:vAlign w:val="bottom"/>
            <w:gridSpan w:val="4"/>
          </w:tcPr>
          <w:p>
            <w:pPr>
              <w:spacing w:after="0"/>
              <w:rPr>
                <w:sz w:val="17"/>
                <w:szCs w:val="17"/>
                <w:color w:val="auto"/>
              </w:rPr>
            </w:pPr>
          </w:p>
        </w:tc>
        <w:tc>
          <w:tcPr>
            <w:tcW w:w="180" w:type="dxa"/>
            <w:vAlign w:val="bottom"/>
            <w:tcBorders>
              <w:bottom w:val="single" w:sz="8" w:color="3051F2"/>
            </w:tcBorders>
          </w:tcPr>
          <w:p>
            <w:pPr>
              <w:jc w:val="right"/>
              <w:spacing w:after="0" w:line="205" w:lineRule="exact"/>
              <w:rPr>
                <w:sz w:val="20"/>
                <w:szCs w:val="20"/>
                <w:color w:val="auto"/>
              </w:rPr>
            </w:pPr>
            <w:r>
              <w:rPr>
                <w:rFonts w:ascii="Times New Roman" w:cs="Times New Roman" w:eastAsia="Times New Roman" w:hAnsi="Times New Roman"/>
                <w:sz w:val="18"/>
                <w:szCs w:val="18"/>
                <w:color w:val="3051F2"/>
                <w:w w:val="88"/>
              </w:rPr>
              <w:t>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Opinions on the Consolidated Financial Statements and Internal Control Over Financial Reporting</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We have audited the accompanying consolidated balance sheets of ZoomInfo Technologies Inc. and subsidiaries (the Company) as of December 31, 2024 and 2023, the related consolidated statements of operations, comprehensive income, changes in stockholders’ equity, and cash flows for each of the years in the three-year period ended December 31, 2024, and the related notes (collectively, the consolidated financial statements). We also have audited the Company’s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1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years in the three-year period ended December 31, 2024, in conformity with U.S. generally accepted accounting principles. Also in our opinion, the Company maintained, in all material respects, effective internal control over financial reporting as of December 31, 2024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issued by the Committee of Sponsoring Organizations of the Treadway Commission.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Opinions</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16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16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the realizability of deferred tax assets</w:t>
      </w:r>
    </w:p>
    <w:p>
      <w:pPr>
        <w:spacing w:after="0" w:line="166" w:lineRule="exact"/>
        <w:rPr>
          <w:sz w:val="20"/>
          <w:szCs w:val="20"/>
          <w:color w:val="auto"/>
        </w:rPr>
      </w:pPr>
    </w:p>
    <w:p>
      <w:pPr>
        <w:jc w:val="both"/>
        <w:ind w:left="320"/>
        <w:spacing w:after="0" w:line="274" w:lineRule="auto"/>
        <w:rPr>
          <w:sz w:val="20"/>
          <w:szCs w:val="20"/>
          <w:color w:val="auto"/>
        </w:rPr>
      </w:pPr>
      <w:r>
        <w:rPr>
          <w:rFonts w:ascii="Times New Roman" w:cs="Times New Roman" w:eastAsia="Times New Roman" w:hAnsi="Times New Roman"/>
          <w:sz w:val="17"/>
          <w:szCs w:val="17"/>
          <w:color w:val="auto"/>
        </w:rPr>
        <w:t>As discussed in Note 17 to the consolidated financial statements, at December 31, 2024, the Company had deferred tax assets of $3,805.1 million. These deferred tax assets consist primarily of $3,145.9 million of deductible temporary differences related to intangibles. The Company recognizes deferred tax assets to the extent it is more likely than not that the assets will be realized. The Company considered positive and negative evidence, including future reversals of existing taxable temporary differences, projected future taxable income, tax planning strategies, and recent results of operations.</w:t>
      </w:r>
    </w:p>
    <w:p>
      <w:pPr>
        <w:spacing w:after="0" w:line="114" w:lineRule="exact"/>
        <w:rPr>
          <w:sz w:val="20"/>
          <w:szCs w:val="20"/>
          <w:color w:val="auto"/>
        </w:rPr>
      </w:pPr>
    </w:p>
    <w:p>
      <w:pPr>
        <w:jc w:val="both"/>
        <w:ind w:left="320"/>
        <w:spacing w:after="0" w:line="259" w:lineRule="auto"/>
        <w:rPr>
          <w:sz w:val="20"/>
          <w:szCs w:val="20"/>
          <w:color w:val="auto"/>
        </w:rPr>
      </w:pPr>
      <w:r>
        <w:rPr>
          <w:rFonts w:ascii="Times New Roman" w:cs="Times New Roman" w:eastAsia="Times New Roman" w:hAnsi="Times New Roman"/>
          <w:sz w:val="18"/>
          <w:szCs w:val="18"/>
          <w:color w:val="auto"/>
        </w:rPr>
        <w:t>We identified the evaluation of the realizability of deferred tax assets as a critical audit matter. The evaluation of the realizability of deferred tax assets required subjective auditor judgment to assess the projections of future taxable income, specifically projected revenue growth rates, over the periods in which those temporary differences become deductible.</w:t>
      </w:r>
    </w:p>
    <w:p>
      <w:pPr>
        <w:spacing w:after="0" w:line="125" w:lineRule="exact"/>
        <w:rPr>
          <w:sz w:val="20"/>
          <w:szCs w:val="20"/>
          <w:color w:val="auto"/>
        </w:rPr>
      </w:pPr>
    </w:p>
    <w:p>
      <w:pPr>
        <w:jc w:val="both"/>
        <w:ind w:left="320"/>
        <w:spacing w:after="0" w:line="251"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We evaluated the design and tested the operating effectiveness of certain internal controls related to assessing the realizability of deferred tax assets, including controls related to the Company’s evaluation of projected revenue growth rates used to project future taxable income. We evaluated the Company’s projected revenue growth rates used to project future taxable income by comparing them to (1) historical and projected growth rates of peer entities, and (2) historical growth rates of the Company. We performed a sensitivity analysis to assess the impact of reasonably possible changes in the projected future taxable income, including changes to projected revenue growth rates, on the Company’s determination of the realizability of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right"/>
        <w:ind w:right="3819"/>
        <w:spacing w:after="0"/>
        <w:rPr>
          <w:sz w:val="20"/>
          <w:szCs w:val="20"/>
          <w:color w:val="auto"/>
        </w:rPr>
      </w:pPr>
      <w:r>
        <w:rPr>
          <w:rFonts w:ascii="Times New Roman" w:cs="Times New Roman" w:eastAsia="Times New Roman" w:hAnsi="Times New Roman"/>
          <w:sz w:val="18"/>
          <w:szCs w:val="18"/>
          <w:color w:val="auto"/>
        </w:rPr>
        <w:t>/s/ KPMG LLP</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2019.</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Portland, Oregon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6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 except shares data)</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0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20" w:type="dxa"/>
            <w:vAlign w:val="bottom"/>
            <w:tcBorders>
              <w:bottom w:val="single" w:sz="8" w:color="auto"/>
            </w:tcBorders>
          </w:tcPr>
          <w:p>
            <w:pPr>
              <w:spacing w:after="0"/>
              <w:rPr>
                <w:sz w:val="20"/>
                <w:szCs w:val="20"/>
                <w:color w:val="auto"/>
              </w:rPr>
            </w:pPr>
          </w:p>
        </w:tc>
      </w:tr>
      <w:tr>
        <w:trPr>
          <w:trHeight w:val="218"/>
        </w:trPr>
        <w:tc>
          <w:tcPr>
            <w:tcW w:w="802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5"/>
        </w:trPr>
        <w:tc>
          <w:tcPr>
            <w:tcW w:w="80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9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Short-term investments</w:t>
            </w:r>
          </w:p>
        </w:tc>
        <w:tc>
          <w:tcPr>
            <w:tcW w:w="96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current</w:t>
            </w:r>
          </w:p>
        </w:tc>
        <w:tc>
          <w:tcPr>
            <w:tcW w:w="9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25"/>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Income tax receivable</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8"/>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451.0</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864.3</w:t>
            </w:r>
          </w:p>
        </w:tc>
      </w:tr>
      <w:tr>
        <w:trPr>
          <w:trHeight w:val="86"/>
        </w:trPr>
        <w:tc>
          <w:tcPr>
            <w:tcW w:w="8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334.6</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1,692.7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1,692.7</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 assets</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3,717.6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3,707.1</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w:t>
            </w:r>
          </w:p>
        </w:tc>
      </w:tr>
      <w:tr>
        <w:trPr>
          <w:trHeight w:val="219"/>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6,467.6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6,868.3</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73"/>
        </w:trPr>
        <w:tc>
          <w:tcPr>
            <w:tcW w:w="802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Unearned revenue, current portion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taxes payable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tax receivable agreements liability</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5"/>
        </w:trPr>
        <w:tc>
          <w:tcPr>
            <w:tcW w:w="8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8"/>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638.4</w:t>
            </w:r>
          </w:p>
        </w:tc>
      </w:tr>
      <w:tr>
        <w:trPr>
          <w:trHeight w:val="86"/>
        </w:trPr>
        <w:tc>
          <w:tcPr>
            <w:tcW w:w="8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Unearned revenue, net of current portion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receivable agreements liability, net of current portion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2,740.2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2,786.6</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1,221.8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1,226.4</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4,774.1</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4,749.0</w:t>
            </w:r>
          </w:p>
        </w:tc>
      </w:tr>
      <w:tr>
        <w:trPr>
          <w:trHeight w:val="86"/>
        </w:trPr>
        <w:tc>
          <w:tcPr>
            <w:tcW w:w="802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20" w:type="dxa"/>
            <w:vAlign w:val="bottom"/>
          </w:tcPr>
          <w:p>
            <w:pPr>
              <w:spacing w:after="0"/>
              <w:rPr>
                <w:sz w:val="7"/>
                <w:szCs w:val="7"/>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06"/>
        </w:trPr>
        <w:tc>
          <w:tcPr>
            <w:tcW w:w="80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172"/>
        </w:trPr>
        <w:tc>
          <w:tcPr>
            <w:tcW w:w="8020" w:type="dxa"/>
            <w:vAlign w:val="bottom"/>
          </w:tcPr>
          <w:p>
            <w:pPr>
              <w:ind w:left="240"/>
              <w:spacing w:after="0" w:line="172" w:lineRule="exact"/>
              <w:rPr>
                <w:sz w:val="20"/>
                <w:szCs w:val="20"/>
                <w:color w:val="auto"/>
              </w:rPr>
            </w:pPr>
            <w:r>
              <w:rPr>
                <w:rFonts w:ascii="Times New Roman" w:cs="Times New Roman" w:eastAsia="Times New Roman" w:hAnsi="Times New Roman"/>
                <w:sz w:val="18"/>
                <w:szCs w:val="18"/>
                <w:color w:val="auto"/>
              </w:rPr>
              <w:t>Common stock, par value $0.01; 3,300,000,000 shares authorized as of December 31, 2024 and 2023;</w:t>
            </w:r>
          </w:p>
        </w:tc>
        <w:tc>
          <w:tcPr>
            <w:tcW w:w="9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38"/>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342,027,974 and 384,830,529 issued and outstanding as of December 31, 2024 and 2023, respectively</w:t>
            </w:r>
          </w:p>
        </w:tc>
        <w:tc>
          <w:tcPr>
            <w:tcW w:w="960" w:type="dxa"/>
            <w:vAlign w:val="bottom"/>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c>
          <w:tcPr>
            <w:tcW w:w="54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172"/>
        </w:trPr>
        <w:tc>
          <w:tcPr>
            <w:tcW w:w="8020" w:type="dxa"/>
            <w:vAlign w:val="bottom"/>
            <w:shd w:val="clear" w:color="auto" w:fill="CCEEFF"/>
          </w:tcPr>
          <w:p>
            <w:pPr>
              <w:ind w:left="240"/>
              <w:spacing w:after="0" w:line="172" w:lineRule="exact"/>
              <w:rPr>
                <w:sz w:val="20"/>
                <w:szCs w:val="20"/>
                <w:color w:val="auto"/>
              </w:rPr>
            </w:pPr>
            <w:r>
              <w:rPr>
                <w:rFonts w:ascii="Times New Roman" w:cs="Times New Roman" w:eastAsia="Times New Roman" w:hAnsi="Times New Roman"/>
                <w:sz w:val="18"/>
                <w:szCs w:val="18"/>
                <w:color w:val="auto"/>
              </w:rPr>
              <w:t>Preferred stock, par value $0.01; 200,000,000 shares authorized as of December 31, 2024 and 2023; zero</w:t>
            </w:r>
          </w:p>
        </w:tc>
        <w:tc>
          <w:tcPr>
            <w:tcW w:w="9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238"/>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issued and outstanding as of December 31, 2024 and 2023</w:t>
            </w:r>
          </w:p>
        </w:tc>
        <w:tc>
          <w:tcPr>
            <w:tcW w:w="9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1,362.9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1,804.9</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9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283.3</w:t>
            </w:r>
          </w:p>
        </w:tc>
      </w:tr>
      <w:tr>
        <w:trPr>
          <w:trHeight w:val="219"/>
        </w:trPr>
        <w:tc>
          <w:tcPr>
            <w:tcW w:w="80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960" w:type="dxa"/>
            <w:vAlign w:val="bottom"/>
            <w:tcBorders>
              <w:bottom w:val="single" w:sz="8" w:color="auto"/>
            </w:tcBorders>
            <w:shd w:val="clear" w:color="auto" w:fill="CCEEFF"/>
          </w:tcPr>
          <w:p>
            <w:pPr>
              <w:jc w:val="right"/>
              <w:ind w:right="77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1,693.5</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2,119.3</w:t>
            </w:r>
          </w:p>
        </w:tc>
      </w:tr>
      <w:tr>
        <w:trPr>
          <w:trHeight w:val="219"/>
        </w:trPr>
        <w:tc>
          <w:tcPr>
            <w:tcW w:w="80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960" w:type="dxa"/>
            <w:vAlign w:val="bottom"/>
            <w:tcBorders>
              <w:bottom w:val="single" w:sz="8" w:color="auto"/>
            </w:tcBorders>
          </w:tcPr>
          <w:p>
            <w:pPr>
              <w:jc w:val="right"/>
              <w:ind w:right="7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6,467.6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6,868.3</w:t>
            </w:r>
          </w:p>
        </w:tc>
      </w:tr>
      <w:tr>
        <w:trPr>
          <w:trHeight w:val="20"/>
        </w:trPr>
        <w:tc>
          <w:tcPr>
            <w:tcW w:w="80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ectPr>
          <w:pgSz w:w="11900" w:h="16838" w:orient="portrait"/>
          <w:cols w:equalWidth="0" w:num="1">
            <w:col w:w="11240"/>
          </w:cols>
          <w:pgMar w:left="320" w:top="121" w:right="339" w:bottom="1440" w:gutter="0" w:footer="0" w:header="0"/>
        </w:sect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20" w:type="dxa"/>
            <w:vAlign w:val="bottom"/>
            <w:tcBorders>
              <w:bottom w:val="single" w:sz="8" w:color="CCEEFF"/>
            </w:tcBorders>
          </w:tcPr>
          <w:p>
            <w:pPr>
              <w:spacing w:after="0"/>
              <w:rPr>
                <w:sz w:val="19"/>
                <w:szCs w:val="19"/>
                <w:color w:val="auto"/>
              </w:rPr>
            </w:pPr>
          </w:p>
        </w:tc>
        <w:tc>
          <w:tcPr>
            <w:tcW w:w="57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rPr>
              <w:t>2022</w:t>
            </w: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c>
          <w:tcPr>
            <w:tcW w:w="0" w:type="dxa"/>
            <w:vAlign w:val="bottom"/>
          </w:tcPr>
          <w:p>
            <w:pPr>
              <w:spacing w:after="0"/>
              <w:rPr>
                <w:sz w:val="1"/>
                <w:szCs w:val="1"/>
                <w:color w:val="auto"/>
              </w:rPr>
            </w:pPr>
          </w:p>
        </w:tc>
      </w:tr>
      <w:tr>
        <w:trPr>
          <w:trHeight w:val="225"/>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Cost of service</w:t>
            </w:r>
            <w:r>
              <w:rPr>
                <w:rFonts w:ascii="Times New Roman" w:cs="Times New Roman" w:eastAsia="Times New Roman" w:hAnsi="Times New Roman"/>
                <w:sz w:val="22"/>
                <w:szCs w:val="22"/>
                <w:color w:val="auto"/>
                <w:vertAlign w:val="superscript"/>
              </w:rPr>
              <w:t>(1)</w:t>
            </w:r>
          </w:p>
        </w:tc>
        <w:tc>
          <w:tcPr>
            <w:tcW w:w="5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w:t>
            </w:r>
          </w:p>
        </w:tc>
        <w:tc>
          <w:tcPr>
            <w:tcW w:w="0" w:type="dxa"/>
            <w:vAlign w:val="bottom"/>
          </w:tcPr>
          <w:p>
            <w:pPr>
              <w:spacing w:after="0"/>
              <w:rPr>
                <w:sz w:val="1"/>
                <w:szCs w:val="1"/>
                <w:color w:val="auto"/>
              </w:rPr>
            </w:pPr>
          </w:p>
        </w:tc>
      </w:tr>
      <w:tr>
        <w:trPr>
          <w:trHeight w:val="225"/>
        </w:trPr>
        <w:tc>
          <w:tcPr>
            <w:tcW w:w="6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acquired technology</w:t>
            </w: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8"/>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909.3</w:t>
            </w:r>
          </w:p>
        </w:tc>
        <w:tc>
          <w:tcPr>
            <w:tcW w:w="0" w:type="dxa"/>
            <w:vAlign w:val="bottom"/>
          </w:tcPr>
          <w:p>
            <w:pPr>
              <w:spacing w:after="0"/>
              <w:rPr>
                <w:sz w:val="1"/>
                <w:szCs w:val="1"/>
                <w:color w:val="auto"/>
              </w:rPr>
            </w:pPr>
          </w:p>
        </w:tc>
      </w:tr>
      <w:tr>
        <w:trPr>
          <w:trHeight w:val="225"/>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2"/>
                <w:szCs w:val="22"/>
                <w:color w:val="auto"/>
                <w:vertAlign w:val="superscript"/>
              </w:rPr>
              <w:t>(1)</w:t>
            </w:r>
          </w:p>
        </w:tc>
        <w:tc>
          <w:tcPr>
            <w:tcW w:w="54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w:t>
            </w:r>
          </w:p>
        </w:tc>
        <w:tc>
          <w:tcPr>
            <w:tcW w:w="0" w:type="dxa"/>
            <w:vAlign w:val="bottom"/>
          </w:tcPr>
          <w:p>
            <w:pPr>
              <w:spacing w:after="0"/>
              <w:rPr>
                <w:sz w:val="1"/>
                <w:szCs w:val="1"/>
                <w:color w:val="auto"/>
              </w:rPr>
            </w:pPr>
          </w:p>
        </w:tc>
      </w:tr>
      <w:tr>
        <w:trPr>
          <w:trHeight w:val="225"/>
        </w:trPr>
        <w:tc>
          <w:tcPr>
            <w:tcW w:w="6040" w:type="dxa"/>
            <w:vAlign w:val="bottom"/>
            <w:gridSpan w:val="2"/>
          </w:tcPr>
          <w:p>
            <w:pPr>
              <w:ind w:left="220"/>
              <w:spacing w:after="0" w:line="225"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2"/>
                <w:szCs w:val="22"/>
                <w:color w:val="auto"/>
                <w:vertAlign w:val="superscript"/>
              </w:rPr>
              <w:t>(1)</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20"/>
              <w:spacing w:after="0" w:line="225"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0" w:type="dxa"/>
            <w:vAlign w:val="bottom"/>
          </w:tcPr>
          <w:p>
            <w:pPr>
              <w:spacing w:after="0"/>
              <w:rPr>
                <w:sz w:val="1"/>
                <w:szCs w:val="1"/>
                <w:color w:val="auto"/>
              </w:rPr>
            </w:pPr>
          </w:p>
        </w:tc>
      </w:tr>
      <w:tr>
        <w:trPr>
          <w:trHeight w:val="225"/>
        </w:trPr>
        <w:tc>
          <w:tcPr>
            <w:tcW w:w="60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other acquired intangibles</w:t>
            </w:r>
          </w:p>
        </w:tc>
        <w:tc>
          <w:tcPr>
            <w:tcW w:w="3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18"/>
        </w:trPr>
        <w:tc>
          <w:tcPr>
            <w:tcW w:w="320" w:type="dxa"/>
            <w:vAlign w:val="bottom"/>
            <w:shd w:val="clear" w:color="auto" w:fill="CCEEFF"/>
          </w:tcPr>
          <w:p>
            <w:pPr>
              <w:spacing w:after="0"/>
              <w:rPr>
                <w:sz w:val="19"/>
                <w:szCs w:val="19"/>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0" w:type="dxa"/>
            <w:vAlign w:val="bottom"/>
          </w:tcPr>
          <w:p>
            <w:pPr>
              <w:spacing w:after="0"/>
              <w:rPr>
                <w:sz w:val="1"/>
                <w:szCs w:val="1"/>
                <w:color w:val="auto"/>
              </w:rPr>
            </w:pPr>
          </w:p>
        </w:tc>
      </w:tr>
      <w:tr>
        <w:trPr>
          <w:trHeight w:val="218"/>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25"/>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loss (income), net</w:t>
            </w:r>
          </w:p>
        </w:tc>
        <w:tc>
          <w:tcPr>
            <w:tcW w:w="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18"/>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18"/>
        </w:trPr>
        <w:tc>
          <w:tcPr>
            <w:tcW w:w="60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c>
          <w:tcPr>
            <w:tcW w:w="0" w:type="dxa"/>
            <w:vAlign w:val="bottom"/>
          </w:tcPr>
          <w:p>
            <w:pPr>
              <w:spacing w:after="0"/>
              <w:rPr>
                <w:sz w:val="1"/>
                <w:szCs w:val="1"/>
                <w:color w:val="auto"/>
              </w:rPr>
            </w:pPr>
          </w:p>
        </w:tc>
      </w:tr>
      <w:tr>
        <w:trPr>
          <w:trHeight w:val="225"/>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 of common stock:</w:t>
            </w:r>
          </w:p>
        </w:tc>
        <w:tc>
          <w:tcPr>
            <w:tcW w:w="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540" w:type="dxa"/>
            <w:vAlign w:val="bottom"/>
            <w:gridSpan w:val="2"/>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65"/>
        </w:trPr>
        <w:tc>
          <w:tcPr>
            <w:tcW w:w="320" w:type="dxa"/>
            <w:vAlign w:val="bottom"/>
            <w:shd w:val="clear" w:color="auto" w:fill="CCEEFF"/>
          </w:tcPr>
          <w:p>
            <w:pPr>
              <w:spacing w:after="0"/>
              <w:rPr>
                <w:sz w:val="23"/>
                <w:szCs w:val="23"/>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423"/>
        </w:trPr>
        <w:tc>
          <w:tcPr>
            <w:tcW w:w="6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60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(1)  Amounts include equity-based compensation expense, as follows:</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3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00" w:type="dxa"/>
            <w:vAlign w:val="bottom"/>
            <w:gridSpan w:val="8"/>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5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20" w:type="dxa"/>
            <w:vAlign w:val="bottom"/>
          </w:tcPr>
          <w:p>
            <w:pPr>
              <w:spacing w:after="0"/>
              <w:rPr>
                <w:sz w:val="15"/>
                <w:szCs w:val="15"/>
                <w:color w:val="auto"/>
              </w:rPr>
            </w:pPr>
          </w:p>
        </w:tc>
        <w:tc>
          <w:tcPr>
            <w:tcW w:w="572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20" w:type="dxa"/>
            <w:vAlign w:val="bottom"/>
          </w:tcPr>
          <w:p>
            <w:pPr>
              <w:spacing w:after="0"/>
              <w:rPr>
                <w:sz w:val="2"/>
                <w:szCs w:val="2"/>
                <w:color w:val="auto"/>
              </w:rPr>
            </w:pPr>
          </w:p>
        </w:tc>
        <w:tc>
          <w:tcPr>
            <w:tcW w:w="57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0" w:type="dxa"/>
            <w:vAlign w:val="bottom"/>
          </w:tcPr>
          <w:p>
            <w:pPr>
              <w:spacing w:after="0"/>
              <w:rPr>
                <w:sz w:val="19"/>
                <w:szCs w:val="19"/>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service</w:t>
            </w:r>
          </w:p>
        </w:tc>
        <w:tc>
          <w:tcPr>
            <w:tcW w:w="3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400" w:type="dxa"/>
            <w:vAlign w:val="bottom"/>
            <w:gridSpan w:val="3"/>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4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p>
        </w:tc>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80.4</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320" w:type="dxa"/>
            <w:vAlign w:val="bottom"/>
          </w:tcPr>
          <w:p>
            <w:pPr>
              <w:spacing w:after="0"/>
              <w:rPr>
                <w:sz w:val="20"/>
                <w:szCs w:val="20"/>
                <w:color w:val="auto"/>
              </w:rPr>
            </w:pPr>
          </w:p>
        </w:tc>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20" w:type="dxa"/>
            <w:vAlign w:val="bottom"/>
          </w:tcPr>
          <w:p>
            <w:pPr>
              <w:spacing w:after="0"/>
              <w:rPr>
                <w:sz w:val="20"/>
                <w:szCs w:val="20"/>
                <w:color w:val="auto"/>
              </w:rPr>
            </w:pPr>
          </w:p>
        </w:tc>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20" w:type="dxa"/>
            <w:vAlign w:val="bottom"/>
          </w:tcPr>
          <w:p>
            <w:pPr>
              <w:spacing w:after="0"/>
              <w:rPr>
                <w:sz w:val="19"/>
                <w:szCs w:val="19"/>
                <w:color w:val="auto"/>
              </w:rPr>
            </w:pPr>
          </w:p>
        </w:tc>
        <w:tc>
          <w:tcPr>
            <w:tcW w:w="5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equity-based compensation expense</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6"/>
                <w:szCs w:val="16"/>
                <w:color w:val="auto"/>
                <w:w w:val="99"/>
              </w:rPr>
              <w:t>$</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8"/>
        </w:trPr>
        <w:tc>
          <w:tcPr>
            <w:tcW w:w="636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10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cash flow hedges</w:t>
            </w:r>
          </w:p>
        </w:tc>
        <w:tc>
          <w:tcPr>
            <w:tcW w:w="1040" w:type="dxa"/>
            <w:vAlign w:val="bottom"/>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25"/>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Realized gain on settlement of cash flow hedges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5"/>
        </w:trPr>
        <w:tc>
          <w:tcPr>
            <w:tcW w:w="6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losses related to the dedesignated Interest Rate Swap</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18"/>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before tax</w:t>
            </w:r>
          </w:p>
        </w:tc>
        <w:tc>
          <w:tcPr>
            <w:tcW w:w="10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19"/>
        </w:trPr>
        <w:tc>
          <w:tcPr>
            <w:tcW w:w="63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Tax effect</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18"/>
        </w:trPr>
        <w:tc>
          <w:tcPr>
            <w:tcW w:w="63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040" w:type="dxa"/>
            <w:vAlign w:val="bottom"/>
            <w:tcBorders>
              <w:bottom w:val="single" w:sz="8" w:color="auto"/>
            </w:tcBorders>
          </w:tcPr>
          <w:p>
            <w:pPr>
              <w:jc w:val="right"/>
              <w:ind w:right="83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1040" w:type="dxa"/>
            <w:vAlign w:val="bottom"/>
            <w:tcBorders>
              <w:bottom w:val="single" w:sz="8" w:color="auto"/>
            </w:tcBorders>
            <w:shd w:val="clear" w:color="auto" w:fill="CCEEFF"/>
          </w:tcPr>
          <w:p>
            <w:pPr>
              <w:jc w:val="right"/>
              <w:ind w:right="832"/>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5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 Equity</w:t>
      </w:r>
    </w:p>
    <w:p>
      <w:pPr>
        <w:spacing w:after="0" w:line="54"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4"/>
          <w:szCs w:val="14"/>
          <w:i w:val="1"/>
          <w:iCs w:val="1"/>
          <w:color w:val="auto"/>
        </w:rPr>
        <w:t>(in millions, except shares data)</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840" w:type="dxa"/>
            <w:vAlign w:val="bottom"/>
          </w:tcPr>
          <w:p>
            <w:pPr>
              <w:spacing w:after="0"/>
              <w:rPr>
                <w:sz w:val="20"/>
                <w:szCs w:val="20"/>
                <w:color w:val="auto"/>
              </w:rPr>
            </w:pPr>
          </w:p>
        </w:tc>
        <w:tc>
          <w:tcPr>
            <w:tcW w:w="2280" w:type="dxa"/>
            <w:vAlign w:val="bottom"/>
            <w:gridSpan w:val="5"/>
          </w:tcPr>
          <w:p>
            <w:pPr>
              <w:ind w:lef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Accumulated</w:t>
            </w: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384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vMerge w:val="restart"/>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72"/>
        </w:trPr>
        <w:tc>
          <w:tcPr>
            <w:tcW w:w="3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40" w:type="dxa"/>
            <w:vAlign w:val="bottom"/>
          </w:tcPr>
          <w:p>
            <w:pPr>
              <w:spacing w:after="0"/>
              <w:rPr>
                <w:sz w:val="14"/>
                <w:szCs w:val="14"/>
                <w:color w:val="auto"/>
              </w:rPr>
            </w:pPr>
          </w:p>
        </w:tc>
        <w:tc>
          <w:tcPr>
            <w:tcW w:w="128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8"/>
                <w:szCs w:val="18"/>
                <w:b w:val="1"/>
                <w:bCs w:val="1"/>
                <w:color w:val="auto"/>
                <w:w w:val="97"/>
              </w:rPr>
              <w:t>other</w:t>
            </w:r>
          </w:p>
        </w:tc>
        <w:tc>
          <w:tcPr>
            <w:tcW w:w="180" w:type="dxa"/>
            <w:vAlign w:val="bottom"/>
          </w:tcPr>
          <w:p>
            <w:pPr>
              <w:spacing w:after="0"/>
              <w:rPr>
                <w:sz w:val="14"/>
                <w:szCs w:val="14"/>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3840" w:type="dxa"/>
            <w:vAlign w:val="bottom"/>
          </w:tcPr>
          <w:p>
            <w:pPr>
              <w:spacing w:after="0"/>
              <w:rPr>
                <w:sz w:val="16"/>
                <w:szCs w:val="16"/>
                <w:color w:val="auto"/>
              </w:rPr>
            </w:pPr>
          </w:p>
        </w:tc>
        <w:tc>
          <w:tcPr>
            <w:tcW w:w="12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40" w:type="dxa"/>
            <w:vAlign w:val="bottom"/>
          </w:tcPr>
          <w:p>
            <w:pPr>
              <w:spacing w:after="0"/>
              <w:rPr>
                <w:sz w:val="16"/>
                <w:szCs w:val="16"/>
                <w:color w:val="auto"/>
              </w:rPr>
            </w:pPr>
          </w:p>
        </w:tc>
        <w:tc>
          <w:tcPr>
            <w:tcW w:w="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20" w:type="dxa"/>
            <w:vAlign w:val="bottom"/>
            <w:gridSpan w:val="3"/>
          </w:tcPr>
          <w:p>
            <w:pPr>
              <w:jc w:val="center"/>
              <w:ind w:right="100"/>
              <w:spacing w:after="0" w:line="186" w:lineRule="exact"/>
              <w:rPr>
                <w:sz w:val="20"/>
                <w:szCs w:val="20"/>
                <w:color w:val="auto"/>
              </w:rPr>
            </w:pPr>
            <w:r>
              <w:rPr>
                <w:rFonts w:ascii="Times New Roman" w:cs="Times New Roman" w:eastAsia="Times New Roman" w:hAnsi="Times New Roman"/>
                <w:sz w:val="18"/>
                <w:szCs w:val="18"/>
                <w:b w:val="1"/>
                <w:bCs w:val="1"/>
                <w:color w:val="auto"/>
                <w:w w:val="97"/>
              </w:rPr>
              <w:t>comprehensive</w:t>
            </w: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0" w:type="dxa"/>
            <w:vAlign w:val="bottom"/>
            <w:gridSpan w:val="2"/>
          </w:tcPr>
          <w:p>
            <w:pPr>
              <w:jc w:val="center"/>
              <w:spacing w:after="0" w:line="186" w:lineRule="exact"/>
              <w:rPr>
                <w:sz w:val="20"/>
                <w:szCs w:val="20"/>
                <w:color w:val="auto"/>
              </w:rPr>
            </w:pPr>
            <w:r>
              <w:rPr>
                <w:rFonts w:ascii="Times New Roman" w:cs="Times New Roman" w:eastAsia="Times New Roman" w:hAnsi="Times New Roman"/>
                <w:sz w:val="18"/>
                <w:szCs w:val="18"/>
                <w:b w:val="1"/>
                <w:bCs w:val="1"/>
                <w:color w:val="auto"/>
                <w:w w:val="97"/>
              </w:rPr>
              <w:t>stockholder’s</w:t>
            </w:r>
          </w:p>
        </w:tc>
        <w:tc>
          <w:tcPr>
            <w:tcW w:w="0" w:type="dxa"/>
            <w:vAlign w:val="bottom"/>
          </w:tcPr>
          <w:p>
            <w:pPr>
              <w:spacing w:after="0"/>
              <w:rPr>
                <w:sz w:val="1"/>
                <w:szCs w:val="1"/>
                <w:color w:val="auto"/>
              </w:rPr>
            </w:pPr>
          </w:p>
        </w:tc>
      </w:tr>
      <w:tr>
        <w:trPr>
          <w:trHeight w:val="225"/>
        </w:trPr>
        <w:tc>
          <w:tcPr>
            <w:tcW w:w="38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40" w:type="dxa"/>
            <w:vAlign w:val="bottom"/>
          </w:tcPr>
          <w:p>
            <w:pPr>
              <w:spacing w:after="0"/>
              <w:rPr>
                <w:sz w:val="19"/>
                <w:szCs w:val="19"/>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18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40" w:type="dxa"/>
            <w:vAlign w:val="bottom"/>
          </w:tcPr>
          <w:p>
            <w:pPr>
              <w:spacing w:after="0"/>
              <w:rPr>
                <w:sz w:val="19"/>
                <w:szCs w:val="19"/>
                <w:color w:val="auto"/>
              </w:rPr>
            </w:pPr>
          </w:p>
        </w:tc>
        <w:tc>
          <w:tcPr>
            <w:tcW w:w="96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5"/>
              </w:rPr>
              <w:t>equity</w:t>
            </w:r>
          </w:p>
        </w:tc>
        <w:tc>
          <w:tcPr>
            <w:tcW w:w="0" w:type="dxa"/>
            <w:vAlign w:val="bottom"/>
          </w:tcPr>
          <w:p>
            <w:pPr>
              <w:spacing w:after="0"/>
              <w:rPr>
                <w:sz w:val="1"/>
                <w:szCs w:val="1"/>
                <w:color w:val="auto"/>
              </w:rPr>
            </w:pPr>
          </w:p>
        </w:tc>
      </w:tr>
      <w:tr>
        <w:trPr>
          <w:trHeight w:val="218"/>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2021</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403,315,989</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1,871.6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1,997.9</w:t>
            </w:r>
          </w:p>
        </w:tc>
        <w:tc>
          <w:tcPr>
            <w:tcW w:w="0" w:type="dxa"/>
            <w:vAlign w:val="bottom"/>
          </w:tcPr>
          <w:p>
            <w:pPr>
              <w:spacing w:after="0"/>
              <w:rPr>
                <w:sz w:val="1"/>
                <w:szCs w:val="1"/>
                <w:color w:val="auto"/>
              </w:rPr>
            </w:pPr>
          </w:p>
        </w:tc>
      </w:tr>
      <w:tr>
        <w:trPr>
          <w:trHeight w:val="225"/>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1,250,216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related to ESPP</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155,599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172"/>
        </w:trPr>
        <w:tc>
          <w:tcPr>
            <w:tcW w:w="3840" w:type="dxa"/>
            <w:vAlign w:val="bottom"/>
          </w:tcPr>
          <w:p>
            <w:pPr>
              <w:ind w:left="120"/>
              <w:spacing w:after="0" w:line="172" w:lineRule="exact"/>
              <w:rPr>
                <w:sz w:val="20"/>
                <w:szCs w:val="20"/>
                <w:color w:val="auto"/>
              </w:rPr>
            </w:pPr>
            <w:r>
              <w:rPr>
                <w:rFonts w:ascii="Times New Roman" w:cs="Times New Roman" w:eastAsia="Times New Roman" w:hAnsi="Times New Roman"/>
                <w:sz w:val="18"/>
                <w:szCs w:val="18"/>
                <w:color w:val="auto"/>
              </w:rPr>
              <w:t>Shares withheld related to net share settlement and</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(422,688)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5"/>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Forfeitures /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(279,047)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25"/>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18"/>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2022</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404,083,262</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176.0</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2,271.8</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4,308,143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related to ESPP</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339,282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172"/>
        </w:trPr>
        <w:tc>
          <w:tcPr>
            <w:tcW w:w="3840" w:type="dxa"/>
            <w:vAlign w:val="bottom"/>
            <w:shd w:val="clear" w:color="auto" w:fill="CCEEFF"/>
          </w:tcPr>
          <w:p>
            <w:pPr>
              <w:ind w:left="120"/>
              <w:spacing w:after="0" w:line="172" w:lineRule="exact"/>
              <w:rPr>
                <w:sz w:val="20"/>
                <w:szCs w:val="20"/>
                <w:color w:val="auto"/>
              </w:rPr>
            </w:pPr>
            <w:r>
              <w:rPr>
                <w:rFonts w:ascii="Times New Roman" w:cs="Times New Roman" w:eastAsia="Times New Roman" w:hAnsi="Times New Roman"/>
                <w:sz w:val="18"/>
                <w:szCs w:val="18"/>
                <w:color w:val="auto"/>
              </w:rPr>
              <w:t>Shares withheld related to net share settlement and</w:t>
            </w:r>
          </w:p>
        </w:tc>
        <w:tc>
          <w:tcPr>
            <w:tcW w:w="1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(1,279,965)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25"/>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Forfeitures / cancellations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(22,627,664)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(403.3)</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0" w:type="dxa"/>
            <w:vAlign w:val="bottom"/>
          </w:tcPr>
          <w:p>
            <w:pPr>
              <w:spacing w:after="0"/>
              <w:rPr>
                <w:sz w:val="1"/>
                <w:szCs w:val="1"/>
                <w:color w:val="auto"/>
              </w:rPr>
            </w:pPr>
          </w:p>
        </w:tc>
      </w:tr>
      <w:tr>
        <w:trPr>
          <w:trHeight w:val="225"/>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0" w:type="dxa"/>
            <w:vAlign w:val="bottom"/>
          </w:tcPr>
          <w:p>
            <w:pPr>
              <w:spacing w:after="0"/>
              <w:rPr>
                <w:sz w:val="1"/>
                <w:szCs w:val="1"/>
                <w:color w:val="auto"/>
              </w:rPr>
            </w:pPr>
          </w:p>
        </w:tc>
      </w:tr>
      <w:tr>
        <w:trPr>
          <w:trHeight w:val="218"/>
        </w:trPr>
        <w:tc>
          <w:tcPr>
            <w:tcW w:w="3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384,830,529</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1,804.9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283.3</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2,119.3</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Issuance of common stock upon vesting of RSUs</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5,295,543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Issuance of common stock related to ESPP</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406,006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Shares withheld related to net share settlement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(1,681,950)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0" w:type="dxa"/>
            <w:vAlign w:val="bottom"/>
          </w:tcPr>
          <w:p>
            <w:pPr>
              <w:spacing w:after="0"/>
              <w:rPr>
                <w:sz w:val="1"/>
                <w:szCs w:val="1"/>
                <w:color w:val="auto"/>
              </w:rPr>
            </w:pPr>
          </w:p>
        </w:tc>
      </w:tr>
      <w:tr>
        <w:trPr>
          <w:trHeight w:val="225"/>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Forfeitures / cancellations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(46,801,742)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0" w:type="dxa"/>
            <w:vAlign w:val="bottom"/>
          </w:tcPr>
          <w:p>
            <w:pPr>
              <w:spacing w:after="0"/>
              <w:rPr>
                <w:sz w:val="1"/>
                <w:szCs w:val="1"/>
                <w:color w:val="auto"/>
              </w:rPr>
            </w:pPr>
          </w:p>
        </w:tc>
      </w:tr>
      <w:tr>
        <w:trPr>
          <w:trHeight w:val="225"/>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25"/>
        </w:trPr>
        <w:tc>
          <w:tcPr>
            <w:tcW w:w="38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5"/>
        </w:trPr>
        <w:tc>
          <w:tcPr>
            <w:tcW w:w="3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0" w:type="dxa"/>
            <w:vAlign w:val="bottom"/>
          </w:tcPr>
          <w:p>
            <w:pPr>
              <w:spacing w:after="0"/>
              <w:rPr>
                <w:sz w:val="1"/>
                <w:szCs w:val="1"/>
                <w:color w:val="auto"/>
              </w:rPr>
            </w:pPr>
          </w:p>
        </w:tc>
      </w:tr>
      <w:tr>
        <w:trPr>
          <w:trHeight w:val="218"/>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342,027,974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1,362.9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1,693.5</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8"/>
        </w:trPr>
        <w:tc>
          <w:tcPr>
            <w:tcW w:w="636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19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0"/>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107.3</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w:t>
            </w:r>
          </w:p>
        </w:tc>
      </w:tr>
      <w:tr>
        <w:trPr>
          <w:trHeight w:val="21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w:t>
            </w:r>
          </w:p>
        </w:tc>
      </w:tr>
      <w:tr>
        <w:trPr>
          <w:trHeight w:val="214"/>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discounts and issuance costs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10"/>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Amortization of deferred commissions costs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r>
      <w:tr>
        <w:trPr>
          <w:trHeight w:val="214"/>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Asset impairments and lease abandonment charges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Gain on lease modification</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Loss on debt modification and extinguishment</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consideration valuation adjustments</w:t>
            </w:r>
          </w:p>
        </w:tc>
        <w:tc>
          <w:tcPr>
            <w:tcW w:w="10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0.2</w:t>
            </w:r>
          </w:p>
        </w:tc>
      </w:tr>
      <w:tr>
        <w:trPr>
          <w:trHeight w:val="214"/>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w:t>
            </w:r>
          </w:p>
        </w:tc>
      </w:tr>
      <w:tr>
        <w:trPr>
          <w:trHeight w:val="210"/>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income taxes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w:t>
            </w:r>
          </w:p>
        </w:tc>
      </w:tr>
      <w:tr>
        <w:trPr>
          <w:trHeight w:val="214"/>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 receivable agreement remeasurement</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w:t>
            </w:r>
          </w:p>
        </w:tc>
      </w:tr>
      <w:tr>
        <w:trPr>
          <w:trHeight w:val="210"/>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Provision for bad debt expense</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1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(39.3)</w:t>
            </w:r>
          </w:p>
        </w:tc>
      </w:tr>
      <w:tr>
        <w:trPr>
          <w:trHeight w:val="214"/>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0"/>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Deferred costs and other assets, net of current portion</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r>
      <w:tr>
        <w:trPr>
          <w:trHeight w:val="214"/>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Income tax receivable</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10"/>
        </w:trPr>
        <w:tc>
          <w:tcPr>
            <w:tcW w:w="63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14"/>
        </w:trPr>
        <w:tc>
          <w:tcPr>
            <w:tcW w:w="63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0"/>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Unearned revenue</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205"/>
        </w:trPr>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369.4</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434.9</w:t>
            </w:r>
          </w:p>
        </w:tc>
        <w:tc>
          <w:tcPr>
            <w:tcW w:w="10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417.0</w:t>
            </w:r>
          </w:p>
        </w:tc>
      </w:tr>
      <w:tr>
        <w:trPr>
          <w:trHeight w:val="141"/>
        </w:trPr>
        <w:tc>
          <w:tcPr>
            <w:tcW w:w="6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10"/>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short-term investments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w:t>
            </w:r>
          </w:p>
        </w:tc>
      </w:tr>
      <w:tr>
        <w:trPr>
          <w:trHeight w:val="21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Maturities of short-term investments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r>
      <w:tr>
        <w:trPr>
          <w:trHeight w:val="210"/>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sales of short-term investments</w:t>
            </w:r>
          </w:p>
        </w:tc>
        <w:tc>
          <w:tcPr>
            <w:tcW w:w="10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Purchases of property and equipment and other assets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r>
      <w:tr>
        <w:trPr>
          <w:trHeight w:val="210"/>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Right of use asset initial direct costs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r>
      <w:tr>
        <w:trPr>
          <w:trHeight w:val="203"/>
        </w:trPr>
        <w:tc>
          <w:tcPr>
            <w:tcW w:w="6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1020" w:type="dxa"/>
            <w:vAlign w:val="bottom"/>
            <w:tcBorders>
              <w:top w:val="single" w:sz="8" w:color="auto"/>
              <w:bottom w:val="single" w:sz="8" w:color="auto"/>
            </w:tcBorders>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(281.1)</w:t>
            </w:r>
          </w:p>
        </w:tc>
      </w:tr>
      <w:tr>
        <w:trPr>
          <w:trHeight w:val="75"/>
        </w:trPr>
        <w:tc>
          <w:tcPr>
            <w:tcW w:w="636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r>
      <w:tr>
        <w:trPr>
          <w:trHeight w:val="211"/>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0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3"/>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of deferred consideration</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0"/>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of debt issuance and modification costs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r>
      <w:tr>
        <w:trPr>
          <w:trHeight w:val="21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Repayment of debt</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10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Taxes paid related to net share settlement of equity awards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r>
      <w:tr>
        <w:trPr>
          <w:trHeight w:val="210"/>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issuance of common stock under the ESPP</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r>
      <w:tr>
        <w:trPr>
          <w:trHeight w:val="21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Payments of equity issuance costs</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r>
      <w:tr>
        <w:trPr>
          <w:trHeight w:val="210"/>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receivable agreement payments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 distributions</w:t>
            </w:r>
          </w:p>
        </w:tc>
        <w:tc>
          <w:tcPr>
            <w:tcW w:w="10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63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020" w:type="dxa"/>
            <w:vAlign w:val="bottom"/>
            <w:tcBorders>
              <w:top w:val="single" w:sz="8" w:color="auto"/>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(690.0)</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(427.2)</w:t>
            </w: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ZoomInfo Technologies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6"/>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36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179"/>
        </w:trPr>
        <w:tc>
          <w:tcPr>
            <w:tcW w:w="6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314.1</w:t>
            </w:r>
          </w:p>
        </w:tc>
        <w:tc>
          <w:tcPr>
            <w:tcW w:w="0" w:type="dxa"/>
            <w:vAlign w:val="bottom"/>
          </w:tcPr>
          <w:p>
            <w:pPr>
              <w:spacing w:after="0"/>
              <w:rPr>
                <w:sz w:val="1"/>
                <w:szCs w:val="1"/>
                <w:color w:val="auto"/>
              </w:rPr>
            </w:pPr>
          </w:p>
        </w:tc>
      </w:tr>
      <w:tr>
        <w:trPr>
          <w:trHeight w:val="232"/>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period:</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447.1</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418.0</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Restricted cash, current</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Restricted cash, non-current</w:t>
            </w:r>
          </w:p>
        </w:tc>
        <w:tc>
          <w:tcPr>
            <w:tcW w:w="10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63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paid in cash</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r>
        <w:trPr>
          <w:trHeight w:val="214"/>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taxes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199"/>
        </w:trPr>
        <w:tc>
          <w:tcPr>
            <w:tcW w:w="6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non-cash investing and financing activities:</w:t>
            </w:r>
          </w:p>
        </w:tc>
        <w:tc>
          <w:tcPr>
            <w:tcW w:w="10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Equity-based compensation included in capitalized software</w:t>
            </w:r>
          </w:p>
        </w:tc>
        <w:tc>
          <w:tcPr>
            <w:tcW w:w="1020" w:type="dxa"/>
            <w:vAlign w:val="bottom"/>
          </w:tcPr>
          <w:p>
            <w:pPr>
              <w:jc w:val="right"/>
              <w:ind w:right="83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6360" w:type="dxa"/>
            <w:vAlign w:val="bottom"/>
            <w:shd w:val="clear" w:color="auto" w:fill="CCEEFF"/>
          </w:tcPr>
          <w:p>
            <w:pPr>
              <w:ind w:left="120"/>
              <w:spacing w:after="0" w:line="161" w:lineRule="exact"/>
              <w:rPr>
                <w:sz w:val="20"/>
                <w:szCs w:val="20"/>
                <w:color w:val="auto"/>
              </w:rPr>
            </w:pPr>
            <w:r>
              <w:rPr>
                <w:rFonts w:ascii="Times New Roman" w:cs="Times New Roman" w:eastAsia="Times New Roman" w:hAnsi="Times New Roman"/>
                <w:sz w:val="16"/>
                <w:szCs w:val="16"/>
                <w:color w:val="auto"/>
              </w:rPr>
              <w:t>Property and equipment included in accounts payable and accrued expenses and other current</w:t>
            </w:r>
          </w:p>
        </w:tc>
        <w:tc>
          <w:tcPr>
            <w:tcW w:w="102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0" w:type="dxa"/>
            <w:vAlign w:val="bottom"/>
          </w:tcPr>
          <w:p>
            <w:pPr>
              <w:spacing w:after="0"/>
              <w:rPr>
                <w:sz w:val="1"/>
                <w:szCs w:val="1"/>
                <w:color w:val="auto"/>
              </w:rPr>
            </w:pPr>
          </w:p>
        </w:tc>
      </w:tr>
      <w:tr>
        <w:trPr>
          <w:trHeight w:val="212"/>
        </w:trPr>
        <w:tc>
          <w:tcPr>
            <w:tcW w:w="6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liabilities</w:t>
            </w:r>
          </w:p>
        </w:tc>
        <w:tc>
          <w:tcPr>
            <w:tcW w:w="102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21"/>
          <w:szCs w:val="21"/>
          <w:b w:val="1"/>
          <w:bCs w:val="1"/>
          <w:color w:val="auto"/>
        </w:rPr>
        <w:t>ZoomInfo Technologies Inc. and Subsidiaries</w:t>
      </w:r>
    </w:p>
    <w:p>
      <w:pPr>
        <w:spacing w:after="0" w:line="3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Notes to Audited Consolidated Financial Statements</w:t>
      </w:r>
    </w:p>
    <w:p>
      <w:pPr>
        <w:spacing w:after="0" w:line="4"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(In millions, except share/unit data and per share/unit amounts, unless otherwise noted)</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94"/>
              </w:rPr>
              <w:t>Note 1</w:t>
            </w:r>
          </w:p>
        </w:tc>
        <w:tc>
          <w:tcPr>
            <w:tcW w:w="80" w:type="dxa"/>
            <w:vAlign w:val="bottom"/>
          </w:tcPr>
          <w:p>
            <w:pPr>
              <w:spacing w:after="0"/>
              <w:rPr>
                <w:sz w:val="17"/>
                <w:szCs w:val="17"/>
                <w:color w:val="auto"/>
              </w:rPr>
            </w:pPr>
          </w:p>
        </w:tc>
        <w:tc>
          <w:tcPr>
            <w:tcW w:w="10200" w:type="dxa"/>
            <w:vAlign w:val="bottom"/>
            <w:gridSpan w:val="18"/>
          </w:tcPr>
          <w:p>
            <w:pPr>
              <w:ind w:left="640"/>
              <w:spacing w:after="0"/>
              <w:rPr>
                <w:sz w:val="20"/>
                <w:szCs w:val="20"/>
                <w:color w:val="auto"/>
              </w:rPr>
            </w:pPr>
            <w:r>
              <w:rPr>
                <w:rFonts w:ascii="Times New Roman" w:cs="Times New Roman" w:eastAsia="Times New Roman" w:hAnsi="Times New Roman"/>
                <w:sz w:val="18"/>
                <w:szCs w:val="18"/>
                <w:color w:val="0000FF"/>
              </w:rPr>
              <w:t>Basis of Presentation and Summary of Significant Accounting Policies</w:t>
            </w:r>
          </w:p>
        </w:tc>
        <w:tc>
          <w:tcPr>
            <w:tcW w:w="180" w:type="dxa"/>
            <w:vAlign w:val="bottom"/>
          </w:tcPr>
          <w:p>
            <w:pPr>
              <w:jc w:val="center"/>
              <w:spacing w:after="0"/>
              <w:rPr>
                <w:sz w:val="20"/>
                <w:szCs w:val="20"/>
                <w:color w:val="auto"/>
              </w:rPr>
            </w:pPr>
            <w:r>
              <w:rPr>
                <w:rFonts w:ascii="Times New Roman" w:cs="Times New Roman" w:eastAsia="Times New Roman" w:hAnsi="Times New Roman"/>
                <w:sz w:val="18"/>
                <w:szCs w:val="18"/>
                <w:color w:val="3051F2"/>
                <w:w w:val="99"/>
              </w:rPr>
              <w:t>75</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4"/>
              </w:rPr>
              <w:t>Note 2</w:t>
            </w:r>
          </w:p>
        </w:tc>
        <w:tc>
          <w:tcPr>
            <w:tcW w:w="80" w:type="dxa"/>
            <w:vAlign w:val="bottom"/>
          </w:tcPr>
          <w:p>
            <w:pPr>
              <w:spacing w:after="0"/>
              <w:rPr>
                <w:sz w:val="17"/>
                <w:szCs w:val="17"/>
                <w:color w:val="auto"/>
              </w:rPr>
            </w:pPr>
          </w:p>
        </w:tc>
        <w:tc>
          <w:tcPr>
            <w:tcW w:w="10200" w:type="dxa"/>
            <w:vAlign w:val="bottom"/>
            <w:gridSpan w:val="18"/>
          </w:tcPr>
          <w:p>
            <w:pPr>
              <w:ind w:left="640"/>
              <w:spacing w:after="0" w:line="205" w:lineRule="exact"/>
              <w:rPr>
                <w:sz w:val="20"/>
                <w:szCs w:val="20"/>
                <w:color w:val="auto"/>
              </w:rPr>
            </w:pPr>
            <w:r>
              <w:rPr>
                <w:rFonts w:ascii="Times New Roman" w:cs="Times New Roman" w:eastAsia="Times New Roman" w:hAnsi="Times New Roman"/>
                <w:sz w:val="18"/>
                <w:szCs w:val="18"/>
                <w:color w:val="0000FF"/>
              </w:rPr>
              <w:t>Revenue from Contracts with Customers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85</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4"/>
              </w:rPr>
              <w:t>Note 3</w:t>
            </w:r>
          </w:p>
        </w:tc>
        <w:tc>
          <w:tcPr>
            <w:tcW w:w="80" w:type="dxa"/>
            <w:vAlign w:val="bottom"/>
          </w:tcPr>
          <w:p>
            <w:pPr>
              <w:spacing w:after="0"/>
              <w:rPr>
                <w:sz w:val="17"/>
                <w:szCs w:val="17"/>
                <w:color w:val="auto"/>
              </w:rPr>
            </w:pPr>
          </w:p>
        </w:tc>
        <w:tc>
          <w:tcPr>
            <w:tcW w:w="10200" w:type="dxa"/>
            <w:vAlign w:val="bottom"/>
            <w:gridSpan w:val="18"/>
          </w:tcPr>
          <w:p>
            <w:pPr>
              <w:ind w:left="640"/>
              <w:spacing w:after="0" w:line="205" w:lineRule="exact"/>
              <w:rPr>
                <w:sz w:val="20"/>
                <w:szCs w:val="20"/>
                <w:color w:val="auto"/>
              </w:rPr>
            </w:pPr>
            <w:r>
              <w:rPr>
                <w:rFonts w:ascii="Times New Roman" w:cs="Times New Roman" w:eastAsia="Times New Roman" w:hAnsi="Times New Roman"/>
                <w:sz w:val="18"/>
                <w:szCs w:val="18"/>
                <w:color w:val="0000FF"/>
              </w:rPr>
              <w:t>Business Combinations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87</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4"/>
              </w:rPr>
              <w:t>Note 4</w:t>
            </w:r>
          </w:p>
        </w:tc>
        <w:tc>
          <w:tcPr>
            <w:tcW w:w="80" w:type="dxa"/>
            <w:vAlign w:val="bottom"/>
          </w:tcPr>
          <w:p>
            <w:pPr>
              <w:spacing w:after="0"/>
              <w:rPr>
                <w:sz w:val="17"/>
                <w:szCs w:val="17"/>
                <w:color w:val="auto"/>
              </w:rPr>
            </w:pPr>
          </w:p>
        </w:tc>
        <w:tc>
          <w:tcPr>
            <w:tcW w:w="10200" w:type="dxa"/>
            <w:vAlign w:val="bottom"/>
            <w:gridSpan w:val="18"/>
          </w:tcPr>
          <w:p>
            <w:pPr>
              <w:ind w:left="640"/>
              <w:spacing w:after="0" w:line="205" w:lineRule="exact"/>
              <w:rPr>
                <w:sz w:val="20"/>
                <w:szCs w:val="20"/>
                <w:color w:val="auto"/>
              </w:rPr>
            </w:pPr>
            <w:r>
              <w:rPr>
                <w:rFonts w:ascii="Times New Roman" w:cs="Times New Roman" w:eastAsia="Times New Roman" w:hAnsi="Times New Roman"/>
                <w:sz w:val="18"/>
                <w:szCs w:val="18"/>
                <w:color w:val="0000FF"/>
              </w:rPr>
              <w:t>Cash, Cash Equivalents, and Short-term Investments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89</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5840" w:type="dxa"/>
            <w:vAlign w:val="bottom"/>
            <w:gridSpan w:val="2"/>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4"/>
              </w:rPr>
              <w:t>Note 5</w:t>
            </w:r>
          </w:p>
        </w:tc>
        <w:tc>
          <w:tcPr>
            <w:tcW w:w="80" w:type="dxa"/>
            <w:vAlign w:val="bottom"/>
          </w:tcPr>
          <w:p>
            <w:pPr>
              <w:spacing w:after="0"/>
              <w:rPr>
                <w:sz w:val="17"/>
                <w:szCs w:val="17"/>
                <w:color w:val="auto"/>
              </w:rPr>
            </w:pPr>
          </w:p>
        </w:tc>
        <w:tc>
          <w:tcPr>
            <w:tcW w:w="10200" w:type="dxa"/>
            <w:vAlign w:val="bottom"/>
            <w:gridSpan w:val="18"/>
          </w:tcPr>
          <w:p>
            <w:pPr>
              <w:ind w:left="640"/>
              <w:spacing w:after="0" w:line="205" w:lineRule="exact"/>
              <w:rPr>
                <w:sz w:val="20"/>
                <w:szCs w:val="20"/>
                <w:color w:val="auto"/>
              </w:rPr>
            </w:pPr>
            <w:r>
              <w:rPr>
                <w:rFonts w:ascii="Times New Roman" w:cs="Times New Roman" w:eastAsia="Times New Roman" w:hAnsi="Times New Roman"/>
                <w:sz w:val="18"/>
                <w:szCs w:val="18"/>
                <w:color w:val="0000FF"/>
              </w:rPr>
              <w:t>Property and Equipment</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90</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4"/>
              </w:rPr>
              <w:t>Note 6</w:t>
            </w:r>
          </w:p>
        </w:tc>
        <w:tc>
          <w:tcPr>
            <w:tcW w:w="80" w:type="dxa"/>
            <w:vAlign w:val="bottom"/>
          </w:tcPr>
          <w:p>
            <w:pPr>
              <w:spacing w:after="0"/>
              <w:rPr>
                <w:sz w:val="17"/>
                <w:szCs w:val="17"/>
                <w:color w:val="auto"/>
              </w:rPr>
            </w:pPr>
          </w:p>
        </w:tc>
        <w:tc>
          <w:tcPr>
            <w:tcW w:w="10200" w:type="dxa"/>
            <w:vAlign w:val="bottom"/>
            <w:gridSpan w:val="18"/>
          </w:tcPr>
          <w:p>
            <w:pPr>
              <w:ind w:left="640"/>
              <w:spacing w:after="0" w:line="205" w:lineRule="exact"/>
              <w:rPr>
                <w:sz w:val="20"/>
                <w:szCs w:val="20"/>
                <w:color w:val="auto"/>
              </w:rPr>
            </w:pPr>
            <w:r>
              <w:rPr>
                <w:rFonts w:ascii="Times New Roman" w:cs="Times New Roman" w:eastAsia="Times New Roman" w:hAnsi="Times New Roman"/>
                <w:sz w:val="18"/>
                <w:szCs w:val="18"/>
                <w:color w:val="0000FF"/>
              </w:rPr>
              <w:t>Goodwill and Acquired Intangible Assets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90</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640" w:type="dxa"/>
            <w:vAlign w:val="bottom"/>
            <w:gridSpan w:val="3"/>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4"/>
              </w:rPr>
              <w:t>Note 7</w:t>
            </w:r>
          </w:p>
        </w:tc>
        <w:tc>
          <w:tcPr>
            <w:tcW w:w="80" w:type="dxa"/>
            <w:vAlign w:val="bottom"/>
          </w:tcPr>
          <w:p>
            <w:pPr>
              <w:spacing w:after="0"/>
              <w:rPr>
                <w:sz w:val="17"/>
                <w:szCs w:val="17"/>
                <w:color w:val="auto"/>
              </w:rPr>
            </w:pPr>
          </w:p>
        </w:tc>
        <w:tc>
          <w:tcPr>
            <w:tcW w:w="10200" w:type="dxa"/>
            <w:vAlign w:val="bottom"/>
            <w:gridSpan w:val="18"/>
          </w:tcPr>
          <w:p>
            <w:pPr>
              <w:ind w:left="640"/>
              <w:spacing w:after="0" w:line="205" w:lineRule="exact"/>
              <w:rPr>
                <w:sz w:val="20"/>
                <w:szCs w:val="20"/>
                <w:color w:val="auto"/>
              </w:rPr>
            </w:pPr>
            <w:r>
              <w:rPr>
                <w:rFonts w:ascii="Times New Roman" w:cs="Times New Roman" w:eastAsia="Times New Roman" w:hAnsi="Times New Roman"/>
                <w:sz w:val="18"/>
                <w:szCs w:val="18"/>
                <w:color w:val="0000FF"/>
              </w:rPr>
              <w:t>Financing Arrangements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92</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4"/>
              </w:rPr>
              <w:t>Note 8</w:t>
            </w:r>
          </w:p>
        </w:tc>
        <w:tc>
          <w:tcPr>
            <w:tcW w:w="80" w:type="dxa"/>
            <w:vAlign w:val="bottom"/>
          </w:tcPr>
          <w:p>
            <w:pPr>
              <w:spacing w:after="0"/>
              <w:rPr>
                <w:sz w:val="17"/>
                <w:szCs w:val="17"/>
                <w:color w:val="auto"/>
              </w:rPr>
            </w:pPr>
          </w:p>
        </w:tc>
        <w:tc>
          <w:tcPr>
            <w:tcW w:w="10200" w:type="dxa"/>
            <w:vAlign w:val="bottom"/>
            <w:gridSpan w:val="18"/>
          </w:tcPr>
          <w:p>
            <w:pPr>
              <w:ind w:left="640"/>
              <w:spacing w:after="0" w:line="205" w:lineRule="exact"/>
              <w:rPr>
                <w:sz w:val="20"/>
                <w:szCs w:val="20"/>
                <w:color w:val="auto"/>
              </w:rPr>
            </w:pPr>
            <w:r>
              <w:rPr>
                <w:rFonts w:ascii="Times New Roman" w:cs="Times New Roman" w:eastAsia="Times New Roman" w:hAnsi="Times New Roman"/>
                <w:sz w:val="18"/>
                <w:szCs w:val="18"/>
                <w:color w:val="0000FF"/>
              </w:rPr>
              <w:t>Derivatives and Hedging Activities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94</w:t>
            </w:r>
          </w:p>
        </w:tc>
        <w:tc>
          <w:tcPr>
            <w:tcW w:w="60" w:type="dxa"/>
            <w:vAlign w:val="bottom"/>
          </w:tcPr>
          <w:p>
            <w:pPr>
              <w:spacing w:after="0"/>
              <w:rPr>
                <w:sz w:val="17"/>
                <w:szCs w:val="17"/>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60" w:type="dxa"/>
            <w:vAlign w:val="bottom"/>
            <w:gridSpan w:val="5"/>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0000FF"/>
                <w:w w:val="94"/>
              </w:rPr>
              <w:t>Note 9</w:t>
            </w:r>
          </w:p>
        </w:tc>
        <w:tc>
          <w:tcPr>
            <w:tcW w:w="80" w:type="dxa"/>
            <w:vAlign w:val="bottom"/>
          </w:tcPr>
          <w:p>
            <w:pPr>
              <w:spacing w:after="0"/>
              <w:rPr>
                <w:sz w:val="17"/>
                <w:szCs w:val="17"/>
                <w:color w:val="auto"/>
              </w:rPr>
            </w:pPr>
          </w:p>
        </w:tc>
        <w:tc>
          <w:tcPr>
            <w:tcW w:w="10200" w:type="dxa"/>
            <w:vAlign w:val="bottom"/>
            <w:gridSpan w:val="18"/>
          </w:tcPr>
          <w:p>
            <w:pPr>
              <w:ind w:left="640"/>
              <w:spacing w:after="0" w:line="205" w:lineRule="exact"/>
              <w:rPr>
                <w:sz w:val="20"/>
                <w:szCs w:val="20"/>
                <w:color w:val="auto"/>
              </w:rPr>
            </w:pPr>
            <w:r>
              <w:rPr>
                <w:rFonts w:ascii="Times New Roman" w:cs="Times New Roman" w:eastAsia="Times New Roman" w:hAnsi="Times New Roman"/>
                <w:sz w:val="18"/>
                <w:szCs w:val="18"/>
                <w:color w:val="0000FF"/>
              </w:rPr>
              <w:t>Fair Value</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95</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0" w:type="dxa"/>
            <w:vAlign w:val="bottom"/>
            <w:gridSpan w:val="6"/>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10</w:t>
            </w:r>
          </w:p>
        </w:tc>
        <w:tc>
          <w:tcPr>
            <w:tcW w:w="10200" w:type="dxa"/>
            <w:vAlign w:val="bottom"/>
            <w:gridSpan w:val="18"/>
          </w:tcPr>
          <w:p>
            <w:pPr>
              <w:ind w:left="640"/>
              <w:spacing w:after="0" w:line="205"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99"/>
              </w:rPr>
              <w:t>97</w:t>
            </w:r>
          </w:p>
        </w:tc>
        <w:tc>
          <w:tcPr>
            <w:tcW w:w="60" w:type="dxa"/>
            <w:vAlign w:val="bottom"/>
          </w:tcPr>
          <w:p>
            <w:pPr>
              <w:spacing w:after="0"/>
              <w:rPr>
                <w:sz w:val="17"/>
                <w:szCs w:val="17"/>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200" w:type="dxa"/>
            <w:vAlign w:val="bottom"/>
            <w:gridSpan w:val="6"/>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11</w:t>
            </w:r>
          </w:p>
        </w:tc>
        <w:tc>
          <w:tcPr>
            <w:tcW w:w="10200" w:type="dxa"/>
            <w:vAlign w:val="bottom"/>
            <w:gridSpan w:val="18"/>
          </w:tcPr>
          <w:p>
            <w:pPr>
              <w:ind w:left="640"/>
              <w:spacing w:after="0" w:line="205" w:lineRule="exact"/>
              <w:rPr>
                <w:sz w:val="20"/>
                <w:szCs w:val="20"/>
                <w:color w:val="auto"/>
              </w:rPr>
            </w:pPr>
            <w:r>
              <w:rPr>
                <w:rFonts w:ascii="Times New Roman" w:cs="Times New Roman" w:eastAsia="Times New Roman" w:hAnsi="Times New Roman"/>
                <w:sz w:val="18"/>
                <w:szCs w:val="18"/>
                <w:color w:val="0000FF"/>
              </w:rPr>
              <w:t>Stockholders' Equity</w:t>
            </w:r>
          </w:p>
        </w:tc>
        <w:tc>
          <w:tcPr>
            <w:tcW w:w="2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8"/>
              </w:rPr>
              <w:t>100</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0" w:type="dxa"/>
            <w:vAlign w:val="bottom"/>
            <w:tcBorders>
              <w:right w:val="single" w:sz="8" w:color="3051F2"/>
            </w:tcBorders>
            <w:gridSpan w:val="7"/>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12</w:t>
            </w:r>
          </w:p>
        </w:tc>
        <w:tc>
          <w:tcPr>
            <w:tcW w:w="10200" w:type="dxa"/>
            <w:vAlign w:val="bottom"/>
            <w:gridSpan w:val="18"/>
          </w:tcPr>
          <w:p>
            <w:pPr>
              <w:ind w:left="640"/>
              <w:spacing w:after="0" w:line="205" w:lineRule="exact"/>
              <w:rPr>
                <w:sz w:val="20"/>
                <w:szCs w:val="20"/>
                <w:color w:val="auto"/>
              </w:rPr>
            </w:pPr>
            <w:r>
              <w:rPr>
                <w:rFonts w:ascii="Times New Roman" w:cs="Times New Roman" w:eastAsia="Times New Roman" w:hAnsi="Times New Roman"/>
                <w:sz w:val="18"/>
                <w:szCs w:val="18"/>
                <w:color w:val="0000FF"/>
              </w:rPr>
              <w:t>Earnings Per Share</w:t>
            </w:r>
          </w:p>
        </w:tc>
        <w:tc>
          <w:tcPr>
            <w:tcW w:w="2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8"/>
              </w:rPr>
              <w:t>101</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0" w:type="dxa"/>
            <w:vAlign w:val="bottom"/>
            <w:tcBorders>
              <w:right w:val="single" w:sz="8" w:color="3051F2"/>
            </w:tcBorders>
            <w:gridSpan w:val="7"/>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13</w:t>
            </w:r>
          </w:p>
        </w:tc>
        <w:tc>
          <w:tcPr>
            <w:tcW w:w="10200" w:type="dxa"/>
            <w:vAlign w:val="bottom"/>
            <w:gridSpan w:val="18"/>
          </w:tcPr>
          <w:p>
            <w:pPr>
              <w:ind w:left="640"/>
              <w:spacing w:after="0" w:line="205" w:lineRule="exact"/>
              <w:rPr>
                <w:sz w:val="20"/>
                <w:szCs w:val="20"/>
                <w:color w:val="auto"/>
              </w:rPr>
            </w:pPr>
            <w:r>
              <w:rPr>
                <w:rFonts w:ascii="Times New Roman" w:cs="Times New Roman" w:eastAsia="Times New Roman" w:hAnsi="Times New Roman"/>
                <w:sz w:val="18"/>
                <w:szCs w:val="18"/>
                <w:color w:val="0000FF"/>
              </w:rPr>
              <w:t>Leases</w:t>
            </w:r>
          </w:p>
        </w:tc>
        <w:tc>
          <w:tcPr>
            <w:tcW w:w="2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8"/>
              </w:rPr>
              <w:t>102</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0" w:type="dxa"/>
            <w:vAlign w:val="bottom"/>
            <w:tcBorders>
              <w:right w:val="single" w:sz="8" w:color="3051F2"/>
            </w:tcBorders>
            <w:gridSpan w:val="7"/>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14</w:t>
            </w:r>
          </w:p>
        </w:tc>
        <w:tc>
          <w:tcPr>
            <w:tcW w:w="10200" w:type="dxa"/>
            <w:vAlign w:val="bottom"/>
            <w:gridSpan w:val="18"/>
          </w:tcPr>
          <w:p>
            <w:pPr>
              <w:ind w:left="640"/>
              <w:spacing w:after="0" w:line="205" w:lineRule="exact"/>
              <w:rPr>
                <w:sz w:val="20"/>
                <w:szCs w:val="20"/>
                <w:color w:val="auto"/>
              </w:rPr>
            </w:pPr>
            <w:r>
              <w:rPr>
                <w:rFonts w:ascii="Times New Roman" w:cs="Times New Roman" w:eastAsia="Times New Roman" w:hAnsi="Times New Roman"/>
                <w:sz w:val="18"/>
                <w:szCs w:val="18"/>
                <w:color w:val="0000FF"/>
              </w:rPr>
              <w:t>Equity-based Compensation</w:t>
            </w:r>
          </w:p>
        </w:tc>
        <w:tc>
          <w:tcPr>
            <w:tcW w:w="2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8"/>
              </w:rPr>
              <w:t>105</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7400" w:type="dxa"/>
            <w:vAlign w:val="bottom"/>
            <w:tcBorders>
              <w:right w:val="single" w:sz="8" w:color="3051F2"/>
            </w:tcBorders>
            <w:gridSpan w:val="7"/>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15</w:t>
            </w:r>
          </w:p>
        </w:tc>
        <w:tc>
          <w:tcPr>
            <w:tcW w:w="10200" w:type="dxa"/>
            <w:vAlign w:val="bottom"/>
            <w:gridSpan w:val="18"/>
          </w:tcPr>
          <w:p>
            <w:pPr>
              <w:ind w:left="640"/>
              <w:spacing w:after="0" w:line="205" w:lineRule="exact"/>
              <w:rPr>
                <w:sz w:val="20"/>
                <w:szCs w:val="20"/>
                <w:color w:val="auto"/>
              </w:rPr>
            </w:pPr>
            <w:r>
              <w:rPr>
                <w:rFonts w:ascii="Times New Roman" w:cs="Times New Roman" w:eastAsia="Times New Roman" w:hAnsi="Times New Roman"/>
                <w:sz w:val="18"/>
                <w:szCs w:val="18"/>
                <w:color w:val="0000FF"/>
              </w:rPr>
              <w:t>Segment and Geographic Data</w:t>
            </w:r>
          </w:p>
        </w:tc>
        <w:tc>
          <w:tcPr>
            <w:tcW w:w="240" w:type="dxa"/>
            <w:vAlign w:val="bottom"/>
            <w:gridSpan w:val="2"/>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8"/>
              </w:rPr>
              <w:t>109</w:t>
            </w: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400" w:type="dxa"/>
            <w:vAlign w:val="bottom"/>
            <w:tcBorders>
              <w:right w:val="single" w:sz="8" w:color="3051F2"/>
            </w:tcBorders>
            <w:gridSpan w:val="7"/>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16</w:t>
            </w:r>
          </w:p>
        </w:tc>
        <w:tc>
          <w:tcPr>
            <w:tcW w:w="10200" w:type="dxa"/>
            <w:vAlign w:val="bottom"/>
            <w:gridSpan w:val="18"/>
          </w:tcPr>
          <w:p>
            <w:pPr>
              <w:ind w:left="640"/>
              <w:spacing w:after="0" w:line="205" w:lineRule="exact"/>
              <w:rPr>
                <w:sz w:val="20"/>
                <w:szCs w:val="20"/>
                <w:color w:val="auto"/>
              </w:rPr>
            </w:pPr>
            <w:r>
              <w:rPr>
                <w:rFonts w:ascii="Times New Roman" w:cs="Times New Roman" w:eastAsia="Times New Roman" w:hAnsi="Times New Roman"/>
                <w:sz w:val="18"/>
                <w:szCs w:val="18"/>
                <w:color w:val="0000FF"/>
              </w:rPr>
              <w:t>Tax Receivable Agreements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1"/>
              </w:rPr>
              <w:t>110</w:t>
            </w:r>
          </w:p>
        </w:tc>
        <w:tc>
          <w:tcPr>
            <w:tcW w:w="60" w:type="dxa"/>
            <w:vAlign w:val="bottom"/>
          </w:tcPr>
          <w:p>
            <w:pPr>
              <w:spacing w:after="0"/>
              <w:rPr>
                <w:sz w:val="17"/>
                <w:szCs w:val="17"/>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40" w:type="dxa"/>
            <w:vAlign w:val="bottom"/>
            <w:gridSpan w:val="5"/>
            <w:shd w:val="clear" w:color="auto" w:fill="0000FF"/>
          </w:tcPr>
          <w:p>
            <w:pPr>
              <w:spacing w:after="0" w:line="20" w:lineRule="exact"/>
              <w:rPr>
                <w:sz w:val="1"/>
                <w:szCs w:val="1"/>
                <w:color w:val="auto"/>
              </w:rPr>
            </w:pPr>
          </w:p>
        </w:tc>
        <w:tc>
          <w:tcPr>
            <w:tcW w:w="7580" w:type="dxa"/>
            <w:vAlign w:val="bottom"/>
            <w:tcBorders>
              <w:right w:val="single" w:sz="8" w:color="3051F2"/>
            </w:tcBorders>
            <w:gridSpan w:val="8"/>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17</w:t>
            </w:r>
          </w:p>
        </w:tc>
        <w:tc>
          <w:tcPr>
            <w:tcW w:w="10200" w:type="dxa"/>
            <w:vAlign w:val="bottom"/>
            <w:gridSpan w:val="18"/>
          </w:tcPr>
          <w:p>
            <w:pPr>
              <w:ind w:left="640"/>
              <w:spacing w:after="0" w:line="205" w:lineRule="exact"/>
              <w:rPr>
                <w:sz w:val="20"/>
                <w:szCs w:val="20"/>
                <w:color w:val="auto"/>
              </w:rPr>
            </w:pPr>
            <w:r>
              <w:rPr>
                <w:rFonts w:ascii="Times New Roman" w:cs="Times New Roman" w:eastAsia="Times New Roman" w:hAnsi="Times New Roman"/>
                <w:sz w:val="18"/>
                <w:szCs w:val="18"/>
                <w:color w:val="0000FF"/>
              </w:rPr>
              <w:t>Income Taxes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1"/>
              </w:rPr>
              <w:t>111</w:t>
            </w:r>
          </w:p>
        </w:tc>
        <w:tc>
          <w:tcPr>
            <w:tcW w:w="60" w:type="dxa"/>
            <w:vAlign w:val="bottom"/>
          </w:tcPr>
          <w:p>
            <w:pPr>
              <w:spacing w:after="0"/>
              <w:rPr>
                <w:sz w:val="17"/>
                <w:szCs w:val="17"/>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220" w:type="dxa"/>
            <w:vAlign w:val="bottom"/>
            <w:tcBorders>
              <w:right w:val="single" w:sz="8" w:color="3051F2"/>
            </w:tcBorders>
            <w:gridSpan w:val="13"/>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r>
        <w:trPr>
          <w:trHeight w:val="205"/>
        </w:trPr>
        <w:tc>
          <w:tcPr>
            <w:tcW w:w="5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93"/>
              </w:rPr>
              <w:t>Note 18</w:t>
            </w:r>
          </w:p>
        </w:tc>
        <w:tc>
          <w:tcPr>
            <w:tcW w:w="10200" w:type="dxa"/>
            <w:vAlign w:val="bottom"/>
            <w:gridSpan w:val="18"/>
          </w:tcPr>
          <w:p>
            <w:pPr>
              <w:ind w:left="640"/>
              <w:spacing w:after="0" w:line="205" w:lineRule="exact"/>
              <w:rPr>
                <w:sz w:val="20"/>
                <w:szCs w:val="20"/>
                <w:color w:val="auto"/>
              </w:rPr>
            </w:pPr>
            <w:r>
              <w:rPr>
                <w:rFonts w:ascii="Times New Roman" w:cs="Times New Roman" w:eastAsia="Times New Roman" w:hAnsi="Times New Roman"/>
                <w:sz w:val="18"/>
                <w:szCs w:val="18"/>
                <w:color w:val="0000FF"/>
              </w:rPr>
              <w:t>Subsequent Events</w:t>
            </w:r>
          </w:p>
        </w:tc>
        <w:tc>
          <w:tcPr>
            <w:tcW w:w="18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3051F2"/>
                <w:w w:val="81"/>
              </w:rPr>
              <w:t>114</w:t>
            </w:r>
          </w:p>
        </w:tc>
        <w:tc>
          <w:tcPr>
            <w:tcW w:w="60" w:type="dxa"/>
            <w:vAlign w:val="bottom"/>
          </w:tcPr>
          <w:p>
            <w:pPr>
              <w:spacing w:after="0"/>
              <w:rPr>
                <w:sz w:val="17"/>
                <w:szCs w:val="17"/>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560" w:type="dxa"/>
            <w:vAlign w:val="bottom"/>
            <w:tcBorders>
              <w:right w:val="single" w:sz="8" w:color="3051F2"/>
            </w:tcBorders>
          </w:tcPr>
          <w:p>
            <w:pPr>
              <w:spacing w:after="0" w:line="20" w:lineRule="exact"/>
              <w:rPr>
                <w:sz w:val="1"/>
                <w:szCs w:val="1"/>
                <w:color w:val="auto"/>
              </w:rPr>
            </w:pPr>
          </w:p>
        </w:tc>
        <w:tc>
          <w:tcPr>
            <w:tcW w:w="180" w:type="dxa"/>
            <w:vAlign w:val="bottom"/>
            <w:shd w:val="clear" w:color="auto" w:fill="3051F2"/>
          </w:tcPr>
          <w:p>
            <w:pPr>
              <w:spacing w:after="0" w:line="20" w:lineRule="exact"/>
              <w:rPr>
                <w:sz w:val="1"/>
                <w:szCs w:val="1"/>
                <w:color w:val="auto"/>
              </w:rPr>
            </w:pPr>
          </w:p>
        </w:tc>
        <w:tc>
          <w:tcPr>
            <w:tcW w:w="60" w:type="dxa"/>
            <w:vAlign w:val="bottom"/>
            <w:tcBorders>
              <w:left w:val="single" w:sz="8" w:color="3051F2"/>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ZoomInfo Technologies Inc., through its operating subsidiaries, (the “Company”, “we”, “us”, “our”, and “ZoomInfo”) provides a go-to-market intelligence and engagement platform for sales, marketing, operations, and recruiting professionals. The Company’s cloud-based platform provides workflow tools with integrated, accurate, and comprehensive information on organizations and professionals to help users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headquarters are located in Vancouver, WA, and we have additional offices throughout the United States, and in Israel, Canada, the United Kingdom, and India.</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168"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are prepared in accordance with accounting principles generally accepted in the United States of America (“U.S. GAAP”).</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us to make certain estimates, judgments, and assumptions that affect the reported amounts of assets and liabilities and disclosure of contingent assets and liabilities as of the date of the consolidated financial statements, as well as the reported amounts of revenue and expenses during the reporting period. We base these estimates on historical and anticipated results, trends, and other assumptions with respect to future events that we believe are reasonable and evaluate our estimates on an ongoing basis. Given that estimates and judgments are required, actual results may differ from our estimates and such differences could be material to our consolidated financial position and results of operations.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ZoomInfo Technologies Inc. and its subsidiaries. All significant intercompany transactions and balances have been eliminated in consolidation.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derives revenue primarily from subscription services. Our subscription services consist of our software as a service (“SaaS”) applications and related access to our platform. Subscription contracts are generally based on the number of users that access our applications, the level of functionality that they can access, and the amount of data that a customer integrates with their systems. Our subscription contracts typically have a term of one to three years and are non-cancelable. We typically bill for services annually, semi-annually, or quarterly in advance of delivery.</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accounts for revenue contracts with customers through the following steps:</w:t>
      </w:r>
    </w:p>
    <w:p>
      <w:pPr>
        <w:spacing w:after="0" w:line="164" w:lineRule="exact"/>
        <w:rPr>
          <w:sz w:val="20"/>
          <w:szCs w:val="20"/>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contract with a customer;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performance obligations in the contract;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when or as the Company satisfies a performance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recognize revenue for subscription contracts on a ratable basis over the contract term based on the number of calendar days in each period, beginning on the date that our service is made available to the customer. Unearned revenue results from revenue amounts billed to customers in advance or cash received from customers in advance of the satisfaction of performance obligations. Determining the transaction price often involves judgment and making estimates that can have a significant impact on the timing and amount of revenue reported. At times, the Company may adjust billing under a contract based on the addition of services or other circumstances, which are accounted for as variable consideration. The Company estimates these amounts based on historical experience and adjusts revenue recognized.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Short-term Investments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Cash equivalents consist of highly liquid marketable debt securities with remaining maturities of three months or less at the date of purchase. We classify our investments in marketable securities as “available-for-sale.” We carry these investments at fair value, based on quoted market prices or other readily available market information. Unrealized gains and losses, net of taxes, are included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which is reflected as a separate component of stockholders’ equity on our Consolidated Balance Sheets. Gains and losses are determined using the specific identification method and recognized when realized on our Consolidated Statements of Operations. If we were to determine that an other-than-temporary decline in fair value has occurred, the amount of the decline related to a credit loss will be recognized in income.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measures assets and liabilities at fair value based on an expected exit price, which represents the amount that would be received on the sale of an asset or paid to transfer a liability in an orderly transaction between market participants. As such, fair value may be based on assumptions that market participants would use in pricing an asset or liability.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1 - Observable inputs that reflect unadjusted quoted prices in active markets for identical assets or liabilities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2 - Other inputs that are directly or indirectly observable in the marketplace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including the Company’s own assumptions in determining fair value</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inputs or methodology used for valuing financial assets and liabilities are not necessarily an indication of the risk associated with investing in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Significant Customers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consist principally of cash and cash equivalents, short-term investments, and accounts receivable. The Company holds cash at major financial institutions that often exceed Federal Deposit Insurance Corporation (“FDIC”) insured limits. The Company manages its credit risk associated with cash concentrations by concentrating its cash deposits in high-quality financial institutions and by periodically evaluating the credit quality of the primary financial institutions holding such deposits. The carrying value of cash approximates fair value. Our investment portfolio is comprised of highly rated securities with a weighted-average maturity of less than 12 months in accordance with our investment policy which seeks to preserve principal and maintain a high degree of liquidity. Historically, the Company has not experienced any losses due to such cash concentrations. The Company does not have any off-balance sheet credit exposure related to its customers. Concentrations of credit risk with respect to accounts receivable and revenue are limited due to a large, diverse customer base. We do not require collateral from clients. We maintain an allowance for credit losses based upon the expected collectability of accounts receivable. The Company performs ongoing credit evaluations of its customers and maintains allowances for possible losses. No single customer accounted for 10% or more of our revenue for the years ended December 31, 2024, 2023, and 2022 or accounted for more than 10% of accounts receivable as of December 31, 2024 and 2023.</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Contract Assets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Accounts receivable represents billed transaction price from revenue contracts, reflecting adjustments for variable consideration, and is presented net of allowance for expected credit losses. It does not bear interest. We consider receivables past due based on the contractual payment terms. Management’s evaluation of the adequacy of the allowance for credit losses considers historical collection experience, changes in customer payment profiles, the aging of receivable balances, as well as current economic conditions, all of which may impact a customer’s ability to pay. Account balances are written-off against the allowance after all means of collection have been exhausted and the potential for recovery is considered remote. As of December 31, 2024, the allowance for expected credit losses was $12.6 million. As of December 31, 2023, the allowance for expected credit losses was not significant to the accompanying consolidated financial statements. The Company reassesses the adequacy of the allowance each reporting period.</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assessment of variable consideration to be constrained is based on estimates, and actual consideration may vary from current estimates. As adjustments to these estimates become necessary, they are reported in earnings in the periods in which they become known. Changes in variable consideration are recorded as a component of net revenue.</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Contract assets represent a contractual right to consideration in the future. Contract assets are generated when contractual billing schedules differ from revenue recognition timing.</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Property and equipment is stated at cost, net of accumulated depreciation and amortization. All repairs and maintenance costs are expensed as incurred. Depreciation and amortization costs are expensed on a straight-line basis over the lesser of the estimated useful life of the asset or the remainder of the lease term for leasehold improvements. Qualifying internal use software costs incurred during the application development stage, which consist primarily of internal product development costs, outside services, personnel costs (including equity-based compensation), and purchased software license costs, are capitalized and amortized over the estimated useful life of the asset. Estimated useful lives range from three to ten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Commissions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Certain sales commissions earned by our sales force are considered incremental and recoverable costs of obtaining a contract with a customer. These sales commissions for initial contracts are capitalized and included 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Consolidated Balance Sheets. Deferred sales commissions are amortized on a straight-line basis over the estimated period of benefit from the customer relationship which we have determined to be approximately two and four years for renewals and new clients, respectively. We determined the period of benefit by taking into consideration our customer contracts, our technology, and other factors. Amortization expense related to these capitalized commissions is included in </w:t>
      </w:r>
      <w:r>
        <w:rPr>
          <w:rFonts w:ascii="Times New Roman" w:cs="Times New Roman" w:eastAsia="Times New Roman" w:hAnsi="Times New Roman"/>
          <w:sz w:val="18"/>
          <w:szCs w:val="18"/>
          <w:i w:val="1"/>
          <w:iCs w:val="1"/>
          <w:color w:val="auto"/>
        </w:rPr>
        <w:t>Sales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marketing </w:t>
      </w:r>
      <w:r>
        <w:rPr>
          <w:rFonts w:ascii="Times New Roman" w:cs="Times New Roman" w:eastAsia="Times New Roman" w:hAnsi="Times New Roman"/>
          <w:sz w:val="18"/>
          <w:szCs w:val="18"/>
          <w:color w:val="auto"/>
        </w:rPr>
        <w:t>on our Consolidated Statements of Operations.</w:t>
      </w:r>
    </w:p>
    <w:p>
      <w:pPr>
        <w:spacing w:after="0" w:line="130"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8"/>
          <w:szCs w:val="18"/>
          <w:color w:val="auto"/>
        </w:rPr>
        <w:t xml:space="preserve">Commissions payable at December 31, 2024 were $32.8 million, of which the current portion of $30.8 million was included in </w:t>
      </w:r>
      <w:r>
        <w:rPr>
          <w:rFonts w:ascii="Times New Roman" w:cs="Times New Roman" w:eastAsia="Times New Roman" w:hAnsi="Times New Roman"/>
          <w:sz w:val="18"/>
          <w:szCs w:val="18"/>
          <w:i w:val="1"/>
          <w:iCs w:val="1"/>
          <w:color w:val="auto"/>
        </w:rPr>
        <w:t>Accrued expenses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current liabilities </w:t>
      </w:r>
      <w:r>
        <w:rPr>
          <w:rFonts w:ascii="Times New Roman" w:cs="Times New Roman" w:eastAsia="Times New Roman" w:hAnsi="Times New Roman"/>
          <w:sz w:val="18"/>
          <w:szCs w:val="18"/>
          <w:color w:val="auto"/>
        </w:rPr>
        <w:t>on our Consolidated Balance Sheets, and the long-term portion of $2.0 million was included in</w:t>
      </w:r>
      <w:r>
        <w:rPr>
          <w:rFonts w:ascii="Times New Roman" w:cs="Times New Roman" w:eastAsia="Times New Roman" w:hAnsi="Times New Roman"/>
          <w:sz w:val="18"/>
          <w:szCs w:val="18"/>
          <w:i w:val="1"/>
          <w:iCs w:val="1"/>
          <w:color w:val="auto"/>
        </w:rPr>
        <w:t xml:space="preserve"> Other long-term liabilities </w:t>
      </w:r>
      <w:r>
        <w:rPr>
          <w:rFonts w:ascii="Times New Roman" w:cs="Times New Roman" w:eastAsia="Times New Roman" w:hAnsi="Times New Roman"/>
          <w:sz w:val="18"/>
          <w:szCs w:val="18"/>
          <w:color w:val="auto"/>
        </w:rPr>
        <w:t>on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Consolidated Balance Sheets. Commissions payable at December 31, 2023 were $37.7 million, of which the current portion of $34.4 million was included in </w:t>
      </w:r>
      <w:r>
        <w:rPr>
          <w:rFonts w:ascii="Times New Roman" w:cs="Times New Roman" w:eastAsia="Times New Roman" w:hAnsi="Times New Roman"/>
          <w:sz w:val="18"/>
          <w:szCs w:val="18"/>
          <w:i w:val="1"/>
          <w:iCs w:val="1"/>
          <w:color w:val="auto"/>
        </w:rPr>
        <w:t xml:space="preserve">Accrued expenses and other current liabilities </w:t>
      </w:r>
      <w:r>
        <w:rPr>
          <w:rFonts w:ascii="Times New Roman" w:cs="Times New Roman" w:eastAsia="Times New Roman" w:hAnsi="Times New Roman"/>
          <w:sz w:val="18"/>
          <w:szCs w:val="18"/>
          <w:color w:val="auto"/>
        </w:rPr>
        <w:t>on our Consolidated Balance Sheets, and the long-term portion of $3.3 million was included in</w:t>
      </w:r>
      <w:r>
        <w:rPr>
          <w:rFonts w:ascii="Times New Roman" w:cs="Times New Roman" w:eastAsia="Times New Roman" w:hAnsi="Times New Roman"/>
          <w:sz w:val="18"/>
          <w:szCs w:val="18"/>
          <w:i w:val="1"/>
          <w:iCs w:val="1"/>
          <w:color w:val="auto"/>
        </w:rPr>
        <w:t xml:space="preserve"> Other long-term liabilities </w:t>
      </w:r>
      <w:r>
        <w:rPr>
          <w:rFonts w:ascii="Times New Roman" w:cs="Times New Roman" w:eastAsia="Times New Roman" w:hAnsi="Times New Roman"/>
          <w:sz w:val="18"/>
          <w:szCs w:val="18"/>
          <w:color w:val="auto"/>
        </w:rPr>
        <w:t>on our Consolidated Balance Sheets.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commissions are not capitalized as they do not represent incremental costs of obtaining a contract. Such commissions are expensed as incurred.</w:t>
      </w:r>
    </w:p>
    <w:p>
      <w:pPr>
        <w:spacing w:after="0" w:line="16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Company capitalized $87.6 million, $85.5 million, and $79.9 million of costs to obtain revenue contracts and amortized $67.6 million, $75.3 million, and $65.9 million to </w:t>
      </w: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xml:space="preserve"> for the years ended December 31, 2024, 2023, and 2022, respectively. Costs capitalized to obtain a revenue contract, net on the Company’s Consolidated Balance Sheets totaled $103.3 million and $83.3 million as of December 31, 2024 and 2023, respectively. There were no impairments of costs to obtain revenue contracts in the years ended December 31, 2024, 2023, and 2022.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and Promotional Expenses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Company expenses advertising costs as incurred. Advertising expenses of $36.0 million, $31.3 million, and $28.8 million were recorded for the years ended December 31, 2024, 2023, and 2022, respectively. Advertising expenses are included in </w:t>
      </w: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xml:space="preserve"> on our Consolidated Statements of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Research and development expenses primarily consist of employee compensation such as salaries, bonuses, equity-based compensation, and other employee-related benefits for our engineering and product management teams, as well as overhead costs, and technology. We continue to focus our research and development efforts on developing new products, adding new features and services, integrating acquired technologies, and increasing functionality. Expenditures for software developed or obtained for internal use are capitalized and amortized over a four-year period on a straight-line basis.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allocate purchase consideration to the tangible assets acquired, liabilities assumed, and intangible assets acquired based on their estimated fair values. The purchase price is determined based on the fair value of the assets transferred, liabilities assumed and equity interests issued, after considering any transactions that are separate from the business combination. The fair value of equity issued as part of a business combination is determined based on grant date stock price of the Company. The excess of fair value of purchase consideration over the fair values of the identifiable assets and liabilities is recorded as goodwill. Such valuations require management to make significant estimates and assumptions, especially with respect to intangible assets and contingent liabilities. Significant estimates in valuing certain intangible assets include, but are not limited to, future expected cash flows from acquired customer bases, acquired technology and acquired trade names, useful lives, royalty rates, and discount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estimates are inherently uncertain and subject to revision as additional information is obtained during the measurement period for an acquisition, which may last up to one year from the acquisition date. During the measurement period, we may record adjustments to the fair value of tangible and intangible assets acquired and liabilities assumed, with a corresponding offset to goodwill. After the conclusion of the measurement period or the final determination of the fair value of assets acquired or liabilities assumed, whichever comes first, any subsequent adjustments are recorded to earnings.</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uncertain tax positions and tax-related valuation allowances assumed in connection with a business combination are initially estimated as of the acquisition date. We re-evaluate these items based upon the facts and circumstances that existed as of the acquisition date, with any revisions to our preliminary estimates being recorded to goodwill, provided that the timing is within the measurement period. Subsequent to the measurement period, changes to uncertain tax positions and tax-related valuation allowances will be recorded to earnings.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Acquired Intangible Assets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Goodwill is calculated as the excess of the purchase consideration paid in a business combination over the fair value of the assets acquired less liabilities assumed. Goodwill is not amortized and is tested for impairment at least annually during the fourth quarter of our fiscal year or when events and circumstances indicate that the fair value of a reporting unit may be below its carrying value. The Company has one reporting unit.</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first assess qualitative factors to evaluate whether it is more likely than not that the fair value of a reporting unit is less than the carrying amount or elect to bypass such assessment. If it is determined that it is more likely than not that the fair value of the reporting unit is less than its carrying value, or we elect to bypass the qualitative assessment, we perform a quantitative test by determining the fair value of the reporting unit. If the carrying value of the reporting unit exceeds the fair value, then an impairment loss is recognized for the difference.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Acquired technology, customer relationships, trade names or brand portfolios, and other intangible assets are related to historical acquisitions (refer to Note 6 - Goodwill and Acquired Intangible Assets). Acquired intangible assets are amortized on a straight-line basis over the estimated period over which we expect to realize economic value related to the intangible asset. The amortization periods generally range from 2 years to 15 years. Any costs incurred to renew or extend the life of an intangible or long-lived asset are reviewed for capitalization.</w:t>
      </w:r>
    </w:p>
    <w:p>
      <w:pPr>
        <w:spacing w:after="0" w:line="127"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Indefinite-lived intangible assets consist of brand portfolios acquired from Pre-Acquisition ZI and represent costs paid to legally register phrases and graphic designs that identify and distinguish products sold by the Company. Indefinite-lived intangible assets are not subject to amortization. Instead, they are subject to an annual assessment for potential impairment, or more frequently upon the occurrence of a triggering event when circumstances indicate that the book value is greater than its fair value. The Company first assesses qualitative factors to determine whether it is more likely than not that the fair value of the indefinite-lived intangible asset is less than the carrying value as a basis to determine whether further impairment testing is necessary. The Company conducts its impairment assessment during the fourth quarter of each fiscal year. No impairment charges relating to acquired goodwill or indefinite-lived intangible assets were recorded for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and Abandonment of Long-lived Assets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Long-lived assets, such as property and equipment, acquired intangible assets, and right-of-use assets, are reviewed for impairment whenever events or circumstances indicate that the carrying value of an asset may not be recoverable. Recoverability of assets to be held and used is measured by a comparison of the carrying amount of an asset to the undiscounted future cash flows expected to be generated by the asset or group of assets. If the carrying amount of the asset exceeds the estimated future cash flows, an impairment charge is recognized in the amount by which the carrying amount of the asset exceeds the estimated fair value of the asset. The estimated future cash flows associated with the right-of-use assets under Accounting Standards Codification (“ASC”) 842 were developed by incorporating current market data and forecasts provided by reputable external real estate brokers and data sources. These projections consider prevailing rental rates, anticipated lease renewals, expected vacancy periods, and other relevant market factors that contribute to the estimation of recoverable cash flows for the impaired office spaces we do not intend to occupy. During the year ended December 31, 2024, we recorded impairment charges of $53.3 million, to reduce the carrying values of our existing right-of-use assets associated with our Ra’anana, Waltham, Vancouver, and Grand Rapids offices. During the year ended December 31, 2023, we recorded impairment charges of $5.2 million, to reduce the carrying value of the right-of-use assets associated with certain of our office spaces. No impairment charges were recorded for the year ended December 31, 2022.</w:t>
      </w:r>
    </w:p>
    <w:p>
      <w:pPr>
        <w:spacing w:after="0" w:line="13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When a lease right-of-use asset has been abandoned, the estimated useful life of the asset is updated to reflect the cease use date, and the remaining carrying value of the asset is amortized ratably over the period between the commitment date and the cease use date. During the year ended December 31, 2024, we recorded lease abandonment charges of $4.1 million, related to the accelerated amortization of right-of-use assets. No lease abandonment charges were recorded for the years ended December 31, 2023 and 2022, respectively.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determine if an arrangement is or contains a lease at contract inception. For these arrangements, primarily those related to our data center arrangements, there is judgment in evaluating if the arrangement involves an identified asset that is physically distinct or whether we have the right to substantially all of the capacity of an identified asset that is not physically distinct. In arrangements that involve an identified asset, there is also judgment in evaluating if we have the right to direct the use of that asset.</w:t>
      </w:r>
    </w:p>
    <w:p>
      <w:pPr>
        <w:spacing w:after="0" w:line="12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do not have any finance leases. Operating leases are recorded on our Consolidated Balance Sheets. Right-of-use assets and lease liabilities are measured at the lease commencement date based on the present value of the fixed minimum remaining lease payments over the lease term, determined using the discount rate for the lease at the commencement date. Because the rates implicit in our leases are not readily determinable, we use our incremental borrowing rate as the discount rate for each respective lease, which approximates the interest rate at which we could borrow on a collateralized basis with similar terms and payments and in similar economic environments. Some leases include options to extend or options to terminate the lease prior to the stated lease expiration. Optional periods to extend a lease, including by not exercising a termination option, are included in the lease term when it is reasonably certain that the option will be exercised (or not exercised in the case of termination options). Operating lease expense is recognized on a straight-line basis over the lease term. We account for lease and non-lease components, principally common area maintenance and related taxes for our facilities leases, as a single lease component. Short-term leases, defined as leases having an original lease term less than or equal to one year, are excluded from our right-of-use assets and lease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 and Hedging Activities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FASB’s ASC 815—Derivatives and Hedging (“ASC 815”), provides the disclosure requirements for derivatives and hedging activities with the intent to provide users of financial statements with an enhanced understanding of: (a) how and why an entity uses derivative instruments, (b) how the entity accounts for derivative instruments and related hedged items, and (c) how derivative instruments and related hedged items affect an entity’s financial position, financial performance, and cash flows. Further, qualitative disclosures are required that explain the Company’s objectives and strategies for using derivatives, as well as quantitative disclosures about the fair value of and gains and losses on derivative instruments, and disclosures about credit risk-related contingent features in derivative instruments.</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required by ASC 815, the Company records all derivatives as either assets or liabilities on our Consolidated Balance Sheets and measures them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particular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 To receive hedge accounting treatment, all hedging relationships are formally documented at the inception of the hedge, and the hedges must be highly effective in offsetting changes to future cash flows on hedged transactions.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Unearned revenue consists of customer payments and billings in advance of revenue being recognized from our subscription services. Unearned revenue that is anticipated to be recognized within the next 12 months is recorded as </w:t>
      </w:r>
      <w:r>
        <w:rPr>
          <w:rFonts w:ascii="Times New Roman" w:cs="Times New Roman" w:eastAsia="Times New Roman" w:hAnsi="Times New Roman"/>
          <w:sz w:val="18"/>
          <w:szCs w:val="18"/>
          <w:i w:val="1"/>
          <w:iCs w:val="1"/>
          <w:color w:val="auto"/>
        </w:rPr>
        <w:t>Unearned revenue, current portion</w:t>
      </w:r>
      <w:r>
        <w:rPr>
          <w:rFonts w:ascii="Times New Roman" w:cs="Times New Roman" w:eastAsia="Times New Roman" w:hAnsi="Times New Roman"/>
          <w:sz w:val="18"/>
          <w:szCs w:val="18"/>
          <w:color w:val="auto"/>
        </w:rPr>
        <w:t xml:space="preserve"> and the remaining portion is included in </w:t>
      </w:r>
      <w:r>
        <w:rPr>
          <w:rFonts w:ascii="Times New Roman" w:cs="Times New Roman" w:eastAsia="Times New Roman" w:hAnsi="Times New Roman"/>
          <w:sz w:val="18"/>
          <w:szCs w:val="18"/>
          <w:i w:val="1"/>
          <w:iCs w:val="1"/>
          <w:color w:val="auto"/>
        </w:rPr>
        <w:t xml:space="preserve">Unearned revenue, net of current portion </w:t>
      </w:r>
      <w:r>
        <w:rPr>
          <w:rFonts w:ascii="Times New Roman" w:cs="Times New Roman" w:eastAsia="Times New Roman" w:hAnsi="Times New Roman"/>
          <w:sz w:val="18"/>
          <w:szCs w:val="18"/>
          <w:color w:val="auto"/>
        </w:rPr>
        <w:t>on our Consolidated Balance Sheets.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 xml:space="preserve">Costs incurred in connection with the issuance of long-term debt are deferred and amortized as interest expense over the terms of the related debt using the effective interest method for term debt and on a straight-line basis for revolving debt. Debt issuance costs are generally presented on our Consolidated Balance Sheets as a direct deduction from the carrying amount of the outstanding borrowings, consistent with debt discounts. However, the Company classifies the debt issuance costs related to its first lien revolving credit facility within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Consolidated Balance Sheets regardless of whether the Company has any outstanding borrowings on our first lien revolving credit facility. Upon a refinancing or amendment, the Company evaluates the modified debt instrument in accordance with ASC 470-50-40-10. When the present value of the cash flows under the modified debt instrument has changed by greater than 10 percent from the present value of the remaining cash flows under the terms of the original debt instrument, the Company accounts for the amendment as a debt extinguishment and all previously-capitalized debt issuance costs are expensed and included in </w:t>
      </w:r>
      <w:r>
        <w:rPr>
          <w:rFonts w:ascii="Times New Roman" w:cs="Times New Roman" w:eastAsia="Times New Roman" w:hAnsi="Times New Roman"/>
          <w:sz w:val="18"/>
          <w:szCs w:val="18"/>
          <w:i w:val="1"/>
          <w:iCs w:val="1"/>
          <w:color w:val="auto"/>
        </w:rPr>
        <w:t>Loss on debt modification and extinguishment</w:t>
      </w:r>
      <w:r>
        <w:rPr>
          <w:rFonts w:ascii="Times New Roman" w:cs="Times New Roman" w:eastAsia="Times New Roman" w:hAnsi="Times New Roman"/>
          <w:sz w:val="18"/>
          <w:szCs w:val="18"/>
          <w:color w:val="auto"/>
        </w:rPr>
        <w:t>. If the change in the present value of cash flows is less than 10 percent, any previously-capitalized debt issuance costs are amortized as interest expense over the term of the new debt instrument. The Company performs assessments of debt modifications at a lender-specific level for all syndicated financing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 Agreements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our IPO, we entered into two Tax Receivable Agreements with certain non-controlling interest holders (the “TRA Holders”). The TRAs generally provide for payment by the Company to the TRA Holders of 85% of the net cash savings, if any, in U.S. federal, state and local income tax or franchise tax based on income that the Company actually realizes or is deemed to realize in certain circumstances. The Company will retain the benefit of the remaining 15% of these net cash savings.</w:t>
      </w:r>
    </w:p>
    <w:p>
      <w:pPr>
        <w:spacing w:after="0" w:line="12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We account for amounts payable under the TRA in accordance with ASC Topic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xml:space="preserve">. Amounts payable under the TRA are accrued by a charge to income when it is probable that a liability has been incurred and the amount is estimable. TRA related liabilities are classified as current or noncurrent based on the expected date of payment and are included on our Consolidated Balance Sheets under the captions </w:t>
      </w:r>
      <w:r>
        <w:rPr>
          <w:rFonts w:ascii="Times New Roman" w:cs="Times New Roman" w:eastAsia="Times New Roman" w:hAnsi="Times New Roman"/>
          <w:sz w:val="18"/>
          <w:szCs w:val="18"/>
          <w:i w:val="1"/>
          <w:iCs w:val="1"/>
          <w:color w:val="auto"/>
        </w:rPr>
        <w:t>Current portion of tax receivable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agreements liability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Tax receivable agreements liability, net of current portion, </w:t>
      </w:r>
      <w:r>
        <w:rPr>
          <w:rFonts w:ascii="Times New Roman" w:cs="Times New Roman" w:eastAsia="Times New Roman" w:hAnsi="Times New Roman"/>
          <w:sz w:val="18"/>
          <w:szCs w:val="18"/>
          <w:color w:val="auto"/>
        </w:rPr>
        <w:t>respectively. Subsequent changes to the measurement of the TRA liability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recognized in our Consolidated Statements of Operations as a component of </w:t>
      </w:r>
      <w:r>
        <w:rPr>
          <w:rFonts w:ascii="Times New Roman" w:cs="Times New Roman" w:eastAsia="Times New Roman" w:hAnsi="Times New Roman"/>
          <w:sz w:val="18"/>
          <w:szCs w:val="18"/>
          <w:i w:val="1"/>
          <w:iCs w:val="1"/>
          <w:color w:val="auto"/>
        </w:rPr>
        <w:t>Other loss (income), net</w:t>
      </w:r>
      <w:r>
        <w:rPr>
          <w:rFonts w:ascii="Times New Roman" w:cs="Times New Roman" w:eastAsia="Times New Roman" w:hAnsi="Times New Roman"/>
          <w:sz w:val="18"/>
          <w:szCs w:val="18"/>
          <w:color w:val="auto"/>
        </w:rPr>
        <w:t>. Refer to Note 16 - Tax Receivable Agreements for additional information.</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recognizes deferred tax assets and liabilities based on the differences between the financial statement carrying amounts and the tax bases of existing assets and liabilities using tax rates expected to be in effect in the years in which the differences are expected to reverse. Deferred tax assets are reduced by a valuation allowance if it is more likely than not that some portion or all of the deferred tax assets will not be realized.</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Company recognizes the tax benefit of an uncertain tax position only if it is more likely than not that the position is sustainable upon examination by the taxing authority, based solely on its technical merits. The tax benefit recognized is measured as the largest amount of benefit which is greater than 50 percent likely to be realized upon settlement with the taxing authority. The Company recognizes interest and penalties within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on the Consolidated Statements of Operations. Refer to Note 17 - Income Taxes for 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 Expense</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The Company periodically grants incentive awards to employees and non-employees, which generally vest over periods of up to four years. Incentive awards may be in the form of various equity-based awards such as common stock, subject to certain specified restrictions (which may include, without limitation, a requirement that the recipient remain continuously employed or provide continuous services for a specified period of time), granted under Section 8 of the 2020 Omnibus Incentive Plan (“Restricted Stock”) and an unfunded and unsecured promise to deliver shares of our common stock, cash, other securities or other property, subject to certain restrictions (which may include, without limitation, a requirement that the recipient remain continuously employed or provide continuous services for a specified period of time), granted under Section 8 of the 2020 Omnibus Incentive </w:t>
      </w:r>
      <w:r>
        <w:rPr>
          <w:rFonts w:ascii="Times New Roman" w:cs="Times New Roman" w:eastAsia="Times New Roman" w:hAnsi="Times New Roman"/>
          <w:sz w:val="18"/>
          <w:szCs w:val="18"/>
          <w:color w:val="auto"/>
          <w:strike w:val="1"/>
        </w:rPr>
        <w:t>P</w:t>
      </w:r>
      <w:r>
        <w:rPr>
          <w:rFonts w:ascii="Times New Roman" w:cs="Times New Roman" w:eastAsia="Times New Roman" w:hAnsi="Times New Roman"/>
          <w:sz w:val="18"/>
          <w:szCs w:val="18"/>
          <w:color w:val="auto"/>
        </w:rPr>
        <w:t>lan (“Restricted stock units”, or “RSU”), and common stock options.</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Compensation expense for incentive awards is measured at the estimated fair value of the incentive units and is included as compensation expense over the vesting period during which an employee provides service in exchange for the award. Compensation expense for performance-based restricted stock units is measured at the estimated fair value of the units and is recognized using the accelerated attribution method over the service period when it is probable that the performance condition will be satisfied. Compensation expense for market-based restricted stock units is measured at the estimated fair value using a Monte Carlo simulation model, which requires the use of various assumptions, including the stock price volatility and risk-free interest rate as of the valuation date corresponding to the length of time remaining in the performance period. This expense is recognized using the accelerated attribution method over the service period and is not reversed if the market condition is not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uses a Black-Scholes option pricing model to determine the fair value of stock options. The Black-Scholes option pricing model includes various assumptions, including the expected term of incentive units, the expected volatility, and the expected risk-free interest rate. These assumptions reflect the Company’s best estimates, but they involve inherent uncertainties based on market conditions generally outside the control of the Company. As a result, if other assumptions are used, compensation cost could differ.</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Compensation expense related to the Company’s Employee Stock Purchase Plan is measured at the estimated fair value using the Black-Scholes option pricing model using the estimated number of awards as of the beginning of the offering period.</w:t>
      </w:r>
    </w:p>
    <w:p>
      <w:pPr>
        <w:spacing w:after="0" w:line="11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measures employee, non-employee, and board of director equity-based compensation on the grant date fair value basis. Equity-based compensation expense is recognized over the requisite service period of the awards. For equity awards that have a performance condition, the Company recognizes compensation expense based on its assessment of the probability that the performance condition will be achieved. The Company has elected to account for forfeitures as they occur.</w:t>
      </w:r>
    </w:p>
    <w:p>
      <w:pPr>
        <w:spacing w:after="0" w:line="12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classifies equity-based compensation expense on our Consolidated Statements of Operations in the same manner in which the award recipient’s salary and related costs are classified or in which the award recipient’s service payments are classified.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Bonus Accruals</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 xml:space="preserve">The Company has bonus programs for eligible employees. Bonuses are determined based on various criteria, including the achievement of corporate, departmental, and individual goals. Bonus accruals are estimated based on various factors, including target bonus percentages per level of employee and probability of achieving the goals upon which bonuses are based. The Company’s management periodically reviews the progress made towards the goals under the bonus programs. As bonus accruals are dependent upon management’s judgments of the likelihood of achieving the various goals, it is possible for bonus expense to vary significantly in future periods if changes occur in those management estimates. Bonus accruals were $26.0 million and $25.5 million as of December 31, 2024 and 2023, respectively, and were included in </w:t>
      </w:r>
      <w:r>
        <w:rPr>
          <w:rFonts w:ascii="Times New Roman" w:cs="Times New Roman" w:eastAsia="Times New Roman" w:hAnsi="Times New Roman"/>
          <w:sz w:val="17"/>
          <w:szCs w:val="17"/>
          <w:i w:val="1"/>
          <w:iCs w:val="1"/>
          <w:color w:val="auto"/>
        </w:rPr>
        <w:t>Accrued expenses and other current liabilities</w:t>
      </w:r>
      <w:r>
        <w:rPr>
          <w:rFonts w:ascii="Times New Roman" w:cs="Times New Roman" w:eastAsia="Times New Roman" w:hAnsi="Times New Roman"/>
          <w:sz w:val="17"/>
          <w:szCs w:val="17"/>
          <w:color w:val="auto"/>
        </w:rPr>
        <w:t xml:space="preserve"> on our Consolidated Balance Sheets.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Retirement Benefits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has a 401(k) plan that all eligible employees can contribute pre-tax and after-tax (Roth) to up to the maximum annual amount established by the Internal Revenue Code. The Company matches 50% of the employee’s contribution to the 401(k) plan up to the first 7% of their contribution. Matching contributions made by the Company were approximately $9.7 million, $9.0 million, and $8.0 million for the years ended December 31, 2024, 2023, and 2022, respectively. Matching contributions vest 33% per year until fully vested after three years of employee service. Employee contributions are 100% vested immediately.</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Israeli Severance Pay Law</w:t>
      </w:r>
    </w:p>
    <w:p>
      <w:pPr>
        <w:spacing w:after="0" w:line="168"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Under Section 14 of the Israeli Severance Pay Law, employees in Israel are entitled to have monthly deposits, at a rate of 8.33% of their monthly salary, made on their behalf to their insurance funds which relieves the Company from future obligations under this law. During the years ended December 31, 2024, 2023, and 2022, the Company recorded $6.5 million, $7.0 million, and $7.2 million, respectively, in severance expenses related to these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Governmental Assistance</w:t>
      </w:r>
    </w:p>
    <w:p>
      <w:pPr>
        <w:spacing w:after="0" w:line="166"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The Company recognizes certain research and development tax credits as a benefit in the period in which the credit is generated under </w:t>
      </w:r>
      <w:r>
        <w:rPr>
          <w:rFonts w:ascii="Times New Roman" w:cs="Times New Roman" w:eastAsia="Times New Roman" w:hAnsi="Times New Roman"/>
          <w:sz w:val="18"/>
          <w:szCs w:val="18"/>
          <w:i w:val="1"/>
          <w:iCs w:val="1"/>
          <w:color w:val="auto"/>
        </w:rPr>
        <w:t>Government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Assistance (Topic 832)</w:t>
      </w:r>
      <w:r>
        <w:rPr>
          <w:rFonts w:ascii="Times New Roman" w:cs="Times New Roman" w:eastAsia="Times New Roman" w:hAnsi="Times New Roman"/>
          <w:sz w:val="18"/>
          <w:szCs w:val="18"/>
          <w:color w:val="auto"/>
        </w:rPr>
        <w:t>. This applies to credits that may be utilized against taxes other than income taxes. Under this policy, we recognize the benefit of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credits as generated when we have reasonable assurance that (1) the Company complied with the conditions attached to the credits and (2) the credits will be received.</w:t>
      </w:r>
    </w:p>
    <w:p>
      <w:pPr>
        <w:spacing w:after="0" w:line="12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During 2024, we recorded a cumulative adjustment related to research and development tax credits earned in tax years 2021 through 2024. As a result, the Company recognized $1.9 million in research and development tax credits as a reduction to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expenses in the Consolidated Statements of Operations for the year ended December 31, 2024. As of December 31, 2024, the Company has recorded $0.4 million in </w:t>
      </w:r>
      <w:r>
        <w:rPr>
          <w:rFonts w:ascii="Times New Roman" w:cs="Times New Roman" w:eastAsia="Times New Roman" w:hAnsi="Times New Roman"/>
          <w:sz w:val="18"/>
          <w:szCs w:val="18"/>
          <w:i w:val="1"/>
          <w:iCs w:val="1"/>
          <w:color w:val="auto"/>
        </w:rPr>
        <w:t>Prepaid expenses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other current assets </w:t>
      </w:r>
      <w:r>
        <w:rPr>
          <w:rFonts w:ascii="Times New Roman" w:cs="Times New Roman" w:eastAsia="Times New Roman" w:hAnsi="Times New Roman"/>
          <w:sz w:val="18"/>
          <w:szCs w:val="18"/>
          <w:color w:val="auto"/>
        </w:rPr>
        <w:t>and $1.5 million in</w:t>
      </w:r>
      <w:r>
        <w:rPr>
          <w:rFonts w:ascii="Times New Roman" w:cs="Times New Roman" w:eastAsia="Times New Roman" w:hAnsi="Times New Roman"/>
          <w:sz w:val="18"/>
          <w:szCs w:val="18"/>
          <w:i w:val="1"/>
          <w:iCs w:val="1"/>
          <w:color w:val="auto"/>
        </w:rPr>
        <w:t xml:space="preserve"> Deferred costs and other assets, net of current portion </w:t>
      </w:r>
      <w:r>
        <w:rPr>
          <w:rFonts w:ascii="Times New Roman" w:cs="Times New Roman" w:eastAsia="Times New Roman" w:hAnsi="Times New Roman"/>
          <w:sz w:val="18"/>
          <w:szCs w:val="18"/>
          <w:color w:val="auto"/>
        </w:rPr>
        <w:t>related to these credits on our Consolidated Balance Sheets.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amounts represent credits earned for qualifying research and development activities for which the Company has reasonable assurance of receipt but has not yet utilized against tax.</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recognition of these credits requires management to make estimates and assumptions regarding qualifying research and development expenses. The Company has determined it is probable that it will comply with the relevant conditions attached to the credits and they will be received based on the relevant taxing authorities’ research and development credit program and current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Certain reclassifications have been made in the notes to the consolidated financial statements to conform previously reported amounts to current year presentation. These reclassifications had no impact on the previously reported net income or comprehensive income.</w:t>
      </w:r>
    </w:p>
    <w:p>
      <w:pPr>
        <w:spacing w:after="0" w:line="108" w:lineRule="exact"/>
        <w:rPr>
          <w:sz w:val="20"/>
          <w:szCs w:val="20"/>
          <w:color w:val="auto"/>
        </w:rPr>
      </w:pPr>
    </w:p>
    <w:p>
      <w:pPr>
        <w:jc w:val="both"/>
        <w:ind w:firstLine="318"/>
        <w:spacing w:after="0" w:line="273" w:lineRule="auto"/>
        <w:rPr>
          <w:sz w:val="20"/>
          <w:szCs w:val="20"/>
          <w:color w:val="auto"/>
        </w:rPr>
      </w:pPr>
      <w:r>
        <w:rPr>
          <w:rFonts w:ascii="Times New Roman" w:cs="Times New Roman" w:eastAsia="Times New Roman" w:hAnsi="Times New Roman"/>
          <w:sz w:val="17"/>
          <w:szCs w:val="17"/>
          <w:color w:val="auto"/>
        </w:rPr>
        <w:t xml:space="preserve">Effective the second quarter of 2024, the Company removed the presentation of </w:t>
      </w:r>
      <w:r>
        <w:rPr>
          <w:rFonts w:ascii="Times New Roman" w:cs="Times New Roman" w:eastAsia="Times New Roman" w:hAnsi="Times New Roman"/>
          <w:sz w:val="17"/>
          <w:szCs w:val="17"/>
          <w:i w:val="1"/>
          <w:iCs w:val="1"/>
          <w:color w:val="auto"/>
        </w:rPr>
        <w:t>Restructuring and transaction-related expenses</w:t>
      </w:r>
      <w:r>
        <w:rPr>
          <w:rFonts w:ascii="Times New Roman" w:cs="Times New Roman" w:eastAsia="Times New Roman" w:hAnsi="Times New Roman"/>
          <w:sz w:val="17"/>
          <w:szCs w:val="17"/>
          <w:color w:val="auto"/>
        </w:rPr>
        <w:t xml:space="preserve"> from the Consolidated Statements of Operations. These expenses will be allocated to the remaining financial statement line items. For comparability, the prior period amounts have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recast to reflect the current period presentation with no impact to net income or comprehensive income previously reported</w:t>
      </w:r>
      <w:r>
        <w:rPr>
          <w:rFonts w:ascii="Times New Roman" w:cs="Times New Roman" w:eastAsia="Times New Roman" w:hAnsi="Times New Roman"/>
          <w:sz w:val="21"/>
          <w:szCs w:val="21"/>
          <w:color w:val="008080"/>
        </w:rPr>
        <w: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 (Subtopic 220-40): Disaggregation of Income Statement Expenses</w:t>
      </w:r>
      <w:r>
        <w:rPr>
          <w:rFonts w:ascii="Times New Roman" w:cs="Times New Roman" w:eastAsia="Times New Roman" w:hAnsi="Times New Roman"/>
          <w:sz w:val="18"/>
          <w:szCs w:val="18"/>
          <w:color w:val="auto"/>
        </w:rPr>
        <w:t>, which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additional disclosure of the nature of expenses included in the income statement. The standard requires disaggregation of certain costs in a separate note to the financial statements, such as the amounts of employee compensation, depreciation, and intangible asset amortization, included in each relevant expense caption in annual and interim consolidated financial statements. This standard will be effective for the Company for the annual period beginning January 1, 2027 and interim period beginning January 1, 2028, with early adoption permitted. The requirements should be applied on a prospective basis while retrospective application is permitted. The Company is currently evaluating the disclosure impacts of ASU 2024-03 on its consolidated financial statements as well as the impacts to its financial reporting process and related internal controls.</w:t>
      </w:r>
    </w:p>
    <w:p>
      <w:pPr>
        <w:spacing w:after="0" w:line="13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disaggregation of rate reconciliation categories and income taxes paid by jurisdiction. The new standard will be effective for the Company for the annual period beginning January 1, 2025 on a prospective basis, with a retrospective option, and early adoption is permitted. The adoption of this standard only impacts annual disclosures and is not expected to have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Business, Basis of Presentation, and Summary of Significant Accounting Policies (continued)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October 2023, the FASB issued ASU 2023-06, </w:t>
      </w:r>
      <w:r>
        <w:rPr>
          <w:rFonts w:ascii="Times New Roman" w:cs="Times New Roman" w:eastAsia="Times New Roman" w:hAnsi="Times New Roman"/>
          <w:sz w:val="18"/>
          <w:szCs w:val="18"/>
          <w:i w:val="1"/>
          <w:iCs w:val="1"/>
          <w:color w:val="auto"/>
        </w:rPr>
        <w:t>Disclosure Improvements: Codification Amendments in Response to the SEC’s Disclosure Update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Simplification Initiative</w:t>
      </w:r>
      <w:r>
        <w:rPr>
          <w:rFonts w:ascii="Times New Roman" w:cs="Times New Roman" w:eastAsia="Times New Roman" w:hAnsi="Times New Roman"/>
          <w:sz w:val="18"/>
          <w:szCs w:val="18"/>
          <w:color w:val="auto"/>
        </w:rPr>
        <w:t>. The amendments in this ASU incorporate into the FASB’s ASC certain SEC disclosure requirements that were referred to the FASB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overlap with, but require incremental information to, U.S. GAAP. The effective date for each amendment will be the date on which the SEC’s removal of that related disclosure from Regulation S-X or Regulation S-K becomes effective, with early adoption prohibited, and applied prospectively. If by June 30, 2027, the SEC has not removed the applicable requirement from Regulation S-X or Regulation S-K, the pending content of the related amendment will be removed from FASB’s ASC and will not become effective for any entity. The Company does not expect this ASU to have a material impact on its consolidated financial statements.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16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In November 2023, the FASB issued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amendments in this ASU are intended to improve reportable segment disclosure primarily through enhanced disclosures about significant segment expenses. This standard is effective for fiscal years beginning after December 15, 2023 (i.e., a January 1, 2024 effective date), and interim periods within fiscal years beginning after December 15, 2024 (i.e., the first quarter of 2025). The amendments in this ASU should be applied retrospectively to all prior periods presented in the financial statements. Early adoption is permitted. The Company adopted this standard beginning in 2024 and all required segment-related disclosures under the standard will be provided within this Form 10-K, as well as within each subsequent interim report. However, there was no impact to the consolidated financial statements upon adoption.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from Contracts with Customers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Revenue comprised the following service offerings: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Subscription</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1,087.3</w:t>
            </w: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Usage-based</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8"/>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1,098.0</w:t>
            </w:r>
          </w:p>
        </w:tc>
      </w:tr>
      <w:tr>
        <w:trPr>
          <w:trHeight w:val="20"/>
        </w:trPr>
        <w:tc>
          <w:tcPr>
            <w:tcW w:w="6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Go-to-market business intelligence tools are subscription services that allow customers access to our SaaS tools to support sales and marketing processes, which include data, analytics, and insights to provide accurate and comprehensive intelligence on organizations and professionals. Our customers use our platform to identify target customers and decision makers, obtain continually updated predictive lead and company scoring, monitor buying signals and other attributes of target companies, craft messages, engage via automated sales tools, and track progress through the deal cycle.</w:t>
      </w:r>
    </w:p>
    <w:p>
      <w:pPr>
        <w:spacing w:after="0" w:line="12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Usage-based revenue is comprised largely of email verification and facilitation of online advertisements, which are charged to our customers on a per unit basis based on their usage. We regularly observe that customers integrate our usage-based services into their internal workflows and use our services on an ongoing basis. We recognize usage-based revenue at the point in time the services are consumed by the customer, thereby satisfying our performance obligation.</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revenue is comprised largely of implementation and professional services fees. We recognize other revenue as services are delivered.</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Of the total revenue recognized in the years ended December 31, 2024, 2023, and 2022, $424.9 million, $403.1 million, and $354.6 million were included in the unearned revenue balance as of December 31, 2023, 2022, and 2021, respectively. Revenue recognized from performance obligations satisfied (or partially satisfied) in previous periods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from Contracts with Customers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Unearned Revenue</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standard billing terms typically require payment at the beginning of each annual, semi-annual, or quarterly period. Subscription revenue is generally recognized ratably over the contract term starting with when our service is made available to the customer. Usage-based revenue is recognized in the period services are utilized by our customers. The amount of revenue recognized reflects the consideration the Company expects to be entitled to receive in exchange for these services.</w:t>
      </w:r>
    </w:p>
    <w:p>
      <w:pPr>
        <w:spacing w:after="0" w:line="12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records a contract asset when revenue recognized on a contract exceeds the billings to date for that contract. Unearned revenue results from cash received or amounts billed to customers in advance of revenue recognized upon the satisfaction of performance obligations. The unearned revenue balance is influenced by several factors, including seasonality, the compounding effects of renewals, invoice duration, invoice timing, dollar size, and new business timing within the quarter. The unearned revenue balance does not represent the total contract value of annual or multi-year, non-cancelable subscription agreements.</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As of December 31, 2024 and 2023, the Company had contract assets of $5.0 million and $5.9 million respectively, which are recorded as current assets within </w:t>
      </w:r>
      <w:r>
        <w:rPr>
          <w:rFonts w:ascii="Times New Roman" w:cs="Times New Roman" w:eastAsia="Times New Roman" w:hAnsi="Times New Roman"/>
          <w:sz w:val="18"/>
          <w:szCs w:val="18"/>
          <w:i w:val="1"/>
          <w:iCs w:val="1"/>
          <w:color w:val="auto"/>
        </w:rPr>
        <w:t>Prepaid expenses and other current assets</w:t>
      </w:r>
      <w:r>
        <w:rPr>
          <w:rFonts w:ascii="Times New Roman" w:cs="Times New Roman" w:eastAsia="Times New Roman" w:hAnsi="Times New Roman"/>
          <w:sz w:val="18"/>
          <w:szCs w:val="18"/>
          <w:color w:val="auto"/>
        </w:rPr>
        <w:t xml:space="preserve"> on our Consolidated Balance Sheets. As of December 31, 2024 and 2023, the Company had unearned revenue of $477.9 million and $441.9 million, respectively.</w:t>
      </w:r>
    </w:p>
    <w:p>
      <w:pPr>
        <w:spacing w:after="0" w:line="125"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ASC 606 requires the allocation of the transaction price to the remaining performance obligations of a contract. Transaction price allocated to remaining performance obligations represents contracted revenue that has not yet been recognized, which includes unearned revenue and unbilled amounts that will be recognized as revenue in future periods. Transaction price allocated to remaining performance obligations is influenced by several factors, including seasonality, the timing of renewals, and disparate contract terms. Revenue allocated to remaining performance obligations represents contracted revenue that has not yet been recognized, which includes unearned revenue and backlog. The Company's backlog represents installment billings for periods beyond the current billing cycle. The majority of the Company’s noncurrent remaining performance obligations will be recognized in the next 13 to 36 months.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3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remaining performance obligations consisted of the following:</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7"/>
        </w:trPr>
        <w:tc>
          <w:tcPr>
            <w:tcW w:w="6360" w:type="dxa"/>
            <w:vAlign w:val="bottom"/>
          </w:tcPr>
          <w:p>
            <w:pPr>
              <w:spacing w:after="0"/>
              <w:rPr>
                <w:sz w:val="24"/>
                <w:szCs w:val="24"/>
                <w:color w:val="auto"/>
              </w:rPr>
            </w:pP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Recognized within</w:t>
            </w:r>
          </w:p>
        </w:tc>
        <w:tc>
          <w:tcPr>
            <w:tcW w:w="220" w:type="dxa"/>
            <w:vAlign w:val="bottom"/>
          </w:tcPr>
          <w:p>
            <w:pPr>
              <w:spacing w:after="0"/>
              <w:rPr>
                <w:sz w:val="24"/>
                <w:szCs w:val="24"/>
                <w:color w:val="auto"/>
              </w:rPr>
            </w:pPr>
          </w:p>
        </w:tc>
        <w:tc>
          <w:tcPr>
            <w:tcW w:w="14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Noncurrent</w:t>
            </w:r>
          </w:p>
        </w:tc>
        <w:tc>
          <w:tcPr>
            <w:tcW w:w="340" w:type="dxa"/>
            <w:vAlign w:val="bottom"/>
          </w:tcPr>
          <w:p>
            <w:pPr>
              <w:spacing w:after="0"/>
              <w:rPr>
                <w:sz w:val="24"/>
                <w:szCs w:val="24"/>
                <w:color w:val="auto"/>
              </w:rPr>
            </w:pPr>
          </w:p>
        </w:tc>
        <w:tc>
          <w:tcPr>
            <w:tcW w:w="1220" w:type="dxa"/>
            <w:vAlign w:val="bottom"/>
            <w:vMerge w:val="restart"/>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8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one year</w:t>
            </w:r>
          </w:p>
        </w:tc>
        <w:tc>
          <w:tcPr>
            <w:tcW w:w="22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December 31, 2024</w:t>
            </w: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850.1</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0" w:type="dxa"/>
            <w:vAlign w:val="bottom"/>
          </w:tcPr>
          <w:p>
            <w:pPr>
              <w:spacing w:after="0"/>
              <w:rPr>
                <w:sz w:val="1"/>
                <w:szCs w:val="1"/>
                <w:color w:val="auto"/>
              </w:rPr>
            </w:pPr>
          </w:p>
        </w:tc>
      </w:tr>
      <w:tr>
        <w:trPr>
          <w:trHeight w:val="231"/>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of December 31, 2023</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2022 Acquisitions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April 2022, the Company acquired all the outstanding equity interests of Comparably, Inc. (“Comparably”) and acquired substantially all the assets and certain specified liabilities of Dogpatch Advisors, LLC (“Dogpatch”) (collectively, the “2022 Acquired Companies”) for a total purchase consideration of $150.6 million in cash and $10.0 million in convertible notes receivable. As part of the acquisitions, the Company issued 448,740 restricted stock units at a total grant date fair value of $26.8 million and could be required to issue additional equity awards up to a maximum value of $3.7 million based on the attainment of certain revenue thresholds and the continued employment of acquired employees. The acquisition of Comparably provides ZoomInfo with unique proprietary data to further build ZoomInfo Talent into a best-in-class talent platform by enriching recruiter search options and providing recruiters with access to millions of quality candidates and employer brand solutions. We acquired Dogpatch Advisors to launch ZoomInfo Labs, a new go-to-market thought leadership team, driving go-to-market data analysis, product enhancements and strategy for our enterprise customers. Dogpatch is a go-to-market consultancy with expertise in scaling revenue teams and building modern sales and marketing systems. The purchase accounting for the 2022 Acquired Companies transactions has been finalized.</w:t>
      </w:r>
    </w:p>
    <w:p>
      <w:pPr>
        <w:spacing w:after="0" w:line="14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has included the financial results of the 2022 Acquired Companies in the consolidated financial statements from each date of acquisition. Due to the integration of the 2022 Acquired Companies into the operations of ZoomInfo, the Company cannot practicably determine the contribution of the 2022 Acquired Companies to consolidated net earnings. Transaction costs associated with each acquisition were not material.</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acquisition date fair value of the total consideration transferred was comprised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Preliminary Fair</w:t>
            </w:r>
          </w:p>
        </w:tc>
        <w:tc>
          <w:tcPr>
            <w:tcW w:w="200" w:type="dxa"/>
            <w:vAlign w:val="bottom"/>
          </w:tcPr>
          <w:p>
            <w:pPr>
              <w:spacing w:after="0"/>
              <w:rPr>
                <w:sz w:val="17"/>
                <w:szCs w:val="17"/>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20" w:type="dxa"/>
            <w:vAlign w:val="bottom"/>
          </w:tcPr>
          <w:p>
            <w:pPr>
              <w:spacing w:after="0"/>
              <w:rPr>
                <w:sz w:val="17"/>
                <w:szCs w:val="17"/>
                <w:color w:val="auto"/>
              </w:rPr>
            </w:pPr>
          </w:p>
        </w:tc>
        <w:tc>
          <w:tcPr>
            <w:tcW w:w="14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Adjusted Fair</w:t>
            </w:r>
          </w:p>
        </w:tc>
        <w:tc>
          <w:tcPr>
            <w:tcW w:w="0" w:type="dxa"/>
            <w:vAlign w:val="bottom"/>
          </w:tcPr>
          <w:p>
            <w:pPr>
              <w:spacing w:after="0"/>
              <w:rPr>
                <w:sz w:val="1"/>
                <w:szCs w:val="1"/>
                <w:color w:val="auto"/>
              </w:rPr>
            </w:pPr>
          </w:p>
        </w:tc>
      </w:tr>
      <w:tr>
        <w:trPr>
          <w:trHeight w:val="172"/>
        </w:trPr>
        <w:tc>
          <w:tcPr>
            <w:tcW w:w="6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00"/>
              <w:spacing w:after="0" w:line="172" w:lineRule="exact"/>
              <w:rPr>
                <w:sz w:val="20"/>
                <w:szCs w:val="20"/>
                <w:color w:val="auto"/>
              </w:rPr>
            </w:pPr>
            <w:r>
              <w:rPr>
                <w:rFonts w:ascii="Times New Roman" w:cs="Times New Roman" w:eastAsia="Times New Roman" w:hAnsi="Times New Roman"/>
                <w:sz w:val="18"/>
                <w:szCs w:val="18"/>
                <w:b w:val="1"/>
                <w:bCs w:val="1"/>
                <w:color w:val="auto"/>
                <w:w w:val="92"/>
              </w:rPr>
              <w:t>Value at</w:t>
            </w: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right="32"/>
              <w:spacing w:after="0" w:line="172" w:lineRule="exact"/>
              <w:rPr>
                <w:sz w:val="20"/>
                <w:szCs w:val="20"/>
                <w:color w:val="auto"/>
              </w:rPr>
            </w:pPr>
            <w:r>
              <w:rPr>
                <w:rFonts w:ascii="Times New Roman" w:cs="Times New Roman" w:eastAsia="Times New Roman" w:hAnsi="Times New Roman"/>
                <w:sz w:val="18"/>
                <w:szCs w:val="18"/>
                <w:b w:val="1"/>
                <w:bCs w:val="1"/>
                <w:color w:val="auto"/>
                <w:w w:val="96"/>
              </w:rPr>
              <w:t>Value at</w:t>
            </w:r>
          </w:p>
        </w:tc>
        <w:tc>
          <w:tcPr>
            <w:tcW w:w="0" w:type="dxa"/>
            <w:vAlign w:val="bottom"/>
          </w:tcPr>
          <w:p>
            <w:pPr>
              <w:spacing w:after="0"/>
              <w:rPr>
                <w:sz w:val="1"/>
                <w:szCs w:val="1"/>
                <w:color w:val="auto"/>
              </w:rPr>
            </w:pPr>
          </w:p>
        </w:tc>
      </w:tr>
      <w:tr>
        <w:trPr>
          <w:trHeight w:val="238"/>
        </w:trPr>
        <w:tc>
          <w:tcPr>
            <w:tcW w:w="6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20"/>
                <w:szCs w:val="20"/>
                <w:color w:val="auto"/>
              </w:rPr>
            </w:pPr>
          </w:p>
        </w:tc>
        <w:tc>
          <w:tcPr>
            <w:tcW w:w="15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Acquisition Date</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Period Adjustments</w:t>
            </w:r>
          </w:p>
        </w:tc>
        <w:tc>
          <w:tcPr>
            <w:tcW w:w="120" w:type="dxa"/>
            <w:vAlign w:val="bottom"/>
          </w:tcPr>
          <w:p>
            <w:pPr>
              <w:spacing w:after="0"/>
              <w:rPr>
                <w:sz w:val="20"/>
                <w:szCs w:val="20"/>
                <w:color w:val="auto"/>
              </w:rPr>
            </w:pPr>
          </w:p>
        </w:tc>
        <w:tc>
          <w:tcPr>
            <w:tcW w:w="1420" w:type="dxa"/>
            <w:vAlign w:val="bottom"/>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8"/>
              </w:rPr>
              <w:t>Acquisition Date</w:t>
            </w:r>
          </w:p>
        </w:tc>
        <w:tc>
          <w:tcPr>
            <w:tcW w:w="0" w:type="dxa"/>
            <w:vAlign w:val="bottom"/>
          </w:tcPr>
          <w:p>
            <w:pPr>
              <w:spacing w:after="0"/>
              <w:rPr>
                <w:sz w:val="1"/>
                <w:szCs w:val="1"/>
                <w:color w:val="auto"/>
              </w:rPr>
            </w:pPr>
          </w:p>
        </w:tc>
      </w:tr>
      <w:tr>
        <w:trPr>
          <w:trHeight w:val="218"/>
        </w:trPr>
        <w:tc>
          <w:tcPr>
            <w:tcW w:w="6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0" w:type="dxa"/>
            <w:vAlign w:val="bottom"/>
          </w:tcPr>
          <w:p>
            <w:pPr>
              <w:spacing w:after="0"/>
              <w:rPr>
                <w:sz w:val="1"/>
                <w:szCs w:val="1"/>
                <w:color w:val="auto"/>
              </w:rPr>
            </w:pPr>
          </w:p>
        </w:tc>
      </w:tr>
      <w:tr>
        <w:trPr>
          <w:trHeight w:val="225"/>
        </w:trPr>
        <w:tc>
          <w:tcPr>
            <w:tcW w:w="6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Conversion of Note Receivable</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64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Combinations (continued)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aggregate fair values of the assets acquired and liabilities assumed, as of the dates of the acquisition, for the 2022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Companies: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Preliminary Fair</w:t>
            </w:r>
          </w:p>
        </w:tc>
        <w:tc>
          <w:tcPr>
            <w:tcW w:w="180" w:type="dxa"/>
            <w:vAlign w:val="bottom"/>
          </w:tcPr>
          <w:p>
            <w:pPr>
              <w:spacing w:after="0"/>
              <w:rPr>
                <w:sz w:val="17"/>
                <w:szCs w:val="17"/>
                <w:color w:val="auto"/>
              </w:rPr>
            </w:pP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Adjusted Fair Value</w:t>
            </w:r>
          </w:p>
        </w:tc>
        <w:tc>
          <w:tcPr>
            <w:tcW w:w="0" w:type="dxa"/>
            <w:vAlign w:val="bottom"/>
          </w:tcPr>
          <w:p>
            <w:pPr>
              <w:spacing w:after="0"/>
              <w:rPr>
                <w:sz w:val="1"/>
                <w:szCs w:val="1"/>
                <w:color w:val="auto"/>
              </w:rPr>
            </w:pPr>
          </w:p>
        </w:tc>
      </w:tr>
      <w:tr>
        <w:trPr>
          <w:trHeight w:val="172"/>
        </w:trPr>
        <w:tc>
          <w:tcPr>
            <w:tcW w:w="6360" w:type="dxa"/>
            <w:vAlign w:val="bottom"/>
          </w:tcPr>
          <w:p>
            <w:pPr>
              <w:spacing w:after="0"/>
              <w:rPr>
                <w:sz w:val="14"/>
                <w:szCs w:val="14"/>
                <w:color w:val="auto"/>
              </w:rPr>
            </w:pPr>
          </w:p>
        </w:tc>
        <w:tc>
          <w:tcPr>
            <w:tcW w:w="166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Value at Acquisition</w:t>
            </w:r>
          </w:p>
        </w:tc>
        <w:tc>
          <w:tcPr>
            <w:tcW w:w="1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63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Period Adjustments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at Acquisition Date</w:t>
            </w:r>
          </w:p>
        </w:tc>
        <w:tc>
          <w:tcPr>
            <w:tcW w:w="0" w:type="dxa"/>
            <w:vAlign w:val="bottom"/>
          </w:tcPr>
          <w:p>
            <w:pPr>
              <w:spacing w:after="0"/>
              <w:rPr>
                <w:sz w:val="1"/>
                <w:szCs w:val="1"/>
                <w:color w:val="auto"/>
              </w:rPr>
            </w:pPr>
          </w:p>
        </w:tc>
      </w:tr>
      <w:tr>
        <w:trPr>
          <w:trHeight w:val="218"/>
        </w:trPr>
        <w:tc>
          <w:tcPr>
            <w:tcW w:w="6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5"/>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Unearned revenue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8"/>
        </w:trPr>
        <w:tc>
          <w:tcPr>
            <w:tcW w:w="6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identifiable net assets acquired</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18"/>
        </w:trPr>
        <w:tc>
          <w:tcPr>
            <w:tcW w:w="6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consideration</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0" w:type="dxa"/>
            <w:vAlign w:val="bottom"/>
          </w:tcPr>
          <w:p>
            <w:pPr>
              <w:spacing w:after="0"/>
              <w:rPr>
                <w:sz w:val="1"/>
                <w:szCs w:val="1"/>
                <w:color w:val="auto"/>
              </w:rPr>
            </w:pPr>
          </w:p>
        </w:tc>
      </w:tr>
      <w:tr>
        <w:trPr>
          <w:trHeight w:val="225"/>
        </w:trPr>
        <w:tc>
          <w:tcPr>
            <w:tcW w:w="63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Cash acquired</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8"/>
        </w:trPr>
        <w:tc>
          <w:tcPr>
            <w:tcW w:w="6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acquisitions, net of cash acquired</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0"/>
        </w:trPr>
        <w:tc>
          <w:tcPr>
            <w:tcW w:w="63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paid (refunds received) for 2021 acquisitions in 2022</w:t>
            </w: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paid for acquisitions in 2022</w:t>
            </w:r>
          </w:p>
        </w:tc>
        <w:tc>
          <w:tcPr>
            <w:tcW w:w="14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143.7</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excess of purchase consideration over the fair value of net tangible and intangible assets acquired was recorded as goodwill. The fair values assigned to tangible and identifiable intangible assets acquired and liabilities assumed are based on management’s estimates and assumptions. The fair values of assets acquired and liabilities assumed in the Comparably acquisition may be subject to change as additional information is received regarding working capital balances at the acquisition date, and the values of the identifiable intangible assets.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sets forth the components of identifiable intangible assets acquired and the estimated useful lives as of the dates of acquisition: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Preliminary Fair</w:t>
            </w:r>
          </w:p>
        </w:tc>
        <w:tc>
          <w:tcPr>
            <w:tcW w:w="200" w:type="dxa"/>
            <w:vAlign w:val="bottom"/>
          </w:tcPr>
          <w:p>
            <w:pPr>
              <w:spacing w:after="0"/>
              <w:rPr>
                <w:sz w:val="18"/>
                <w:szCs w:val="18"/>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Measurement</w:t>
            </w:r>
          </w:p>
        </w:tc>
        <w:tc>
          <w:tcPr>
            <w:tcW w:w="15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6"/>
              </w:rPr>
              <w:t>Adjusted Fair Value</w:t>
            </w:r>
          </w:p>
        </w:tc>
        <w:tc>
          <w:tcPr>
            <w:tcW w:w="100" w:type="dxa"/>
            <w:vAlign w:val="bottom"/>
          </w:tcPr>
          <w:p>
            <w:pPr>
              <w:spacing w:after="0"/>
              <w:rPr>
                <w:sz w:val="18"/>
                <w:szCs w:val="18"/>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c>
          <w:tcPr>
            <w:tcW w:w="0" w:type="dxa"/>
            <w:vAlign w:val="bottom"/>
          </w:tcPr>
          <w:p>
            <w:pPr>
              <w:spacing w:after="0"/>
              <w:rPr>
                <w:sz w:val="1"/>
                <w:szCs w:val="1"/>
                <w:color w:val="auto"/>
              </w:rPr>
            </w:pPr>
          </w:p>
        </w:tc>
      </w:tr>
      <w:tr>
        <w:trPr>
          <w:trHeight w:val="172"/>
        </w:trPr>
        <w:tc>
          <w:tcPr>
            <w:tcW w:w="4700" w:type="dxa"/>
            <w:vAlign w:val="bottom"/>
          </w:tcPr>
          <w:p>
            <w:pPr>
              <w:spacing w:after="0"/>
              <w:rPr>
                <w:sz w:val="14"/>
                <w:szCs w:val="14"/>
                <w:color w:val="auto"/>
              </w:rPr>
            </w:pPr>
          </w:p>
        </w:tc>
        <w:tc>
          <w:tcPr>
            <w:tcW w:w="166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Value at Acquisition</w:t>
            </w: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Date</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Period Adjustments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at Acquisition Date</w:t>
            </w: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0" w:type="dxa"/>
            <w:vAlign w:val="bottom"/>
          </w:tcPr>
          <w:p>
            <w:pPr>
              <w:spacing w:after="0"/>
              <w:rPr>
                <w:sz w:val="1"/>
                <w:szCs w:val="1"/>
                <w:color w:val="auto"/>
              </w:rPr>
            </w:pPr>
          </w:p>
        </w:tc>
      </w:tr>
      <w:tr>
        <w:trPr>
          <w:trHeight w:val="221"/>
        </w:trPr>
        <w:tc>
          <w:tcPr>
            <w:tcW w:w="4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Existing Technology</w:t>
            </w: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5.8 years</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9.0 years</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 / Trademarks</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8.0 years</w:t>
            </w:r>
          </w:p>
        </w:tc>
        <w:tc>
          <w:tcPr>
            <w:tcW w:w="0" w:type="dxa"/>
            <w:vAlign w:val="bottom"/>
          </w:tcPr>
          <w:p>
            <w:pPr>
              <w:spacing w:after="0"/>
              <w:rPr>
                <w:sz w:val="1"/>
                <w:szCs w:val="1"/>
                <w:color w:val="auto"/>
              </w:rPr>
            </w:pPr>
          </w:p>
        </w:tc>
      </w:tr>
      <w:tr>
        <w:trPr>
          <w:trHeight w:val="21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Developed technology represents the fair value of the technology portfolios acquired. The goodwill is primarily attributed to the expanded market opportunities when integrating technology with the Company’s technology and the assembled workforce. An immaterial portion of the goodwill acquired during the year ended December 31, 2022 is expected to be deductible for U.S. income tax purposes.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Pro forma information related to the acquisitions has not been presented as the impact was not material to the Company’s financial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4 - Cash, Cash Equivalents, and Short-term Investments</w:t>
            </w: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954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Cash, cash equivalents, short-term investments consisted of the following as of December 31, 2024 and 2023, respectively:</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5560" w:type="dxa"/>
            <w:vAlign w:val="bottom"/>
          </w:tcPr>
          <w:p>
            <w:pPr>
              <w:spacing w:after="0"/>
              <w:rPr>
                <w:sz w:val="24"/>
                <w:szCs w:val="24"/>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1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8"/>
              </w:rPr>
              <w:t>Estimated Fair</w:t>
            </w:r>
          </w:p>
        </w:tc>
        <w:tc>
          <w:tcPr>
            <w:tcW w:w="0" w:type="dxa"/>
            <w:vAlign w:val="bottom"/>
          </w:tcPr>
          <w:p>
            <w:pPr>
              <w:spacing w:after="0"/>
              <w:rPr>
                <w:sz w:val="1"/>
                <w:szCs w:val="1"/>
                <w:color w:val="auto"/>
              </w:rPr>
            </w:pP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gridSpan w:val="3"/>
            <w:vMerge w:val="continue"/>
          </w:tcPr>
          <w:p>
            <w:pPr>
              <w:spacing w:after="0"/>
              <w:rPr>
                <w:sz w:val="20"/>
                <w:szCs w:val="20"/>
                <w:color w:val="auto"/>
              </w:rPr>
            </w:pPr>
          </w:p>
        </w:tc>
        <w:tc>
          <w:tcPr>
            <w:tcW w:w="1440" w:type="dxa"/>
            <w:vAlign w:val="bottom"/>
            <w:gridSpan w:val="3"/>
            <w:vMerge w:val="continue"/>
          </w:tcPr>
          <w:p>
            <w:pPr>
              <w:spacing w:after="0"/>
              <w:rPr>
                <w:sz w:val="20"/>
                <w:szCs w:val="20"/>
                <w:color w:val="auto"/>
              </w:rPr>
            </w:pPr>
          </w:p>
        </w:tc>
        <w:tc>
          <w:tcPr>
            <w:tcW w:w="1100" w:type="dxa"/>
            <w:vAlign w:val="bottom"/>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5"/>
              </w:rPr>
              <w:t>Losses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18"/>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0" w:type="dxa"/>
            <w:vAlign w:val="bottom"/>
          </w:tcPr>
          <w:p>
            <w:pPr>
              <w:spacing w:after="0"/>
              <w:rPr>
                <w:sz w:val="1"/>
                <w:szCs w:val="1"/>
                <w:color w:val="auto"/>
              </w:rPr>
            </w:pP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25"/>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8"/>
        </w:trPr>
        <w:tc>
          <w:tcPr>
            <w:tcW w:w="55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cash equivalents</w:t>
            </w:r>
          </w:p>
        </w:tc>
        <w:tc>
          <w:tcPr>
            <w:tcW w:w="50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9"/>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5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19"/>
                <w:szCs w:val="19"/>
                <w:color w:val="auto"/>
              </w:rPr>
            </w:pPr>
          </w:p>
        </w:tc>
        <w:tc>
          <w:tcPr>
            <w:tcW w:w="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100" w:type="dxa"/>
            <w:vAlign w:val="bottom"/>
            <w:tcBorders>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7"/>
        </w:trPr>
        <w:tc>
          <w:tcPr>
            <w:tcW w:w="5560" w:type="dxa"/>
            <w:vAlign w:val="bottom"/>
          </w:tcPr>
          <w:p>
            <w:pPr>
              <w:spacing w:after="0"/>
              <w:rPr>
                <w:sz w:val="24"/>
                <w:szCs w:val="24"/>
                <w:color w:val="auto"/>
              </w:rPr>
            </w:pP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Unrealized Gains</w:t>
            </w:r>
          </w:p>
        </w:tc>
        <w:tc>
          <w:tcPr>
            <w:tcW w:w="1100" w:type="dxa"/>
            <w:vAlign w:val="bottom"/>
          </w:tcPr>
          <w:p>
            <w:pPr>
              <w:jc w:val="center"/>
              <w:ind w:left="192"/>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8"/>
              </w:rPr>
              <w:t>Estimated Fair</w:t>
            </w:r>
          </w:p>
        </w:tc>
        <w:tc>
          <w:tcPr>
            <w:tcW w:w="0" w:type="dxa"/>
            <w:vAlign w:val="bottom"/>
          </w:tcPr>
          <w:p>
            <w:pPr>
              <w:spacing w:after="0"/>
              <w:rPr>
                <w:sz w:val="1"/>
                <w:szCs w:val="1"/>
                <w:color w:val="auto"/>
              </w:rPr>
            </w:pPr>
          </w:p>
        </w:tc>
      </w:tr>
      <w:tr>
        <w:trPr>
          <w:trHeight w:val="238"/>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40" w:type="dxa"/>
            <w:vAlign w:val="bottom"/>
            <w:gridSpan w:val="3"/>
            <w:vMerge w:val="continue"/>
          </w:tcPr>
          <w:p>
            <w:pPr>
              <w:spacing w:after="0"/>
              <w:rPr>
                <w:sz w:val="20"/>
                <w:szCs w:val="20"/>
                <w:color w:val="auto"/>
              </w:rPr>
            </w:pPr>
          </w:p>
        </w:tc>
        <w:tc>
          <w:tcPr>
            <w:tcW w:w="1440" w:type="dxa"/>
            <w:vAlign w:val="bottom"/>
            <w:gridSpan w:val="3"/>
            <w:vMerge w:val="continue"/>
          </w:tcPr>
          <w:p>
            <w:pPr>
              <w:spacing w:after="0"/>
              <w:rPr>
                <w:sz w:val="20"/>
                <w:szCs w:val="20"/>
                <w:color w:val="auto"/>
              </w:rPr>
            </w:pPr>
          </w:p>
        </w:tc>
        <w:tc>
          <w:tcPr>
            <w:tcW w:w="1100" w:type="dxa"/>
            <w:vAlign w:val="bottom"/>
          </w:tcPr>
          <w:p>
            <w:pPr>
              <w:jc w:val="center"/>
              <w:ind w:left="172"/>
              <w:spacing w:after="0"/>
              <w:rPr>
                <w:sz w:val="20"/>
                <w:szCs w:val="20"/>
                <w:color w:val="auto"/>
              </w:rPr>
            </w:pPr>
            <w:r>
              <w:rPr>
                <w:rFonts w:ascii="Times New Roman" w:cs="Times New Roman" w:eastAsia="Times New Roman" w:hAnsi="Times New Roman"/>
                <w:sz w:val="18"/>
                <w:szCs w:val="18"/>
                <w:b w:val="1"/>
                <w:bCs w:val="1"/>
                <w:color w:val="auto"/>
                <w:w w:val="95"/>
              </w:rPr>
              <w:t>Losses</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center"/>
              <w:ind w:right="12"/>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0" w:type="dxa"/>
            <w:vAlign w:val="bottom"/>
          </w:tcPr>
          <w:p>
            <w:pPr>
              <w:spacing w:after="0"/>
              <w:rPr>
                <w:sz w:val="1"/>
                <w:szCs w:val="1"/>
                <w:color w:val="auto"/>
              </w:rPr>
            </w:pPr>
          </w:p>
        </w:tc>
      </w:tr>
      <w:tr>
        <w:trPr>
          <w:trHeight w:val="218"/>
        </w:trPr>
        <w:tc>
          <w:tcPr>
            <w:tcW w:w="5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0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0" w:type="dxa"/>
            <w:vAlign w:val="bottom"/>
          </w:tcPr>
          <w:p>
            <w:pPr>
              <w:spacing w:after="0"/>
              <w:rPr>
                <w:sz w:val="1"/>
                <w:szCs w:val="1"/>
                <w:color w:val="auto"/>
              </w:rPr>
            </w:pP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Cash equivalents:</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18"/>
        </w:trPr>
        <w:tc>
          <w:tcPr>
            <w:tcW w:w="55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cash equivalents</w:t>
            </w:r>
          </w:p>
        </w:tc>
        <w:tc>
          <w:tcPr>
            <w:tcW w:w="5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0" w:type="dxa"/>
            <w:vAlign w:val="bottom"/>
          </w:tcPr>
          <w:p>
            <w:pPr>
              <w:spacing w:after="0"/>
              <w:rPr>
                <w:sz w:val="1"/>
                <w:szCs w:val="1"/>
                <w:color w:val="auto"/>
              </w:rPr>
            </w:pPr>
          </w:p>
        </w:tc>
      </w:tr>
      <w:tr>
        <w:trPr>
          <w:trHeight w:val="218"/>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10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447.1</w:t>
            </w:r>
          </w:p>
        </w:tc>
        <w:tc>
          <w:tcPr>
            <w:tcW w:w="0" w:type="dxa"/>
            <w:vAlign w:val="bottom"/>
          </w:tcPr>
          <w:p>
            <w:pPr>
              <w:spacing w:after="0"/>
              <w:rPr>
                <w:sz w:val="1"/>
                <w:szCs w:val="1"/>
                <w:color w:val="auto"/>
              </w:rPr>
            </w:pPr>
          </w:p>
        </w:tc>
      </w:tr>
      <w:tr>
        <w:trPr>
          <w:trHeight w:val="205"/>
        </w:trPr>
        <w:tc>
          <w:tcPr>
            <w:tcW w:w="55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Short-term investments:</w:t>
            </w: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500" w:type="dxa"/>
            <w:vAlign w:val="bottom"/>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25"/>
        </w:trPr>
        <w:tc>
          <w:tcPr>
            <w:tcW w:w="55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4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25"/>
        </w:trPr>
        <w:tc>
          <w:tcPr>
            <w:tcW w:w="5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governmental securities</w:t>
            </w:r>
          </w:p>
        </w:tc>
        <w:tc>
          <w:tcPr>
            <w:tcW w:w="5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8"/>
        </w:trPr>
        <w:tc>
          <w:tcPr>
            <w:tcW w:w="55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50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short-term investments</w:t>
            </w: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529.3</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Refer to Note 9 - Fair Value for further information regarding the fair value of our financial instruments.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Gross unrealized losses on our available-for sale securities were immaterial at December 31, 2024 and 2023.</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cost and estimated fair value of the securities classified as short-term investments based on stated effective maturities as of December 31, 2024 and 2023:</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280" w:type="dxa"/>
            <w:vAlign w:val="bottom"/>
          </w:tcPr>
          <w:p>
            <w:pPr>
              <w:spacing w:after="0"/>
              <w:rPr>
                <w:sz w:val="20"/>
                <w:szCs w:val="20"/>
                <w:color w:val="auto"/>
              </w:rPr>
            </w:pPr>
          </w:p>
        </w:tc>
        <w:tc>
          <w:tcPr>
            <w:tcW w:w="4020" w:type="dxa"/>
            <w:vAlign w:val="bottom"/>
            <w:gridSpan w:val="6"/>
          </w:tcPr>
          <w:p>
            <w:pPr>
              <w:ind w:left="12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40" w:type="dxa"/>
            <w:vAlign w:val="bottom"/>
          </w:tcPr>
          <w:p>
            <w:pPr>
              <w:spacing w:after="0"/>
              <w:rPr>
                <w:sz w:val="20"/>
                <w:szCs w:val="20"/>
                <w:color w:val="auto"/>
              </w:rPr>
            </w:pPr>
          </w:p>
        </w:tc>
        <w:tc>
          <w:tcPr>
            <w:tcW w:w="3700" w:type="dxa"/>
            <w:vAlign w:val="bottom"/>
            <w:gridSpan w:val="4"/>
          </w:tcPr>
          <w:p>
            <w:pPr>
              <w:jc w:val="right"/>
              <w:ind w:right="1172"/>
              <w:spacing w:after="0"/>
              <w:rPr>
                <w:sz w:val="20"/>
                <w:szCs w:val="20"/>
                <w:color w:val="auto"/>
              </w:rPr>
            </w:pPr>
            <w:r>
              <w:rPr>
                <w:rFonts w:ascii="Times New Roman" w:cs="Times New Roman" w:eastAsia="Times New Roman" w:hAnsi="Times New Roman"/>
                <w:sz w:val="18"/>
                <w:szCs w:val="18"/>
                <w:b w:val="1"/>
                <w:bCs w:val="1"/>
                <w:color w:val="auto"/>
              </w:rPr>
              <w:t>December 31, 2023</w:t>
            </w:r>
          </w:p>
        </w:tc>
      </w:tr>
      <w:tr>
        <w:trPr>
          <w:trHeight w:val="21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Estimated Fair Value</w:t>
            </w: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4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6"/>
              </w:rPr>
              <w:t>Estimated Fair Value</w:t>
            </w:r>
          </w:p>
        </w:tc>
      </w:tr>
      <w:tr>
        <w:trPr>
          <w:trHeight w:val="225"/>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620" w:type="dxa"/>
            <w:vAlign w:val="bottom"/>
            <w:shd w:val="clear" w:color="auto" w:fill="CCEEFF"/>
          </w:tcPr>
          <w:p>
            <w:pPr>
              <w:jc w:val="right"/>
              <w:ind w:right="1432"/>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19"/>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20" w:type="dxa"/>
            <w:vAlign w:val="bottom"/>
            <w:tcBorders>
              <w:top w:val="single" w:sz="8" w:color="auto"/>
              <w:bottom w:val="single" w:sz="8" w:color="auto"/>
            </w:tcBorders>
          </w:tcPr>
          <w:p>
            <w:pPr>
              <w:jc w:val="right"/>
              <w:ind w:right="1432"/>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bottom w:val="single" w:sz="8" w:color="auto"/>
            </w:tcBorders>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w:t>
            </w:r>
          </w:p>
        </w:tc>
      </w:tr>
      <w:tr>
        <w:trPr>
          <w:trHeight w:val="20"/>
        </w:trPr>
        <w:tc>
          <w:tcPr>
            <w:tcW w:w="32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Property and Equipment</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property and equipment consist of the following:</w:t>
      </w:r>
    </w:p>
    <w:p>
      <w:pPr>
        <w:spacing w:after="0" w:line="202" w:lineRule="exact"/>
        <w:rPr>
          <w:sz w:val="20"/>
          <w:szCs w:val="20"/>
          <w:color w:val="auto"/>
        </w:rPr>
      </w:pPr>
    </w:p>
    <w:p>
      <w:pPr>
        <w:ind w:left="91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 equipment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use developed software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8"/>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125.7</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r>
      <w:tr>
        <w:trPr>
          <w:trHeight w:val="218"/>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0"/>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Depreciation expense was $25.9 million, $19.6 million, and $17.6 million for the years ended December 31, 2024, 2023, and 2022, respectively. Depreciation expense for the year ended December 31, 2024 includes $2.0 million of accelerated depreciation associated with the Waltham Lease Restructuring (refer to Note 13 - Leases for further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Acquired Intangible Assets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Intangible assets, other than goodwill, consisted of the following as of December 31, 2024 and 2023,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200" w:type="dxa"/>
            <w:vAlign w:val="bottom"/>
          </w:tcPr>
          <w:p>
            <w:pPr>
              <w:spacing w:after="0"/>
              <w:rPr>
                <w:sz w:val="18"/>
                <w:szCs w:val="18"/>
                <w:color w:val="auto"/>
              </w:rPr>
            </w:pPr>
          </w:p>
        </w:tc>
        <w:tc>
          <w:tcPr>
            <w:tcW w:w="146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0" w:type="dxa"/>
            <w:vAlign w:val="bottom"/>
          </w:tcPr>
          <w:p>
            <w:pPr>
              <w:spacing w:after="0"/>
              <w:rPr>
                <w:sz w:val="1"/>
                <w:szCs w:val="1"/>
                <w:color w:val="auto"/>
              </w:rPr>
            </w:pPr>
          </w:p>
        </w:tc>
      </w:tr>
      <w:tr>
        <w:trPr>
          <w:trHeight w:val="172"/>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vMerge w:val="restart"/>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4"/>
                <w:szCs w:val="14"/>
                <w:color w:val="auto"/>
              </w:rPr>
            </w:pPr>
          </w:p>
        </w:tc>
        <w:tc>
          <w:tcPr>
            <w:tcW w:w="15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9"/>
              </w:rPr>
              <w:t>Amortization</w:t>
            </w:r>
          </w:p>
        </w:tc>
        <w:tc>
          <w:tcPr>
            <w:tcW w:w="0" w:type="dxa"/>
            <w:vAlign w:val="bottom"/>
          </w:tcPr>
          <w:p>
            <w:pPr>
              <w:spacing w:after="0"/>
              <w:rPr>
                <w:sz w:val="1"/>
                <w:szCs w:val="1"/>
                <w:color w:val="auto"/>
              </w:rPr>
            </w:pPr>
          </w:p>
        </w:tc>
      </w:tr>
      <w:tr>
        <w:trPr>
          <w:trHeight w:val="239"/>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Period in Years</w:t>
            </w:r>
          </w:p>
        </w:tc>
        <w:tc>
          <w:tcPr>
            <w:tcW w:w="0" w:type="dxa"/>
            <w:vAlign w:val="bottom"/>
          </w:tcPr>
          <w:p>
            <w:pPr>
              <w:spacing w:after="0"/>
              <w:rPr>
                <w:sz w:val="1"/>
                <w:szCs w:val="1"/>
                <w:color w:val="auto"/>
              </w:rPr>
            </w:pPr>
          </w:p>
        </w:tc>
      </w:tr>
      <w:tr>
        <w:trPr>
          <w:trHeight w:val="205"/>
        </w:trPr>
        <w:tc>
          <w:tcPr>
            <w:tcW w:w="484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w:t>
            </w: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14.5</w:t>
            </w: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technology</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6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6.3</w:t>
            </w:r>
          </w:p>
        </w:tc>
        <w:tc>
          <w:tcPr>
            <w:tcW w:w="0" w:type="dxa"/>
            <w:vAlign w:val="bottom"/>
          </w:tcPr>
          <w:p>
            <w:pPr>
              <w:spacing w:after="0"/>
              <w:rPr>
                <w:sz w:val="1"/>
                <w:szCs w:val="1"/>
                <w:color w:val="auto"/>
              </w:rPr>
            </w:pPr>
          </w:p>
        </w:tc>
      </w:tr>
      <w:tr>
        <w:trPr>
          <w:trHeight w:val="225"/>
        </w:trPr>
        <w:tc>
          <w:tcPr>
            <w:tcW w:w="4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Brand portfolio</w:t>
            </w: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6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7.8</w:t>
            </w: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not subject to amortization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8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5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Goodwill and Acquired Intangible Assets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Gross Carrying</w:t>
            </w:r>
          </w:p>
        </w:tc>
        <w:tc>
          <w:tcPr>
            <w:tcW w:w="180" w:type="dxa"/>
            <w:vAlign w:val="bottom"/>
          </w:tcPr>
          <w:p>
            <w:pPr>
              <w:spacing w:after="0"/>
              <w:rPr>
                <w:sz w:val="17"/>
                <w:szCs w:val="17"/>
                <w:color w:val="auto"/>
              </w:rPr>
            </w:pPr>
          </w:p>
        </w:tc>
        <w:tc>
          <w:tcPr>
            <w:tcW w:w="1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Weighted Average</w:t>
            </w:r>
          </w:p>
        </w:tc>
        <w:tc>
          <w:tcPr>
            <w:tcW w:w="0" w:type="dxa"/>
            <w:vAlign w:val="bottom"/>
          </w:tcPr>
          <w:p>
            <w:pPr>
              <w:spacing w:after="0"/>
              <w:rPr>
                <w:sz w:val="1"/>
                <w:szCs w:val="1"/>
                <w:color w:val="auto"/>
              </w:rPr>
            </w:pPr>
          </w:p>
        </w:tc>
      </w:tr>
      <w:tr>
        <w:trPr>
          <w:trHeight w:val="172"/>
        </w:trPr>
        <w:tc>
          <w:tcPr>
            <w:tcW w:w="4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vMerge w:val="restart"/>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4"/>
                <w:szCs w:val="14"/>
                <w:color w:val="auto"/>
              </w:rPr>
            </w:pPr>
          </w:p>
        </w:tc>
        <w:tc>
          <w:tcPr>
            <w:tcW w:w="156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b w:val="1"/>
                <w:bCs w:val="1"/>
                <w:color w:val="auto"/>
                <w:w w:val="97"/>
              </w:rPr>
              <w:t>Amortization</w:t>
            </w:r>
          </w:p>
        </w:tc>
        <w:tc>
          <w:tcPr>
            <w:tcW w:w="0" w:type="dxa"/>
            <w:vAlign w:val="bottom"/>
          </w:tcPr>
          <w:p>
            <w:pPr>
              <w:spacing w:after="0"/>
              <w:rPr>
                <w:sz w:val="1"/>
                <w:szCs w:val="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80" w:type="dxa"/>
            <w:vAlign w:val="bottom"/>
          </w:tcPr>
          <w:p>
            <w:pPr>
              <w:spacing w:after="0"/>
              <w:rPr>
                <w:sz w:val="20"/>
                <w:szCs w:val="20"/>
                <w:color w:val="auto"/>
              </w:rPr>
            </w:pPr>
          </w:p>
        </w:tc>
        <w:tc>
          <w:tcPr>
            <w:tcW w:w="1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36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Period in Years</w:t>
            </w:r>
          </w:p>
        </w:tc>
        <w:tc>
          <w:tcPr>
            <w:tcW w:w="0" w:type="dxa"/>
            <w:vAlign w:val="bottom"/>
          </w:tcPr>
          <w:p>
            <w:pPr>
              <w:spacing w:after="0"/>
              <w:rPr>
                <w:sz w:val="1"/>
                <w:szCs w:val="1"/>
                <w:color w:val="auto"/>
              </w:rPr>
            </w:pPr>
          </w:p>
        </w:tc>
      </w:tr>
      <w:tr>
        <w:trPr>
          <w:trHeight w:val="205"/>
        </w:trPr>
        <w:tc>
          <w:tcPr>
            <w:tcW w:w="4840" w:type="dxa"/>
            <w:vAlign w:val="bottom"/>
            <w:tcBorders>
              <w:top w:val="single" w:sz="8" w:color="CCEEFF"/>
            </w:tcBorders>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Intangible assets subject to amortization:</w:t>
            </w:r>
          </w:p>
        </w:tc>
        <w:tc>
          <w:tcPr>
            <w:tcW w:w="1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8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175.1</w:t>
            </w:r>
          </w:p>
        </w:tc>
        <w:tc>
          <w:tcPr>
            <w:tcW w:w="1660" w:type="dxa"/>
            <w:vAlign w:val="bottom"/>
            <w:gridSpan w:val="2"/>
          </w:tcPr>
          <w:p>
            <w:pPr>
              <w:jc w:val="center"/>
              <w:ind w:left="12"/>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technology</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w:t>
            </w:r>
          </w:p>
        </w:tc>
        <w:tc>
          <w:tcPr>
            <w:tcW w:w="166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97"/>
              </w:rPr>
              <w:t>6.3</w:t>
            </w:r>
          </w:p>
        </w:tc>
        <w:tc>
          <w:tcPr>
            <w:tcW w:w="0" w:type="dxa"/>
            <w:vAlign w:val="bottom"/>
          </w:tcPr>
          <w:p>
            <w:pPr>
              <w:spacing w:after="0"/>
              <w:rPr>
                <w:sz w:val="1"/>
                <w:szCs w:val="1"/>
                <w:color w:val="auto"/>
              </w:rPr>
            </w:pPr>
          </w:p>
        </w:tc>
      </w:tr>
      <w:tr>
        <w:trPr>
          <w:trHeight w:val="225"/>
        </w:trPr>
        <w:tc>
          <w:tcPr>
            <w:tcW w:w="4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Brand portfolio</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6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7"/>
              </w:rPr>
              <w:t>7.9</w:t>
            </w:r>
          </w:p>
        </w:tc>
        <w:tc>
          <w:tcPr>
            <w:tcW w:w="0" w:type="dxa"/>
            <w:vAlign w:val="bottom"/>
          </w:tcPr>
          <w:p>
            <w:pPr>
              <w:spacing w:after="0"/>
              <w:rPr>
                <w:sz w:val="1"/>
                <w:szCs w:val="1"/>
                <w:color w:val="auto"/>
              </w:rPr>
            </w:pPr>
          </w:p>
        </w:tc>
      </w:tr>
      <w:tr>
        <w:trPr>
          <w:trHeight w:val="218"/>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subject to amortization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4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not subject to amortization:</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Pre-Acquisition ZI brand portfolio</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 not subject to amortization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8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5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334.6</w:t>
            </w: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Amortization expense was $59.8 million, $61.0 million, and $70.2 million for the years ended December 31, 2024, 2023, and 2022, respectively.</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Future amortization expense for intangible assets as of December 31, 2024 is as follows:</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9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Estimated</w:t>
            </w:r>
          </w:p>
        </w:tc>
      </w:tr>
      <w:tr>
        <w:trPr>
          <w:trHeight w:val="212"/>
        </w:trPr>
        <w:tc>
          <w:tcPr>
            <w:tcW w:w="9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252"/>
              <w:spacing w:after="0"/>
              <w:rPr>
                <w:sz w:val="20"/>
                <w:szCs w:val="20"/>
                <w:color w:val="auto"/>
              </w:rPr>
            </w:pPr>
            <w:r>
              <w:rPr>
                <w:rFonts w:ascii="Times New Roman" w:cs="Times New Roman" w:eastAsia="Times New Roman" w:hAnsi="Times New Roman"/>
                <w:sz w:val="18"/>
                <w:szCs w:val="18"/>
                <w:b w:val="1"/>
                <w:bCs w:val="1"/>
                <w:color w:val="auto"/>
              </w:rPr>
              <w:t>Amortization</w:t>
            </w:r>
          </w:p>
        </w:tc>
      </w:tr>
      <w:tr>
        <w:trPr>
          <w:trHeight w:val="235"/>
        </w:trPr>
        <w:tc>
          <w:tcPr>
            <w:tcW w:w="95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00" w:type="dxa"/>
            <w:vAlign w:val="bottom"/>
          </w:tcPr>
          <w:p>
            <w:pPr>
              <w:spacing w:after="0"/>
              <w:rPr>
                <w:sz w:val="20"/>
                <w:szCs w:val="20"/>
                <w:color w:val="auto"/>
              </w:rPr>
            </w:pPr>
          </w:p>
        </w:tc>
        <w:tc>
          <w:tcPr>
            <w:tcW w:w="146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Expense</w:t>
            </w:r>
          </w:p>
        </w:tc>
      </w:tr>
      <w:tr>
        <w:trPr>
          <w:trHeight w:val="24"/>
        </w:trPr>
        <w:tc>
          <w:tcPr>
            <w:tcW w:w="9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5"/>
        </w:trPr>
        <w:tc>
          <w:tcPr>
            <w:tcW w:w="95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For years ended December 31,</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25"/>
        </w:trPr>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25"/>
        </w:trPr>
        <w:tc>
          <w:tcPr>
            <w:tcW w:w="9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25"/>
        </w:trPr>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5"/>
        </w:trPr>
        <w:tc>
          <w:tcPr>
            <w:tcW w:w="9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25"/>
        </w:trPr>
        <w:tc>
          <w:tcPr>
            <w:tcW w:w="9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25"/>
        </w:trPr>
        <w:tc>
          <w:tcPr>
            <w:tcW w:w="9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r>
      <w:tr>
        <w:trPr>
          <w:trHeight w:val="218"/>
        </w:trPr>
        <w:tc>
          <w:tcPr>
            <w:tcW w:w="9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amortization expense</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242.8</w:t>
            </w:r>
          </w:p>
        </w:tc>
      </w:tr>
      <w:tr>
        <w:trPr>
          <w:trHeight w:val="20"/>
        </w:trPr>
        <w:tc>
          <w:tcPr>
            <w:tcW w:w="9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Goodwill was $1,692.7 million as of December 31, 2024, 2023 and 2022. There were no changes to the carrying amount of goodwill during the years presented. Based on the results of the Company’s impairment assessment, the Company did not recognize any impairment of goodwill during the years ended December 31, 2024, 2023, and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7 - Financing Arrangements</w:t>
            </w: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371"/>
        </w:trPr>
        <w:tc>
          <w:tcPr>
            <w:tcW w:w="8700" w:type="dxa"/>
            <w:vAlign w:val="bottom"/>
            <w:gridSpan w:val="10"/>
          </w:tcPr>
          <w:p>
            <w:pPr>
              <w:ind w:left="320"/>
              <w:spacing w:after="0"/>
              <w:rPr>
                <w:sz w:val="20"/>
                <w:szCs w:val="20"/>
                <w:color w:val="auto"/>
              </w:rPr>
            </w:pPr>
            <w:r>
              <w:rPr>
                <w:rFonts w:ascii="Times New Roman" w:cs="Times New Roman" w:eastAsia="Times New Roman" w:hAnsi="Times New Roman"/>
                <w:sz w:val="18"/>
                <w:szCs w:val="18"/>
                <w:color w:val="auto"/>
                <w:w w:val="99"/>
              </w:rPr>
              <w:t>As of December 31, 2024 and 2023, the carrying values of the Company’s borrowings were as follows (in millions):</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10"/>
        </w:trPr>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00" w:type="dxa"/>
            <w:vAlign w:val="bottom"/>
            <w:tcBorders>
              <w:bottom w:val="single" w:sz="8" w:color="auto"/>
            </w:tcBorders>
          </w:tcPr>
          <w:p>
            <w:pPr>
              <w:spacing w:after="0"/>
              <w:rPr>
                <w:sz w:val="24"/>
                <w:szCs w:val="24"/>
                <w:color w:val="auto"/>
              </w:rPr>
            </w:pPr>
          </w:p>
        </w:tc>
      </w:tr>
      <w:tr>
        <w:trPr>
          <w:trHeight w:val="219"/>
        </w:trPr>
        <w:tc>
          <w:tcPr>
            <w:tcW w:w="2600" w:type="dxa"/>
            <w:vAlign w:val="bottom"/>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Date of Issuance</w:t>
            </w:r>
          </w:p>
        </w:tc>
        <w:tc>
          <w:tcPr>
            <w:tcW w:w="2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Maturity Date</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Elected Interest Rate</w:t>
            </w:r>
          </w:p>
        </w:tc>
        <w:tc>
          <w:tcPr>
            <w:tcW w:w="360" w:type="dxa"/>
            <w:vAlign w:val="bottom"/>
          </w:tcPr>
          <w:p>
            <w:pPr>
              <w:spacing w:after="0"/>
              <w:rPr>
                <w:sz w:val="19"/>
                <w:szCs w:val="19"/>
                <w:color w:val="auto"/>
              </w:rPr>
            </w:pPr>
          </w:p>
        </w:tc>
        <w:tc>
          <w:tcPr>
            <w:tcW w:w="104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00" w:type="dxa"/>
            <w:vAlign w:val="bottom"/>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18"/>
        </w:trPr>
        <w:tc>
          <w:tcPr>
            <w:tcW w:w="2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First Lien Term Loan</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February 1, 2019</w:t>
            </w:r>
          </w:p>
        </w:tc>
        <w:tc>
          <w:tcPr>
            <w:tcW w:w="12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February 28, 2030</w:t>
            </w:r>
          </w:p>
        </w:tc>
        <w:tc>
          <w:tcPr>
            <w:tcW w:w="12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SOFR + 1.75%</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12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w:t>
            </w:r>
          </w:p>
        </w:tc>
      </w:tr>
      <w:tr>
        <w:trPr>
          <w:trHeight w:val="225"/>
        </w:trPr>
        <w:tc>
          <w:tcPr>
            <w:tcW w:w="2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First Lien Revolver</w:t>
            </w: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February 1, 2019</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February 28, 2028</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7"/>
              </w:rPr>
              <w:t>SOFR + 2.10%</w:t>
            </w:r>
          </w:p>
        </w:tc>
        <w:tc>
          <w:tcPr>
            <w:tcW w:w="36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2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7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February 2, 2021</w:t>
            </w:r>
          </w:p>
        </w:tc>
        <w:tc>
          <w:tcPr>
            <w:tcW w:w="2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February 1, 2029</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3.875%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643.1</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w:t>
            </w:r>
          </w:p>
        </w:tc>
      </w:tr>
      <w:tr>
        <w:trPr>
          <w:trHeight w:val="218"/>
        </w:trPr>
        <w:tc>
          <w:tcPr>
            <w:tcW w:w="2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1,227.7</w:t>
            </w:r>
          </w:p>
        </w:tc>
        <w:tc>
          <w:tcPr>
            <w:tcW w:w="120" w:type="dxa"/>
            <w:vAlign w:val="bottom"/>
          </w:tcPr>
          <w:p>
            <w:pPr>
              <w:spacing w:after="0"/>
              <w:rPr>
                <w:sz w:val="19"/>
                <w:szCs w:val="19"/>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1,232.4</w:t>
            </w:r>
          </w:p>
        </w:tc>
      </w:tr>
      <w:tr>
        <w:trPr>
          <w:trHeight w:val="225"/>
        </w:trPr>
        <w:tc>
          <w:tcPr>
            <w:tcW w:w="26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Less: current portion</w:t>
            </w: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8"/>
        </w:trPr>
        <w:tc>
          <w:tcPr>
            <w:tcW w:w="43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Total Long-term debt, net of current portion</w:t>
            </w: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1,221.8</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1,226.4</w:t>
            </w: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First Lien Credit Agreement</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Performance of obligations under the First Lien Credit Agreement is secured by substantially all the productive assets of the Company. The First Lien Credit Agreement contains a number of covenants that restrict, subject to certain exceptions, the Company’s ability to, among other things:</w:t>
      </w:r>
    </w:p>
    <w:p>
      <w:pPr>
        <w:spacing w:after="0" w:line="110" w:lineRule="exact"/>
        <w:rPr>
          <w:sz w:val="20"/>
          <w:szCs w:val="20"/>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liens;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fundamental changes, including mergers or consolidations;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or transfer assets;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our subsidiaries’ capital stock;</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acquisitions, investments, loans or advances;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certain transactions with affiliates;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negative pledge clauses and clauses restricting subsidiary distributions.</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If the Company draws more than $87.5 million of the revolving credit loan, the revolving credit loan is subject to a springing financial covenant pursuant to which the consolidated first lien net leverage ratio must not exceed 5.00 to 1.00. The credit agreements also contain certain customary affirmative covenants and events of default, including a change of control. If an event of default occurs, the lenders under the credit agreements will be entitled to take various actions, including the acceleration of amounts due under the credit agreements and all actions permitted to be taken by a secured creditor.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Term Loan</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June 2024, we entered into an amendment to our existing First Lien Credit Agreement (the “Seventh Amendment”), pursuant to which the Company completed a repricing of its First Lien Term Loan Facility, which decreased the applicable rate for Base Rate loans from 1.25% to 0.75% and SOFR based loans from 2.25% to 1.75%. The Company recognized an immaterial loss in connection with the repricing during the year ended December 31, 2024 within </w:t>
      </w:r>
      <w:r>
        <w:rPr>
          <w:rFonts w:ascii="Times New Roman" w:cs="Times New Roman" w:eastAsia="Times New Roman" w:hAnsi="Times New Roman"/>
          <w:sz w:val="18"/>
          <w:szCs w:val="18"/>
          <w:i w:val="1"/>
          <w:iCs w:val="1"/>
          <w:color w:val="auto"/>
        </w:rPr>
        <w:t xml:space="preserve">Loss on debt modification and extinguishment </w:t>
      </w:r>
      <w:r>
        <w:rPr>
          <w:rFonts w:ascii="Times New Roman" w:cs="Times New Roman" w:eastAsia="Times New Roman" w:hAnsi="Times New Roman"/>
          <w:sz w:val="18"/>
          <w:szCs w:val="18"/>
          <w:color w:val="auto"/>
        </w:rPr>
        <w:t>on the Consolidated Statements of Operations. Under the terms of the Seventh Amendment, the Company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obligated to make principal payments in the amount of 0.25% of the aggregate outstanding amount as of the latest amendment.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Financing Arrangements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December 2023, we entered into an amendment to our existing First Lien Credit Agreement (the "Sixth Amendment"), pursuant to which the Company completed a repricing of its First Lien Term Loan Facility, which decreased the applicable rate for Base Rate loans from 1.75% to 1.25% and SOFR based loans from 2.85% to 2.25%, and included the removal of the 0.1% credit spread adjustment.</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February 2023, we entered into an amendment to our existing First Lien Credit Agreement (the “Fifth Amendment”), pursuant to which the Company completed a repricing of its First Lien Term Loan Facility, which provided for an extension of the maturity date to February 28, 2030. The first lien term debt had a variable interest rate whereby the Company can elect to use a Base Rate or SOFR plus an applicable rate. Pursuant to the Fifth Amendment, the applicable rate decreased for Base Rate loans from 2.00% to 1.75% and from 3.10% to 2.85% for SOFR based loans.</w:t>
      </w:r>
    </w:p>
    <w:p>
      <w:pPr>
        <w:spacing w:after="0" w:line="12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The Company recognized an immaterial loss in connection with the repricing in the fiscal year ending December 31, 2023 within </w:t>
      </w:r>
      <w:r>
        <w:rPr>
          <w:rFonts w:ascii="Times New Roman" w:cs="Times New Roman" w:eastAsia="Times New Roman" w:hAnsi="Times New Roman"/>
          <w:sz w:val="18"/>
          <w:szCs w:val="18"/>
          <w:i w:val="1"/>
          <w:iCs w:val="1"/>
          <w:color w:val="auto"/>
        </w:rPr>
        <w:t>Loss on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modification and extinguishment </w:t>
      </w:r>
      <w:r>
        <w:rPr>
          <w:rFonts w:ascii="Times New Roman" w:cs="Times New Roman" w:eastAsia="Times New Roman" w:hAnsi="Times New Roman"/>
          <w:sz w:val="18"/>
          <w:szCs w:val="18"/>
          <w:color w:val="auto"/>
        </w:rPr>
        <w:t>on the Consolidated Statements of Operations.</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effective interest rate on the first lien debt was 6.56% and 7.83% as of December 31, 2024 and 2023, respectively.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 Lien Revolving Credit Facility</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 xml:space="preserve">Pursuant to the Fifth Amendment, the Company also extended the maturity date of $213.0 million of our $250.0 million existing commitments of the first lien revolving credit facility to February 28, 2028. Pursuant to the Sixth Amendment, $26.0 million of the non-extended commitments were extended to February 28, 2028. With respect to the $11.0 million commitments which were not extended as of December 31, 2024, the maturity date is November 2, 2025. Debt issuance costs were incurred in connection with the repricing of the revolving credit facility. These debt issuance costs are amortized into interest expense over the expected life of the arrangement. Unamortized debt issuance costs included in </w:t>
      </w:r>
      <w:r>
        <w:rPr>
          <w:rFonts w:ascii="Times New Roman" w:cs="Times New Roman" w:eastAsia="Times New Roman" w:hAnsi="Times New Roman"/>
          <w:sz w:val="18"/>
          <w:szCs w:val="18"/>
          <w:i w:val="1"/>
          <w:iCs w:val="1"/>
          <w:color w:val="auto"/>
        </w:rPr>
        <w:t>Deferred costs and other assets, net of current portion</w:t>
      </w:r>
      <w:r>
        <w:rPr>
          <w:rFonts w:ascii="Times New Roman" w:cs="Times New Roman" w:eastAsia="Times New Roman" w:hAnsi="Times New Roman"/>
          <w:sz w:val="18"/>
          <w:szCs w:val="18"/>
          <w:color w:val="auto"/>
        </w:rPr>
        <w:t xml:space="preserve"> on our Consolidated Balance Sheets were immaterial as of December 31, 2024 and 2023.</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first lien revolving debt has a variable interest rate whereby the Company can elect to use a Base Rate or SOFR, plus an applicable rate. The applicable margin is 1.00% to 1.25% for Base Rate loans. The applicable margin for SOFR loans is 2.10% to 2.35%, which includes the credit spread adjustment of 0.1%, depending on the Company’s Consolidated First Lien Net Leverage Ratio.</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8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December 31, 2024 is as follows:</w:t>
            </w:r>
          </w:p>
        </w:tc>
        <w:tc>
          <w:tcPr>
            <w:tcW w:w="400" w:type="dxa"/>
            <w:vAlign w:val="bottom"/>
          </w:tcPr>
          <w:p>
            <w:pPr>
              <w:spacing w:after="0"/>
              <w:rPr>
                <w:sz w:val="20"/>
                <w:szCs w:val="20"/>
                <w:color w:val="auto"/>
              </w:rPr>
            </w:pPr>
          </w:p>
        </w:tc>
        <w:tc>
          <w:tcPr>
            <w:tcW w:w="2660" w:type="dxa"/>
            <w:vAlign w:val="bottom"/>
          </w:tcPr>
          <w:p>
            <w:pPr>
              <w:spacing w:after="0"/>
              <w:rPr>
                <w:sz w:val="20"/>
                <w:szCs w:val="20"/>
                <w:color w:val="auto"/>
              </w:rPr>
            </w:pPr>
          </w:p>
        </w:tc>
      </w:tr>
      <w:tr>
        <w:trPr>
          <w:trHeight w:val="41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8"/>
                <w:szCs w:val="18"/>
                <w:b w:val="1"/>
                <w:bCs w:val="1"/>
                <w:color w:val="auto"/>
              </w:rPr>
              <w:t>Contractual Maturity</w:t>
            </w:r>
          </w:p>
        </w:tc>
      </w:tr>
      <w:tr>
        <w:trPr>
          <w:trHeight w:val="21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5"/>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tcPr>
          <w:p>
            <w:pPr>
              <w:spacing w:after="0"/>
              <w:rPr>
                <w:sz w:val="19"/>
                <w:szCs w:val="19"/>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00" w:type="dxa"/>
            <w:vAlign w:val="bottom"/>
            <w:shd w:val="clear" w:color="auto" w:fill="CCEEFF"/>
          </w:tcPr>
          <w:p>
            <w:pPr>
              <w:spacing w:after="0"/>
              <w:rPr>
                <w:sz w:val="19"/>
                <w:szCs w:val="19"/>
                <w:color w:val="auto"/>
              </w:rPr>
            </w:pP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655.9</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558.6</w:t>
            </w:r>
          </w:p>
        </w:tc>
      </w:tr>
      <w:tr>
        <w:trPr>
          <w:trHeight w:val="219"/>
        </w:trPr>
        <w:tc>
          <w:tcPr>
            <w:tcW w:w="81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principal payments</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1,238.1</w:t>
            </w:r>
          </w:p>
        </w:tc>
      </w:tr>
      <w:tr>
        <w:trPr>
          <w:trHeight w:val="225"/>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40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Derivatives and Hedging Activities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Hedges</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are exposed to risks from changes in interest rates related to the first lien term loan (See Note 7 - Financing Arrangements). The Company uses derivative financial instruments, specifically, interest rate swap contracts, in order to manage its exposure to interest rate movements. Interest rate swaps designated as cash flow hedges involve the receipt of variable amounts from a counterparty in exchange for the Company making fixed-rate payments over the life of the agreements without exchange of the underlying notional amount. Our primary objective in holding derivatives is to reduce the volatility of cash flows associated with changes in interest rates. The Company does not enter into derivative transactions for speculative or trading purposes.</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the second quarter of 2022, two interest rate swap contracts in the notional amount of $350.0 million matured. Interest rate swaps in the notional amount of $500.0 million became effective in April 2022.</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In the third quarter of 2022, the Company sold $400.0 million of the notional amount of the interest rate cap contract which was not designated as an accounting hedge. We recognized a gain of $3.0 million, partially offset by the derecognition of $2.5 million of derivative assets, resulting from this sale within </w:t>
      </w:r>
      <w:r>
        <w:rPr>
          <w:rFonts w:ascii="Times New Roman" w:cs="Times New Roman" w:eastAsia="Times New Roman" w:hAnsi="Times New Roman"/>
          <w:sz w:val="18"/>
          <w:szCs w:val="18"/>
          <w:i w:val="1"/>
          <w:iCs w:val="1"/>
          <w:color w:val="auto"/>
        </w:rPr>
        <w:t>Interest expense, net</w:t>
      </w:r>
      <w:r>
        <w:rPr>
          <w:rFonts w:ascii="Times New Roman" w:cs="Times New Roman" w:eastAsia="Times New Roman" w:hAnsi="Times New Roman"/>
          <w:sz w:val="18"/>
          <w:szCs w:val="18"/>
          <w:color w:val="auto"/>
        </w:rPr>
        <w:t xml:space="preserve"> on our Consolidated Statements of Operations.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the fourth quarter of 2022, the Company transitioned two interest rate swap contracts and one interest cap contract from LIBOR to SOFR by terminating the original transactions and simultaneously entering into new derivatives. The terms of the new derivatives were unchanged except for the index. The Company elected optional expedients to allow for this transition without any interruptions to the hedge accounting.</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During the second quarter of 2024, the Company’s interest rate cap contract matured. As December 31, 2024, the Company had the following outstanding interest rate derivatives that were designated as cash flow hedges of interest rate risk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Interest Rate Derivatives</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Notional Aggregate</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Interest Cap / Swap</w:t>
            </w:r>
          </w:p>
        </w:tc>
        <w:tc>
          <w:tcPr>
            <w:tcW w:w="17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Maturity Date</w:t>
            </w:r>
          </w:p>
        </w:tc>
        <w:tc>
          <w:tcPr>
            <w:tcW w:w="0" w:type="dxa"/>
            <w:vAlign w:val="bottom"/>
          </w:tcPr>
          <w:p>
            <w:pPr>
              <w:spacing w:after="0"/>
              <w:rPr>
                <w:sz w:val="1"/>
                <w:szCs w:val="1"/>
                <w:color w:val="auto"/>
              </w:rPr>
            </w:pPr>
          </w:p>
        </w:tc>
      </w:tr>
      <w:tr>
        <w:trPr>
          <w:trHeight w:val="238"/>
        </w:trPr>
        <w:tc>
          <w:tcPr>
            <w:tcW w:w="37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Instruments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Principal Amount</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3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Two</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80" w:type="dxa"/>
            <w:vAlign w:val="bottom"/>
            <w:tcBorders>
              <w:top w:val="single" w:sz="8" w:color="CCEEFF"/>
            </w:tcBorders>
            <w:shd w:val="clear" w:color="auto" w:fill="CCEEFF"/>
          </w:tcPr>
          <w:p>
            <w:pPr>
              <w:spacing w:after="0"/>
              <w:rPr>
                <w:sz w:val="19"/>
                <w:szCs w:val="19"/>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0.370 %</w:t>
            </w:r>
          </w:p>
        </w:tc>
        <w:tc>
          <w:tcPr>
            <w:tcW w:w="8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7"/>
              </w:rPr>
              <w:t>January 30, 2026</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derivative interest rate swaps are designated and qualify as cash flow hedges. Consequently, the change in the estimated fair value of the effective portion of the derivative is recognized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on our Consolidated Balance Sheets and reclassified to </w:t>
      </w:r>
      <w:r>
        <w:rPr>
          <w:rFonts w:ascii="Times New Roman" w:cs="Times New Roman" w:eastAsia="Times New Roman" w:hAnsi="Times New Roman"/>
          <w:sz w:val="18"/>
          <w:szCs w:val="18"/>
          <w:i w:val="1"/>
          <w:iCs w:val="1"/>
          <w:color w:val="auto"/>
        </w:rPr>
        <w:t>Interest expense,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w:t>
      </w:r>
      <w:r>
        <w:rPr>
          <w:rFonts w:ascii="Times New Roman" w:cs="Times New Roman" w:eastAsia="Times New Roman" w:hAnsi="Times New Roman"/>
          <w:sz w:val="18"/>
          <w:szCs w:val="18"/>
          <w:color w:val="auto"/>
        </w:rPr>
        <w:t>, when the underlying transaction has an impact on earnings. The Company expects to recognize approximately $18 million of net pre-tax gains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accumulated other comprehensive income as a reduction of interest expense in the next twelve months associated with its interest rate swap.</w:t>
      </w:r>
    </w:p>
    <w:p>
      <w:pPr>
        <w:spacing w:after="0" w:line="125"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Refer to the Company’s Consolidated Statements of Comprehensive Income for amounts reclassified from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into earnings related to the Company’s derivative instruments designated as cash flow hedging instruments for each of the reporting periods.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Hedges</w:t>
      </w:r>
    </w:p>
    <w:p>
      <w:pPr>
        <w:spacing w:after="0" w:line="168"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changes in currency exchange rates, primarily relating to changes in the Israeli Shekel. Consequently, from time to time, we may use foreign exchange forward contracts or other financial instruments to manage our exposure to foreign exchange rate movements. Our primary objective in holding derivatives is to reduce the volatility of cash flows associated with changes in foreign exchange rates. We do not enter into derivative transactions for speculative or trading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Derivatives and Hedging Activities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2024, the Company actively participated in foreign currency forward contracts with a cumulative notional amount of $31.9 million, all of which were settled in 2024. These transactions resulted in an immaterial gain which offset lower operating expenses due to favorable changes in the foreign currency.</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2023, the Company actively participated in foreign currency forward contracts with a cumulative notional amount of $26.2 million, all of which were settled in 2023. These transactions resulted in an immaterial loss which offset lower operating expenses due to favorable changes in the foreign currency.</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The derivative foreign currency forward contracts are designated and qualify as cash flow hedges. Consequently, the change in the estimated fair value of the effective portion of the derivative is recognized in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on our Consolidated Balance Sheets and reclassified to revenue or operating expenses depending on the nature of the underlying transaction, when the underlying transaction has an impact on earnings. Impacts on </w:t>
      </w:r>
      <w:r>
        <w:rPr>
          <w:rFonts w:ascii="Times New Roman" w:cs="Times New Roman" w:eastAsia="Times New Roman" w:hAnsi="Times New Roman"/>
          <w:sz w:val="18"/>
          <w:szCs w:val="18"/>
          <w:i w:val="1"/>
          <w:iCs w:val="1"/>
          <w:color w:val="auto"/>
        </w:rPr>
        <w:t xml:space="preserve">Cash and cash equivalents </w:t>
      </w:r>
      <w:r>
        <w:rPr>
          <w:rFonts w:ascii="Times New Roman" w:cs="Times New Roman" w:eastAsia="Times New Roman" w:hAnsi="Times New Roman"/>
          <w:sz w:val="18"/>
          <w:szCs w:val="18"/>
          <w:color w:val="auto"/>
        </w:rPr>
        <w:t>are presented as operating cash flows on our Consolidated Statements of Cash Flows in the period contracts are settled.</w:t>
      </w:r>
    </w:p>
    <w:p>
      <w:pPr>
        <w:spacing w:after="0" w:line="12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fair value and presentation on our Consolidated Balance Sheets for derivatives as of December 31, 2024 and 2023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5"/>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tc>
        <w:tc>
          <w:tcPr>
            <w:tcW w:w="10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r>
      <w:tr>
        <w:trPr>
          <w:trHeight w:val="218"/>
        </w:trPr>
        <w:tc>
          <w:tcPr>
            <w:tcW w:w="4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8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0" w:type="dxa"/>
            <w:vAlign w:val="bottom"/>
          </w:tcPr>
          <w:p>
            <w:pPr>
              <w:spacing w:after="0"/>
              <w:rPr>
                <w:sz w:val="19"/>
                <w:szCs w:val="19"/>
                <w:color w:val="auto"/>
              </w:rPr>
            </w:pPr>
          </w:p>
        </w:tc>
        <w:tc>
          <w:tcPr>
            <w:tcW w:w="266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620" w:type="dxa"/>
            <w:vAlign w:val="bottom"/>
          </w:tcPr>
          <w:p>
            <w:pPr>
              <w:spacing w:after="0"/>
              <w:rPr>
                <w:sz w:val="19"/>
                <w:szCs w:val="19"/>
                <w:color w:val="auto"/>
              </w:rPr>
            </w:pPr>
          </w:p>
        </w:tc>
      </w:tr>
      <w:tr>
        <w:trPr>
          <w:trHeight w:val="218"/>
        </w:trPr>
        <w:tc>
          <w:tcPr>
            <w:tcW w:w="4280" w:type="dxa"/>
            <w:vAlign w:val="bottom"/>
            <w:gridSpan w:val="2"/>
          </w:tcPr>
          <w:p>
            <w:pPr>
              <w:ind w:left="1660"/>
              <w:spacing w:after="0"/>
              <w:rPr>
                <w:sz w:val="20"/>
                <w:szCs w:val="20"/>
                <w:color w:val="auto"/>
              </w:rPr>
            </w:pPr>
            <w:r>
              <w:rPr>
                <w:rFonts w:ascii="Times New Roman" w:cs="Times New Roman" w:eastAsia="Times New Roman" w:hAnsi="Times New Roman"/>
                <w:sz w:val="18"/>
                <w:szCs w:val="18"/>
                <w:b w:val="1"/>
                <w:bCs w:val="1"/>
                <w:color w:val="auto"/>
              </w:rPr>
              <w:t>Instrument</w:t>
            </w:r>
          </w:p>
        </w:tc>
        <w:tc>
          <w:tcPr>
            <w:tcW w:w="16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6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Derivative Liabilities</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16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Derivative Liabilities</w:t>
            </w:r>
          </w:p>
        </w:tc>
      </w:tr>
      <w:tr>
        <w:trPr>
          <w:trHeight w:val="219"/>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r>
      <w:tr>
        <w:trPr>
          <w:trHeight w:val="225"/>
        </w:trPr>
        <w:tc>
          <w:tcPr>
            <w:tcW w:w="4280" w:type="dxa"/>
            <w:vAlign w:val="bottom"/>
            <w:gridSpan w:val="2"/>
          </w:tcPr>
          <w:p>
            <w:pPr>
              <w:ind w:left="240"/>
              <w:spacing w:after="0" w:line="225" w:lineRule="exact"/>
              <w:rPr>
                <w:sz w:val="20"/>
                <w:szCs w:val="20"/>
                <w:color w:val="auto"/>
              </w:rPr>
            </w:pPr>
            <w:r>
              <w:rPr>
                <w:rFonts w:ascii="Times New Roman" w:cs="Times New Roman" w:eastAsia="Times New Roman" w:hAnsi="Times New Roman"/>
                <w:sz w:val="18"/>
                <w:szCs w:val="18"/>
                <w:color w:val="auto"/>
              </w:rPr>
              <w:t>Interest rate cap contract</w:t>
            </w:r>
            <w:r>
              <w:rPr>
                <w:rFonts w:ascii="Times New Roman" w:cs="Times New Roman" w:eastAsia="Times New Roman" w:hAnsi="Times New Roman"/>
                <w:sz w:val="22"/>
                <w:szCs w:val="22"/>
                <w:color w:val="auto"/>
                <w:vertAlign w:val="superscript"/>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1040" w:type="dxa"/>
            <w:vAlign w:val="bottom"/>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28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4280" w:type="dxa"/>
            <w:vAlign w:val="bottom"/>
            <w:gridSpan w:val="2"/>
          </w:tcPr>
          <w:p>
            <w:pPr>
              <w:ind w:left="240"/>
              <w:spacing w:after="0" w:line="225" w:lineRule="exact"/>
              <w:rPr>
                <w:sz w:val="20"/>
                <w:szCs w:val="20"/>
                <w:color w:val="auto"/>
              </w:rPr>
            </w:pPr>
            <w:r>
              <w:rPr>
                <w:rFonts w:ascii="Times New Roman" w:cs="Times New Roman" w:eastAsia="Times New Roman" w:hAnsi="Times New Roman"/>
                <w:sz w:val="18"/>
                <w:szCs w:val="18"/>
                <w:color w:val="auto"/>
              </w:rPr>
              <w:t>Interest rate swap contracts</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60" w:type="dxa"/>
            <w:vAlign w:val="bottom"/>
            <w:gridSpan w:val="2"/>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designated derivative fair value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bottom w:val="single" w:sz="8" w:color="auto"/>
            </w:tcBorders>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auto"/>
              <w:bottom w:val="single" w:sz="8" w:color="auto"/>
            </w:tcBorders>
            <w:shd w:val="clear" w:color="auto" w:fill="CCEEFF"/>
          </w:tcPr>
          <w:p>
            <w:pPr>
              <w:jc w:val="right"/>
              <w:ind w:right="85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0" w:lineRule="exact"/>
        <w:rPr>
          <w:sz w:val="20"/>
          <w:szCs w:val="20"/>
          <w:color w:val="auto"/>
        </w:rPr>
      </w:pPr>
    </w:p>
    <w:p>
      <w:pPr>
        <w:ind w:left="320" w:hanging="314"/>
        <w:spacing w:after="0"/>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Prepaid expenses and other current assets</w:t>
      </w:r>
      <w:r>
        <w:rPr>
          <w:rFonts w:ascii="Times New Roman" w:cs="Times New Roman" w:eastAsia="Times New Roman" w:hAnsi="Times New Roman"/>
          <w:sz w:val="16"/>
          <w:szCs w:val="16"/>
          <w:color w:val="auto"/>
        </w:rPr>
        <w:t xml:space="preserve"> on our Consolidated Balance Sheets.</w:t>
      </w:r>
    </w:p>
    <w:p>
      <w:pPr>
        <w:spacing w:after="0" w:line="1"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Included in </w:t>
      </w:r>
      <w:r>
        <w:rPr>
          <w:rFonts w:ascii="Times New Roman" w:cs="Times New Roman" w:eastAsia="Times New Roman" w:hAnsi="Times New Roman"/>
          <w:sz w:val="16"/>
          <w:szCs w:val="16"/>
          <w:i w:val="1"/>
          <w:iCs w:val="1"/>
          <w:color w:val="auto"/>
        </w:rPr>
        <w:t>Deferred costs and other assets, net of current portion</w:t>
      </w:r>
      <w:r>
        <w:rPr>
          <w:rFonts w:ascii="Times New Roman" w:cs="Times New Roman" w:eastAsia="Times New Roman" w:hAnsi="Times New Roman"/>
          <w:sz w:val="16"/>
          <w:szCs w:val="16"/>
          <w:color w:val="auto"/>
        </w:rPr>
        <w:t xml:space="preserve"> on our Consolidated Balance Sheets.</w:t>
      </w:r>
    </w:p>
    <w:p>
      <w:pPr>
        <w:spacing w:after="0" w:line="229" w:lineRule="exact"/>
        <w:rPr>
          <w:sz w:val="20"/>
          <w:szCs w:val="20"/>
          <w:color w:val="auto"/>
        </w:rPr>
      </w:pPr>
    </w:p>
    <w:p>
      <w:pPr>
        <w:jc w:val="both"/>
        <w:ind w:firstLine="318"/>
        <w:spacing w:after="0" w:line="276" w:lineRule="auto"/>
        <w:rPr>
          <w:sz w:val="20"/>
          <w:szCs w:val="20"/>
          <w:color w:val="auto"/>
        </w:rPr>
      </w:pPr>
      <w:r>
        <w:rPr>
          <w:rFonts w:ascii="Times New Roman" w:cs="Times New Roman" w:eastAsia="Times New Roman" w:hAnsi="Times New Roman"/>
          <w:sz w:val="18"/>
          <w:szCs w:val="18"/>
          <w:color w:val="auto"/>
        </w:rPr>
        <w:t xml:space="preserve">Refer to the Company’s Consolidated Statements of Comprehensive Income for amounts reclassified from </w:t>
      </w:r>
      <w:r>
        <w:rPr>
          <w:rFonts w:ascii="Times New Roman" w:cs="Times New Roman" w:eastAsia="Times New Roman" w:hAnsi="Times New Roman"/>
          <w:sz w:val="18"/>
          <w:szCs w:val="18"/>
          <w:i w:val="1"/>
          <w:iCs w:val="1"/>
          <w:color w:val="auto"/>
        </w:rPr>
        <w:t>Accumulated other comprehensive income</w:t>
      </w:r>
      <w:r>
        <w:rPr>
          <w:rFonts w:ascii="Times New Roman" w:cs="Times New Roman" w:eastAsia="Times New Roman" w:hAnsi="Times New Roman"/>
          <w:sz w:val="18"/>
          <w:szCs w:val="18"/>
          <w:color w:val="auto"/>
        </w:rPr>
        <w:t xml:space="preserve"> into earnings related to the Company’s Derivative Instruments designated as cash flow hedging instruments for each of the reporting periods.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w:t>
      </w:r>
    </w:p>
    <w:p>
      <w:pPr>
        <w:spacing w:after="0" w:line="166"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Company's financial instruments consist principally of cash and cash equivalents, short-term investments, prepaid expenses and other current assets, accounts receivable, and accounts payable, accrued expenses, and long-term debt. The carrying value of cash and cash equivalents, prepaid expenses and other current assets, accounts receivable, accounts payable, and accrued expenses approximate fair value, primarily due to short maturities. We classify our certificates of deposits and money market mutual funds as Level 1 within the fair value hierarchy. We classify our corporate debt securities, securities guaranteed by the U.S. government and other governmental securities as Level 2 within the fair value hierarchy. The fair value of our first term lien debt and Senior Notes was $584.0 million and $585.0 million as of December 31, 2024, and $595.5 million and $588.3 million as of December 31, 2023, respectively, based on observable market prices in less active markets and categorized as Level 2 within the fair value measurement framework.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Fair Value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The Company has elected to use the income approach to value the interest rate derivatives using observable Level 2 market expectations at measurement date and standard valuation techniques to convert future amounts to a single present amount (discounted) reflecting current market expectations about those future amounts. Level 2 inputs for the derivative valuations are limited to quoted prices for similar assets or liabilities in active markets (specifically futures contracts) and inputs other than quoted prices that are observable for the asset or liability (specifically SOFR cash and swap rates, implied volatility for options, caps and floors, basis swap adjustments, overnight indexed swap (“OIS”) short term rates and OIS swap rates, when applicable, and credit risk at commonly quoted intervals). Mid-market pricing is used as a practical expedient for most fair value measurements. Key inputs, including the cash rates for very short-term, futures rates and swap rates beyond the derivative maturity, are interpolated to provide spot rates at resets specified by each derivative (reset rates are then further adjusted by the basis swap, if necessary). Derivatives are discounted to present value at the measurement date at SOFR rates unless they are fully collateralized. Fully collateralized derivatives are discounted to present value at the measurement date at OIS rates (short-term OIS rates and long-term OIS swap rates).</w:t>
      </w:r>
    </w:p>
    <w:p>
      <w:pPr>
        <w:spacing w:after="0" w:line="140"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Inputs are collected from SuperDerivatives, an independent third-party derivative pricing data provider, as of the close on the last day of the period. The valuation of the interest rate swaps also take into consideration estimates of our own, as well as our counterparty’s, risk of non-performance under the contract.</w:t>
      </w:r>
    </w:p>
    <w:p>
      <w:pPr>
        <w:spacing w:after="0" w:line="8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estimate the value of other long-lived assets that are recorded at fair value on a non-recurring basis based on a market valuation approach. We use prices and other relevant information generated primarily by recent market transactions involving similar or comparable assets, as well as our historical experience in divestitures, acquisitions and real estate transactions. Additionally, we may use a cost valuation approach to value long-lived assets when a market valuation approach is unavailable. Under this approach, we determine the cost to replace the service capacity of an asset, adjusted for physical and economic obsolescence. When available, we use valuation inputs from independent valuation experts, such as real estate appraisers and brokers, to corroborate our estimates of fair value. Real estate appraisers’ and brokers’ valuations are typically developed using one or more valuation techniques including market, income, and replacement cost approaches. Because these valuations contain unobservable inputs, we classify the measurement of fair value of long-lived assets as Level 3.</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of our financial assets was determined using the following inputs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2024</w:t>
            </w:r>
          </w:p>
        </w:tc>
        <w:tc>
          <w:tcPr>
            <w:tcW w:w="320" w:type="dxa"/>
            <w:vAlign w:val="bottom"/>
          </w:tcPr>
          <w:p>
            <w:pPr>
              <w:spacing w:after="0"/>
              <w:rPr>
                <w:sz w:val="20"/>
                <w:szCs w:val="20"/>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0"/>
                <w:szCs w:val="20"/>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12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9"/>
        </w:trPr>
        <w:tc>
          <w:tcPr>
            <w:tcW w:w="6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2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6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6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6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63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5"/>
        </w:trPr>
        <w:tc>
          <w:tcPr>
            <w:tcW w:w="6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r>
      <w:tr>
        <w:trPr>
          <w:trHeight w:val="225"/>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6320" w:type="dxa"/>
            <w:vAlign w:val="bottom"/>
            <w:gridSpan w:val="2"/>
            <w:shd w:val="clear" w:color="auto" w:fill="CCEEFF"/>
          </w:tcPr>
          <w:p>
            <w:pPr>
              <w:ind w:left="240"/>
              <w:spacing w:after="0" w:line="225" w:lineRule="exact"/>
              <w:rPr>
                <w:sz w:val="20"/>
                <w:szCs w:val="20"/>
                <w:color w:val="auto"/>
              </w:rPr>
            </w:pPr>
            <w:r>
              <w:rPr>
                <w:rFonts w:ascii="Times New Roman" w:cs="Times New Roman" w:eastAsia="Times New Roman" w:hAnsi="Times New Roman"/>
                <w:sz w:val="18"/>
                <w:szCs w:val="18"/>
                <w:color w:val="auto"/>
              </w:rPr>
              <w:t xml:space="preserve">Impaired lease-related assets </w:t>
            </w:r>
            <w:r>
              <w:rPr>
                <w:rFonts w:ascii="Times New Roman" w:cs="Times New Roman" w:eastAsia="Times New Roman" w:hAnsi="Times New Roman"/>
                <w:sz w:val="22"/>
                <w:szCs w:val="22"/>
                <w:color w:val="auto"/>
                <w:vertAlign w:val="superscript"/>
              </w:rPr>
              <w:t>(1)</w:t>
            </w: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19"/>
        </w:trPr>
        <w:tc>
          <w:tcPr>
            <w:tcW w:w="6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0"/>
        </w:trPr>
        <w:tc>
          <w:tcPr>
            <w:tcW w:w="6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0" w:lineRule="exact"/>
        <w:rPr>
          <w:sz w:val="20"/>
          <w:szCs w:val="20"/>
          <w:color w:val="auto"/>
        </w:rPr>
      </w:pPr>
    </w:p>
    <w:p>
      <w:pPr>
        <w:ind w:left="320" w:hanging="314"/>
        <w:spacing w:after="0" w:line="249" w:lineRule="auto"/>
        <w:tabs>
          <w:tab w:leader="none" w:pos="3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right-of-use lease assets recorded at fair value pursuant to impairment charges that occurred during the second and third quarter of 2024. Refer to Note 13 - Leases for further information regarding the impairment of lease-related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161"/>
        </w:trPr>
        <w:tc>
          <w:tcPr>
            <w:tcW w:w="6320" w:type="dxa"/>
            <w:vAlign w:val="bottom"/>
            <w:gridSpan w:val="3"/>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630"/>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Note 9 - Fair Value (continued)</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834"/>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 December 31, 2023</w:t>
            </w:r>
          </w:p>
        </w:tc>
        <w:tc>
          <w:tcPr>
            <w:tcW w:w="30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0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4"/>
                <w:szCs w:val="24"/>
                <w:color w:val="auto"/>
              </w:rPr>
            </w:pPr>
          </w:p>
        </w:tc>
        <w:tc>
          <w:tcPr>
            <w:tcW w:w="126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18"/>
        </w:trPr>
        <w:tc>
          <w:tcPr>
            <w:tcW w:w="62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recurring basis:</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r>
      <w:tr>
        <w:trPr>
          <w:trHeight w:val="225"/>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6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6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Money market mutual funds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6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Securities guaranteed by U.S. government</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Other governmental securities</w:t>
            </w:r>
          </w:p>
        </w:tc>
        <w:tc>
          <w:tcPr>
            <w:tcW w:w="30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5"/>
        </w:trPr>
        <w:tc>
          <w:tcPr>
            <w:tcW w:w="632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Interest rate cap contract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3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Deferred costs and other assets, net of current portion:</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6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rate swap contracts</w:t>
            </w:r>
          </w:p>
        </w:tc>
        <w:tc>
          <w:tcPr>
            <w:tcW w:w="3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2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2"/>
        </w:trPr>
        <w:tc>
          <w:tcPr>
            <w:tcW w:w="6200" w:type="dxa"/>
            <w:vAlign w:val="bottom"/>
            <w:gridSpan w:val="2"/>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25"/>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Measured on a non-recurring basis: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5"/>
        </w:trPr>
        <w:tc>
          <w:tcPr>
            <w:tcW w:w="632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Impaired lease-related assets</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8"/>
        </w:trPr>
        <w:tc>
          <w:tcPr>
            <w:tcW w:w="6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0"/>
        </w:trPr>
        <w:tc>
          <w:tcPr>
            <w:tcW w:w="100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transfers between fair value measurement levels during the years ended December 31, 2024 and 2023.</w:t>
      </w:r>
    </w:p>
    <w:p>
      <w:pPr>
        <w:spacing w:after="0" w:line="16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Refer to Note 4 - Cash, Cash Equivalents, and Short-term Investments for further information regarding the fair value of our financial instruments. Refer to Note 8 - Derivatives and Hedging Activities for further information regarding the fair value of our derivative instruments.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December 31, 2024, our outstanding non-cancelable purchase obligations, mainly related to third-party cloud hosting and SaaS arrangements, were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Fiscal Period</w:t>
            </w:r>
          </w:p>
        </w:tc>
        <w:tc>
          <w:tcPr>
            <w:tcW w:w="46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712"/>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18"/>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460" w:type="dxa"/>
            <w:vAlign w:val="bottom"/>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25"/>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5"/>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2027</w:t>
            </w: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5"/>
        </w:trPr>
        <w:tc>
          <w:tcPr>
            <w:tcW w:w="9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2028</w:t>
            </w:r>
          </w:p>
        </w:tc>
        <w:tc>
          <w:tcPr>
            <w:tcW w:w="4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9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2029</w:t>
            </w:r>
          </w:p>
        </w:tc>
        <w:tc>
          <w:tcPr>
            <w:tcW w:w="4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9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Thereafter</w:t>
            </w:r>
          </w:p>
        </w:tc>
        <w:tc>
          <w:tcPr>
            <w:tcW w:w="46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9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For information regarding financing-related obligations, refer to Note 7 - Financing Arrangements. For information regarding lease-related obligations, refer to Note 13 -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earnout payments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acquisition of Dogpatch Advisors, LLC in April 2022, the Company could be required to issue remaining equity awards up to $0.6 million. As of December 31, 2024, the Company has paid $1.9 million. Refer to Note 3 - Business Combinations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acquisition-related payments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acquisition of Insent, the Company paid $2.0 million during the year ended December 31, 2024, of which $0.7 million represents deferred consideration.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168"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are subject to various legal proceedings, claims, and governmental inspections, audits, or investigations that arise in the ordinary course of our business. There are inherent uncertainties in these matters, some of which are beyond management’s control, making the ultimate outcomes difficult to predict. Moreover, management’s views and estimates related to these matters may change in the future, as new events and circumstances arise and the matters continue to develop. Based on the information known by the Company as of the date of this filing, except where otherwise indicated, it is not possible to provide an estimated amount of any loss or range of loss that may occur with respect to these matters, including without limitation the matters described below.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ZoomInfo Publicity Litigation</w:t>
      </w:r>
    </w:p>
    <w:p>
      <w:pPr>
        <w:spacing w:after="0" w:line="1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April 15, 2021, a putative class action lawsuit was filed against ZoomInfo Technologies LLC in the United States District Court for the Northern District of Illinois (Eastern Division) alleging ZoomInfo’s use of Illinois residents’ names in public-facing web pages violates the Illinois Right of Publicity Act, and seeking statutory, compensatory and punitive damages, costs, and attorneys’ fees. Additionally, on September 30, 2021, a putative class action lawsuit was filed against ZoomInfo Technologies Inc. in the United States District Court for the Western District of Washington alleging ZoomInfo’s use of California residents’ names in public-facing web pages violates California statutory and common law regarding the right of publicity as well as misappropriation, and seeking compensatory and punitive damages, restitution, injunctive relief, declaratory relief, costs, and attorneys’ fees. On November 21, 2024, the Company entered into a settlement to resolve the Illinois class action, the California class action and similar, unfiled claims in the states of Indiana and Nevada (the “Class Actions”). The settlement is not an admission of fault or wrongdoing by ZoomInfo. During the year ended December 31, 2024, the Company incurred total charges of $30.1 million, which is substantially comprised of the settlement amount, all of which has been paid as of December 31, 2024, and other legal costs.</w:t>
      </w:r>
    </w:p>
    <w:p>
      <w:pPr>
        <w:spacing w:after="0" w:line="14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September 5, 2024, a putative class action lawsuit was filed against ZoomInfo Technologies LLC in the U.S. District Court for the Western District of Washington alleging ZoomInfo Technologies LLC’s use of individuals’ names in public-facing web pages violates the Washington Personality Rights Act, and seeking statutory, compensatory and punitive damages, costs, and attorneys’ fees. The Company intends to vigorously defend against this lawsuit.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 (continued)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Datanyze Publicity Litigation</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February 10, 2023, a putative class action lawsuit was filed against Datanyze, LLC, one of the Company’s subsidiaries, in the Circuit Court of Cook County, Illinois alleging Datanyze’s use of Illinois residents’ names in a free trial violates the Illinois Right of Publicity Act, and seeking statutory, compensatory and punitive damages, costs, and attorneys’ fees. The case was removed to the United States District Court for the Northern District of Illinois (Eastern Division). On October 23, 2024, a putative class action lawsuit was filed against Datanyze, LLC in the Northern District of California, San Francisco Division, alleging Datanyze’s use of California, Nevada, Indiana, and Alabama residents’ names in a free trial violates statutory rights-of-publicity in the respective states, and seeking statutory, compensatory and punitive damages, costs, and attorneys’ fees. On February 12, 2025, Datanyze entered into a binding term sheet with the plaintiffs in both of these class actions, to resolve these class actions for an immaterial amount. As contemplated in the parties’ agreement, the parties stipulated to the dismissal of both federal actions. The claims were re-filed as a single case in the Circuit Court of DuPage County, Illinois solely for purposes of facilitating settlement.</w:t>
      </w:r>
    </w:p>
    <w:p>
      <w:pPr>
        <w:spacing w:after="0" w:line="134"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March 8, 2023, a putative class action lawsuit was filed against Datanyze, LLC in the United States District Court for the Northern District of Ohio alleging Datanyze's use of Ohio residents names in a free trial violates the Ohio Right of Publicity Statute, and seeking statutory damages, costs, and attorneys’ fees. On November 17, 2023, the court dismissed the plaintiffs’ claims with prejudice and on January 14, 2025, the United States Court of Appeals for the Sixth Circuit affirmed the district court’s dismissal. To the extent plaintiffs seek any further review of these orders, the Company intends to continue to vigorously defend against this lawsuit.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On September 4, 2024, a putative class action lawsuit was filed against ZoomInfo Technologies Inc. and certain of its current and former officers and affiliates in the U.S. District Court for the Western District of Washington. The suit, brought on behalf of purchasers of Company common stock between November 10, 2020, and August 5, 2024, alleges that the defendants made false and/or misleading statements related to the Company’s business, operations, and prospects, including in respect of the effects of the COVID-19 pandemic on the Company’s performance, in violation of §10(b) and §20(a) of the Securities Exchange Act of 1934 and Rule 10b-5 promulgated thereunder. The complaint seeks, among other relief, unspecified compensatory damages, equitable relief, and costs and expenses. The Company intends to vigorously defend against this lawsuit.</w:t>
      </w:r>
    </w:p>
    <w:p>
      <w:pPr>
        <w:spacing w:after="0" w:line="132"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December 12, 2024, certain of the Company’s current and former directors and officers were named as defendants in a derivative shareholder lawsuit (in which the Company is a nominal defendant) filed in the United States District Court for the Western District of Washington. A second derivative action was filed on February 4, 2025 in the United States District Court for the Western District of Washington. The factual allegations in the derivative cases mirror the securities case described above. The complaints assert violations of the United States securities laws and state fiduciary duty laws, in addition to common law claims involving unjust enrichment, abuse of control, gross mismanagement, and waste of corporate assets. The derivative cases seek, among other things, unspecified compensatory damages on behalf of the Company arising out of the individual defendants’ alleged wrongful conduct. The first-filed derivative action is currently stayed pending further developments in the securities action described above. The parties have requested that the court stay the second-filed derivative action and consolidate it with the first-filed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Stockholders' Equity</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jc w:val="both"/>
        <w:ind w:firstLine="318"/>
        <w:spacing w:after="0" w:line="269" w:lineRule="auto"/>
        <w:rPr>
          <w:sz w:val="20"/>
          <w:szCs w:val="20"/>
          <w:color w:val="auto"/>
        </w:rPr>
      </w:pPr>
      <w:r>
        <w:rPr>
          <w:rFonts w:ascii="Times New Roman" w:cs="Times New Roman" w:eastAsia="Times New Roman" w:hAnsi="Times New Roman"/>
          <w:sz w:val="17"/>
          <w:szCs w:val="17"/>
          <w:color w:val="auto"/>
        </w:rPr>
        <w:t>In March 2023, the Board authorized a program to repurchase the Company’s common stock (the “Share Repurchase Program”). The total authorizations in 2023 and 2024 were $600.0 million and $500.0 million, respectively, of which $137.6 million remained available and authorized for repurchases as of December 31, 2024. Shares of common stock may be repurchased under the Share Repurchase Program from time to time through open market purchases, block trades, private transactions or accelerated or other structured share repurchase programs. The extent to which the Company repurchases shares of common stock, and the timing of such purchases, will depend upon a variety of factors, including market conditions, regulatory requirements and other corporate considerations, as determined by the Company. The Share Repurchase Program may be suspended or discontinued at any time.</w:t>
      </w:r>
    </w:p>
    <w:p>
      <w:pPr>
        <w:spacing w:after="0" w:line="11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year ended December 31, 2024, the Company repurchased and subsequently retired 46,801,742 shares of common stock at an average price of $12.01, for an aggregate $562.3 million. During the year ended December 31, 2023, the Company repurchased and subsequently retired 22,627,664 shares of common stock at an average price of $17.68, for an aggregate $400.1 million.</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August 2024, the Company entered into an accelerated share repurchase agreement (the “ASR Transaction”) with a financial institution. The Company settled the ASR Transaction in September 2024 resulting in a total repurchase and subsequent retirement of 12,431,216 shares of the Company’s common stock for $125.0 million at an average price of $10.06 per share, recorded as a reduction of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The total number of shares delivered was determined at the settlement date based on the volume weighted average price, less an agreed upon discount. The ASR Transaction was completed under the Company’s previously announced Share Repurchase Program.</w:t>
      </w:r>
    </w:p>
    <w:p>
      <w:pPr>
        <w:spacing w:after="0" w:line="13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The Inflation Reduction Act of 2022, enacted into law on August 16, 2022, imposed a nondeductible 1% excise tax on the net value of certain stock repurchases made after December 31, 2022. The Company calculates excise tax due based on the year-to-date amount repurchased in excess of the fair market value of shares issued and is included within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on our Consolidated Balance Sheets. During the year ended December 31, 2024 and 2023, the Company recorded the associated excise taxes of $5.1 million and $3.3 million, respectively. Excise taxes associated with these share repurchases are presented within </w:t>
      </w:r>
      <w:r>
        <w:rPr>
          <w:rFonts w:ascii="Times New Roman" w:cs="Times New Roman" w:eastAsia="Times New Roman" w:hAnsi="Times New Roman"/>
          <w:sz w:val="18"/>
          <w:szCs w:val="18"/>
          <w:i w:val="1"/>
          <w:iCs w:val="1"/>
          <w:color w:val="auto"/>
        </w:rPr>
        <w:t>Repurchase of common stock</w:t>
      </w:r>
      <w:r>
        <w:rPr>
          <w:rFonts w:ascii="Times New Roman" w:cs="Times New Roman" w:eastAsia="Times New Roman" w:hAnsi="Times New Roman"/>
          <w:sz w:val="18"/>
          <w:szCs w:val="18"/>
          <w:color w:val="auto"/>
        </w:rPr>
        <w:t xml:space="preserve"> on our Consolidated Statements of Changes in Stockholders' Equity, as a reduction to </w:t>
      </w:r>
      <w:r>
        <w:rPr>
          <w:rFonts w:ascii="Times New Roman" w:cs="Times New Roman" w:eastAsia="Times New Roman" w:hAnsi="Times New Roman"/>
          <w:sz w:val="18"/>
          <w:szCs w:val="18"/>
          <w:i w:val="1"/>
          <w:iCs w:val="1"/>
          <w:color w:val="auto"/>
        </w:rPr>
        <w:t>Additional paid-in capital</w:t>
      </w:r>
      <w:r>
        <w:rPr>
          <w:rFonts w:ascii="Times New Roman" w:cs="Times New Roman" w:eastAsia="Times New Roman" w:hAnsi="Times New Roman"/>
          <w:sz w:val="18"/>
          <w:szCs w:val="18"/>
          <w:color w:val="auto"/>
        </w:rPr>
        <w:t>. During the years ended December 31, 2024 and 2023, the Company made excise tax payments of $3.3 million and zero, respectively.</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Rights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authorized capital stock consists of 3,300,000,000 shares of common stock and 200,000,000 shares of preferred stock, par value $0.01 per share. No shares of preferred stock have been issued or are currently outstanding.</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Holders of common stock will vote as a single class and are entitled to one vote per share on all matters on which stockholders of ZoomInfo Technologies Inc. are entitled to vote generally, including the election or removal of directors. The holders of our common stock do not have cumulative voting rights in the election of directors.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Preemptive or similar rights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Holders of shares of our common stock do not have preemptive, subscription, redemption or conversion rights. There are no redemption or sinking fund provisions applicable to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Stockholders' Equity (continued)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 and distributions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Holders of common stock are entitled to receive dividends at the same rate, when, as and if declared by our Board of Directors out of funds legally available therefor, subject to any statutory or contractual restrictions on the payment of dividends and to the rights of the holders of one or more outstanding series of our preferred stock. To date, no dividends have been declared or paid by us.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Upon our liquidation, dissolution, or winding up, subject to the rights of holders of one or more outstanding series of preferred stock having liquidation preferences, the holders of shares of our common stock are entitled to receive pro rata our remaining assets available for distribution.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following tables set forth the computation of basic and diluted net income per share of </w:t>
      </w:r>
      <w:r>
        <w:rPr>
          <w:rFonts w:ascii="Times New Roman" w:cs="Times New Roman" w:eastAsia="Times New Roman" w:hAnsi="Times New Roman"/>
          <w:sz w:val="18"/>
          <w:szCs w:val="18"/>
          <w:color w:val="242424"/>
        </w:rPr>
        <w:t>common stock</w:t>
      </w:r>
      <w:r>
        <w:rPr>
          <w:rFonts w:ascii="Times New Roman" w:cs="Times New Roman" w:eastAsia="Times New Roman" w:hAnsi="Times New Roman"/>
          <w:sz w:val="18"/>
          <w:szCs w:val="18"/>
          <w:color w:val="auto"/>
        </w:rPr>
        <w: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7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6"/>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Borders>
              <w:bottom w:val="single" w:sz="8" w:color="auto"/>
            </w:tcBorders>
          </w:tcPr>
          <w:p>
            <w:pPr>
              <w:spacing w:after="0"/>
              <w:rPr>
                <w:sz w:val="20"/>
                <w:szCs w:val="20"/>
                <w:color w:val="auto"/>
              </w:rPr>
            </w:pPr>
          </w:p>
        </w:tc>
      </w:tr>
      <w:tr>
        <w:trPr>
          <w:trHeight w:val="218"/>
        </w:trPr>
        <w:tc>
          <w:tcPr>
            <w:tcW w:w="67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5"/>
        </w:trPr>
        <w:tc>
          <w:tcPr>
            <w:tcW w:w="67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Basic net income per share attributable to common stockholders</w:t>
            </w: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25"/>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5"/>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Weighted average number of shares of common stock outstanding</w:t>
            </w: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361,953,130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396,987,015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401,490,459</w:t>
            </w:r>
          </w:p>
        </w:tc>
      </w:tr>
      <w:tr>
        <w:trPr>
          <w:trHeight w:val="218"/>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share attributable to common stockholders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32"/>
        </w:trPr>
        <w:tc>
          <w:tcPr>
            <w:tcW w:w="67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5"/>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share attributable to common stockholders</w:t>
            </w: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8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Number of shares used in basic computation</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361,953,130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396,987,015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401,490,459</w:t>
            </w:r>
          </w:p>
        </w:tc>
      </w:tr>
      <w:tr>
        <w:trPr>
          <w:trHeight w:val="225"/>
        </w:trPr>
        <w:tc>
          <w:tcPr>
            <w:tcW w:w="67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Add: weighted-average effect of dilutive securities exchangeable for common stock:</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5"/>
        </w:trPr>
        <w:tc>
          <w:tcPr>
            <w:tcW w:w="6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stock awards</w:t>
            </w: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62,996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323,619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1,641,544</w:t>
            </w:r>
          </w:p>
        </w:tc>
      </w:tr>
      <w:tr>
        <w:trPr>
          <w:trHeight w:val="225"/>
        </w:trPr>
        <w:tc>
          <w:tcPr>
            <w:tcW w:w="6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187,578</w:t>
            </w:r>
          </w:p>
        </w:tc>
      </w:tr>
      <w:tr>
        <w:trPr>
          <w:trHeight w:val="225"/>
        </w:trPr>
        <w:tc>
          <w:tcPr>
            <w:tcW w:w="67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173,018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72,877</w:t>
            </w:r>
          </w:p>
        </w:tc>
      </w:tr>
      <w:tr>
        <w:trPr>
          <w:trHeight w:val="152"/>
        </w:trPr>
        <w:tc>
          <w:tcPr>
            <w:tcW w:w="6760" w:type="dxa"/>
            <w:vAlign w:val="bottom"/>
            <w:shd w:val="clear" w:color="auto" w:fill="CCEEFF"/>
          </w:tcPr>
          <w:p>
            <w:pPr>
              <w:ind w:left="340"/>
              <w:spacing w:after="0" w:line="152" w:lineRule="exact"/>
              <w:rPr>
                <w:sz w:val="20"/>
                <w:szCs w:val="20"/>
                <w:color w:val="auto"/>
              </w:rPr>
            </w:pPr>
            <w:r>
              <w:rPr>
                <w:rFonts w:ascii="Times New Roman" w:cs="Times New Roman" w:eastAsia="Times New Roman" w:hAnsi="Times New Roman"/>
                <w:sz w:val="17"/>
                <w:szCs w:val="17"/>
                <w:color w:val="auto"/>
              </w:rPr>
              <w:t>Weighted average shares of common stock outstanding used to calculate diluted net</w:t>
            </w: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r>
      <w:tr>
        <w:trPr>
          <w:trHeight w:val="238"/>
        </w:trPr>
        <w:tc>
          <w:tcPr>
            <w:tcW w:w="6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per share</w:t>
            </w: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362,189,144</w:t>
            </w:r>
          </w:p>
        </w:tc>
        <w:tc>
          <w:tcPr>
            <w:tcW w:w="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397,480,431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403,392,458</w:t>
            </w:r>
          </w:p>
        </w:tc>
      </w:tr>
      <w:tr>
        <w:trPr>
          <w:trHeight w:val="21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 attributable to common stockholders</w:t>
            </w: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6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242424"/>
        </w:rPr>
        <w:t>The following weighted-average potentially dilutive securities were evaluated under the treasury stock method for potentially dilutive effects and have been excluded from diluted net income per share in the periods presented due to their anti-dilutive effect:</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80" w:type="dxa"/>
            <w:vAlign w:val="bottom"/>
          </w:tcPr>
          <w:p>
            <w:pPr>
              <w:spacing w:after="0"/>
              <w:rPr>
                <w:sz w:val="20"/>
                <w:szCs w:val="20"/>
                <w:color w:val="auto"/>
              </w:rPr>
            </w:pPr>
          </w:p>
        </w:tc>
        <w:tc>
          <w:tcPr>
            <w:tcW w:w="22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1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06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December 31, 2022</w:t>
            </w:r>
          </w:p>
        </w:tc>
      </w:tr>
      <w:tr>
        <w:trPr>
          <w:trHeight w:val="219"/>
        </w:trPr>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2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15,341,169</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13,179,013</w:t>
            </w:r>
          </w:p>
        </w:tc>
        <w:tc>
          <w:tcPr>
            <w:tcW w:w="100" w:type="dxa"/>
            <w:vAlign w:val="bottom"/>
            <w:tcBorders>
              <w:top w:val="single" w:sz="8" w:color="CCEEFF"/>
            </w:tcBorders>
            <w:shd w:val="clear" w:color="auto" w:fill="CCEEFF"/>
          </w:tcPr>
          <w:p>
            <w:pPr>
              <w:spacing w:after="0"/>
              <w:rPr>
                <w:sz w:val="19"/>
                <w:szCs w:val="19"/>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8,198,069</w:t>
            </w:r>
          </w:p>
        </w:tc>
      </w:tr>
      <w:tr>
        <w:trPr>
          <w:trHeight w:val="225"/>
        </w:trPr>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162,484</w:t>
            </w:r>
          </w:p>
        </w:tc>
        <w:tc>
          <w:tcPr>
            <w:tcW w:w="100" w:type="dxa"/>
            <w:vAlign w:val="bottom"/>
          </w:tcPr>
          <w:p>
            <w:pPr>
              <w:spacing w:after="0"/>
              <w:rPr>
                <w:sz w:val="19"/>
                <w:szCs w:val="19"/>
                <w:color w:val="auto"/>
              </w:rPr>
            </w:pPr>
          </w:p>
        </w:tc>
        <w:tc>
          <w:tcPr>
            <w:tcW w:w="2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478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anti-dilutive securities</w:t>
            </w:r>
          </w:p>
        </w:tc>
        <w:tc>
          <w:tcPr>
            <w:tcW w:w="2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15,503,653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13,179,013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8,198,069</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has operating leases for corporate offices under non-cancelable agreements with various expiration dates. Our leases do not have significant rent escalation, holidays, concessions, material residual value guarantees, material restrictive covenants, or contingent rent provisions. Our leases include both lease (e.g., fixed payments including rent, taxes, and insurance costs) and non-lease components (e.g., common-area or other maintenance costs) which are accounted for as a single lease component. In addition, we have elected the practical expedient to exclude short-term leases, which have an original lease term of one year or less, from our right-of-use assets and lease liabilities as well as the package of practical expedients relating to the adoption of ASC 842.</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Company subleases two offices. The subleases have remaining lease terms of less than seven years. Sublease income, which is recorded as a reduction of rent expense and allocated to the appropriate financial statement line items to arrive at </w:t>
      </w:r>
      <w:r>
        <w:rPr>
          <w:rFonts w:ascii="Times New Roman" w:cs="Times New Roman" w:eastAsia="Times New Roman" w:hAnsi="Times New Roman"/>
          <w:sz w:val="18"/>
          <w:szCs w:val="18"/>
          <w:i w:val="1"/>
          <w:iCs w:val="1"/>
          <w:color w:val="auto"/>
        </w:rPr>
        <w:t>Income from operations</w:t>
      </w:r>
      <w:r>
        <w:rPr>
          <w:rFonts w:ascii="Times New Roman" w:cs="Times New Roman" w:eastAsia="Times New Roman" w:hAnsi="Times New Roman"/>
          <w:sz w:val="18"/>
          <w:szCs w:val="18"/>
          <w:color w:val="auto"/>
        </w:rPr>
        <w:t xml:space="preserve"> on our Consolidated Statements of Operations, was immaterial for the years ended December 31, 2024, 2023, and 2022.</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right-of-use asset and lease liability balances as of December 31, 2024 and 2023 were as follows:</w:t>
      </w:r>
    </w:p>
    <w:p>
      <w:pPr>
        <w:spacing w:after="0" w:line="202"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5"/>
        </w:trPr>
        <w:tc>
          <w:tcPr>
            <w:tcW w:w="79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38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w:t>
            </w:r>
          </w:p>
        </w:tc>
      </w:tr>
      <w:tr>
        <w:trPr>
          <w:trHeight w:val="212"/>
        </w:trPr>
        <w:tc>
          <w:tcPr>
            <w:tcW w:w="7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5"/>
        </w:trPr>
        <w:tc>
          <w:tcPr>
            <w:tcW w:w="7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8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r>
      <w:tr>
        <w:trPr>
          <w:trHeight w:val="225"/>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r>
      <w:tr>
        <w:trPr>
          <w:trHeight w:val="244"/>
        </w:trPr>
        <w:tc>
          <w:tcPr>
            <w:tcW w:w="79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Rent expense was $64.9 million, inclusive of $38.8 million related to the Waltham Lease Restructuring, $17.7 million, and $13.4 million for the years ended December 31, 2024, 2023, and 2022, respectively.</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information related to leases was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2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r>
      <w:tr>
        <w:trPr>
          <w:trHeight w:val="219"/>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5"/>
        </w:trPr>
        <w:tc>
          <w:tcPr>
            <w:tcW w:w="62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36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5"/>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25"/>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received for tenant incentive reimbursement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2"/>
        </w:trPr>
        <w:tc>
          <w:tcPr>
            <w:tcW w:w="6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25"/>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Lease liabilities arising from obtaining right-of-use assets</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1"/>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From new and existing lease agreements and modifications</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bl>
    <w:p>
      <w:pPr>
        <w:spacing w:after="0" w:line="252"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100" w:type="dxa"/>
            <w:vAlign w:val="bottom"/>
            <w:tcBorders>
              <w:bottom w:val="single" w:sz="8" w:color="CCEEFF"/>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020" w:type="dxa"/>
            <w:vAlign w:val="bottom"/>
            <w:tcBorders>
              <w:top w:val="single" w:sz="8" w:color="auto"/>
              <w:bottom w:val="single" w:sz="8" w:color="auto"/>
            </w:tcBorders>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1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remaining lease term (in years)</w:t>
            </w:r>
          </w:p>
        </w:tc>
        <w:tc>
          <w:tcPr>
            <w:tcW w:w="13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3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discount rate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table below reconciles the undiscounted future minimum lease payments under non-cancelable leases to the total lease liabilities recognized as of December 31, 2024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6"/>
              </w:rPr>
              <w:t>Operating Leases</w:t>
            </w:r>
          </w:p>
        </w:tc>
      </w:tr>
      <w:tr>
        <w:trPr>
          <w:trHeight w:val="21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r>
      <w:tr>
        <w:trPr>
          <w:trHeight w:val="219"/>
        </w:trPr>
        <w:tc>
          <w:tcPr>
            <w:tcW w:w="96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Effects of discounting</w:t>
            </w: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w:t>
            </w:r>
          </w:p>
        </w:tc>
      </w:tr>
      <w:tr>
        <w:trPr>
          <w:trHeight w:val="244"/>
        </w:trPr>
        <w:tc>
          <w:tcPr>
            <w:tcW w:w="96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liabilities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table above does not include any legally binding minimum lease payments for leases signed but not yet commenced. Included in the undiscounted future minimum lease payments for the years ended December 31, 2025, and 2026 are future tenant improvement allowance reimbursements related to our Ra’anana, Israel and Vancouver, Washington leases.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Expense associated with short-term leases and variable lease costs were immaterial for the years ended December 31, 2024, 2023, and 2022. The expense related to short-term leases reasonably reflected our short-term lease commitments.</w:t>
      </w:r>
    </w:p>
    <w:p>
      <w:pPr>
        <w:spacing w:after="0" w:line="11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Undiscounted lease payments under all leases executed and not yet commenced are anticipated to be $62.1 million which relate to a lease expected to commence in 2025. These payments are not included in the tabular disclosure of undiscounted future minimum lease payments under non-cancelable leases above.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Leasing Activity</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 xml:space="preserve">Relating to our office space in Waltham, Massachusetts, the third and fourth phases of the lease commenced in April 2024 which, collectively, resulted in additional lease liabilities arising from obtaining right-of-use assets of $8.5 million. We recognized impairment charges of $4.3 million to reduce the carrying value of the associated right-of-use assets. Additionally, we recognized impairment charges of $4.8 million to reduce the carrying value of the right-of-use asset associated with the second phase of the lease. These charges are presented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 and relate to certain spaces which were intended to sublease. During the second quarter of 2024, the Company committed to the cease-use of all phases except for the first and second phases. As a result, we incurred lease abandonment charges of $4.1 million for the vacated spaces. These charges were allocated among the appropriate financial statement line items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Subsequently, in July 2024, the Company executed an agreement to restructure its existing lease commitments (“Waltham Lease Restructuring”). Pursuant to the agreement, the Company made a payment of $59.1 million. In accordance with ASC 842, the Company remeasured its lease liabilities using the revised lease payments under the modified agreement, which included the $59.1 million, and reallocated the remaining minimum lease payments in the contract to the remaining lease components. The reallocated portion of the minimum lease payments for the final phase, which had not yet commenced, of $13.1 million was recorded as a prepaid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These charges will be recognized in rent expense over the remaining lease terms which originally ranged from December 31, 2024 to December 31, 2025. The increase in our operating lease right-of-use assets resulting from the $59.1 million payment, combined with the shortened lease term, increased the amortization of those assets. Refer to the discussion below regarding the subsequent amendment to the agreement in November 2024. The Company also recorded a gain of $1.7 million as a result of the modification, which is presented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 for the year ended December 31, 2024. Additionally, the fifth phase of the lease commenced in the third quarter of 2024, resulting in additional lease liabilities arising from obtaining right-of-use assets of $16.1 million.</w:t>
      </w:r>
    </w:p>
    <w:p>
      <w:pPr>
        <w:spacing w:after="0" w:line="14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Also in July 2024, the Company executed a new lease agreement for separate office space in Waltham, Massachusetts with the same landlord, with rent payments expected to commence in the fourth quarter of 2025. The lease will terminate on December 31, 2038. The lease is subject to fixed-rate rent escalations and provides for $7.6 million in tenant improvements and the option to extend the lease for two terms of five years each. The Company determined that it is the accounting owner of all tenant improvements. As the commencement of the lease is expected to occur in the future, the Company has not recorded an operating lease right-of-use asset or lease liability for this space as of December 31, 2024. Undiscounted lease payments are anticipated to be $62.1 million, and are not included in the tabular disclosure of undiscounted future minimum lease payments under non-cancelable leases above.</w:t>
      </w:r>
    </w:p>
    <w:p>
      <w:pPr>
        <w:spacing w:after="0" w:line="13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November 2024, the Company executed an amendment to the Waltham Lease Restructuring agreement (“Amended Waltham Lease Restructuring”). Pursuant to the amendment, the Company agreed to lease separate office space in Waltham, Massachusetts with the same landlord in place of certain remaining lease components of the existing space, whereby the existing space terminated immediately upon execution. The Company derecognized right-of-use assets of $17.6 million and operating lease liabilities of $1.4 million associated with these components, as well as $13.1 million in prepaid rent and $0.8 million in initial direct costs resulting from the accounting treatment of the termination fee to a leased space which had not commenced as of the execution date. Additionally, in accordance with ASC 842, the resulting loss was partially offset by $1.6 million due to the difference between the present value of the lease payments and the market rent. This resulted in a net loss of $28.3 million which was allocated to the appropriate financial statement line items on the Consolidated Statements of Operations. The remaining components which were not impacted by the amendment terminated on December 31, 2024 under the terms of the Amended Waltham Lease Restructuring (refer to the separate amendment agreement subsequently signed below). Related to the Amended Waltham Lease Restructuring, the Company expects rent payments to commence in the first quarter of 2025. The lease ends on December 31, 2025, and undiscounted lease payments are $1.5 million.</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Additionally, in November 2024, the Company executed a second amendment to the Waltham Lease Restructuring agreement to extend the term for a portion of the remaining components, which were set to terminate on December 31, 2024, by three months and is set to terminate on March 31, 2025. The Company is not obligated to make any additional lease payments as a result of the extension.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 xml:space="preserve">Relating to our new corporate headquarters in Vancouver, Washington, the sixth floor of the lease commenced in March 2024. The commencement of the floor resulted in additional lease liabilities arising from obtaining right-of-use assets of $27.5 million. The seventh, eighth, and ninth floors of the lease commenced in April, May, and June, respectively. The commencement of these floors resulted in additional lease liabilities arising from obtaining right-of-use assets of $59.2 million. The tenth floor and lobby of the lease commenced in September, resulting in additional lease liabilities arising from obtaining right-of-use assets of $15.4 million. The amenities portion of the lease commenced in October, resulting in additional lease liabilities arising from obtaining right-of-use assets of $4.4 million. During the year ended December 31, 2024, we recognized impairment charges of $37.9 million to reduce the carrying value of the right-of-use assets associated with certain spaces of the leased premises which were intended to sublease. These charges are presented within </w:t>
      </w:r>
      <w:r>
        <w:rPr>
          <w:rFonts w:ascii="Times New Roman" w:cs="Times New Roman" w:eastAsia="Times New Roman" w:hAnsi="Times New Roman"/>
          <w:sz w:val="18"/>
          <w:szCs w:val="18"/>
          <w:i w:val="1"/>
          <w:iCs w:val="1"/>
          <w:color w:val="auto"/>
        </w:rPr>
        <w:t>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w:t>
      </w:r>
      <w:r>
        <w:rPr>
          <w:rFonts w:ascii="Times New Roman" w:cs="Times New Roman" w:eastAsia="Times New Roman" w:hAnsi="Times New Roman"/>
          <w:sz w:val="18"/>
          <w:szCs w:val="18"/>
          <w:color w:val="auto"/>
        </w:rPr>
        <w:t>on the Consolidated Statements of Operations.</w:t>
      </w:r>
    </w:p>
    <w:p>
      <w:pPr>
        <w:spacing w:after="0" w:line="13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Relating to our office space in Ra’anana, Israel, which commenced during the third quarter of 2023, we recognized additional impairment charges of $5.9 million during the year ended December 31, 2024 related to certain spaces of the leased premises which were intended to sublease. These charges are presented within </w:t>
      </w: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xml:space="preserve"> on the Consolidated Statements of Operations.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Equity-based Compensation</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2020 Omnibus Incentive Plan </w:t>
      </w:r>
      <w:r>
        <w:rPr>
          <w:rFonts w:ascii="Times New Roman" w:cs="Times New Roman" w:eastAsia="Times New Roman" w:hAnsi="Times New Roman"/>
          <w:sz w:val="18"/>
          <w:szCs w:val="18"/>
          <w:color w:val="auto"/>
        </w:rPr>
        <w:t>- On May 26, 2020, the Board adopted the Omnibus Plan. The Omnibus Plan provides for potential grants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awards with respect to shares of the Company’s common stock or securities valued by reference to, or otherwise determined by reference to or based on, shares of common stock: (i) incentive stock options qualified as such under U.S. federal income tax laws; (ii) non-qualified stock options or any other form of stock options; (iii) stock appreciation rights; (iv) restricted stock; (v) restricted stock units; (vi) interests in a limited liability company that is a subsidiary of the Company, and (vii) other equity-based and cash-based incentive awards as determined by the compensation committee of the Board or any properly delegated subcommittee.</w:t>
      </w:r>
    </w:p>
    <w:p>
      <w:pPr>
        <w:spacing w:after="0" w:line="134"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The maximum aggregate number of shares of common stock that could be issued pursuant to awards under the Omnibus Plan was 18,650,000 shares (including other securities which have been issued under the plan and were converted into awards based on shares of common stock) (the “Plan Share Reserve”). The Omnibus Plan also contains a provision that will add an additional number of shares of common stock to the Plan Share Reserve on the first day of each year starting with January 1, 2021, equal to the lesser of (i) the positive difference between (x) 5% of the number of shares of common stock outstanding on the last day of the immediately preceding year, and (y) the Plan Share Reserve on the last day of the immediately preceding year, and (ii) a lower number of shares of common stock as may be determined by the Board. As of December 31, 2024, the number of shares remaining available for future issuance under the Omnibus Incentive Plan was 11,517,998.</w:t>
      </w:r>
    </w:p>
    <w:p>
      <w:pPr>
        <w:spacing w:after="0" w:line="13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currently has equity-based compensation awards outstanding as follows: restricted stock units, and common stock options. In addition, the Company recognizes equity-based compensation expense from awards granted to employees as further described below under HSKB Phantom Units.</w:t>
      </w:r>
    </w:p>
    <w:p>
      <w:pPr>
        <w:spacing w:after="0" w:line="110"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Except where indicated otherwise, the equity-based compensation awards described below are subject to time-based service requirements. For all grants issued, the service vesting condition is generally four years with 25% vesting on the one-year anniversary of the grant date of the award and 6.25% vesting quarterly thereafter; or three years with 33% vesting on the one-year anniversary of the grant date of the award and 8.375% vesting quarterly thereafter.</w:t>
      </w:r>
    </w:p>
    <w:p>
      <w:pPr>
        <w:spacing w:after="0" w:line="10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second quarter of 2024, the Company issued performance-based RSUs (“PRSUs”) which will vest in annual tranches over a three-year service period. Total PRSUs earned for grants made in 2024 may vary between 0% and 150% of the PRSUs granted based on the attainment of company specific-performance targets during the related performance period and continued service. All of the PRSUs earned will be settled through the issuance of an equivalent number of shares of the Company’s common stock based on the payout level achieved.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Equity-based Compensation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During the year ended December 31, 2023, the Company issued PRSUs, which were recommended by the Compensation Committee of the Board and approved by the full Board. The service vesting condition for one of the issued awards is one year. Each of the remaining PRSUs will vest in annual tranches over a three-year service period. Total PRSUs earned for grants made in 2023 may vary between 0% and 200% of the PRSUs granted based on the attainment of company-specific performance targets during the related performance period and continued service. In 2024, the Compensation committee elected to cancel the PRSUs granted in 2023.</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During the second quarter of 2024, the Company issued market-based RSUs, which were approved by the Board. These awards will vest over the performance period which commenced on June 20, 2024, and will conclude on April 1, 2027. The vesting is based on the attainment of an average 30-day closing price of the applicable stock price threshold of the Company’s common stock at any time during the performance period and subject to continuous employment through the vesting dates.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5"/>
              </w:rPr>
              <w:t>Tranche</w:t>
            </w:r>
          </w:p>
        </w:tc>
        <w:tc>
          <w:tcPr>
            <w:tcW w:w="2840" w:type="dxa"/>
            <w:vAlign w:val="bottom"/>
            <w:gridSpan w:val="2"/>
            <w:vMerge w:val="restart"/>
          </w:tcPr>
          <w:p>
            <w:pPr>
              <w:ind w:left="300"/>
              <w:spacing w:after="0"/>
              <w:rPr>
                <w:sz w:val="20"/>
                <w:szCs w:val="20"/>
                <w:color w:val="auto"/>
              </w:rPr>
            </w:pPr>
            <w:r>
              <w:rPr>
                <w:rFonts w:ascii="Times New Roman" w:cs="Times New Roman" w:eastAsia="Times New Roman" w:hAnsi="Times New Roman"/>
                <w:sz w:val="18"/>
                <w:szCs w:val="18"/>
                <w:b w:val="1"/>
                <w:bCs w:val="1"/>
                <w:color w:val="auto"/>
              </w:rPr>
              <w:t>Company Stock Price Target</w:t>
            </w:r>
          </w:p>
        </w:tc>
        <w:tc>
          <w:tcPr>
            <w:tcW w:w="2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Number of Eligible Market-Based</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Satisfaction of Minimum Service</w:t>
            </w:r>
          </w:p>
        </w:tc>
        <w:tc>
          <w:tcPr>
            <w:tcW w:w="0" w:type="dxa"/>
            <w:vAlign w:val="bottom"/>
          </w:tcPr>
          <w:p>
            <w:pPr>
              <w:spacing w:after="0"/>
              <w:rPr>
                <w:sz w:val="1"/>
                <w:szCs w:val="1"/>
                <w:color w:val="auto"/>
              </w:rPr>
            </w:pPr>
          </w:p>
        </w:tc>
      </w:tr>
      <w:tr>
        <w:trPr>
          <w:trHeight w:val="238"/>
        </w:trPr>
        <w:tc>
          <w:tcPr>
            <w:tcW w:w="2820" w:type="dxa"/>
            <w:vAlign w:val="bottom"/>
            <w:gridSpan w:val="2"/>
            <w:vMerge w:val="continue"/>
          </w:tcPr>
          <w:p>
            <w:pPr>
              <w:spacing w:after="0"/>
              <w:rPr>
                <w:sz w:val="20"/>
                <w:szCs w:val="20"/>
                <w:color w:val="auto"/>
              </w:rPr>
            </w:pPr>
          </w:p>
        </w:tc>
        <w:tc>
          <w:tcPr>
            <w:tcW w:w="2840" w:type="dxa"/>
            <w:vAlign w:val="bottom"/>
            <w:gridSpan w:val="2"/>
            <w:vMerge w:val="continue"/>
          </w:tcPr>
          <w:p>
            <w:pPr>
              <w:spacing w:after="0"/>
              <w:rPr>
                <w:sz w:val="20"/>
                <w:szCs w:val="20"/>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RSUs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Requirement</w:t>
            </w:r>
          </w:p>
        </w:tc>
        <w:tc>
          <w:tcPr>
            <w:tcW w:w="0" w:type="dxa"/>
            <w:vAlign w:val="bottom"/>
          </w:tcPr>
          <w:p>
            <w:pPr>
              <w:spacing w:after="0"/>
              <w:rPr>
                <w:sz w:val="1"/>
                <w:szCs w:val="1"/>
                <w:color w:val="auto"/>
              </w:rPr>
            </w:pPr>
          </w:p>
        </w:tc>
      </w:tr>
      <w:tr>
        <w:trPr>
          <w:trHeight w:val="166"/>
        </w:trPr>
        <w:tc>
          <w:tcPr>
            <w:tcW w:w="27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4"/>
                <w:szCs w:val="14"/>
                <w:color w:val="auto"/>
              </w:rPr>
            </w:pPr>
          </w:p>
        </w:tc>
        <w:tc>
          <w:tcPr>
            <w:tcW w:w="276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$15.11</w:t>
            </w:r>
          </w:p>
        </w:tc>
        <w:tc>
          <w:tcPr>
            <w:tcW w:w="80" w:type="dxa"/>
            <w:vAlign w:val="bottom"/>
            <w:tcBorders>
              <w:top w:val="single" w:sz="8" w:color="CCEEFF"/>
            </w:tcBorders>
            <w:shd w:val="clear" w:color="auto" w:fill="CCEEFF"/>
          </w:tcPr>
          <w:p>
            <w:pPr>
              <w:spacing w:after="0"/>
              <w:rPr>
                <w:sz w:val="14"/>
                <w:szCs w:val="14"/>
                <w:color w:val="auto"/>
              </w:rPr>
            </w:pPr>
          </w:p>
        </w:tc>
        <w:tc>
          <w:tcPr>
            <w:tcW w:w="2740" w:type="dxa"/>
            <w:vAlign w:val="bottom"/>
            <w:tcBorders>
              <w:top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110,295</w:t>
            </w:r>
          </w:p>
        </w:tc>
        <w:tc>
          <w:tcPr>
            <w:tcW w:w="100" w:type="dxa"/>
            <w:vAlign w:val="bottom"/>
            <w:tcBorders>
              <w:top w:val="single" w:sz="8" w:color="CCEEFF"/>
            </w:tcBorders>
            <w:shd w:val="clear" w:color="auto" w:fill="CCEEFF"/>
          </w:tcPr>
          <w:p>
            <w:pPr>
              <w:spacing w:after="0"/>
              <w:rPr>
                <w:sz w:val="14"/>
                <w:szCs w:val="14"/>
                <w:color w:val="auto"/>
              </w:rPr>
            </w:pPr>
          </w:p>
        </w:tc>
        <w:tc>
          <w:tcPr>
            <w:tcW w:w="2740" w:type="dxa"/>
            <w:vAlign w:val="bottom"/>
            <w:tcBorders>
              <w:top w:val="single" w:sz="8" w:color="auto"/>
            </w:tcBorders>
            <w:shd w:val="clear" w:color="auto" w:fill="CCEEFF"/>
          </w:tcPr>
          <w:p>
            <w:pPr>
              <w:jc w:val="center"/>
              <w:spacing w:after="0" w:line="165" w:lineRule="exact"/>
              <w:rPr>
                <w:sz w:val="20"/>
                <w:szCs w:val="20"/>
                <w:color w:val="auto"/>
              </w:rPr>
            </w:pPr>
            <w:r>
              <w:rPr>
                <w:rFonts w:ascii="Times New Roman" w:cs="Times New Roman" w:eastAsia="Times New Roman" w:hAnsi="Times New Roman"/>
                <w:sz w:val="18"/>
                <w:szCs w:val="18"/>
                <w:color w:val="auto"/>
                <w:w w:val="98"/>
              </w:rPr>
              <w:t>Service through and including</w:t>
            </w:r>
          </w:p>
        </w:tc>
        <w:tc>
          <w:tcPr>
            <w:tcW w:w="0" w:type="dxa"/>
            <w:vAlign w:val="bottom"/>
          </w:tcPr>
          <w:p>
            <w:pPr>
              <w:spacing w:after="0"/>
              <w:rPr>
                <w:sz w:val="1"/>
                <w:szCs w:val="1"/>
                <w:color w:val="auto"/>
              </w:rPr>
            </w:pPr>
          </w:p>
        </w:tc>
      </w:tr>
      <w:tr>
        <w:trPr>
          <w:trHeight w:val="147"/>
        </w:trPr>
        <w:tc>
          <w:tcPr>
            <w:tcW w:w="2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2025</w:t>
            </w:r>
          </w:p>
        </w:tc>
        <w:tc>
          <w:tcPr>
            <w:tcW w:w="0" w:type="dxa"/>
            <w:vAlign w:val="bottom"/>
          </w:tcPr>
          <w:p>
            <w:pPr>
              <w:spacing w:after="0"/>
              <w:rPr>
                <w:sz w:val="1"/>
                <w:szCs w:val="1"/>
                <w:color w:val="auto"/>
              </w:rPr>
            </w:pPr>
          </w:p>
        </w:tc>
      </w:tr>
      <w:tr>
        <w:trPr>
          <w:trHeight w:val="92"/>
        </w:trPr>
        <w:tc>
          <w:tcPr>
            <w:tcW w:w="2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4"/>
                <w:szCs w:val="14"/>
                <w:color w:val="auto"/>
              </w:rPr>
            </w:pP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17.61</w:t>
            </w:r>
          </w:p>
        </w:tc>
        <w:tc>
          <w:tcPr>
            <w:tcW w:w="80" w:type="dxa"/>
            <w:vAlign w:val="bottom"/>
          </w:tcPr>
          <w:p>
            <w:pPr>
              <w:spacing w:after="0"/>
              <w:rPr>
                <w:sz w:val="14"/>
                <w:szCs w:val="14"/>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110,294</w:t>
            </w:r>
          </w:p>
        </w:tc>
        <w:tc>
          <w:tcPr>
            <w:tcW w:w="100" w:type="dxa"/>
            <w:vAlign w:val="bottom"/>
          </w:tcPr>
          <w:p>
            <w:pPr>
              <w:spacing w:after="0"/>
              <w:rPr>
                <w:sz w:val="14"/>
                <w:szCs w:val="14"/>
                <w:color w:val="auto"/>
              </w:rPr>
            </w:pPr>
          </w:p>
        </w:tc>
        <w:tc>
          <w:tcPr>
            <w:tcW w:w="27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8"/>
              </w:rPr>
              <w:t>Service through and including</w:t>
            </w:r>
          </w:p>
        </w:tc>
        <w:tc>
          <w:tcPr>
            <w:tcW w:w="0" w:type="dxa"/>
            <w:vAlign w:val="bottom"/>
          </w:tcPr>
          <w:p>
            <w:pPr>
              <w:spacing w:after="0"/>
              <w:rPr>
                <w:sz w:val="1"/>
                <w:szCs w:val="1"/>
                <w:color w:val="auto"/>
              </w:rPr>
            </w:pPr>
          </w:p>
        </w:tc>
      </w:tr>
      <w:tr>
        <w:trPr>
          <w:trHeight w:val="147"/>
        </w:trPr>
        <w:tc>
          <w:tcPr>
            <w:tcW w:w="2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October 1, 2025</w:t>
            </w:r>
          </w:p>
        </w:tc>
        <w:tc>
          <w:tcPr>
            <w:tcW w:w="0" w:type="dxa"/>
            <w:vAlign w:val="bottom"/>
          </w:tcPr>
          <w:p>
            <w:pPr>
              <w:spacing w:after="0"/>
              <w:rPr>
                <w:sz w:val="1"/>
                <w:szCs w:val="1"/>
                <w:color w:val="auto"/>
              </w:rPr>
            </w:pPr>
          </w:p>
        </w:tc>
      </w:tr>
      <w:tr>
        <w:trPr>
          <w:trHeight w:val="88"/>
        </w:trPr>
        <w:tc>
          <w:tcPr>
            <w:tcW w:w="2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5"/>
                <w:szCs w:val="15"/>
                <w:color w:val="auto"/>
              </w:rPr>
            </w:pPr>
          </w:p>
        </w:tc>
        <w:tc>
          <w:tcPr>
            <w:tcW w:w="2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20.11</w:t>
            </w:r>
          </w:p>
        </w:tc>
        <w:tc>
          <w:tcPr>
            <w:tcW w:w="80" w:type="dxa"/>
            <w:vAlign w:val="bottom"/>
            <w:shd w:val="clear" w:color="auto" w:fill="CCEEFF"/>
          </w:tcPr>
          <w:p>
            <w:pPr>
              <w:spacing w:after="0"/>
              <w:rPr>
                <w:sz w:val="15"/>
                <w:szCs w:val="15"/>
                <w:color w:val="auto"/>
              </w:rPr>
            </w:pPr>
          </w:p>
        </w:tc>
        <w:tc>
          <w:tcPr>
            <w:tcW w:w="2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110,294</w:t>
            </w:r>
          </w:p>
        </w:tc>
        <w:tc>
          <w:tcPr>
            <w:tcW w:w="100" w:type="dxa"/>
            <w:vAlign w:val="bottom"/>
            <w:shd w:val="clear" w:color="auto" w:fill="CCEEFF"/>
          </w:tcPr>
          <w:p>
            <w:pPr>
              <w:spacing w:after="0"/>
              <w:rPr>
                <w:sz w:val="15"/>
                <w:szCs w:val="15"/>
                <w:color w:val="auto"/>
              </w:rPr>
            </w:pPr>
          </w:p>
        </w:tc>
        <w:tc>
          <w:tcPr>
            <w:tcW w:w="27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Service through and including July 1,</w:t>
            </w:r>
          </w:p>
        </w:tc>
        <w:tc>
          <w:tcPr>
            <w:tcW w:w="0" w:type="dxa"/>
            <w:vAlign w:val="bottom"/>
          </w:tcPr>
          <w:p>
            <w:pPr>
              <w:spacing w:after="0"/>
              <w:rPr>
                <w:sz w:val="1"/>
                <w:szCs w:val="1"/>
                <w:color w:val="auto"/>
              </w:rPr>
            </w:pPr>
          </w:p>
        </w:tc>
      </w:tr>
      <w:tr>
        <w:trPr>
          <w:trHeight w:val="147"/>
        </w:trPr>
        <w:tc>
          <w:tcPr>
            <w:tcW w:w="2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740" w:type="dxa"/>
            <w:vAlign w:val="bottom"/>
            <w:vMerge w:val="restart"/>
            <w:shd w:val="clear" w:color="auto" w:fill="CCEEFF"/>
          </w:tcPr>
          <w:p>
            <w:pPr>
              <w:jc w:val="right"/>
              <w:ind w:right="1112"/>
              <w:spacing w:after="0"/>
              <w:rPr>
                <w:sz w:val="20"/>
                <w:szCs w:val="20"/>
                <w:color w:val="auto"/>
              </w:rPr>
            </w:pPr>
            <w:r>
              <w:rPr>
                <w:rFonts w:ascii="Times New Roman" w:cs="Times New Roman" w:eastAsia="Times New Roman" w:hAnsi="Times New Roman"/>
                <w:sz w:val="18"/>
                <w:szCs w:val="18"/>
                <w:color w:val="auto"/>
              </w:rPr>
              <w:t>2026</w:t>
            </w:r>
          </w:p>
        </w:tc>
        <w:tc>
          <w:tcPr>
            <w:tcW w:w="0" w:type="dxa"/>
            <w:vAlign w:val="bottom"/>
          </w:tcPr>
          <w:p>
            <w:pPr>
              <w:spacing w:after="0"/>
              <w:rPr>
                <w:sz w:val="1"/>
                <w:szCs w:val="1"/>
                <w:color w:val="auto"/>
              </w:rPr>
            </w:pPr>
          </w:p>
        </w:tc>
      </w:tr>
      <w:tr>
        <w:trPr>
          <w:trHeight w:val="92"/>
        </w:trPr>
        <w:tc>
          <w:tcPr>
            <w:tcW w:w="27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7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4"/>
                <w:szCs w:val="14"/>
                <w:color w:val="auto"/>
              </w:rPr>
            </w:pPr>
          </w:p>
        </w:tc>
        <w:tc>
          <w:tcPr>
            <w:tcW w:w="2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22.61</w:t>
            </w:r>
          </w:p>
        </w:tc>
        <w:tc>
          <w:tcPr>
            <w:tcW w:w="80" w:type="dxa"/>
            <w:vAlign w:val="bottom"/>
          </w:tcPr>
          <w:p>
            <w:pPr>
              <w:spacing w:after="0"/>
              <w:rPr>
                <w:sz w:val="14"/>
                <w:szCs w:val="14"/>
                <w:color w:val="auto"/>
              </w:rPr>
            </w:pPr>
          </w:p>
        </w:tc>
        <w:tc>
          <w:tcPr>
            <w:tcW w:w="2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110,294</w:t>
            </w:r>
          </w:p>
        </w:tc>
        <w:tc>
          <w:tcPr>
            <w:tcW w:w="100" w:type="dxa"/>
            <w:vAlign w:val="bottom"/>
          </w:tcPr>
          <w:p>
            <w:pPr>
              <w:spacing w:after="0"/>
              <w:rPr>
                <w:sz w:val="14"/>
                <w:szCs w:val="14"/>
                <w:color w:val="auto"/>
              </w:rPr>
            </w:pPr>
          </w:p>
        </w:tc>
        <w:tc>
          <w:tcPr>
            <w:tcW w:w="2740" w:type="dxa"/>
            <w:vAlign w:val="bottom"/>
          </w:tcPr>
          <w:p>
            <w:pPr>
              <w:jc w:val="center"/>
              <w:spacing w:after="0" w:line="172" w:lineRule="exact"/>
              <w:rPr>
                <w:sz w:val="20"/>
                <w:szCs w:val="20"/>
                <w:color w:val="auto"/>
              </w:rPr>
            </w:pPr>
            <w:r>
              <w:rPr>
                <w:rFonts w:ascii="Times New Roman" w:cs="Times New Roman" w:eastAsia="Times New Roman" w:hAnsi="Times New Roman"/>
                <w:sz w:val="18"/>
                <w:szCs w:val="18"/>
                <w:color w:val="auto"/>
                <w:w w:val="97"/>
              </w:rPr>
              <w:t>Service through and including April</w:t>
            </w:r>
          </w:p>
        </w:tc>
        <w:tc>
          <w:tcPr>
            <w:tcW w:w="0" w:type="dxa"/>
            <w:vAlign w:val="bottom"/>
          </w:tcPr>
          <w:p>
            <w:pPr>
              <w:spacing w:after="0"/>
              <w:rPr>
                <w:sz w:val="1"/>
                <w:szCs w:val="1"/>
                <w:color w:val="auto"/>
              </w:rPr>
            </w:pPr>
          </w:p>
        </w:tc>
      </w:tr>
      <w:tr>
        <w:trPr>
          <w:trHeight w:val="147"/>
        </w:trPr>
        <w:tc>
          <w:tcPr>
            <w:tcW w:w="2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740" w:type="dxa"/>
            <w:vAlign w:val="bottom"/>
            <w:vMerge w:val="restart"/>
          </w:tcPr>
          <w:p>
            <w:pPr>
              <w:jc w:val="right"/>
              <w:ind w:right="1012"/>
              <w:spacing w:after="0"/>
              <w:rPr>
                <w:sz w:val="20"/>
                <w:szCs w:val="20"/>
                <w:color w:val="auto"/>
              </w:rPr>
            </w:pPr>
            <w:r>
              <w:rPr>
                <w:rFonts w:ascii="Times New Roman" w:cs="Times New Roman" w:eastAsia="Times New Roman" w:hAnsi="Times New Roman"/>
                <w:sz w:val="18"/>
                <w:szCs w:val="18"/>
                <w:color w:val="auto"/>
              </w:rPr>
              <w:t>1, 2027</w:t>
            </w:r>
          </w:p>
        </w:tc>
        <w:tc>
          <w:tcPr>
            <w:tcW w:w="0" w:type="dxa"/>
            <w:vAlign w:val="bottom"/>
          </w:tcPr>
          <w:p>
            <w:pPr>
              <w:spacing w:after="0"/>
              <w:rPr>
                <w:sz w:val="1"/>
                <w:szCs w:val="1"/>
                <w:color w:val="auto"/>
              </w:rPr>
            </w:pPr>
          </w:p>
        </w:tc>
      </w:tr>
      <w:tr>
        <w:trPr>
          <w:trHeight w:val="85"/>
        </w:trPr>
        <w:tc>
          <w:tcPr>
            <w:tcW w:w="2740" w:type="dxa"/>
            <w:vAlign w:val="bottom"/>
          </w:tcPr>
          <w:p>
            <w:pPr>
              <w:spacing w:after="0"/>
              <w:rPr>
                <w:sz w:val="7"/>
                <w:szCs w:val="7"/>
                <w:color w:val="auto"/>
              </w:rPr>
            </w:pPr>
          </w:p>
        </w:tc>
        <w:tc>
          <w:tcPr>
            <w:tcW w:w="8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Certain additional grants have other vesting periods approved by the Compensation Committee of the Board.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Restricted stock unit activity was as follows during the periods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60" w:type="dxa"/>
            <w:vAlign w:val="bottom"/>
          </w:tcPr>
          <w:p>
            <w:pPr>
              <w:spacing w:after="0"/>
              <w:rPr>
                <w:sz w:val="18"/>
                <w:szCs w:val="18"/>
                <w:color w:val="auto"/>
              </w:rPr>
            </w:pPr>
          </w:p>
        </w:tc>
        <w:tc>
          <w:tcPr>
            <w:tcW w:w="3640" w:type="dxa"/>
            <w:vAlign w:val="bottom"/>
            <w:gridSpan w:val="5"/>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3640" w:type="dxa"/>
            <w:vAlign w:val="bottom"/>
            <w:gridSpan w:val="5"/>
            <w:vMerge w:val="continue"/>
          </w:tcPr>
          <w:p>
            <w:pPr>
              <w:spacing w:after="0"/>
              <w:rPr>
                <w:sz w:val="20"/>
                <w:szCs w:val="20"/>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17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31, 2022</w:t>
            </w:r>
          </w:p>
        </w:tc>
        <w:tc>
          <w:tcPr>
            <w:tcW w:w="0" w:type="dxa"/>
            <w:vAlign w:val="bottom"/>
          </w:tcPr>
          <w:p>
            <w:pPr>
              <w:spacing w:after="0"/>
              <w:rPr>
                <w:sz w:val="1"/>
                <w:szCs w:val="1"/>
                <w:color w:val="auto"/>
              </w:rPr>
            </w:pPr>
          </w:p>
        </w:tc>
      </w:tr>
      <w:tr>
        <w:trPr>
          <w:trHeight w:val="165"/>
        </w:trPr>
        <w:tc>
          <w:tcPr>
            <w:tcW w:w="406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ind w:right="72"/>
              <w:spacing w:after="0" w:line="165"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06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Restricted Stock Units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2"/>
          </w:tcPr>
          <w:p>
            <w:pPr>
              <w:jc w:val="center"/>
              <w:ind w:right="240"/>
              <w:spacing w:after="0" w:line="172"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18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Restricted Stock Units</w:t>
            </w:r>
          </w:p>
        </w:tc>
        <w:tc>
          <w:tcPr>
            <w:tcW w:w="1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Restricted Stock Units</w:t>
            </w: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0" w:type="dxa"/>
            <w:vAlign w:val="bottom"/>
            <w:gridSpan w:val="2"/>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12,636,460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10,377,568</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4,853,795</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11,205,269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8,731,967</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8,678,522</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 - performance-based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509,824</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147,445</w:t>
            </w:r>
          </w:p>
        </w:tc>
        <w:tc>
          <w:tcPr>
            <w:tcW w:w="0" w:type="dxa"/>
            <w:vAlign w:val="bottom"/>
          </w:tcPr>
          <w:p>
            <w:pPr>
              <w:spacing w:after="0"/>
              <w:rPr>
                <w:sz w:val="1"/>
                <w:szCs w:val="1"/>
                <w:color w:val="auto"/>
              </w:rPr>
            </w:pPr>
          </w:p>
        </w:tc>
      </w:tr>
      <w:tr>
        <w:trPr>
          <w:trHeight w:val="225"/>
        </w:trPr>
        <w:tc>
          <w:tcPr>
            <w:tcW w:w="4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 - market-based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441,177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(5,295,543)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29.77</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(4,292,910)</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(1,265,449)</w:t>
            </w:r>
          </w:p>
        </w:tc>
        <w:tc>
          <w:tcPr>
            <w:tcW w:w="0" w:type="dxa"/>
            <w:vAlign w:val="bottom"/>
          </w:tcPr>
          <w:p>
            <w:pPr>
              <w:spacing w:after="0"/>
              <w:rPr>
                <w:sz w:val="1"/>
                <w:szCs w:val="1"/>
                <w:color w:val="auto"/>
              </w:rPr>
            </w:pPr>
          </w:p>
        </w:tc>
      </w:tr>
      <w:tr>
        <w:trPr>
          <w:trHeight w:val="225"/>
        </w:trPr>
        <w:tc>
          <w:tcPr>
            <w:tcW w:w="4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(4,040,141)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Borders>
              <w:bottom w:val="single" w:sz="8" w:color="CCEEFF"/>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(2,689,989)</w:t>
            </w:r>
          </w:p>
        </w:tc>
        <w:tc>
          <w:tcPr>
            <w:tcW w:w="8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(2,036,745)</w:t>
            </w:r>
          </w:p>
        </w:tc>
        <w:tc>
          <w:tcPr>
            <w:tcW w:w="0" w:type="dxa"/>
            <w:vAlign w:val="bottom"/>
          </w:tcPr>
          <w:p>
            <w:pPr>
              <w:spacing w:after="0"/>
              <w:rPr>
                <w:sz w:val="1"/>
                <w:szCs w:val="1"/>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15,220,019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12,636,460</w:t>
            </w:r>
          </w:p>
        </w:tc>
        <w:tc>
          <w:tcPr>
            <w:tcW w:w="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10,377,568</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57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Restricted stock activity was as follows during the periods indicated:</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4040" w:type="dxa"/>
            <w:vAlign w:val="bottom"/>
          </w:tcPr>
          <w:p>
            <w:pPr>
              <w:spacing w:after="0"/>
              <w:rPr>
                <w:sz w:val="24"/>
                <w:szCs w:val="24"/>
                <w:color w:val="auto"/>
              </w:rPr>
            </w:pPr>
          </w:p>
        </w:tc>
        <w:tc>
          <w:tcPr>
            <w:tcW w:w="3640" w:type="dxa"/>
            <w:vAlign w:val="bottom"/>
            <w:gridSpan w:val="5"/>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3640" w:type="dxa"/>
            <w:vAlign w:val="bottom"/>
            <w:gridSpan w:val="5"/>
            <w:vMerge w:val="continue"/>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80" w:type="dxa"/>
            <w:vAlign w:val="bottom"/>
          </w:tcPr>
          <w:p>
            <w:pPr>
              <w:spacing w:after="0"/>
              <w:rPr>
                <w:sz w:val="20"/>
                <w:szCs w:val="20"/>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31, 2022</w:t>
            </w:r>
          </w:p>
        </w:tc>
        <w:tc>
          <w:tcPr>
            <w:tcW w:w="0" w:type="dxa"/>
            <w:vAlign w:val="bottom"/>
          </w:tcPr>
          <w:p>
            <w:pPr>
              <w:spacing w:after="0"/>
              <w:rPr>
                <w:sz w:val="1"/>
                <w:szCs w:val="1"/>
                <w:color w:val="auto"/>
              </w:rPr>
            </w:pPr>
          </w:p>
        </w:tc>
      </w:tr>
      <w:tr>
        <w:trPr>
          <w:trHeight w:val="165"/>
        </w:trPr>
        <w:tc>
          <w:tcPr>
            <w:tcW w:w="404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80" w:type="dxa"/>
            <w:vAlign w:val="bottom"/>
            <w:tcBorders>
              <w:top w:val="single" w:sz="8" w:color="auto"/>
            </w:tcBorders>
          </w:tcPr>
          <w:p>
            <w:pPr>
              <w:jc w:val="center"/>
              <w:ind w:right="32"/>
              <w:spacing w:after="0" w:line="165" w:lineRule="exact"/>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10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040" w:type="dxa"/>
            <w:vAlign w:val="bottom"/>
          </w:tcPr>
          <w:p>
            <w:pPr>
              <w:spacing w:after="0"/>
              <w:rPr>
                <w:sz w:val="15"/>
                <w:szCs w:val="15"/>
                <w:color w:val="auto"/>
              </w:rPr>
            </w:pPr>
          </w:p>
        </w:tc>
        <w:tc>
          <w:tcPr>
            <w:tcW w:w="1720" w:type="dxa"/>
            <w:vAlign w:val="bottom"/>
            <w:vMerge w:val="restart"/>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Restricted stock</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8"/>
                <w:szCs w:val="18"/>
                <w:b w:val="1"/>
                <w:bCs w:val="1"/>
                <w:color w:val="auto"/>
                <w:w w:val="97"/>
              </w:rPr>
              <w:t>Grant Date Fair</w:t>
            </w:r>
          </w:p>
        </w:tc>
        <w:tc>
          <w:tcPr>
            <w:tcW w:w="1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Restricted stock</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Restricted stock</w:t>
            </w:r>
          </w:p>
        </w:tc>
        <w:tc>
          <w:tcPr>
            <w:tcW w:w="0" w:type="dxa"/>
            <w:vAlign w:val="bottom"/>
          </w:tcPr>
          <w:p>
            <w:pPr>
              <w:spacing w:after="0"/>
              <w:rPr>
                <w:sz w:val="1"/>
                <w:szCs w:val="1"/>
                <w:color w:val="auto"/>
              </w:rPr>
            </w:pPr>
          </w:p>
        </w:tc>
      </w:tr>
      <w:tr>
        <w:trPr>
          <w:trHeight w:val="232"/>
        </w:trPr>
        <w:tc>
          <w:tcPr>
            <w:tcW w:w="404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20" w:type="dxa"/>
            <w:vAlign w:val="bottom"/>
            <w:gridSpan w:val="2"/>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at beginning of period</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347,976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858,560</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3,525,373</w:t>
            </w:r>
          </w:p>
        </w:tc>
        <w:tc>
          <w:tcPr>
            <w:tcW w:w="0" w:type="dxa"/>
            <w:vAlign w:val="bottom"/>
          </w:tcPr>
          <w:p>
            <w:pPr>
              <w:spacing w:after="0"/>
              <w:rPr>
                <w:sz w:val="1"/>
                <w:szCs w:val="1"/>
                <w:color w:val="auto"/>
              </w:rPr>
            </w:pPr>
          </w:p>
        </w:tc>
      </w:tr>
      <w:tr>
        <w:trPr>
          <w:trHeight w:val="225"/>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(499,607)</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(2,387,766)</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(10,977)</w:t>
            </w:r>
          </w:p>
        </w:tc>
        <w:tc>
          <w:tcPr>
            <w:tcW w:w="80" w:type="dxa"/>
            <w:vAlign w:val="bottom"/>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(279,047)</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at end of period</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347,976</w:t>
            </w:r>
          </w:p>
        </w:tc>
        <w:tc>
          <w:tcPr>
            <w:tcW w:w="8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858,560</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Options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Common stock options activity was as follows during the period indicated: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3540" w:type="dxa"/>
            <w:vAlign w:val="bottom"/>
            <w:gridSpan w:val="4"/>
            <w:vMerge w:val="restart"/>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00" w:type="dxa"/>
            <w:vAlign w:val="bottom"/>
          </w:tcPr>
          <w:p>
            <w:pPr>
              <w:spacing w:after="0"/>
              <w:rPr>
                <w:sz w:val="17"/>
                <w:szCs w:val="17"/>
                <w:color w:val="auto"/>
              </w:rPr>
            </w:pP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3540" w:type="dxa"/>
            <w:vAlign w:val="bottom"/>
            <w:tcBorders>
              <w:bottom w:val="single" w:sz="8" w:color="auto"/>
            </w:tcBorders>
            <w:gridSpan w:val="4"/>
            <w:vMerge w:val="continue"/>
          </w:tcPr>
          <w:p>
            <w:pPr>
              <w:spacing w:after="0"/>
              <w:rPr>
                <w:sz w:val="20"/>
                <w:szCs w:val="20"/>
                <w:color w:val="auto"/>
              </w:rPr>
            </w:pPr>
          </w:p>
        </w:tc>
        <w:tc>
          <w:tcPr>
            <w:tcW w:w="10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31, 2023</w:t>
            </w:r>
          </w:p>
        </w:tc>
        <w:tc>
          <w:tcPr>
            <w:tcW w:w="80" w:type="dxa"/>
            <w:vAlign w:val="bottom"/>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31, 2022</w:t>
            </w:r>
          </w:p>
        </w:tc>
        <w:tc>
          <w:tcPr>
            <w:tcW w:w="0" w:type="dxa"/>
            <w:vAlign w:val="bottom"/>
          </w:tcPr>
          <w:p>
            <w:pPr>
              <w:spacing w:after="0"/>
              <w:rPr>
                <w:sz w:val="1"/>
                <w:szCs w:val="1"/>
                <w:color w:val="auto"/>
              </w:rPr>
            </w:pPr>
          </w:p>
        </w:tc>
      </w:tr>
      <w:tr>
        <w:trPr>
          <w:trHeight w:val="166"/>
        </w:trPr>
        <w:tc>
          <w:tcPr>
            <w:tcW w:w="4040" w:type="dxa"/>
            <w:vAlign w:val="bottom"/>
          </w:tcPr>
          <w:p>
            <w:pPr>
              <w:spacing w:after="0"/>
              <w:rPr>
                <w:sz w:val="14"/>
                <w:szCs w:val="14"/>
                <w:color w:val="auto"/>
              </w:rPr>
            </w:pPr>
          </w:p>
        </w:tc>
        <w:tc>
          <w:tcPr>
            <w:tcW w:w="1720" w:type="dxa"/>
            <w:vAlign w:val="bottom"/>
            <w:vMerge w:val="restart"/>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jc w:val="right"/>
              <w:ind w:right="72"/>
              <w:spacing w:after="0" w:line="165" w:lineRule="exact"/>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100" w:type="dxa"/>
            <w:vAlign w:val="bottom"/>
          </w:tcPr>
          <w:p>
            <w:pPr>
              <w:spacing w:after="0"/>
              <w:rPr>
                <w:sz w:val="14"/>
                <w:szCs w:val="14"/>
                <w:color w:val="auto"/>
              </w:rPr>
            </w:pPr>
          </w:p>
        </w:tc>
        <w:tc>
          <w:tcPr>
            <w:tcW w:w="18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0" w:type="dxa"/>
            <w:vAlign w:val="bottom"/>
          </w:tcPr>
          <w:p>
            <w:pPr>
              <w:spacing w:after="0"/>
              <w:rPr>
                <w:sz w:val="1"/>
                <w:szCs w:val="1"/>
                <w:color w:val="auto"/>
              </w:rPr>
            </w:pPr>
          </w:p>
        </w:tc>
      </w:tr>
      <w:tr>
        <w:trPr>
          <w:trHeight w:val="238"/>
        </w:trPr>
        <w:tc>
          <w:tcPr>
            <w:tcW w:w="4040" w:type="dxa"/>
            <w:vAlign w:val="bottom"/>
          </w:tcPr>
          <w:p>
            <w:pPr>
              <w:spacing w:after="0"/>
              <w:rPr>
                <w:sz w:val="20"/>
                <w:szCs w:val="20"/>
                <w:color w:val="auto"/>
              </w:rPr>
            </w:pPr>
          </w:p>
        </w:tc>
        <w:tc>
          <w:tcPr>
            <w:tcW w:w="17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00" w:type="dxa"/>
            <w:vAlign w:val="bottom"/>
          </w:tcPr>
          <w:p>
            <w:pPr>
              <w:spacing w:after="0"/>
              <w:rPr>
                <w:sz w:val="20"/>
                <w:szCs w:val="20"/>
                <w:color w:val="auto"/>
              </w:rPr>
            </w:pPr>
          </w:p>
        </w:tc>
        <w:tc>
          <w:tcPr>
            <w:tcW w:w="1820" w:type="dxa"/>
            <w:vAlign w:val="bottom"/>
            <w:gridSpan w:val="2"/>
            <w:vMerge w:val="continue"/>
          </w:tcPr>
          <w:p>
            <w:pPr>
              <w:spacing w:after="0"/>
              <w:rPr>
                <w:sz w:val="20"/>
                <w:szCs w:val="20"/>
                <w:color w:val="auto"/>
              </w:rPr>
            </w:pPr>
          </w:p>
        </w:tc>
        <w:tc>
          <w:tcPr>
            <w:tcW w:w="1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279,553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323,002</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417,085</w:t>
            </w:r>
          </w:p>
        </w:tc>
        <w:tc>
          <w:tcPr>
            <w:tcW w:w="0" w:type="dxa"/>
            <w:vAlign w:val="bottom"/>
          </w:tcPr>
          <w:p>
            <w:pPr>
              <w:spacing w:after="0"/>
              <w:rPr>
                <w:sz w:val="1"/>
                <w:szCs w:val="1"/>
                <w:color w:val="auto"/>
              </w:rPr>
            </w:pPr>
          </w:p>
        </w:tc>
      </w:tr>
      <w:tr>
        <w:trPr>
          <w:trHeight w:val="225"/>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(18,448)</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(63,193)</w:t>
            </w:r>
          </w:p>
        </w:tc>
        <w:tc>
          <w:tcPr>
            <w:tcW w:w="0" w:type="dxa"/>
            <w:vAlign w:val="bottom"/>
          </w:tcPr>
          <w:p>
            <w:pPr>
              <w:spacing w:after="0"/>
              <w:rPr>
                <w:sz w:val="1"/>
                <w:szCs w:val="1"/>
                <w:color w:val="auto"/>
              </w:rPr>
            </w:pPr>
          </w:p>
        </w:tc>
      </w:tr>
      <w:tr>
        <w:trPr>
          <w:trHeight w:val="225"/>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(20,715)</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w:t>
            </w:r>
          </w:p>
        </w:tc>
        <w:tc>
          <w:tcPr>
            <w:tcW w:w="0" w:type="dxa"/>
            <w:vAlign w:val="bottom"/>
          </w:tcPr>
          <w:p>
            <w:pPr>
              <w:spacing w:after="0"/>
              <w:rPr>
                <w:sz w:val="1"/>
                <w:szCs w:val="1"/>
                <w:color w:val="auto"/>
              </w:rPr>
            </w:pPr>
          </w:p>
        </w:tc>
      </w:tr>
      <w:tr>
        <w:trPr>
          <w:trHeight w:val="225"/>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(22,940)</w:t>
            </w:r>
          </w:p>
        </w:tc>
        <w:tc>
          <w:tcPr>
            <w:tcW w:w="0" w:type="dxa"/>
            <w:vAlign w:val="bottom"/>
          </w:tcPr>
          <w:p>
            <w:pPr>
              <w:spacing w:after="0"/>
              <w:rPr>
                <w:sz w:val="1"/>
                <w:szCs w:val="1"/>
                <w:color w:val="auto"/>
              </w:rPr>
            </w:pPr>
          </w:p>
        </w:tc>
      </w:tr>
      <w:tr>
        <w:trPr>
          <w:trHeight w:val="244"/>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228,059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5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279,553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323,002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Options have a maximum contractual term of ten years. The aggregate intrinsic value and weighted average remaining contractual terms of options outstanding and options exercisable were as follows as of December 31, 2024.</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9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05"/>
        </w:trPr>
        <w:tc>
          <w:tcPr>
            <w:tcW w:w="898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 xml:space="preserve">Aggregate intrinsic value </w:t>
            </w:r>
            <w:r>
              <w:rPr>
                <w:rFonts w:ascii="Times New Roman" w:cs="Times New Roman" w:eastAsia="Times New Roman" w:hAnsi="Times New Roman"/>
                <w:sz w:val="18"/>
                <w:szCs w:val="18"/>
                <w:i w:val="1"/>
                <w:iCs w:val="1"/>
                <w:color w:val="auto"/>
              </w:rPr>
              <w:t>(in millions)</w:t>
            </w:r>
            <w:r>
              <w:rPr>
                <w:rFonts w:ascii="Times New Roman" w:cs="Times New Roman" w:eastAsia="Times New Roman" w:hAnsi="Times New Roman"/>
                <w:sz w:val="22"/>
                <w:szCs w:val="22"/>
                <w:i w:val="1"/>
                <w:iCs w:val="1"/>
                <w:color w:val="auto"/>
                <w:vertAlign w:val="superscript"/>
              </w:rPr>
              <w:t>(1)</w:t>
            </w:r>
          </w:p>
        </w:tc>
        <w:tc>
          <w:tcPr>
            <w:tcW w:w="26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25"/>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outstanding</w:t>
            </w: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exercisable</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ind w:left="1760"/>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contractual term</w:t>
            </w:r>
          </w:p>
        </w:tc>
        <w:tc>
          <w:tcPr>
            <w:tcW w:w="260" w:type="dxa"/>
            <w:vAlign w:val="bottom"/>
          </w:tcPr>
          <w:p>
            <w:pPr>
              <w:spacing w:after="0"/>
              <w:rPr>
                <w:sz w:val="19"/>
                <w:szCs w:val="19"/>
                <w:color w:val="auto"/>
              </w:rPr>
            </w:pPr>
          </w:p>
        </w:tc>
        <w:tc>
          <w:tcPr>
            <w:tcW w:w="2000" w:type="dxa"/>
            <w:vAlign w:val="bottom"/>
          </w:tcPr>
          <w:p>
            <w:pPr>
              <w:spacing w:after="0"/>
              <w:rPr>
                <w:sz w:val="19"/>
                <w:szCs w:val="19"/>
                <w:color w:val="auto"/>
              </w:rPr>
            </w:pPr>
          </w:p>
        </w:tc>
      </w:tr>
      <w:tr>
        <w:trPr>
          <w:trHeight w:val="225"/>
        </w:trPr>
        <w:tc>
          <w:tcPr>
            <w:tcW w:w="8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Options outstanding</w:t>
            </w:r>
          </w:p>
        </w:tc>
        <w:tc>
          <w:tcPr>
            <w:tcW w:w="260" w:type="dxa"/>
            <w:vAlign w:val="bottom"/>
            <w:shd w:val="clear" w:color="auto" w:fill="CCEEFF"/>
          </w:tcPr>
          <w:p>
            <w:pPr>
              <w:spacing w:after="0"/>
              <w:rPr>
                <w:sz w:val="19"/>
                <w:szCs w:val="19"/>
                <w:color w:val="auto"/>
              </w:rPr>
            </w:pPr>
          </w:p>
        </w:tc>
        <w:tc>
          <w:tcPr>
            <w:tcW w:w="2000" w:type="dxa"/>
            <w:vAlign w:val="bottom"/>
            <w:shd w:val="clear" w:color="auto" w:fill="CCEEFF"/>
          </w:tcPr>
          <w:p>
            <w:pPr>
              <w:ind w:left="1340"/>
              <w:spacing w:after="0"/>
              <w:rPr>
                <w:sz w:val="20"/>
                <w:szCs w:val="20"/>
                <w:color w:val="auto"/>
              </w:rPr>
            </w:pPr>
            <w:r>
              <w:rPr>
                <w:rFonts w:ascii="Times New Roman" w:cs="Times New Roman" w:eastAsia="Times New Roman" w:hAnsi="Times New Roman"/>
                <w:sz w:val="18"/>
                <w:szCs w:val="18"/>
                <w:color w:val="auto"/>
                <w:w w:val="98"/>
              </w:rPr>
              <w:t>5.4 years</w:t>
            </w:r>
          </w:p>
        </w:tc>
      </w:tr>
      <w:tr>
        <w:trPr>
          <w:trHeight w:val="231"/>
        </w:trPr>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exercisable</w:t>
            </w:r>
          </w:p>
        </w:tc>
        <w:tc>
          <w:tcPr>
            <w:tcW w:w="260" w:type="dxa"/>
            <w:vAlign w:val="bottom"/>
          </w:tcPr>
          <w:p>
            <w:pPr>
              <w:spacing w:after="0"/>
              <w:rPr>
                <w:sz w:val="20"/>
                <w:szCs w:val="20"/>
                <w:color w:val="auto"/>
              </w:rPr>
            </w:pPr>
          </w:p>
        </w:tc>
        <w:tc>
          <w:tcPr>
            <w:tcW w:w="2000" w:type="dxa"/>
            <w:vAlign w:val="bottom"/>
          </w:tcPr>
          <w:p>
            <w:pPr>
              <w:ind w:left="1340"/>
              <w:spacing w:after="0"/>
              <w:rPr>
                <w:sz w:val="20"/>
                <w:szCs w:val="20"/>
                <w:color w:val="auto"/>
              </w:rPr>
            </w:pPr>
            <w:r>
              <w:rPr>
                <w:rFonts w:ascii="Times New Roman" w:cs="Times New Roman" w:eastAsia="Times New Roman" w:hAnsi="Times New Roman"/>
                <w:sz w:val="18"/>
                <w:szCs w:val="18"/>
                <w:color w:val="auto"/>
                <w:w w:val="98"/>
              </w:rPr>
              <w:t>5.4 years</w:t>
            </w:r>
          </w:p>
        </w:tc>
      </w:tr>
      <w:tr>
        <w:trPr>
          <w:trHeight w:val="329"/>
        </w:trPr>
        <w:tc>
          <w:tcPr>
            <w:tcW w:w="8980" w:type="dxa"/>
            <w:vAlign w:val="bottom"/>
          </w:tcPr>
          <w:p>
            <w:pPr>
              <w:spacing w:after="0"/>
              <w:rPr>
                <w:sz w:val="20"/>
                <w:szCs w:val="20"/>
                <w:color w:val="auto"/>
              </w:rPr>
            </w:pPr>
            <w:r>
              <w:rPr>
                <w:rFonts w:ascii="Times New Roman" w:cs="Times New Roman" w:eastAsia="Times New Roman" w:hAnsi="Times New Roman"/>
                <w:sz w:val="16"/>
                <w:szCs w:val="16"/>
                <w:color w:val="auto"/>
              </w:rPr>
              <w:t>________________</w:t>
            </w:r>
          </w:p>
        </w:tc>
        <w:tc>
          <w:tcPr>
            <w:tcW w:w="260" w:type="dxa"/>
            <w:vAlign w:val="bottom"/>
          </w:tcPr>
          <w:p>
            <w:pPr>
              <w:spacing w:after="0"/>
              <w:rPr>
                <w:sz w:val="24"/>
                <w:szCs w:val="24"/>
                <w:color w:val="auto"/>
              </w:rPr>
            </w:pPr>
          </w:p>
        </w:tc>
        <w:tc>
          <w:tcPr>
            <w:tcW w:w="2000" w:type="dxa"/>
            <w:vAlign w:val="bottom"/>
          </w:tcPr>
          <w:p>
            <w:pPr>
              <w:spacing w:after="0"/>
              <w:rPr>
                <w:sz w:val="24"/>
                <w:szCs w:val="24"/>
                <w:color w:val="auto"/>
              </w:rPr>
            </w:pPr>
          </w:p>
        </w:tc>
      </w:tr>
    </w:tbl>
    <w:p>
      <w:pPr>
        <w:ind w:left="320" w:hanging="314"/>
        <w:spacing w:after="0"/>
        <w:tabs>
          <w:tab w:leader="none" w:pos="320" w:val="left"/>
        </w:tabs>
        <w:numPr>
          <w:ilvl w:val="0"/>
          <w:numId w:val="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intrinsic value of options outstanding and exercisable is zero, as all options are out of the money.</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52" w:lineRule="exact"/>
        <w:rPr>
          <w:rFonts w:ascii="Times New Roman" w:cs="Times New Roman" w:eastAsia="Times New Roman" w:hAnsi="Times New Roman"/>
          <w:sz w:val="16"/>
          <w:szCs w:val="16"/>
          <w:color w:val="auto"/>
        </w:rPr>
      </w:pPr>
    </w:p>
    <w:p>
      <w:pPr>
        <w:ind w:left="55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Equity-based Compensation (continued)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6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On June 3, 2020, the Board adopted the ZoomInfo Technologies Inc. 2020 Employee Stock Purchase Plan (the “ESPP”) that allows eligible employees to purchase shares of the Company's common stock at a discounted price, through payroll deductions of up to 15% of their eligible compensation and the IRS allowable limit per calendar year. The Compensation Committee of the Board administers the ESPP, including with respect to the frequency and duration of offering periods, the maximum number of shares that an eligible employee may purchase during an offering period, and, subject to certain limitations set forth in the ESPP, the per-share purchase price. Currently, the maximum number of shares that can be purchased by an eligible employee under the ESPP is 1,500 shares per offering period and there are two six-month offering periods that begin in the second and fourth quarter of each fiscal year. The purchase price for one share of common stock under the ESPP is currently equal to 90% of the fair market value of one share of common stock on the first trading day of the offering period or the purchase date, whichever is lower.</w:t>
      </w:r>
    </w:p>
    <w:p>
      <w:pPr>
        <w:spacing w:after="0" w:line="13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maximum aggregate number of shares of the common stock that may be issued under the ESPP is no more than 7,500,000 shares (the “ESPP Plan Share Reserve”). The ESPP also contains a provision that will add an additional number of shares of common stock to the ESPP Plan Reserve on the first day of each year starting with January 1, 2021, equal to the lesser of (i) the positive difference between (x) 1% of the number of shares of common stock outstanding on the last day of the immediately preceding fiscal year, and (y) the ESPP Plan Share Reserve on the last day of the immediately preceding fiscal year, and (ii) a lower number of shares of common stock as may be determined by the Board.</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of the ESPP is determined using the Black-Scholes option pricing model with the following assumption ranges and fair value per unit: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40" w:type="dxa"/>
            <w:vAlign w:val="bottom"/>
          </w:tcPr>
          <w:p>
            <w:pPr>
              <w:spacing w:after="0"/>
              <w:rPr>
                <w:sz w:val="17"/>
                <w:szCs w:val="17"/>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18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 December</w:t>
            </w:r>
          </w:p>
        </w:tc>
      </w:tr>
      <w:tr>
        <w:trPr>
          <w:trHeight w:val="238"/>
        </w:trPr>
        <w:tc>
          <w:tcPr>
            <w:tcW w:w="584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center"/>
              <w:spacing w:after="0" w:line="239" w:lineRule="exact"/>
              <w:rPr>
                <w:sz w:val="20"/>
                <w:szCs w:val="20"/>
                <w:color w:val="auto"/>
              </w:rPr>
            </w:pPr>
            <w:r>
              <w:rPr>
                <w:rFonts w:ascii="Times New Roman" w:cs="Times New Roman" w:eastAsia="Times New Roman" w:hAnsi="Times New Roman"/>
                <w:sz w:val="18"/>
                <w:szCs w:val="18"/>
                <w:b w:val="1"/>
                <w:bCs w:val="1"/>
                <w:color w:val="auto"/>
                <w:w w:val="94"/>
              </w:rPr>
              <w:t>31, 2024</w:t>
            </w:r>
            <w:r>
              <w:rPr>
                <w:rFonts w:ascii="Times New Roman" w:cs="Times New Roman" w:eastAsia="Times New Roman" w:hAnsi="Times New Roman"/>
                <w:sz w:val="22"/>
                <w:szCs w:val="22"/>
                <w:b w:val="1"/>
                <w:bCs w:val="1"/>
                <w:color w:val="auto"/>
                <w:w w:val="94"/>
                <w:vertAlign w:val="superscript"/>
              </w:rPr>
              <w:t>(1)</w:t>
            </w:r>
          </w:p>
        </w:tc>
        <w:tc>
          <w:tcPr>
            <w:tcW w:w="10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31, 2023</w:t>
            </w:r>
          </w:p>
        </w:tc>
        <w:tc>
          <w:tcPr>
            <w:tcW w:w="8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31, 2022</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Volatility</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56.1%</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50.4% to 67.6%</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71.9% to 77.0%</w:t>
            </w:r>
          </w:p>
        </w:tc>
      </w:tr>
      <w:tr>
        <w:trPr>
          <w:trHeight w:val="225"/>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0.5 years</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0.5 years</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0.5 years</w:t>
            </w: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rate</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5.4%</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5.3% to 5.4%</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2.2% to 4.7%</w:t>
            </w:r>
          </w:p>
        </w:tc>
      </w:tr>
      <w:tr>
        <w:trPr>
          <w:trHeight w:val="225"/>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dividends</w:t>
            </w:r>
          </w:p>
        </w:tc>
        <w:tc>
          <w:tcPr>
            <w:tcW w:w="18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6"/>
              </w:rPr>
              <w:t>—%</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w:t>
            </w:r>
          </w:p>
        </w:tc>
      </w:tr>
      <w:tr>
        <w:trPr>
          <w:trHeight w:val="225"/>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fair value per unit</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$3.29</w:t>
            </w:r>
          </w:p>
        </w:tc>
        <w:tc>
          <w:tcPr>
            <w:tcW w:w="100" w:type="dxa"/>
            <w:vAlign w:val="bottom"/>
            <w:shd w:val="clear" w:color="auto" w:fill="CCEEFF"/>
          </w:tcPr>
          <w:p>
            <w:pPr>
              <w:spacing w:after="0"/>
              <w:rPr>
                <w:sz w:val="19"/>
                <w:szCs w:val="19"/>
                <w:color w:val="auto"/>
              </w:rPr>
            </w:pPr>
          </w:p>
        </w:tc>
        <w:tc>
          <w:tcPr>
            <w:tcW w:w="182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$5.45 to $6.72</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$9.56 to $9.58</w:t>
            </w: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w:t>
      </w:r>
    </w:p>
    <w:p>
      <w:pPr>
        <w:spacing w:after="0" w:line="2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6"/>
          <w:szCs w:val="16"/>
          <w:color w:val="auto"/>
        </w:rPr>
        <w:t>(1)</w:t>
      </w:r>
      <w:r>
        <w:rPr>
          <w:sz w:val="20"/>
          <w:szCs w:val="20"/>
          <w:color w:val="auto"/>
        </w:rPr>
        <w:tab/>
      </w:r>
      <w:r>
        <w:rPr>
          <w:rFonts w:ascii="Times New Roman" w:cs="Times New Roman" w:eastAsia="Times New Roman" w:hAnsi="Times New Roman"/>
          <w:sz w:val="15"/>
          <w:szCs w:val="15"/>
          <w:color w:val="auto"/>
        </w:rPr>
        <w:t>The ESPP was suspended effective December 12, 2024, preventing the commencement of the December 15, 2024 offering.</w:t>
      </w:r>
    </w:p>
    <w:p>
      <w:pPr>
        <w:spacing w:after="0" w:line="13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expected term for the purchases was based on the six-month offering period. We estimate the future stock price volatility based on the historical volatility of the Company with a lookback period commensurate with the expected term of the ESPP purchases. The risk-free rate is the implied yield available on U.S. Treasury zero-coupon bonds issued with a remaining term equal to the expected term.</w:t>
      </w:r>
    </w:p>
    <w:p>
      <w:pPr>
        <w:spacing w:after="0" w:line="12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Company withheld $3.9 million, $7.0 million and $4.9 million worth of ESPP contributions for the years ended December 31, 2024, 2023 and 2022, respectively, on behalf of participating employees through payroll deductions included in </w:t>
      </w:r>
      <w:r>
        <w:rPr>
          <w:rFonts w:ascii="Times New Roman" w:cs="Times New Roman" w:eastAsia="Times New Roman" w:hAnsi="Times New Roman"/>
          <w:sz w:val="18"/>
          <w:szCs w:val="18"/>
          <w:i w:val="1"/>
          <w:iCs w:val="1"/>
          <w:color w:val="auto"/>
        </w:rPr>
        <w:t>Accrued expenses and other current liabilities</w:t>
      </w:r>
      <w:r>
        <w:rPr>
          <w:rFonts w:ascii="Times New Roman" w:cs="Times New Roman" w:eastAsia="Times New Roman" w:hAnsi="Times New Roman"/>
          <w:sz w:val="18"/>
          <w:szCs w:val="18"/>
          <w:color w:val="auto"/>
        </w:rPr>
        <w:t xml:space="preserve"> on our Consolidated Balance Sheets. The Company purchased 406,006, 339,282 and 155,599 shares of common stock under the ESPP during the years ended December 31, 2024, 2023 and 2022, respectively. The Company recognized $1.6 million, $3.1 million and $1.8 million of equity-based compensation expense related to the ESPP for the years ended December 31, 2024, 2023 and 2022, respectively.</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Company suspended the ESPP effective December 12, 2024, such that the offering period which would otherwise have begun on December 15, 2024 did not commence.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Equity-based Compensation (continued)</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HSKB Phantom Units</w:t>
      </w:r>
    </w:p>
    <w:p>
      <w:pPr>
        <w:spacing w:after="0" w:line="168"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December 2019, HSKB I adopted the HSKB Funds, LLC 2019 Phantom Unit Plan wherein HSKB may grant Phantom Units (“HSKB Phantom Units”) to employees of the Company. HSKB Phantom Units are recorded as compensation expense of the Company in accordance with the measurement and recognition criteria of ASC 718 for awards made by economic interest holders to employees of the Company. HSKB Phantom Units represent the economic equivalent of one share of common stock in the Company. In connection with the Reorganization Transactions, all HSKB Phantom Units were moved from HSKB I to HSKB II. Within 30 days of the later of the date upon which a Phantom Unit vests, HSKB II must settle the HSKB Phantom Unit in exchange for either (1) cash or (2) common stock as determined by the HSKB Manager, in each case, equal to the fair market value of such Common Unit at the time of such exchange.</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Unamortized Equity-based Compensation</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December 31, 2024, unamortized equity-based compensation costs related to each equity-based incentive award described above is the following:</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Weighted Average</w:t>
            </w:r>
          </w:p>
        </w:tc>
        <w:tc>
          <w:tcPr>
            <w:tcW w:w="0" w:type="dxa"/>
            <w:vAlign w:val="bottom"/>
          </w:tcPr>
          <w:p>
            <w:pPr>
              <w:spacing w:after="0"/>
              <w:rPr>
                <w:sz w:val="1"/>
                <w:szCs w:val="1"/>
                <w:color w:val="auto"/>
              </w:rPr>
            </w:pPr>
          </w:p>
        </w:tc>
      </w:tr>
      <w:tr>
        <w:trPr>
          <w:trHeight w:val="178"/>
        </w:trPr>
        <w:tc>
          <w:tcPr>
            <w:tcW w:w="7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vMerge w:val="restart"/>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5"/>
                <w:szCs w:val="15"/>
                <w:color w:val="auto"/>
              </w:rPr>
            </w:pPr>
          </w:p>
        </w:tc>
        <w:tc>
          <w:tcPr>
            <w:tcW w:w="1740" w:type="dxa"/>
            <w:vAlign w:val="bottom"/>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8"/>
              </w:rPr>
              <w:t>Remaining Service</w:t>
            </w:r>
          </w:p>
        </w:tc>
        <w:tc>
          <w:tcPr>
            <w:tcW w:w="0" w:type="dxa"/>
            <w:vAlign w:val="bottom"/>
          </w:tcPr>
          <w:p>
            <w:pPr>
              <w:spacing w:after="0"/>
              <w:rPr>
                <w:sz w:val="1"/>
                <w:szCs w:val="1"/>
                <w:color w:val="auto"/>
              </w:rPr>
            </w:pPr>
          </w:p>
        </w:tc>
      </w:tr>
      <w:tr>
        <w:trPr>
          <w:trHeight w:val="232"/>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 in millions, period in years)</w:t>
            </w:r>
          </w:p>
        </w:tc>
        <w:tc>
          <w:tcPr>
            <w:tcW w:w="3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c>
          <w:tcPr>
            <w:tcW w:w="0" w:type="dxa"/>
            <w:vAlign w:val="bottom"/>
          </w:tcPr>
          <w:p>
            <w:pPr>
              <w:spacing w:after="0"/>
              <w:rPr>
                <w:sz w:val="1"/>
                <w:szCs w:val="1"/>
                <w:color w:val="auto"/>
              </w:rPr>
            </w:pPr>
          </w:p>
        </w:tc>
      </w:tr>
      <w:tr>
        <w:trPr>
          <w:trHeight w:val="218"/>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w:t>
            </w:r>
          </w:p>
        </w:tc>
        <w:tc>
          <w:tcPr>
            <w:tcW w:w="12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HSKB Phantom Units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60" w:type="dxa"/>
            <w:vAlign w:val="bottom"/>
            <w:tcBorders>
              <w:bottom w:val="single" w:sz="8" w:color="CCEEFF"/>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43"/>
        </w:trPr>
        <w:tc>
          <w:tcPr>
            <w:tcW w:w="76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unamortized equity-based compensation cost</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233.4</w:t>
            </w:r>
          </w:p>
        </w:tc>
        <w:tc>
          <w:tcPr>
            <w:tcW w:w="1860" w:type="dxa"/>
            <w:vAlign w:val="bottom"/>
            <w:tcBorders>
              <w:bottom w:val="single" w:sz="8" w:color="CCEEFF"/>
            </w:tcBorders>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total intrinsic value of profit interests and options that were exercised during the years ended December 31, 2024, 2023 and 2022 was zero, $0.1 million and $1.6 million, respectively. The total fair value of all other previously unvested equity-based awards that vested during the years ended December 31, 2024, 2023 and 2022 was $175.2 million, $213.6 million and $104.2 million, respectively.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and Geographic Data</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The Company operates as one operating segment, deriving revenues from customers by providing access to its go-to-market intelligence platform. The Company’s chief operating decision maker (“CODM”) is its Chief Executive Officer, who reviews financial information on a consolidated basis and uses net income (loss) for purposes of making operating decisions, assessing financial performance and allocating resources. The CODM also reviews total assets, as reported in our Consolidated Balance Sheets, and </w:t>
      </w:r>
      <w:r>
        <w:rPr>
          <w:rFonts w:ascii="Times New Roman" w:cs="Times New Roman" w:eastAsia="Times New Roman" w:hAnsi="Times New Roman"/>
          <w:sz w:val="18"/>
          <w:szCs w:val="18"/>
          <w:i w:val="1"/>
          <w:iCs w:val="1"/>
          <w:color w:val="auto"/>
        </w:rPr>
        <w:t>Purchases of property and equipment and other assets</w:t>
      </w:r>
      <w:r>
        <w:rPr>
          <w:rFonts w:ascii="Times New Roman" w:cs="Times New Roman" w:eastAsia="Times New Roman" w:hAnsi="Times New Roman"/>
          <w:sz w:val="18"/>
          <w:szCs w:val="18"/>
          <w:color w:val="auto"/>
        </w:rPr>
        <w:t>, as reported on our Consolidated Statements of Cash Flows.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Long-lived assets by geographical region are based on the location of the legal entity that owns the assets, which includes property and equipment, net and operating lease right-of-use assets, net. As of December 31, 2024, long-lived assets held in the United States and Israel were $179.5 million and $19.0 million, respectively, representing approximately 98% of the consolidated total. As of December 31, 2023, long-lived assets held in the United States and Israel were $120.2 million and $20.2 million, respectively, representing approximately 96% of the consolidated 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Segment and Geographic Data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Contracts denominated in currencies other than the U.S. Dollar were not material for the years ended December 31, 2024, 2023, and 2022. Revenues derived from customers and partners located outside the United States, as determined based on the address provided by our customers and partners, accounted for approximately 12%, 13%, and 12% of total revenue for the years ended December 31, 2024, 2023, and 2022, respectively. Revenue by geographic region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961.5</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 of World</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r>
      <w:tr>
        <w:trPr>
          <w:trHeight w:val="243"/>
        </w:trPr>
        <w:tc>
          <w:tcPr>
            <w:tcW w:w="63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The following table presents selected financial information with respect to the Company’s single operating segment for the years ended December 31, 2024, 2023, and 2022:</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6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7"/>
              </w:rPr>
              <w:t>Year Ended December 31,</w:t>
            </w:r>
          </w:p>
        </w:tc>
        <w:tc>
          <w:tcPr>
            <w:tcW w:w="4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18"/>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1,098.0</w:t>
            </w:r>
          </w:p>
        </w:tc>
      </w:tr>
      <w:tr>
        <w:trPr>
          <w:trHeight w:val="225"/>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5"/>
        </w:trPr>
        <w:tc>
          <w:tcPr>
            <w:tcW w:w="5660" w:type="dxa"/>
            <w:vAlign w:val="bottom"/>
            <w:shd w:val="clear" w:color="auto" w:fill="CCEEFF"/>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Employee compensation expense </w:t>
            </w:r>
            <w:r>
              <w:rPr>
                <w:rFonts w:ascii="Times New Roman" w:cs="Times New Roman" w:eastAsia="Times New Roman" w:hAnsi="Times New Roman"/>
                <w:sz w:val="22"/>
                <w:szCs w:val="22"/>
                <w:color w:val="auto"/>
                <w:vertAlign w:val="superscript"/>
              </w:rPr>
              <w:t>(1)</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w:t>
            </w:r>
          </w:p>
        </w:tc>
      </w:tr>
      <w:tr>
        <w:trPr>
          <w:trHeight w:val="225"/>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Payroll tax and benefits expense</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25"/>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Technology expense</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r>
      <w:tr>
        <w:trPr>
          <w:trHeight w:val="225"/>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Marketing expense</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5"/>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Facilities expense</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25"/>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Bad debt expense</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5"/>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Hosting and infrastructure expense</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5"/>
        </w:trPr>
        <w:tc>
          <w:tcPr>
            <w:tcW w:w="5660" w:type="dxa"/>
            <w:vAlign w:val="bottom"/>
          </w:tcPr>
          <w:p>
            <w:pPr>
              <w:ind w:left="120"/>
              <w:spacing w:after="0" w:line="225"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2"/>
                <w:szCs w:val="22"/>
                <w:color w:val="auto"/>
                <w:vertAlign w:val="superscript"/>
              </w:rPr>
              <w:t>(2)</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247.5</w:t>
            </w:r>
          </w:p>
        </w:tc>
      </w:tr>
      <w:tr>
        <w:trPr>
          <w:trHeight w:val="225"/>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25"/>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25"/>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Loss on debt modification and extinguishment</w:t>
            </w:r>
          </w:p>
        </w:tc>
        <w:tc>
          <w:tcPr>
            <w:tcW w:w="4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5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loss (income), net</w:t>
            </w:r>
          </w:p>
        </w:tc>
        <w:tc>
          <w:tcPr>
            <w:tcW w:w="4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r>
      <w:tr>
        <w:trPr>
          <w:trHeight w:val="225"/>
        </w:trPr>
        <w:tc>
          <w:tcPr>
            <w:tcW w:w="56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w:t>
            </w:r>
          </w:p>
        </w:tc>
        <w:tc>
          <w:tcPr>
            <w:tcW w:w="4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19"/>
        </w:trPr>
        <w:tc>
          <w:tcPr>
            <w:tcW w:w="5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0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w:t>
            </w:r>
          </w:p>
        </w:tc>
      </w:tr>
      <w:tr>
        <w:trPr>
          <w:trHeight w:val="20"/>
        </w:trPr>
        <w:tc>
          <w:tcPr>
            <w:tcW w:w="5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w:t>
      </w:r>
    </w:p>
    <w:p>
      <w:pPr>
        <w:spacing w:after="0" w:line="20" w:lineRule="exact"/>
        <w:rPr>
          <w:sz w:val="20"/>
          <w:szCs w:val="20"/>
          <w:color w:val="auto"/>
        </w:rPr>
      </w:pPr>
    </w:p>
    <w:p>
      <w:pPr>
        <w:ind w:left="320" w:hanging="314"/>
        <w:spacing w:after="0"/>
        <w:tabs>
          <w:tab w:leader="none" w:pos="3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Primarily includes employee-related salaries, bonuses, and commissions.</w:t>
      </w:r>
    </w:p>
    <w:p>
      <w:pPr>
        <w:spacing w:after="0" w:line="5" w:lineRule="exact"/>
        <w:rPr>
          <w:rFonts w:ascii="Times New Roman" w:cs="Times New Roman" w:eastAsia="Times New Roman" w:hAnsi="Times New Roman"/>
          <w:sz w:val="16"/>
          <w:szCs w:val="16"/>
          <w:color w:val="auto"/>
        </w:rPr>
      </w:pPr>
    </w:p>
    <w:p>
      <w:pPr>
        <w:ind w:left="320" w:hanging="314"/>
        <w:spacing w:after="0"/>
        <w:tabs>
          <w:tab w:leader="none" w:pos="320" w:val="left"/>
        </w:tabs>
        <w:numPr>
          <w:ilvl w:val="0"/>
          <w:numId w:val="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segment items primarily include equity-based compensation expense.</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Tax Receivable Agreements</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connection with the Reorganization Transactions, the Company entered into (i) the Exchange Tax Receivable Agreement with certain Pre-IPO OpCo Unitholders and (ii) the Reorganization Tax Receivable Agreement with the Pre-IPO Blocker Holders (collectively, the “Tax Receivable Agreements”). These Tax Receivable Agreements provide for the payment by the ZoomInfo Tax Group to such Pre-IPO Owners and certain Pre-IPO HoldCo Unitholders of 85.0% of the benefits, if any, that the ZoomInfo Tax Group actually realizes, or is deemed to realize in certain circumstances, as a result of utilization or deemed utilization of certain tax attributes and benefits covered by the Tax Receivable Agreements. The Company expects to benefit from the remaining 15.0% of the cash savings that it realizes.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Tax Receivable Agreements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tax attributes and benefits covered by the Exchange Tax Receivable Agreement include (i) the ZoomInfo Tax Group’s allocable share of existing tax basis acquired in the IPO and (ii) increases in the ZoomInfo Tax Group’s allocable share of existing tax basis and tax basis adjustments that increased the tax basis of the tangible and intangible assets of the ZoomInfo Tax Group as a result of sales or exchanges of Holdings LLC Units for shares of common stock after the IPO, as well as certain other tax benefits, including tax benefits attributable to payments under the Exchange Tax Receivable Agreement.</w:t>
      </w:r>
    </w:p>
    <w:p>
      <w:pPr>
        <w:spacing w:after="0" w:line="11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tax attributes and benefits covered by the Reorganization Tax Receivable Agreement include certain tax attributes of the Blocker Companies (including the ZoomInfo Tax Group’s allocable share of existing tax basis acquired in the Reorganization Transactions) and certain other tax benefits.</w:t>
      </w:r>
    </w:p>
    <w:p>
      <w:pPr>
        <w:spacing w:after="0" w:line="110" w:lineRule="exact"/>
        <w:rPr>
          <w:sz w:val="20"/>
          <w:szCs w:val="20"/>
          <w:color w:val="auto"/>
        </w:rPr>
      </w:pPr>
    </w:p>
    <w:p>
      <w:pPr>
        <w:jc w:val="both"/>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As of December 31, 2024 and 2023, the Company had a liability of $2,762.5 million and $2,818.0 million respectively, related to its projected obligations under the Tax Receivable Agreements. This liability, or a portion thereof, becomes payable as the tax attributes under the Tax Receivable Agreements reduce the Company’s current income tax liability which would otherwise have been due absent such tax attributes. The liability will be reduced to the extent the tax attributes are expected to expire or otherwise cannot be applied to reduce the Company’s tax liabilities. The TRA liability is classified as current or noncurrent based on the expected date of payment and is included on our Consolidated Balance Sheets under the captions </w:t>
      </w:r>
      <w:r>
        <w:rPr>
          <w:rFonts w:ascii="Times New Roman" w:cs="Times New Roman" w:eastAsia="Times New Roman" w:hAnsi="Times New Roman"/>
          <w:sz w:val="18"/>
          <w:szCs w:val="18"/>
          <w:i w:val="1"/>
          <w:iCs w:val="1"/>
          <w:color w:val="auto"/>
        </w:rPr>
        <w:t>Current portion of tax receivable agreements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liability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Tax receivable agreements liability, net of current portion</w:t>
      </w:r>
      <w:r>
        <w:rPr>
          <w:rFonts w:ascii="Times New Roman" w:cs="Times New Roman" w:eastAsia="Times New Roman" w:hAnsi="Times New Roman"/>
          <w:sz w:val="18"/>
          <w:szCs w:val="18"/>
          <w:color w:val="auto"/>
        </w:rPr>
        <w:t>, respectively. During the years ended December 31, 2024, 2023, and 2022, we paid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total of $94.0 million, zero, and $12.2 million, respectively, pursuant to the Tax Receivable Agreements. The TRA remeasurement gains and losses are recorded within </w:t>
      </w:r>
      <w:r>
        <w:rPr>
          <w:rFonts w:ascii="Times New Roman" w:cs="Times New Roman" w:eastAsia="Times New Roman" w:hAnsi="Times New Roman"/>
          <w:sz w:val="18"/>
          <w:szCs w:val="18"/>
          <w:i w:val="1"/>
          <w:iCs w:val="1"/>
          <w:color w:val="auto"/>
        </w:rPr>
        <w:t>Other loss (income), net</w:t>
      </w:r>
      <w:r>
        <w:rPr>
          <w:rFonts w:ascii="Times New Roman" w:cs="Times New Roman" w:eastAsia="Times New Roman" w:hAnsi="Times New Roman"/>
          <w:sz w:val="18"/>
          <w:szCs w:val="18"/>
          <w:color w:val="auto"/>
        </w:rPr>
        <w:t xml:space="preserve"> on our Consolidated Statements of Operations. For the year ended December 31, 2024, we recognized a TRA remeasurement loss of $38.5 million principally due to a revaluation for the blended state tax rate, an increase to the cumulative liability due to TRA Holders resulting from a reduction in the management allocation percent withheld, and interest expense accrued on the current portion of the TRA liability. During the year ended December 31, 2023, we recognized a TRA remeasurement gain of $160.7 million principally due to a reduction in our future blended state tax rate resulting from Massachusetts legislation enacted in 2023 and to reduce TRA-related attributes that did not achieve tax savings under the terms of the TRA. During the year ended December 31, 2022, we recognized a TRA remeasurement gain of $65.6 million due to revaluation for the blended state tax rate and updates to tax attributes.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Income Taxes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income before provision for income taxes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Domestic</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r>
      <w:tr>
        <w:trPr>
          <w:trHeight w:val="225"/>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Income Taxes (continued)</w:t>
      </w:r>
    </w:p>
    <w:p>
      <w:pPr>
        <w:spacing w:after="0" w:line="200" w:lineRule="exact"/>
        <w:rPr>
          <w:sz w:val="20"/>
          <w:szCs w:val="20"/>
          <w:color w:val="auto"/>
        </w:rPr>
      </w:pPr>
    </w:p>
    <w:p>
      <w:pPr>
        <w:spacing w:after="0" w:line="2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Provision for income taxes</w:t>
      </w:r>
      <w:r>
        <w:rPr>
          <w:rFonts w:ascii="Times New Roman" w:cs="Times New Roman" w:eastAsia="Times New Roman" w:hAnsi="Times New Roman"/>
          <w:sz w:val="18"/>
          <w:szCs w:val="18"/>
          <w:color w:val="auto"/>
        </w:rPr>
        <w:t xml:space="preserve"> consisted of the following:</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36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6"/>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r>
      <w:tr>
        <w:trPr>
          <w:trHeight w:val="219"/>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05"/>
        </w:trPr>
        <w:tc>
          <w:tcPr>
            <w:tcW w:w="636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Current:</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5"/>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tax expense</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65"/>
        </w:trPr>
        <w:tc>
          <w:tcPr>
            <w:tcW w:w="6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5"/>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Federal</w:t>
            </w: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r>
      <w:tr>
        <w:trPr>
          <w:trHeight w:val="225"/>
        </w:trPr>
        <w:tc>
          <w:tcPr>
            <w:tcW w:w="6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State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w:t>
            </w:r>
          </w:p>
        </w:tc>
      </w:tr>
      <w:tr>
        <w:trPr>
          <w:trHeight w:val="225"/>
        </w:trPr>
        <w:tc>
          <w:tcPr>
            <w:tcW w:w="6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Foreign</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18"/>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expense (benefit)</w:t>
            </w: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w:t>
            </w:r>
          </w:p>
        </w:tc>
      </w:tr>
      <w:tr>
        <w:trPr>
          <w:trHeight w:val="265"/>
        </w:trPr>
        <w:tc>
          <w:tcPr>
            <w:tcW w:w="636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r>
      <w:tr>
        <w:trPr>
          <w:trHeight w:val="243"/>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is a reconciliation between the U.S. federal statutory tax rate and our effective tax rate, expressed as a percentage of income before income taxes:</w:t>
      </w:r>
    </w:p>
    <w:p>
      <w:pPr>
        <w:spacing w:after="0" w:line="148" w:lineRule="exact"/>
        <w:rPr>
          <w:sz w:val="20"/>
          <w:szCs w:val="20"/>
          <w:color w:val="auto"/>
        </w:rPr>
      </w:pPr>
    </w:p>
    <w:p>
      <w:pPr>
        <w:ind w:left="768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080" w:type="dxa"/>
            <w:vAlign w:val="bottom"/>
            <w:tcBorders>
              <w:bottom w:val="single" w:sz="8" w:color="CCEEFF"/>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Borders>
              <w:top w:val="single" w:sz="8" w:color="auto"/>
              <w:bottom w:val="single" w:sz="8" w:color="CCEEFF"/>
            </w:tcBorders>
          </w:tcPr>
          <w:p>
            <w:pPr>
              <w:spacing w:after="0"/>
              <w:rPr>
                <w:sz w:val="19"/>
                <w:szCs w:val="19"/>
                <w:color w:val="auto"/>
              </w:rPr>
            </w:pPr>
          </w:p>
        </w:tc>
        <w:tc>
          <w:tcPr>
            <w:tcW w:w="166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expense computed at U.S. federal statutory rate</w:t>
            </w:r>
          </w:p>
        </w:tc>
        <w:tc>
          <w:tcPr>
            <w:tcW w:w="10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25"/>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w:t>
            </w: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5"/>
        </w:trPr>
        <w:tc>
          <w:tcPr>
            <w:tcW w:w="7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r>
      <w:tr>
        <w:trPr>
          <w:trHeight w:val="225"/>
        </w:trPr>
        <w:tc>
          <w:tcPr>
            <w:tcW w:w="7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Effects of changes in state tax law and apportionment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(96.1)%</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35.0 %</w:t>
            </w:r>
          </w:p>
        </w:tc>
      </w:tr>
      <w:tr>
        <w:trPr>
          <w:trHeight w:val="225"/>
        </w:trPr>
        <w:tc>
          <w:tcPr>
            <w:tcW w:w="7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Effects of non-U.S. operations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5"/>
        </w:trPr>
        <w:tc>
          <w:tcPr>
            <w:tcW w:w="7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Stock-based compensation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7.6 %</w:t>
            </w:r>
          </w:p>
        </w:tc>
      </w:tr>
      <w:tr>
        <w:trPr>
          <w:trHeight w:val="225"/>
        </w:trPr>
        <w:tc>
          <w:tcPr>
            <w:tcW w:w="7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Non-deductible executive compensation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0.5 %</w:t>
            </w:r>
          </w:p>
        </w:tc>
      </w:tr>
      <w:tr>
        <w:trPr>
          <w:trHeight w:val="225"/>
        </w:trPr>
        <w:tc>
          <w:tcPr>
            <w:tcW w:w="7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Tax credits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(35.1)%</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5"/>
        </w:trPr>
        <w:tc>
          <w:tcPr>
            <w:tcW w:w="7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valuation allowance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5"/>
        </w:trPr>
        <w:tc>
          <w:tcPr>
            <w:tcW w:w="7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25"/>
        </w:trPr>
        <w:tc>
          <w:tcPr>
            <w:tcW w:w="71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Non-deductible TRA Remeasurement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r>
      <w:tr>
        <w:trPr>
          <w:trHeight w:val="225"/>
        </w:trPr>
        <w:tc>
          <w:tcPr>
            <w:tcW w:w="71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non-deductible expenses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0.2 %</w:t>
            </w:r>
          </w:p>
        </w:tc>
      </w:tr>
      <w:tr>
        <w:trPr>
          <w:trHeight w:val="225"/>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72.4 %</w:t>
            </w:r>
          </w:p>
        </w:tc>
        <w:tc>
          <w:tcPr>
            <w:tcW w:w="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67.5 %</w:t>
            </w:r>
          </w:p>
        </w:tc>
      </w:tr>
      <w:tr>
        <w:trPr>
          <w:trHeight w:val="20"/>
        </w:trPr>
        <w:tc>
          <w:tcPr>
            <w:tcW w:w="60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Income Taxes (continued)</w:t>
      </w:r>
    </w:p>
    <w:p>
      <w:pPr>
        <w:spacing w:after="0" w:line="200" w:lineRule="exact"/>
        <w:rPr>
          <w:sz w:val="20"/>
          <w:szCs w:val="20"/>
          <w:color w:val="auto"/>
        </w:rPr>
      </w:pPr>
    </w:p>
    <w:p>
      <w:pPr>
        <w:spacing w:after="0" w:line="2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Significant components of the Company’s deferred tax assets and liabilities were as follows:</w:t>
      </w:r>
    </w:p>
    <w:p>
      <w:pPr>
        <w:spacing w:after="0" w:line="43"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5"/>
        </w:trPr>
        <w:tc>
          <w:tcPr>
            <w:tcW w:w="802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Deferred tax assets:</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5"/>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3,339.3</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 carryforwards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Credit carryforwards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18"/>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3,805.1</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3,795.5</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Valuation allowance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8"/>
        </w:trPr>
        <w:tc>
          <w:tcPr>
            <w:tcW w:w="80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3,794.2</w:t>
            </w:r>
          </w:p>
        </w:tc>
        <w:tc>
          <w:tcPr>
            <w:tcW w:w="10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3,789.8</w:t>
            </w:r>
          </w:p>
        </w:tc>
      </w:tr>
      <w:tr>
        <w:trPr>
          <w:trHeight w:val="265"/>
        </w:trPr>
        <w:tc>
          <w:tcPr>
            <w:tcW w:w="8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r>
      <w:tr>
        <w:trPr>
          <w:trHeight w:val="225"/>
        </w:trPr>
        <w:tc>
          <w:tcPr>
            <w:tcW w:w="8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flow hedge - Accumulated Other Comprehensive Income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5"/>
        </w:trPr>
        <w:tc>
          <w:tcPr>
            <w:tcW w:w="8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tax on foreign earnings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5"/>
        </w:trPr>
        <w:tc>
          <w:tcPr>
            <w:tcW w:w="8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8"/>
        </w:trPr>
        <w:tc>
          <w:tcPr>
            <w:tcW w:w="8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r>
      <w:tr>
        <w:trPr>
          <w:trHeight w:val="265"/>
        </w:trPr>
        <w:tc>
          <w:tcPr>
            <w:tcW w:w="80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r>
      <w:tr>
        <w:trPr>
          <w:trHeight w:val="244"/>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3,715.2</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3,705.2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of December 31, 2024, the Company had gross U.S. federal net operating losses of $1,677.4 million, excess business interest expense carryforwards under IRC Sec. 163(j) of $148.6 million, and tax credit carryforwards of $27.9 million. As of December 31, 2023, the Company had gross U.S. federal net operating losses of $1,119.7 million, excess business interest expense carryforwards under IRC Sec. 163(j) of $143.8 million, and tax credit carryforwards of $15.8 million. The Company’s federal net operating losses and excess business interest carryforwards can be carried forward indefinitely, with the exception of $6.4 million of net operating losses generated before 2018 which expire between 2034 and 2037. Our federal tax credits will begin to expire in 2037. As of December 31, 2024, the Company had $1,647.6 million of gross state net operating losses, of which $65.2 million expires before 2035, $1,430.7 million expires between 2035 and 2044, and the remaining $151.7 million remains available to be carried forward indefinitely. The Company also had $1.1 million of state tax credits, which begin to expire in 2030.</w:t>
      </w:r>
    </w:p>
    <w:p>
      <w:pPr>
        <w:spacing w:after="0" w:line="13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After consideration of all positive and negative evidence, including scheduled reversals of deferred tax assets and liabilities, projected future taxable income, tax planning strategies, and results of recent operations, management determined that it is more likely than not that a portion of our deferred tax assets will not be realized. As a result, we recorded a valuation allowance of $10.9 million and $5.7 million as of December 31, 2024 and 2023, respectively. The increase in the valuation allowance as of December 31, 2024 as compared to December 31, 2023 is primarily due to establishing valuation allowances on certain state and local net operating losses and tax credits that are not more likely than not to be realized due to state-specific limitations on utilization and carryforward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Income Taxes (continued)</w:t>
      </w:r>
    </w:p>
    <w:p>
      <w:pPr>
        <w:spacing w:after="0" w:line="200" w:lineRule="exact"/>
        <w:rPr>
          <w:sz w:val="20"/>
          <w:szCs w:val="20"/>
          <w:color w:val="auto"/>
        </w:rPr>
      </w:pPr>
    </w:p>
    <w:p>
      <w:pPr>
        <w:spacing w:after="0" w:line="29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regularly evaluate the positions taken, or expected to be taken on tax returns, to determine if they constitute uncertain tax positions. Unrecognized tax benefits are reflected in our Consolidated Balance Sheets as a reduction of Deferred tax assets. If recognized, all unrecognized tax benefits at December 31, 2024 would affect the effective tax rate. It is not anticipated that any of the unrecognized tax benefits will be recognized in the next twelve months.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reconciliation of the Company’s beginning and ending amount of unrecognized tax benefits is as follows:</w:t>
      </w:r>
    </w:p>
    <w:p>
      <w:pPr>
        <w:spacing w:after="0" w:line="202" w:lineRule="exact"/>
        <w:rPr>
          <w:sz w:val="20"/>
          <w:szCs w:val="20"/>
          <w:color w:val="auto"/>
        </w:rPr>
      </w:pPr>
    </w:p>
    <w:p>
      <w:pPr>
        <w:ind w:left="83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Gross increases in unrecognized tax benefits – prior year tax positions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5"/>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decreases in unrecognized tax benefits – prior year tax positions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4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Gross increases in unrecognized tax benefits – current year tax positions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43"/>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policy is to record interest and penalties related to income taxes as a component of income tax expense. No interest or penalties have been accrued with respect to uncertain tax positions through December 31, 2024, as the Company has no tax due because of significant net operating loss carryforwards.</w:t>
      </w:r>
    </w:p>
    <w:p>
      <w:pPr>
        <w:spacing w:after="0" w:line="19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OECD has issued administrative guidance providing transition and safe harbor rules around the implementation of the Pillar Two Model Rules, which call for a minimum tax of 15% on large corporations. A number of countries, including the United Kingdom, are currently proposing or have enacted legislation to implement core elements of the Pillar Two proposal. We are closely monitoring developments and evaluating their potential impact. Enactments effective in 2024 did not have a significant impact on our 2024 financial results, nor do we anticipate a significant impact on our financial results during the transition period due to safe harbor relief.</w:t>
      </w:r>
    </w:p>
    <w:p>
      <w:pPr>
        <w:spacing w:after="0" w:line="21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Our foreign earnings are available for repatriation to the United States, and we accrue a liability for the tax we expect to apply upon repatriation. As of December 31, 2024 and 2023, we accrued $2.4 million and $1.9 million, respectively, for foreign withholding tax, which were included in </w:t>
      </w:r>
      <w:r>
        <w:rPr>
          <w:rFonts w:ascii="Times New Roman" w:cs="Times New Roman" w:eastAsia="Times New Roman" w:hAnsi="Times New Roman"/>
          <w:sz w:val="18"/>
          <w:szCs w:val="18"/>
          <w:i w:val="1"/>
          <w:iCs w:val="1"/>
          <w:color w:val="auto"/>
        </w:rPr>
        <w:t>Deferred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liabilities </w:t>
      </w:r>
      <w:r>
        <w:rPr>
          <w:rFonts w:ascii="Times New Roman" w:cs="Times New Roman" w:eastAsia="Times New Roman" w:hAnsi="Times New Roman"/>
          <w:sz w:val="18"/>
          <w:szCs w:val="18"/>
          <w:color w:val="auto"/>
        </w:rPr>
        <w:t>in our Consolidated Balance Sheets.</w:t>
      </w:r>
    </w:p>
    <w:p>
      <w:pPr>
        <w:spacing w:after="0" w:line="12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and various foreign jurisdictions where the Company has operations. The Company remains open to examination in the United States from 2014, in Israel from 2021, and in the United Kingdom from 2023. We consider our major state jurisdictions to be California, New York and Massachusetts, and remain subject to examination in these states from 2015, 2017, and 2021, respectively. One of the Company’s subsidiaries is undergoing a federal tax audit in the United States with respect to its 2021 tax year.</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166"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Management has evaluated subsequent events from December 31, 2024 through the date the financial statement was available to be issued and has determined there are no material subsequent events that require disclosure other than those described below and in Note 10 - Commitments and Contingencies.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February 2025, our board of directors authorized an additional $500.0 million in repurchases under the Share Repurchase Program. Refer to Note 11 - Stockholders' Equity for additional information regarding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7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on Form 10-K, we carried out an evaluation, under the supervision and with the participation of our management, including our Chief Executive Officer (principal executive officer) and Interim Chief Financial Officer (principal financial officer), of the effectiveness of the design and operation of our disclosure controls and procedures (as defined in Rules 13a-15(e) and 15d-15(e) under the Securities Exchange Act of 1934, as amended (the “Exchange Act”)). Based on such evaluation, our principal executive officer and principal financial officer have concluded that our disclosure controls and procedures were effective as of December 31, 2024 to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6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and for the assessment of the effectiveness of internal control over financial reporting as defined in Rule 13a-15(f) and 15d-15(f) under the Exchange Act. Internal control over financial reporting is a process designed under the supervision and with the participation of our management, including our Chief Executive Officer and our Interim Chief Financial Officer, to provide reasonable assurance regarding the reliability of financial reporting and the preparation of financial statements for external purposes in accordance with U.S generally accepted accounting principles.</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 xml:space="preserve">Under the supervision and with the participation of our Chief Executive Officer and our Interim Chief Financial Officer and oversight of the board of directors, our management conducted an evaluation of the effectiveness of our internal control over financial reporting as of December 31, 2024, based on the criteria set forth in </w:t>
      </w:r>
      <w:r>
        <w:rPr>
          <w:rFonts w:ascii="Times New Roman" w:cs="Times New Roman" w:eastAsia="Times New Roman" w:hAnsi="Times New Roman"/>
          <w:sz w:val="18"/>
          <w:szCs w:val="18"/>
          <w:i w:val="1"/>
          <w:iCs w:val="1"/>
          <w:color w:val="auto"/>
        </w:rPr>
        <w:t>Internal Control-Integrated Framework</w:t>
      </w:r>
      <w:r>
        <w:rPr>
          <w:rFonts w:ascii="Times New Roman" w:cs="Times New Roman" w:eastAsia="Times New Roman" w:hAnsi="Times New Roman"/>
          <w:sz w:val="18"/>
          <w:szCs w:val="18"/>
          <w:color w:val="auto"/>
        </w:rPr>
        <w:t xml:space="preserve"> issued by the Committee of Sponsoring Organizations of the Treadway Commission (2013 framework). Based on this evaluation, management concluded that our internal control over financial reporting was effective as of December 31, 2024.</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effectiveness of our internal control over financial reporting as of December 31, 2024 has been audited by KPMG LLP, an independent registered public accounting firm, as stated in their report which is included in Part II, Item 8, "Financial Statements and Supplementary Data", of this Annual Report on Form 10-K.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that occurred during the quarter ended December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 and Procedures</w:t>
      </w:r>
    </w:p>
    <w:p>
      <w:pPr>
        <w:spacing w:after="0" w:line="168"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Our management, including our Chief Executive Officer and Interim Chief Financial Officer, does not expect that our disclosure controls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the inherent limitations in a cost-effective control system, misstatements due to error or fraud may occur and not be detected.</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6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None of the Company’s directors or executive officers adopted or terminated a Rule 10b5-1 trading arrangement or a non-Rule 10b5-1 trading arrangement during the fourth quarter of 2024, as such terms are defined under Item 408(a) or Regulation S-K.</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We will make any legally required disclosures regarding amendments to, or waivers of, provisions of our Code of Business Conduct and Ethics on our website. The information contained on, or accessible from, our website is not part of this Annual Report on Form 10-K by reference or otherwise.</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in our definitive Proxy Statement relating to our 2025 Annual Meeting of Stockholders, which will be filed with the SEC within 120 days of the end of our fiscal year ended December 31, 2024 (the “2025 Proxy Statement”), and is incorporated herein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26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information required by this item will be included in the 2025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166" w:lineRule="exact"/>
        <w:rPr>
          <w:sz w:val="20"/>
          <w:szCs w:val="20"/>
          <w:color w:val="auto"/>
        </w:rPr>
      </w:pPr>
    </w:p>
    <w:p>
      <w:pPr>
        <w:ind w:left="560" w:hanging="236"/>
        <w:spacing w:after="0"/>
        <w:tabs>
          <w:tab w:leader="none" w:pos="5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a part of this Annual Report on Form 10-K:</w:t>
      </w:r>
    </w:p>
    <w:p>
      <w:pPr>
        <w:spacing w:after="0" w:line="162" w:lineRule="exact"/>
        <w:rPr>
          <w:rFonts w:ascii="Times New Roman" w:cs="Times New Roman" w:eastAsia="Times New Roman" w:hAnsi="Times New Roman"/>
          <w:sz w:val="18"/>
          <w:szCs w:val="18"/>
          <w:color w:val="auto"/>
        </w:rPr>
      </w:pPr>
    </w:p>
    <w:p>
      <w:pPr>
        <w:ind w:left="640" w:firstLine="2"/>
        <w:spacing w:after="0" w:line="276" w:lineRule="auto"/>
        <w:tabs>
          <w:tab w:leader="none" w:pos="81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Statements: </w:t>
      </w:r>
      <w:r>
        <w:rPr>
          <w:rFonts w:ascii="Times New Roman" w:cs="Times New Roman" w:eastAsia="Times New Roman" w:hAnsi="Times New Roman"/>
          <w:sz w:val="18"/>
          <w:szCs w:val="18"/>
          <w:color w:val="auto"/>
        </w:rPr>
        <w:t>Our Financial Statements are listed in the “Index to Consolidated Financial Statements” under Part II, Item 8 of this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 on Form 10-K.</w:t>
      </w:r>
    </w:p>
    <w:p>
      <w:pPr>
        <w:spacing w:after="0" w:line="106" w:lineRule="exact"/>
        <w:rPr>
          <w:rFonts w:ascii="Times New Roman" w:cs="Times New Roman" w:eastAsia="Times New Roman" w:hAnsi="Times New Roman"/>
          <w:sz w:val="18"/>
          <w:szCs w:val="18"/>
          <w:color w:val="auto"/>
        </w:rPr>
      </w:pPr>
    </w:p>
    <w:p>
      <w:pPr>
        <w:jc w:val="both"/>
        <w:ind w:left="640" w:firstLine="2"/>
        <w:spacing w:after="0" w:line="261" w:lineRule="auto"/>
        <w:tabs>
          <w:tab w:leader="none" w:pos="81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Financial Statement Schedules: </w:t>
      </w:r>
      <w:r>
        <w:rPr>
          <w:rFonts w:ascii="Times New Roman" w:cs="Times New Roman" w:eastAsia="Times New Roman" w:hAnsi="Times New Roman"/>
          <w:sz w:val="18"/>
          <w:szCs w:val="18"/>
          <w:color w:val="auto"/>
        </w:rPr>
        <w:t>All other schedules have been omitted as the required information is not applicable or is not present in amounts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sufficient to require submission of the schedule, or because the information required is included in the Consolidated Financial Statements and notes thereto.</w:t>
      </w:r>
    </w:p>
    <w:p>
      <w:pPr>
        <w:spacing w:after="0" w:line="119" w:lineRule="exact"/>
        <w:rPr>
          <w:rFonts w:ascii="Times New Roman" w:cs="Times New Roman" w:eastAsia="Times New Roman" w:hAnsi="Times New Roman"/>
          <w:sz w:val="18"/>
          <w:szCs w:val="18"/>
          <w:color w:val="auto"/>
        </w:rPr>
      </w:pPr>
    </w:p>
    <w:p>
      <w:pPr>
        <w:ind w:left="640" w:firstLine="2"/>
        <w:spacing w:after="0" w:line="276" w:lineRule="auto"/>
        <w:tabs>
          <w:tab w:leader="none" w:pos="81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Except as otherwise noted below, the exhibits listed below in the accompanying “Index to Exhibits” are filed or incorporated by reference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part of this Annual Report on Form 10-K.</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Exhibits filed or furnished herewith are designated by a cross (+); all exhibits not so designated are incorporated by reference to a prior filing as indicated. Agreements included as exhibits are included only to provide information to investors regarding their terms. Agreements listed below may contain representations, warranties and other provisions that were made, among other things, to provide the parties thereto with specified rights and obligations and to allocate risk among them, and no such agreement should be relied upon as constituting or providing any factual disclosures about ZoomInfo Technologies Inc., any other persons, any state of affairs or other matters.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20" w:type="dxa"/>
            <w:vAlign w:val="bottom"/>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7"/>
              </w:rPr>
              <w:t>Report or</w:t>
            </w:r>
          </w:p>
        </w:tc>
        <w:tc>
          <w:tcPr>
            <w:tcW w:w="1380" w:type="dxa"/>
            <w:vAlign w:val="bottom"/>
          </w:tcPr>
          <w:p>
            <w:pPr>
              <w:jc w:val="center"/>
              <w:ind w:right="16"/>
              <w:spacing w:after="0"/>
              <w:rPr>
                <w:sz w:val="20"/>
                <w:szCs w:val="20"/>
                <w:color w:val="auto"/>
              </w:rPr>
            </w:pPr>
            <w:r>
              <w:rPr>
                <w:rFonts w:ascii="Times New Roman" w:cs="Times New Roman" w:eastAsia="Times New Roman" w:hAnsi="Times New Roman"/>
                <w:sz w:val="18"/>
                <w:szCs w:val="18"/>
                <w:b w:val="1"/>
                <w:bCs w:val="1"/>
                <w:color w:val="auto"/>
                <w:w w:val="97"/>
              </w:rPr>
              <w:t>SEC File or</w:t>
            </w: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180" w:type="dxa"/>
            <w:vAlign w:val="bottom"/>
          </w:tcPr>
          <w:p>
            <w:pPr>
              <w:spacing w:after="0"/>
              <w:rPr>
                <w:sz w:val="19"/>
                <w:szCs w:val="19"/>
                <w:color w:val="auto"/>
              </w:rPr>
            </w:pPr>
          </w:p>
        </w:tc>
        <w:tc>
          <w:tcPr>
            <w:tcW w:w="3620" w:type="dxa"/>
            <w:vAlign w:val="bottom"/>
            <w:gridSpan w:val="3"/>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20" w:type="dxa"/>
            <w:vAlign w:val="bottom"/>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8"/>
              </w:rPr>
              <w:t>Registration</w:t>
            </w:r>
          </w:p>
        </w:tc>
        <w:tc>
          <w:tcPr>
            <w:tcW w:w="1380" w:type="dxa"/>
            <w:vAlign w:val="bottom"/>
          </w:tcPr>
          <w:p>
            <w:pPr>
              <w:jc w:val="center"/>
              <w:ind w:right="16"/>
              <w:spacing w:after="0"/>
              <w:rPr>
                <w:sz w:val="20"/>
                <w:szCs w:val="20"/>
                <w:color w:val="auto"/>
              </w:rPr>
            </w:pPr>
            <w:r>
              <w:rPr>
                <w:rFonts w:ascii="Times New Roman" w:cs="Times New Roman" w:eastAsia="Times New Roman" w:hAnsi="Times New Roman"/>
                <w:sz w:val="18"/>
                <w:szCs w:val="18"/>
                <w:b w:val="1"/>
                <w:bCs w:val="1"/>
                <w:color w:val="auto"/>
                <w:w w:val="96"/>
              </w:rPr>
              <w:t>Registration</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0" w:type="dxa"/>
            <w:vAlign w:val="bottom"/>
          </w:tcPr>
          <w:p>
            <w:pPr>
              <w:spacing w:after="0"/>
              <w:rPr>
                <w:sz w:val="1"/>
                <w:szCs w:val="1"/>
                <w:color w:val="auto"/>
              </w:rPr>
            </w:pPr>
          </w:p>
        </w:tc>
      </w:tr>
      <w:tr>
        <w:trPr>
          <w:trHeight w:val="238"/>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18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gridSpan w:val="3"/>
            <w:vMerge w:val="continue"/>
          </w:tcPr>
          <w:p>
            <w:pPr>
              <w:spacing w:after="0"/>
              <w:rPr>
                <w:sz w:val="20"/>
                <w:szCs w:val="20"/>
                <w:color w:val="auto"/>
              </w:rPr>
            </w:pPr>
          </w:p>
        </w:tc>
        <w:tc>
          <w:tcPr>
            <w:tcW w:w="18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8"/>
                <w:szCs w:val="18"/>
                <w:b w:val="1"/>
                <w:bCs w:val="1"/>
                <w:color w:val="auto"/>
                <w:w w:val="99"/>
              </w:rPr>
              <w:t>Statement</w:t>
            </w:r>
          </w:p>
        </w:tc>
        <w:tc>
          <w:tcPr>
            <w:tcW w:w="138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Reference</w:t>
            </w:r>
          </w:p>
        </w:tc>
        <w:tc>
          <w:tcPr>
            <w:tcW w:w="0" w:type="dxa"/>
            <w:vAlign w:val="bottom"/>
          </w:tcPr>
          <w:p>
            <w:pPr>
              <w:spacing w:after="0"/>
              <w:rPr>
                <w:sz w:val="1"/>
                <w:szCs w:val="1"/>
                <w:color w:val="auto"/>
              </w:rPr>
            </w:pPr>
          </w:p>
        </w:tc>
      </w:tr>
      <w:tr>
        <w:trPr>
          <w:trHeight w:val="139"/>
        </w:trPr>
        <w:tc>
          <w:tcPr>
            <w:tcW w:w="1000" w:type="dxa"/>
            <w:vAlign w:val="bottom"/>
            <w:tcBorders>
              <w:bottom w:val="single" w:sz="8" w:color="CCEEFF"/>
            </w:tcBorders>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rPr>
              <w:t>2.1</w:t>
            </w:r>
          </w:p>
        </w:tc>
        <w:tc>
          <w:tcPr>
            <w:tcW w:w="5720" w:type="dxa"/>
            <w:vAlign w:val="bottom"/>
            <w:tcBorders>
              <w:bottom w:val="single" w:sz="8" w:color="0000FF"/>
            </w:tcBorders>
            <w:gridSpan w:val="2"/>
            <w:shd w:val="clear" w:color="auto" w:fill="CCEEFF"/>
          </w:tcPr>
          <w:p>
            <w:pPr>
              <w:spacing w:after="0" w:line="126"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Agreement and Plan of Merger, dated as of October 29, 2021, by and among ZoomInfo Technologies</w:t>
              </w:r>
            </w:hyperlink>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1820" w:type="dxa"/>
            <w:vAlign w:val="bottom"/>
            <w:tcBorders>
              <w:bottom w:val="single" w:sz="8" w:color="CCEEFF"/>
            </w:tcBorders>
            <w:shd w:val="clear" w:color="auto" w:fill="CCEEFF"/>
          </w:tcPr>
          <w:p>
            <w:pPr>
              <w:jc w:val="center"/>
              <w:ind w:right="76"/>
              <w:spacing w:after="0" w:line="139" w:lineRule="exact"/>
              <w:rPr>
                <w:sz w:val="20"/>
                <w:szCs w:val="20"/>
                <w:color w:val="auto"/>
              </w:rPr>
            </w:pPr>
            <w:r>
              <w:rPr>
                <w:rFonts w:ascii="Times New Roman" w:cs="Times New Roman" w:eastAsia="Times New Roman" w:hAnsi="Times New Roman"/>
                <w:sz w:val="14"/>
                <w:szCs w:val="14"/>
                <w:color w:val="auto"/>
              </w:rPr>
              <w:t>8-K filed November 1, 2021</w:t>
            </w:r>
          </w:p>
        </w:tc>
        <w:tc>
          <w:tcPr>
            <w:tcW w:w="1380" w:type="dxa"/>
            <w:vAlign w:val="bottom"/>
            <w:tcBorders>
              <w:bottom w:val="single" w:sz="8" w:color="CCEEFF"/>
            </w:tcBorders>
            <w:shd w:val="clear" w:color="auto" w:fill="CCEEFF"/>
          </w:tcPr>
          <w:p>
            <w:pPr>
              <w:jc w:val="center"/>
              <w:ind w:right="16"/>
              <w:spacing w:after="0" w:line="139" w:lineRule="exact"/>
              <w:rPr>
                <w:sz w:val="20"/>
                <w:szCs w:val="20"/>
                <w:color w:val="auto"/>
              </w:rPr>
            </w:pPr>
            <w:r>
              <w:rPr>
                <w:rFonts w:ascii="Times New Roman" w:cs="Times New Roman" w:eastAsia="Times New Roman" w:hAnsi="Times New Roman"/>
                <w:sz w:val="14"/>
                <w:szCs w:val="14"/>
                <w:color w:val="auto"/>
                <w:w w:val="98"/>
              </w:rPr>
              <w:t>001-39310</w:t>
            </w:r>
          </w:p>
        </w:tc>
        <w:tc>
          <w:tcPr>
            <w:tcW w:w="1240" w:type="dxa"/>
            <w:vAlign w:val="bottom"/>
            <w:tcBorders>
              <w:bottom w:val="single" w:sz="8" w:color="CCEEFF"/>
            </w:tcBorders>
            <w:shd w:val="clear" w:color="auto" w:fill="CCEEFF"/>
          </w:tcPr>
          <w:p>
            <w:pPr>
              <w:jc w:val="center"/>
              <w:spacing w:after="0" w:line="13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26"/>
        </w:trPr>
        <w:tc>
          <w:tcPr>
            <w:tcW w:w="1000" w:type="dxa"/>
            <w:vAlign w:val="bottom"/>
            <w:tcBorders>
              <w:bottom w:val="single" w:sz="8" w:color="CCEEFF"/>
            </w:tcBorders>
            <w:shd w:val="clear" w:color="auto" w:fill="CCEEFF"/>
          </w:tcPr>
          <w:p>
            <w:pPr>
              <w:spacing w:after="0"/>
              <w:rPr>
                <w:sz w:val="10"/>
                <w:szCs w:val="10"/>
                <w:color w:val="auto"/>
              </w:rPr>
            </w:pPr>
          </w:p>
        </w:tc>
        <w:tc>
          <w:tcPr>
            <w:tcW w:w="5720" w:type="dxa"/>
            <w:vAlign w:val="bottom"/>
            <w:tcBorders>
              <w:bottom w:val="single" w:sz="8" w:color="0000FF"/>
            </w:tcBorders>
            <w:gridSpan w:val="2"/>
            <w:shd w:val="clear" w:color="auto" w:fill="CCEEFF"/>
          </w:tcPr>
          <w:p>
            <w:pPr>
              <w:spacing w:after="0" w:line="126" w:lineRule="exact"/>
              <w:rPr>
                <w:rFonts w:ascii="Times New Roman" w:cs="Times New Roman" w:eastAsia="Times New Roman" w:hAnsi="Times New Roman"/>
                <w:sz w:val="14"/>
                <w:szCs w:val="14"/>
                <w:color w:val="0000FF"/>
                <w:w w:val="99"/>
              </w:rPr>
            </w:pPr>
            <w:hyperlink r:id="rId154">
              <w:r>
                <w:rPr>
                  <w:rFonts w:ascii="Times New Roman" w:cs="Times New Roman" w:eastAsia="Times New Roman" w:hAnsi="Times New Roman"/>
                  <w:sz w:val="14"/>
                  <w:szCs w:val="14"/>
                  <w:color w:val="0000FF"/>
                  <w:w w:val="99"/>
                </w:rPr>
                <w:t>Inc. (formerly ZoomInfo NewCo Inc.), ZoomInfo Intermediate Inc. (formerly ZoomInfo Technologies</w:t>
              </w:r>
            </w:hyperlink>
          </w:p>
        </w:tc>
        <w:tc>
          <w:tcPr>
            <w:tcW w:w="60" w:type="dxa"/>
            <w:vAlign w:val="bottom"/>
            <w:tcBorders>
              <w:bottom w:val="single" w:sz="8" w:color="0000FF"/>
            </w:tcBorders>
            <w:shd w:val="clear" w:color="auto" w:fill="CCEEFF"/>
          </w:tcPr>
          <w:p>
            <w:pPr>
              <w:spacing w:after="0"/>
              <w:rPr>
                <w:sz w:val="10"/>
                <w:szCs w:val="10"/>
                <w:color w:val="auto"/>
              </w:rPr>
            </w:pPr>
          </w:p>
        </w:tc>
        <w:tc>
          <w:tcPr>
            <w:tcW w:w="20" w:type="dxa"/>
            <w:vAlign w:val="bottom"/>
            <w:tcBorders>
              <w:bottom w:val="single" w:sz="8" w:color="CCEEFF"/>
            </w:tcBorders>
            <w:shd w:val="clear" w:color="auto" w:fill="CCEEFF"/>
          </w:tcPr>
          <w:p>
            <w:pPr>
              <w:spacing w:after="0"/>
              <w:rPr>
                <w:sz w:val="10"/>
                <w:szCs w:val="10"/>
                <w:color w:val="auto"/>
              </w:rPr>
            </w:pPr>
          </w:p>
        </w:tc>
        <w:tc>
          <w:tcPr>
            <w:tcW w:w="1820" w:type="dxa"/>
            <w:vAlign w:val="bottom"/>
            <w:tcBorders>
              <w:bottom w:val="single" w:sz="8" w:color="CCEEFF"/>
            </w:tcBorders>
            <w:shd w:val="clear" w:color="auto" w:fill="CCEEFF"/>
          </w:tcPr>
          <w:p>
            <w:pPr>
              <w:spacing w:after="0"/>
              <w:rPr>
                <w:sz w:val="10"/>
                <w:szCs w:val="10"/>
                <w:color w:val="auto"/>
              </w:rPr>
            </w:pPr>
          </w:p>
        </w:tc>
        <w:tc>
          <w:tcPr>
            <w:tcW w:w="1380" w:type="dxa"/>
            <w:vAlign w:val="bottom"/>
            <w:tcBorders>
              <w:bottom w:val="single" w:sz="8" w:color="CCEEFF"/>
            </w:tcBorders>
            <w:shd w:val="clear" w:color="auto" w:fill="CCEEFF"/>
          </w:tcPr>
          <w:p>
            <w:pPr>
              <w:spacing w:after="0"/>
              <w:rPr>
                <w:sz w:val="10"/>
                <w:szCs w:val="10"/>
                <w:color w:val="auto"/>
              </w:rPr>
            </w:pPr>
          </w:p>
        </w:tc>
        <w:tc>
          <w:tcPr>
            <w:tcW w:w="12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000" w:type="dxa"/>
            <w:vAlign w:val="bottom"/>
            <w:shd w:val="clear" w:color="auto" w:fill="CCEEFF"/>
          </w:tcPr>
          <w:p>
            <w:pPr>
              <w:spacing w:after="0"/>
              <w:rPr>
                <w:sz w:val="9"/>
                <w:szCs w:val="9"/>
                <w:color w:val="auto"/>
              </w:rPr>
            </w:pPr>
          </w:p>
        </w:tc>
        <w:tc>
          <w:tcPr>
            <w:tcW w:w="5780" w:type="dxa"/>
            <w:vAlign w:val="bottom"/>
            <w:gridSpan w:val="3"/>
            <w:shd w:val="clear" w:color="auto" w:fill="CCEEFF"/>
          </w:tcPr>
          <w:p>
            <w:pPr>
              <w:spacing w:after="0" w:line="113" w:lineRule="exact"/>
              <w:rPr>
                <w:rFonts w:ascii="Times New Roman" w:cs="Times New Roman" w:eastAsia="Times New Roman" w:hAnsi="Times New Roman"/>
                <w:sz w:val="13"/>
                <w:szCs w:val="13"/>
                <w:color w:val="0000FF"/>
              </w:rPr>
            </w:pPr>
            <w:hyperlink r:id="rId154">
              <w:r>
                <w:rPr>
                  <w:rFonts w:ascii="Times New Roman" w:cs="Times New Roman" w:eastAsia="Times New Roman" w:hAnsi="Times New Roman"/>
                  <w:sz w:val="13"/>
                  <w:szCs w:val="13"/>
                  <w:color w:val="0000FF"/>
                </w:rPr>
                <w:t>Inc.) and ZoomInfo Merger Sub 1 Inc.</w:t>
              </w:r>
            </w:hyperlink>
          </w:p>
        </w:tc>
        <w:tc>
          <w:tcPr>
            <w:tcW w:w="2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2180" w:type="dxa"/>
            <w:vAlign w:val="bottom"/>
            <w:tcBorders>
              <w:top w:val="single" w:sz="8" w:color="0000FF"/>
            </w:tcBorders>
            <w:shd w:val="clear" w:color="auto" w:fill="CCEEFF"/>
          </w:tcPr>
          <w:p>
            <w:pPr>
              <w:spacing w:after="0"/>
              <w:rPr>
                <w:sz w:val="2"/>
                <w:szCs w:val="2"/>
                <w:color w:val="auto"/>
              </w:rPr>
            </w:pPr>
          </w:p>
        </w:tc>
        <w:tc>
          <w:tcPr>
            <w:tcW w:w="354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ind w:left="1000" w:hanging="595"/>
        <w:spacing w:after="0" w:line="238"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2.2</w:t>
      </w:r>
      <w:r>
        <w:rPr>
          <w:sz w:val="20"/>
          <w:szCs w:val="20"/>
          <w:color w:val="auto"/>
        </w:rPr>
        <w:tab/>
      </w:r>
      <w:hyperlink r:id="rId155">
        <w:r>
          <w:rPr>
            <w:rFonts w:ascii="Times New Roman" w:cs="Times New Roman" w:eastAsia="Times New Roman" w:hAnsi="Times New Roman"/>
            <w:sz w:val="14"/>
            <w:szCs w:val="14"/>
            <w:u w:val="single" w:color="auto"/>
            <w:color w:val="0000FF"/>
          </w:rPr>
          <w:t>Agreement and Plan of Merger, dated as of October 29, 2021, by and among ZoomInfo Technologies</w:t>
        </w:r>
      </w:hyperlink>
      <w:r>
        <w:rPr>
          <w:rFonts w:ascii="Times New Roman" w:cs="Times New Roman" w:eastAsia="Times New Roman" w:hAnsi="Times New Roman"/>
          <w:sz w:val="14"/>
          <w:szCs w:val="14"/>
          <w:u w:val="single" w:color="auto"/>
          <w:color w:val="0000FF"/>
        </w:rPr>
        <w:t xml:space="preserve"> </w:t>
      </w:r>
      <w:hyperlink r:id="rId155">
        <w:r>
          <w:rPr>
            <w:rFonts w:ascii="Times New Roman" w:cs="Times New Roman" w:eastAsia="Times New Roman" w:hAnsi="Times New Roman"/>
            <w:sz w:val="14"/>
            <w:szCs w:val="14"/>
            <w:u w:val="single" w:color="auto"/>
            <w:color w:val="0000FF"/>
          </w:rPr>
          <w:t>Inc. (formerly ZoomInfo NewCo Inc.), ZoomInfo Holdings LLC and ZoomInfo Merger Sub 2 LLC</w:t>
        </w:r>
      </w:hyperlink>
    </w:p>
    <w:p>
      <w:pPr>
        <w:spacing w:after="0" w:line="3" w:lineRule="exact"/>
        <w:rPr>
          <w:sz w:val="20"/>
          <w:szCs w:val="20"/>
          <w:color w:val="auto"/>
        </w:rPr>
      </w:pPr>
    </w:p>
    <w:p>
      <w:pPr>
        <w:ind w:left="400"/>
        <w:spacing w:after="0"/>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3.1</w:t>
      </w:r>
      <w:r>
        <w:rPr>
          <w:sz w:val="20"/>
          <w:szCs w:val="20"/>
          <w:color w:val="auto"/>
        </w:rPr>
        <w:tab/>
      </w:r>
      <w:hyperlink r:id="rId156">
        <w:r>
          <w:rPr>
            <w:rFonts w:ascii="Times New Roman" w:cs="Times New Roman" w:eastAsia="Times New Roman" w:hAnsi="Times New Roman"/>
            <w:sz w:val="14"/>
            <w:szCs w:val="14"/>
            <w:u w:val="single" w:color="auto"/>
            <w:color w:val="0000FF"/>
          </w:rPr>
          <w:t>Second Amended and Restated Certificate of Incorporation of ZoomInfo Technologies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34860" cy="1263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18" w:lineRule="exact"/>
        <w:rPr>
          <w:sz w:val="20"/>
          <w:szCs w:val="20"/>
          <w:color w:val="auto"/>
        </w:rPr>
      </w:pPr>
    </w:p>
    <w:p>
      <w:pPr>
        <w:ind w:left="400"/>
        <w:spacing w:after="0"/>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3.2</w:t>
      </w:r>
      <w:r>
        <w:rPr>
          <w:sz w:val="20"/>
          <w:szCs w:val="20"/>
          <w:color w:val="auto"/>
        </w:rPr>
        <w:tab/>
      </w:r>
      <w:hyperlink r:id="rId158">
        <w:r>
          <w:rPr>
            <w:rFonts w:ascii="Times New Roman" w:cs="Times New Roman" w:eastAsia="Times New Roman" w:hAnsi="Times New Roman"/>
            <w:sz w:val="14"/>
            <w:szCs w:val="14"/>
            <w:u w:val="single" w:color="auto"/>
            <w:color w:val="0000FF"/>
          </w:rPr>
          <w:t>Amended and Restated Bylaws of ZoomInfo Technologies Inc. (formerly ZoomInfo NewCo Inc.)</w:t>
        </w:r>
      </w:hyperlink>
    </w:p>
    <w:p>
      <w:pPr>
        <w:spacing w:after="0" w:line="38" w:lineRule="exact"/>
        <w:rPr>
          <w:sz w:val="20"/>
          <w:szCs w:val="20"/>
          <w:color w:val="auto"/>
        </w:rPr>
      </w:pPr>
    </w:p>
    <w:p>
      <w:pPr>
        <w:ind w:left="400"/>
        <w:spacing w:after="0"/>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4.1</w:t>
      </w:r>
      <w:r>
        <w:rPr>
          <w:sz w:val="20"/>
          <w:szCs w:val="20"/>
          <w:color w:val="auto"/>
        </w:rPr>
        <w:tab/>
      </w:r>
      <w:hyperlink r:id="rId159">
        <w:r>
          <w:rPr>
            <w:rFonts w:ascii="Times New Roman" w:cs="Times New Roman" w:eastAsia="Times New Roman" w:hAnsi="Times New Roman"/>
            <w:sz w:val="14"/>
            <w:szCs w:val="14"/>
            <w:u w:val="single" w:color="auto"/>
            <w:color w:val="0000FF"/>
          </w:rPr>
          <w:t>Description of Capital Stock</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34860" cy="2101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134860" cy="210185"/>
                    </a:xfrm>
                    <a:prstGeom prst="rect">
                      <a:avLst/>
                    </a:prstGeom>
                    <a:noFill/>
                  </pic:spPr>
                </pic:pic>
              </a:graphicData>
            </a:graphic>
          </wp:anchor>
        </w:drawing>
      </w:r>
    </w:p>
    <w:p>
      <w:pPr>
        <w:spacing w:after="0" w:line="150" w:lineRule="exact"/>
        <w:rPr>
          <w:sz w:val="20"/>
          <w:szCs w:val="20"/>
          <w:color w:val="auto"/>
        </w:rPr>
      </w:pPr>
    </w:p>
    <w:p>
      <w:pPr>
        <w:ind w:left="1000" w:right="280" w:hanging="595"/>
        <w:spacing w:after="0" w:line="239"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4.2</w:t>
      </w:r>
      <w:r>
        <w:rPr>
          <w:sz w:val="20"/>
          <w:szCs w:val="20"/>
          <w:color w:val="auto"/>
        </w:rPr>
        <w:tab/>
      </w:r>
      <w:hyperlink r:id="rId161">
        <w:r>
          <w:rPr>
            <w:rFonts w:ascii="Times New Roman" w:cs="Times New Roman" w:eastAsia="Times New Roman" w:hAnsi="Times New Roman"/>
            <w:sz w:val="14"/>
            <w:szCs w:val="14"/>
            <w:u w:val="single" w:color="auto"/>
            <w:color w:val="0000FF"/>
          </w:rPr>
          <w:t>Indenture, dated as of February 2, 2021, by and among ZoomInfo Technologies LLC, ZoomInfo</w:t>
        </w:r>
      </w:hyperlink>
      <w:r>
        <w:rPr>
          <w:rFonts w:ascii="Times New Roman" w:cs="Times New Roman" w:eastAsia="Times New Roman" w:hAnsi="Times New Roman"/>
          <w:sz w:val="14"/>
          <w:szCs w:val="14"/>
          <w:u w:val="single" w:color="auto"/>
          <w:color w:val="0000FF"/>
        </w:rPr>
        <w:t xml:space="preserve"> </w:t>
      </w:r>
      <w:hyperlink r:id="rId161">
        <w:r>
          <w:rPr>
            <w:rFonts w:ascii="Times New Roman" w:cs="Times New Roman" w:eastAsia="Times New Roman" w:hAnsi="Times New Roman"/>
            <w:sz w:val="14"/>
            <w:szCs w:val="14"/>
            <w:u w:val="single" w:color="auto"/>
            <w:color w:val="0000FF"/>
          </w:rPr>
          <w:t>Finance Corp., the guarantors named on the signature pages thereto and Wells Fargo, National</w:t>
        </w:r>
      </w:hyperlink>
    </w:p>
    <w:p>
      <w:pPr>
        <w:spacing w:after="0" w:line="13" w:lineRule="exact"/>
        <w:rPr>
          <w:sz w:val="20"/>
          <w:szCs w:val="20"/>
          <w:color w:val="auto"/>
        </w:rPr>
      </w:pPr>
    </w:p>
    <w:p>
      <w:pPr>
        <w:ind w:left="1000"/>
        <w:spacing w:after="0"/>
        <w:rPr>
          <w:rFonts w:ascii="Times New Roman" w:cs="Times New Roman" w:eastAsia="Times New Roman" w:hAnsi="Times New Roman"/>
          <w:sz w:val="14"/>
          <w:szCs w:val="14"/>
          <w:u w:val="single" w:color="auto"/>
          <w:color w:val="0000FF"/>
        </w:rPr>
      </w:pPr>
      <w:hyperlink r:id="rId161">
        <w:r>
          <w:rPr>
            <w:rFonts w:ascii="Times New Roman" w:cs="Times New Roman" w:eastAsia="Times New Roman" w:hAnsi="Times New Roman"/>
            <w:sz w:val="14"/>
            <w:szCs w:val="14"/>
            <w:u w:val="single" w:color="auto"/>
            <w:color w:val="0000FF"/>
          </w:rPr>
          <w:t>Association, as trustee</w:t>
        </w:r>
      </w:hyperlink>
    </w:p>
    <w:p>
      <w:pPr>
        <w:spacing w:after="0" w:line="9" w:lineRule="exact"/>
        <w:rPr>
          <w:sz w:val="20"/>
          <w:szCs w:val="20"/>
          <w:color w:val="auto"/>
        </w:rPr>
      </w:pPr>
    </w:p>
    <w:p>
      <w:pPr>
        <w:jc w:val="right"/>
        <w:ind w:left="400" w:right="280"/>
        <w:spacing w:after="0" w:line="248"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4.3      </w:t>
      </w:r>
      <w:hyperlink r:id="rId162">
        <w:r>
          <w:rPr>
            <w:rFonts w:ascii="Times New Roman" w:cs="Times New Roman" w:eastAsia="Times New Roman" w:hAnsi="Times New Roman"/>
            <w:sz w:val="14"/>
            <w:szCs w:val="14"/>
            <w:u w:val="single" w:color="auto"/>
            <w:color w:val="0000FF"/>
          </w:rPr>
          <w:t>Supplemental Indenture, dated as of July 15, 2021, by and among ZoomInfo Technologies LLC,</w:t>
        </w:r>
      </w:hyperlink>
      <w:r>
        <w:rPr>
          <w:rFonts w:ascii="Times New Roman" w:cs="Times New Roman" w:eastAsia="Times New Roman" w:hAnsi="Times New Roman"/>
          <w:sz w:val="14"/>
          <w:szCs w:val="14"/>
          <w:color w:val="auto"/>
        </w:rPr>
        <w:t xml:space="preserve"> </w:t>
      </w:r>
      <w:hyperlink r:id="rId162">
        <w:r>
          <w:rPr>
            <w:rFonts w:ascii="Times New Roman" w:cs="Times New Roman" w:eastAsia="Times New Roman" w:hAnsi="Times New Roman"/>
            <w:sz w:val="14"/>
            <w:szCs w:val="14"/>
            <w:u w:val="single" w:color="auto"/>
            <w:color w:val="0000FF"/>
          </w:rPr>
          <w:t>ZoomInfo Finance Corp., the guarantors named on the signature pages thereto, and Wells Fargo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-204470</wp:posOffset>
            </wp:positionV>
            <wp:extent cx="7134860" cy="3194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34860" cy="319405"/>
                    </a:xfrm>
                    <a:prstGeom prst="rect">
                      <a:avLst/>
                    </a:prstGeom>
                    <a:noFill/>
                  </pic:spPr>
                </pic:pic>
              </a:graphicData>
            </a:graphic>
          </wp:anchor>
        </w:drawing>
      </w:r>
    </w:p>
    <w:p>
      <w:pPr>
        <w:ind w:left="1000"/>
        <w:spacing w:after="0"/>
        <w:rPr>
          <w:rFonts w:ascii="Times New Roman" w:cs="Times New Roman" w:eastAsia="Times New Roman" w:hAnsi="Times New Roman"/>
          <w:sz w:val="14"/>
          <w:szCs w:val="14"/>
          <w:u w:val="single" w:color="auto"/>
          <w:color w:val="0000FF"/>
        </w:rPr>
      </w:pPr>
      <w:hyperlink r:id="rId162">
        <w:r>
          <w:rPr>
            <w:rFonts w:ascii="Times New Roman" w:cs="Times New Roman" w:eastAsia="Times New Roman" w:hAnsi="Times New Roman"/>
            <w:sz w:val="14"/>
            <w:szCs w:val="14"/>
            <w:u w:val="single" w:color="auto"/>
            <w:color w:val="0000FF"/>
          </w:rPr>
          <w:t>National Association, as trustee</w:t>
        </w:r>
      </w:hyperlink>
    </w:p>
    <w:p>
      <w:pPr>
        <w:spacing w:after="0" w:line="9" w:lineRule="exact"/>
        <w:rPr>
          <w:sz w:val="20"/>
          <w:szCs w:val="20"/>
          <w:color w:val="auto"/>
        </w:rPr>
      </w:pPr>
    </w:p>
    <w:p>
      <w:pPr>
        <w:ind w:left="400"/>
        <w:spacing w:after="0"/>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4.4</w:t>
      </w:r>
      <w:r>
        <w:rPr>
          <w:sz w:val="20"/>
          <w:szCs w:val="20"/>
          <w:color w:val="auto"/>
        </w:rPr>
        <w:tab/>
      </w:r>
      <w:hyperlink r:id="rId161">
        <w:r>
          <w:rPr>
            <w:rFonts w:ascii="Times New Roman" w:cs="Times New Roman" w:eastAsia="Times New Roman" w:hAnsi="Times New Roman"/>
            <w:sz w:val="14"/>
            <w:szCs w:val="14"/>
            <w:u w:val="single" w:color="auto"/>
            <w:color w:val="0000FF"/>
          </w:rPr>
          <w:t>Form of 3.875% Senior Note due 2029 (included in Exhibit 4.2)</w:t>
        </w:r>
      </w:hyperlink>
    </w:p>
    <w:p>
      <w:pPr>
        <w:spacing w:after="0" w:line="38" w:lineRule="exact"/>
        <w:rPr>
          <w:sz w:val="20"/>
          <w:szCs w:val="20"/>
          <w:color w:val="auto"/>
        </w:rPr>
      </w:pPr>
    </w:p>
    <w:p>
      <w:pPr>
        <w:ind w:left="1000" w:right="180" w:hanging="630"/>
        <w:spacing w:after="0" w:line="246"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10.1</w:t>
      </w:r>
      <w:r>
        <w:rPr>
          <w:sz w:val="20"/>
          <w:szCs w:val="20"/>
          <w:color w:val="auto"/>
        </w:rPr>
        <w:tab/>
      </w:r>
      <w:hyperlink r:id="rId164">
        <w:r>
          <w:rPr>
            <w:rFonts w:ascii="Times New Roman" w:cs="Times New Roman" w:eastAsia="Times New Roman" w:hAnsi="Times New Roman"/>
            <w:sz w:val="14"/>
            <w:szCs w:val="14"/>
            <w:u w:val="single" w:color="auto"/>
            <w:color w:val="0000FF"/>
          </w:rPr>
          <w:t>Sixth Amended and Restated Limited Liability Company Agreement of ZoomInfo Holdings LLC,</w:t>
        </w:r>
      </w:hyperlink>
      <w:r>
        <w:rPr>
          <w:rFonts w:ascii="Times New Roman" w:cs="Times New Roman" w:eastAsia="Times New Roman" w:hAnsi="Times New Roman"/>
          <w:sz w:val="14"/>
          <w:szCs w:val="14"/>
          <w:u w:val="single" w:color="auto"/>
          <w:color w:val="0000FF"/>
        </w:rPr>
        <w:t xml:space="preserve"> </w:t>
      </w:r>
      <w:hyperlink r:id="rId164">
        <w:r>
          <w:rPr>
            <w:rFonts w:ascii="Times New Roman" w:cs="Times New Roman" w:eastAsia="Times New Roman" w:hAnsi="Times New Roman"/>
            <w:sz w:val="14"/>
            <w:szCs w:val="14"/>
            <w:u w:val="single" w:color="auto"/>
            <w:color w:val="0000FF"/>
          </w:rPr>
          <w:t>dated as of October 29,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7134860" cy="2101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7134860" cy="210185"/>
                    </a:xfrm>
                    <a:prstGeom prst="rect">
                      <a:avLst/>
                    </a:prstGeom>
                    <a:noFill/>
                  </pic:spPr>
                </pic:pic>
              </a:graphicData>
            </a:graphic>
          </wp:anchor>
        </w:drawing>
      </w:r>
    </w:p>
    <w:p>
      <w:pPr>
        <w:jc w:val="center"/>
        <w:ind w:left="380" w:right="680"/>
        <w:spacing w:after="0" w:line="246" w:lineRule="auto"/>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 xml:space="preserve">10.2      </w:t>
      </w:r>
      <w:hyperlink r:id="rId166">
        <w:r>
          <w:rPr>
            <w:rFonts w:ascii="Times New Roman" w:cs="Times New Roman" w:eastAsia="Times New Roman" w:hAnsi="Times New Roman"/>
            <w:sz w:val="14"/>
            <w:szCs w:val="14"/>
            <w:u w:val="single" w:color="auto"/>
            <w:color w:val="0000FF"/>
          </w:rPr>
          <w:t>Exchange Tax Receivable Agreement, dated as of June 3, 2020, by and among ZoomInfo</w:t>
        </w:r>
      </w:hyperlink>
      <w:r>
        <w:rPr>
          <w:rFonts w:ascii="Times New Roman" w:cs="Times New Roman" w:eastAsia="Times New Roman" w:hAnsi="Times New Roman"/>
          <w:sz w:val="14"/>
          <w:szCs w:val="14"/>
          <w:color w:val="auto"/>
        </w:rPr>
        <w:t xml:space="preserve"> </w:t>
      </w:r>
      <w:hyperlink r:id="rId166">
        <w:r>
          <w:rPr>
            <w:rFonts w:ascii="Times New Roman" w:cs="Times New Roman" w:eastAsia="Times New Roman" w:hAnsi="Times New Roman"/>
            <w:sz w:val="14"/>
            <w:szCs w:val="14"/>
            <w:u w:val="single" w:color="auto"/>
            <w:color w:val="0000FF"/>
          </w:rPr>
          <w:t>Technologies Inc. and each of the other persons from time to time party thereto</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November 1,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2.2</w:t>
            </w:r>
          </w:p>
        </w:tc>
      </w:tr>
      <w:tr>
        <w:trPr>
          <w:trHeight w:val="322"/>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May 19, 2022</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3.1</w:t>
            </w:r>
          </w:p>
        </w:tc>
      </w:tr>
      <w:tr>
        <w:trPr>
          <w:trHeight w:val="199"/>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10-Q filed October 30, 2023</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3.2</w:t>
            </w:r>
          </w:p>
        </w:tc>
      </w:tr>
      <w:tr>
        <w:trPr>
          <w:trHeight w:val="161"/>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10-K filed February 24,</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4.1</w:t>
            </w:r>
          </w:p>
        </w:tc>
      </w:tr>
      <w:tr>
        <w:trPr>
          <w:trHeight w:val="184"/>
        </w:trPr>
        <w:tc>
          <w:tcPr>
            <w:tcW w:w="1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2022</w:t>
            </w:r>
          </w:p>
        </w:tc>
        <w:tc>
          <w:tcPr>
            <w:tcW w:w="1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5"/>
        </w:trPr>
        <w:tc>
          <w:tcPr>
            <w:tcW w:w="1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 filed February 2,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4.1</w:t>
            </w:r>
          </w:p>
        </w:tc>
      </w:tr>
      <w:tr>
        <w:trPr>
          <w:trHeight w:val="504"/>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w w:val="99"/>
              </w:rPr>
              <w:t>8-K filed July 15,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4.2</w:t>
            </w:r>
          </w:p>
        </w:tc>
      </w:tr>
      <w:tr>
        <w:trPr>
          <w:trHeight w:val="503"/>
        </w:trPr>
        <w:tc>
          <w:tcPr>
            <w:tcW w:w="1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8-K filed February 2,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4.1</w:t>
            </w:r>
          </w:p>
        </w:tc>
      </w:tr>
      <w:tr>
        <w:trPr>
          <w:trHeight w:val="161"/>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10-K filed February 24,</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10.1</w:t>
            </w:r>
          </w:p>
        </w:tc>
      </w:tr>
      <w:tr>
        <w:trPr>
          <w:trHeight w:val="184"/>
        </w:trPr>
        <w:tc>
          <w:tcPr>
            <w:tcW w:w="1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2022</w:t>
            </w:r>
          </w:p>
        </w:tc>
        <w:tc>
          <w:tcPr>
            <w:tcW w:w="1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86"/>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June 8, 2020</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center"/>
              <w:ind w:left="409"/>
              <w:spacing w:after="0"/>
              <w:rPr>
                <w:sz w:val="20"/>
                <w:szCs w:val="20"/>
                <w:color w:val="auto"/>
              </w:rPr>
            </w:pPr>
            <w:r>
              <w:rPr>
                <w:rFonts w:ascii="Times New Roman" w:cs="Times New Roman" w:eastAsia="Times New Roman" w:hAnsi="Times New Roman"/>
                <w:sz w:val="14"/>
                <w:szCs w:val="14"/>
                <w:color w:val="auto"/>
              </w:rPr>
              <w:t>10.3</w:t>
            </w:r>
          </w:p>
        </w:tc>
      </w:tr>
    </w:tbl>
    <w:p>
      <w:pPr>
        <w:spacing w:after="0" w:line="147" w:lineRule="exact"/>
        <w:rPr>
          <w:sz w:val="20"/>
          <w:szCs w:val="20"/>
          <w:color w:val="auto"/>
        </w:rPr>
      </w:pPr>
    </w:p>
    <w:p>
      <w:pPr>
        <w:sectPr>
          <w:pgSz w:w="11900" w:h="16838" w:orient="portrait"/>
          <w:cols w:equalWidth="0" w:num="2">
            <w:col w:w="6720" w:space="100"/>
            <w:col w:w="4420"/>
          </w:cols>
          <w:pgMar w:left="320" w:top="118" w:right="339" w:bottom="1440" w:gutter="0" w:footer="0" w:header="0"/>
          <w:type w:val="continuous"/>
        </w:sectPr>
      </w:pPr>
    </w:p>
    <w:tbl>
      <w:tblPr>
        <w:tblLayout w:type="fixed"/>
        <w:tblInd w:w="380" w:type="dxa"/>
        <w:tblCellMar>
          <w:top w:w="0" w:type="dxa"/>
          <w:left w:w="0" w:type="dxa"/>
          <w:bottom w:w="0" w:type="dxa"/>
          <w:right w:w="0" w:type="dxa"/>
        </w:tblCellMar>
      </w:tblPr>
      <w:tr>
        <w:trPr>
          <w:trHeight w:val="163"/>
        </w:trPr>
        <w:tc>
          <w:tcPr>
            <w:tcW w:w="620" w:type="dxa"/>
            <w:vAlign w:val="bottom"/>
          </w:tcPr>
          <w:p>
            <w:pPr>
              <w:jc w:val="right"/>
              <w:ind w:right="309"/>
              <w:spacing w:after="0" w:line="157" w:lineRule="exact"/>
              <w:rPr>
                <w:sz w:val="20"/>
                <w:szCs w:val="20"/>
                <w:color w:val="auto"/>
              </w:rPr>
            </w:pPr>
            <w:r>
              <w:rPr>
                <w:rFonts w:ascii="Times New Roman" w:cs="Times New Roman" w:eastAsia="Times New Roman" w:hAnsi="Times New Roman"/>
                <w:sz w:val="14"/>
                <w:szCs w:val="14"/>
                <w:color w:val="auto"/>
                <w:w w:val="89"/>
              </w:rPr>
              <w:t>10.3</w:t>
            </w:r>
          </w:p>
        </w:tc>
        <w:tc>
          <w:tcPr>
            <w:tcW w:w="5780" w:type="dxa"/>
            <w:vAlign w:val="bottom"/>
            <w:tcBorders>
              <w:bottom w:val="single" w:sz="8" w:color="0000FF"/>
            </w:tcBorders>
            <w:gridSpan w:val="2"/>
          </w:tcPr>
          <w:p>
            <w:pPr>
              <w:spacing w:after="0" w:line="157"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Amendment No. 1, dated as of August 20, 2021, to the Exchange Tax Receivable Agreement, dated as</w:t>
              </w:r>
            </w:hyperlink>
          </w:p>
        </w:tc>
        <w:tc>
          <w:tcPr>
            <w:tcW w:w="1860" w:type="dxa"/>
            <w:vAlign w:val="bottom"/>
          </w:tcPr>
          <w:p>
            <w:pPr>
              <w:jc w:val="center"/>
              <w:ind w:right="89"/>
              <w:spacing w:after="0" w:line="157" w:lineRule="exact"/>
              <w:rPr>
                <w:sz w:val="20"/>
                <w:szCs w:val="20"/>
                <w:color w:val="auto"/>
              </w:rPr>
            </w:pPr>
            <w:r>
              <w:rPr>
                <w:rFonts w:ascii="Times New Roman" w:cs="Times New Roman" w:eastAsia="Times New Roman" w:hAnsi="Times New Roman"/>
                <w:sz w:val="14"/>
                <w:szCs w:val="14"/>
                <w:color w:val="auto"/>
                <w:w w:val="99"/>
              </w:rPr>
              <w:t>10-Q filed November 1,</w:t>
            </w:r>
          </w:p>
        </w:tc>
        <w:tc>
          <w:tcPr>
            <w:tcW w:w="1400" w:type="dxa"/>
            <w:vAlign w:val="bottom"/>
          </w:tcPr>
          <w:p>
            <w:pPr>
              <w:jc w:val="right"/>
              <w:ind w:right="409"/>
              <w:spacing w:after="0" w:line="157" w:lineRule="exact"/>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line="157" w:lineRule="exact"/>
              <w:rPr>
                <w:sz w:val="20"/>
                <w:szCs w:val="20"/>
                <w:color w:val="auto"/>
              </w:rPr>
            </w:pPr>
            <w:r>
              <w:rPr>
                <w:rFonts w:ascii="Times New Roman" w:cs="Times New Roman" w:eastAsia="Times New Roman" w:hAnsi="Times New Roman"/>
                <w:sz w:val="14"/>
                <w:szCs w:val="14"/>
                <w:color w:val="auto"/>
              </w:rPr>
              <w:t>10.3</w:t>
            </w:r>
          </w:p>
        </w:tc>
      </w:tr>
      <w:tr>
        <w:trPr>
          <w:trHeight w:val="146"/>
        </w:trPr>
        <w:tc>
          <w:tcPr>
            <w:tcW w:w="620" w:type="dxa"/>
            <w:vAlign w:val="bottom"/>
          </w:tcPr>
          <w:p>
            <w:pPr>
              <w:spacing w:after="0"/>
              <w:rPr>
                <w:sz w:val="12"/>
                <w:szCs w:val="12"/>
                <w:color w:val="auto"/>
              </w:rPr>
            </w:pPr>
          </w:p>
        </w:tc>
        <w:tc>
          <w:tcPr>
            <w:tcW w:w="5780" w:type="dxa"/>
            <w:vAlign w:val="bottom"/>
            <w:gridSpan w:val="2"/>
          </w:tcPr>
          <w:p>
            <w:pPr>
              <w:spacing w:after="0" w:line="146" w:lineRule="exact"/>
              <w:rPr>
                <w:rFonts w:ascii="Times New Roman" w:cs="Times New Roman" w:eastAsia="Times New Roman" w:hAnsi="Times New Roman"/>
                <w:sz w:val="14"/>
                <w:szCs w:val="14"/>
                <w:color w:val="0000FF"/>
              </w:rPr>
            </w:pPr>
            <w:hyperlink r:id="rId167">
              <w:r>
                <w:rPr>
                  <w:rFonts w:ascii="Times New Roman" w:cs="Times New Roman" w:eastAsia="Times New Roman" w:hAnsi="Times New Roman"/>
                  <w:sz w:val="14"/>
                  <w:szCs w:val="14"/>
                  <w:color w:val="0000FF"/>
                </w:rPr>
                <w:t>of June 3, 2020, among ZoomInfo Technologies Inc. and each of the other persons from time to time</w:t>
              </w:r>
            </w:hyperlink>
          </w:p>
        </w:tc>
        <w:tc>
          <w:tcPr>
            <w:tcW w:w="1860" w:type="dxa"/>
            <w:vAlign w:val="bottom"/>
          </w:tcPr>
          <w:p>
            <w:pPr>
              <w:jc w:val="right"/>
              <w:ind w:right="789"/>
              <w:spacing w:after="0" w:line="146" w:lineRule="exact"/>
              <w:rPr>
                <w:sz w:val="20"/>
                <w:szCs w:val="20"/>
                <w:color w:val="auto"/>
              </w:rPr>
            </w:pPr>
            <w:r>
              <w:rPr>
                <w:rFonts w:ascii="Times New Roman" w:cs="Times New Roman" w:eastAsia="Times New Roman" w:hAnsi="Times New Roman"/>
                <w:sz w:val="14"/>
                <w:szCs w:val="14"/>
                <w:color w:val="auto"/>
              </w:rPr>
              <w:t>2021</w:t>
            </w:r>
          </w:p>
        </w:tc>
        <w:tc>
          <w:tcPr>
            <w:tcW w:w="140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20"/>
        </w:trPr>
        <w:tc>
          <w:tcPr>
            <w:tcW w:w="620" w:type="dxa"/>
            <w:vAlign w:val="bottom"/>
          </w:tcPr>
          <w:p>
            <w:pPr>
              <w:spacing w:after="0" w:line="20" w:lineRule="exact"/>
              <w:rPr>
                <w:sz w:val="1"/>
                <w:szCs w:val="1"/>
                <w:color w:val="auto"/>
              </w:rPr>
            </w:pPr>
          </w:p>
        </w:tc>
        <w:tc>
          <w:tcPr>
            <w:tcW w:w="56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-209550</wp:posOffset>
            </wp:positionV>
            <wp:extent cx="7134860" cy="3448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8">
                      <a:extLst>
                        <a:ext uri="{28A0092B-C50C-407E-A947-70E740481C1C}"/>
                      </a:extLst>
                    </a:blip>
                    <a:srcRect/>
                    <a:stretch>
                      <a:fillRect/>
                    </a:stretch>
                  </pic:blipFill>
                  <pic:spPr bwMode="auto">
                    <a:xfrm>
                      <a:off x="0" y="0"/>
                      <a:ext cx="7134860" cy="344805"/>
                    </a:xfrm>
                    <a:prstGeom prst="rect">
                      <a:avLst/>
                    </a:prstGeom>
                    <a:noFill/>
                  </pic:spPr>
                </pic:pic>
              </a:graphicData>
            </a:graphic>
          </wp:anchor>
        </w:drawing>
      </w:r>
    </w:p>
    <w:p>
      <w:pPr>
        <w:ind w:left="1000"/>
        <w:spacing w:after="0"/>
        <w:rPr>
          <w:rFonts w:ascii="Times New Roman" w:cs="Times New Roman" w:eastAsia="Times New Roman" w:hAnsi="Times New Roman"/>
          <w:sz w:val="14"/>
          <w:szCs w:val="14"/>
          <w:u w:val="single" w:color="auto"/>
          <w:color w:val="0000FF"/>
        </w:rPr>
      </w:pPr>
      <w:hyperlink r:id="rId167">
        <w:r>
          <w:rPr>
            <w:rFonts w:ascii="Times New Roman" w:cs="Times New Roman" w:eastAsia="Times New Roman" w:hAnsi="Times New Roman"/>
            <w:sz w:val="14"/>
            <w:szCs w:val="14"/>
            <w:u w:val="single" w:color="auto"/>
            <w:color w:val="0000FF"/>
          </w:rPr>
          <w:t>party thereto</w:t>
        </w:r>
      </w:hyperlink>
    </w:p>
    <w:p>
      <w:pPr>
        <w:sectPr>
          <w:pgSz w:w="11900" w:h="16838" w:orient="portrait"/>
          <w:cols w:equalWidth="0" w:num="1">
            <w:col w:w="11240"/>
          </w:cols>
          <w:pgMar w:left="320" w:top="118" w:right="339" w:bottom="1440" w:gutter="0" w:footer="0" w:header="0"/>
          <w:type w:val="continuous"/>
        </w:sectPr>
      </w:pPr>
    </w:p>
    <w:p>
      <w:pPr>
        <w:spacing w:after="0" w:line="38" w:lineRule="exact"/>
        <w:rPr>
          <w:sz w:val="20"/>
          <w:szCs w:val="20"/>
          <w:color w:val="auto"/>
        </w:rPr>
      </w:pPr>
    </w:p>
    <w:p>
      <w:pPr>
        <w:ind w:left="1000" w:hanging="630"/>
        <w:spacing w:after="0" w:line="239"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10.4</w:t>
      </w:r>
      <w:r>
        <w:rPr>
          <w:sz w:val="20"/>
          <w:szCs w:val="20"/>
          <w:color w:val="auto"/>
        </w:rPr>
        <w:tab/>
      </w:r>
      <w:hyperlink r:id="rId169">
        <w:r>
          <w:rPr>
            <w:rFonts w:ascii="Times New Roman" w:cs="Times New Roman" w:eastAsia="Times New Roman" w:hAnsi="Times New Roman"/>
            <w:sz w:val="14"/>
            <w:szCs w:val="14"/>
            <w:u w:val="single" w:color="auto"/>
            <w:color w:val="0000FF"/>
          </w:rPr>
          <w:t>Amendment No. 2, dated as of October 29, 2021, to the Exchange Tax Receivable Agreement, dated</w:t>
        </w:r>
      </w:hyperlink>
      <w:r>
        <w:rPr>
          <w:rFonts w:ascii="Times New Roman" w:cs="Times New Roman" w:eastAsia="Times New Roman" w:hAnsi="Times New Roman"/>
          <w:sz w:val="14"/>
          <w:szCs w:val="14"/>
          <w:u w:val="single" w:color="auto"/>
          <w:color w:val="0000FF"/>
        </w:rPr>
        <w:t xml:space="preserve"> </w:t>
      </w:r>
      <w:hyperlink r:id="rId169">
        <w:r>
          <w:rPr>
            <w:rFonts w:ascii="Times New Roman" w:cs="Times New Roman" w:eastAsia="Times New Roman" w:hAnsi="Times New Roman"/>
            <w:sz w:val="14"/>
            <w:szCs w:val="14"/>
            <w:u w:val="single" w:color="auto"/>
            <w:color w:val="0000FF"/>
          </w:rPr>
          <w:t>as of June 3, 2020, among ZoomInfo Technologies Inc. and each of the other persons from time to</w:t>
        </w:r>
      </w:hyperlink>
    </w:p>
    <w:p>
      <w:pPr>
        <w:spacing w:after="0" w:line="13" w:lineRule="exact"/>
        <w:rPr>
          <w:sz w:val="20"/>
          <w:szCs w:val="20"/>
          <w:color w:val="auto"/>
        </w:rPr>
      </w:pPr>
    </w:p>
    <w:p>
      <w:pPr>
        <w:ind w:left="1000"/>
        <w:spacing w:after="0"/>
        <w:rPr>
          <w:rFonts w:ascii="Times New Roman" w:cs="Times New Roman" w:eastAsia="Times New Roman" w:hAnsi="Times New Roman"/>
          <w:sz w:val="14"/>
          <w:szCs w:val="14"/>
          <w:u w:val="single" w:color="auto"/>
          <w:color w:val="0000FF"/>
        </w:rPr>
      </w:pPr>
      <w:hyperlink r:id="rId169">
        <w:r>
          <w:rPr>
            <w:rFonts w:ascii="Times New Roman" w:cs="Times New Roman" w:eastAsia="Times New Roman" w:hAnsi="Times New Roman"/>
            <w:sz w:val="14"/>
            <w:szCs w:val="14"/>
            <w:u w:val="single" w:color="auto"/>
            <w:color w:val="0000FF"/>
          </w:rPr>
          <w:t>time party thereto</w:t>
        </w:r>
      </w:hyperlink>
    </w:p>
    <w:p>
      <w:pPr>
        <w:spacing w:after="0" w:line="9" w:lineRule="exact"/>
        <w:rPr>
          <w:sz w:val="20"/>
          <w:szCs w:val="20"/>
          <w:color w:val="auto"/>
        </w:rPr>
      </w:pPr>
    </w:p>
    <w:p>
      <w:pPr>
        <w:ind w:left="1000" w:right="340" w:hanging="630"/>
        <w:spacing w:after="0" w:line="246"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10.5</w:t>
      </w:r>
      <w:r>
        <w:rPr>
          <w:sz w:val="20"/>
          <w:szCs w:val="20"/>
          <w:color w:val="auto"/>
        </w:rPr>
        <w:tab/>
      </w:r>
      <w:hyperlink r:id="rId170">
        <w:r>
          <w:rPr>
            <w:rFonts w:ascii="Times New Roman" w:cs="Times New Roman" w:eastAsia="Times New Roman" w:hAnsi="Times New Roman"/>
            <w:sz w:val="14"/>
            <w:szCs w:val="14"/>
            <w:u w:val="single" w:color="auto"/>
            <w:color w:val="0000FF"/>
          </w:rPr>
          <w:t>Reorganization Tax Receivable Agreement, dated as of June 3, 2020, by and among ZoomInfo</w:t>
        </w:r>
      </w:hyperlink>
      <w:r>
        <w:rPr>
          <w:rFonts w:ascii="Times New Roman" w:cs="Times New Roman" w:eastAsia="Times New Roman" w:hAnsi="Times New Roman"/>
          <w:sz w:val="14"/>
          <w:szCs w:val="14"/>
          <w:u w:val="single" w:color="auto"/>
          <w:color w:val="0000FF"/>
        </w:rPr>
        <w:t xml:space="preserve"> </w:t>
      </w:r>
      <w:hyperlink r:id="rId170">
        <w:r>
          <w:rPr>
            <w:rFonts w:ascii="Times New Roman" w:cs="Times New Roman" w:eastAsia="Times New Roman" w:hAnsi="Times New Roman"/>
            <w:sz w:val="14"/>
            <w:szCs w:val="14"/>
            <w:u w:val="single" w:color="auto"/>
            <w:color w:val="0000FF"/>
          </w:rPr>
          <w:t>Technologies Inc. and each of the other persons from time to time a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-203200</wp:posOffset>
            </wp:positionV>
            <wp:extent cx="7134860" cy="2101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1">
                      <a:extLst>
                        <a:ext uri="{28A0092B-C50C-407E-A947-70E740481C1C}"/>
                      </a:extLst>
                    </a:blip>
                    <a:srcRect/>
                    <a:stretch>
                      <a:fillRect/>
                    </a:stretch>
                  </pic:blipFill>
                  <pic:spPr bwMode="auto">
                    <a:xfrm>
                      <a:off x="0" y="0"/>
                      <a:ext cx="7134860" cy="2101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November 1,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r>
      <w:tr>
        <w:trPr>
          <w:trHeight w:val="503"/>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June 8, 2020</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bl>
    <w:p>
      <w:pPr>
        <w:spacing w:after="0" w:line="147" w:lineRule="exact"/>
        <w:rPr>
          <w:sz w:val="20"/>
          <w:szCs w:val="20"/>
          <w:color w:val="auto"/>
        </w:rPr>
      </w:pPr>
    </w:p>
    <w:p>
      <w:pPr>
        <w:sectPr>
          <w:pgSz w:w="11900" w:h="16838" w:orient="portrait"/>
          <w:cols w:equalWidth="0" w:num="2">
            <w:col w:w="6680" w:space="140"/>
            <w:col w:w="4420"/>
          </w:cols>
          <w:pgMar w:left="320" w:top="118" w:right="339" w:bottom="1440" w:gutter="0" w:footer="0" w:header="0"/>
          <w:type w:val="continuous"/>
        </w:sectPr>
      </w:pPr>
    </w:p>
    <w:p>
      <w:pPr>
        <w:ind w:left="1000" w:hanging="630"/>
        <w:spacing w:after="0" w:line="263"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10.6</w:t>
      </w:r>
      <w:r>
        <w:rPr>
          <w:sz w:val="20"/>
          <w:szCs w:val="20"/>
          <w:color w:val="auto"/>
        </w:rPr>
        <w:tab/>
      </w:r>
      <w:hyperlink r:id="rId172">
        <w:r>
          <w:rPr>
            <w:rFonts w:ascii="Times New Roman" w:cs="Times New Roman" w:eastAsia="Times New Roman" w:hAnsi="Times New Roman"/>
            <w:sz w:val="14"/>
            <w:szCs w:val="14"/>
            <w:u w:val="single" w:color="auto"/>
            <w:color w:val="0000FF"/>
          </w:rPr>
          <w:t>Amendment No. 1, dated as of August 20, 2021, to the Reorganization Tax Receivable Agreement,</w:t>
        </w:r>
      </w:hyperlink>
      <w:r>
        <w:rPr>
          <w:rFonts w:ascii="Times New Roman" w:cs="Times New Roman" w:eastAsia="Times New Roman" w:hAnsi="Times New Roman"/>
          <w:sz w:val="14"/>
          <w:szCs w:val="14"/>
          <w:u w:val="single" w:color="auto"/>
          <w:color w:val="0000FF"/>
        </w:rPr>
        <w:t xml:space="preserve"> </w:t>
      </w:r>
      <w:hyperlink r:id="rId172">
        <w:r>
          <w:rPr>
            <w:rFonts w:ascii="Times New Roman" w:cs="Times New Roman" w:eastAsia="Times New Roman" w:hAnsi="Times New Roman"/>
            <w:sz w:val="14"/>
            <w:szCs w:val="14"/>
            <w:u w:val="single" w:color="auto"/>
            <w:color w:val="0000FF"/>
          </w:rPr>
          <w:t>dated as of June 3, 2020, among ZoomInfo Technologies Inc. and each of the other persons from time</w:t>
        </w:r>
      </w:hyperlink>
      <w:r>
        <w:rPr>
          <w:rFonts w:ascii="Times New Roman" w:cs="Times New Roman" w:eastAsia="Times New Roman" w:hAnsi="Times New Roman"/>
          <w:sz w:val="14"/>
          <w:szCs w:val="14"/>
          <w:u w:val="single" w:color="auto"/>
          <w:color w:val="0000FF"/>
        </w:rPr>
        <w:t xml:space="preserve"> </w:t>
      </w:r>
      <w:hyperlink r:id="rId172">
        <w:r>
          <w:rPr>
            <w:rFonts w:ascii="Times New Roman" w:cs="Times New Roman" w:eastAsia="Times New Roman" w:hAnsi="Times New Roman"/>
            <w:sz w:val="14"/>
            <w:szCs w:val="14"/>
            <w:u w:val="single" w:color="auto"/>
            <w:color w:val="0000FF"/>
          </w:rPr>
          <w:t>to time party thereto</w:t>
        </w:r>
      </w:hyperlink>
    </w:p>
    <w:p>
      <w:pPr>
        <w:spacing w:after="0" w:line="14" w:lineRule="exact"/>
        <w:rPr>
          <w:rFonts w:ascii="Times New Roman" w:cs="Times New Roman" w:eastAsia="Times New Roman" w:hAnsi="Times New Roman"/>
          <w:sz w:val="14"/>
          <w:szCs w:val="14"/>
          <w:u w:val="single" w:color="auto"/>
          <w:color w:val="0000FF"/>
        </w:rPr>
      </w:pPr>
    </w:p>
    <w:p>
      <w:pPr>
        <w:ind w:left="380"/>
        <w:spacing w:after="0"/>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10.7</w:t>
      </w:r>
      <w:r>
        <w:rPr>
          <w:sz w:val="20"/>
          <w:szCs w:val="20"/>
          <w:color w:val="auto"/>
        </w:rPr>
        <w:tab/>
      </w:r>
      <w:hyperlink r:id="rId173">
        <w:r>
          <w:rPr>
            <w:rFonts w:ascii="Times New Roman" w:cs="Times New Roman" w:eastAsia="Times New Roman" w:hAnsi="Times New Roman"/>
            <w:sz w:val="14"/>
            <w:szCs w:val="14"/>
            <w:u w:val="single" w:color="auto"/>
            <w:color w:val="0000FF"/>
          </w:rPr>
          <w:t>Amendment No. 2, dated as of October 29, 2021, to the Reorganization Tax Receivable Agreement,</w:t>
        </w:r>
      </w:hyperlink>
    </w:p>
    <w:p>
      <w:pPr>
        <w:spacing w:after="0" w:line="20" w:lineRule="exact"/>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u w:val="single" w:color="auto"/>
          <w:color w:val="0000FF"/>
        </w:rPr>
        <w:drawing>
          <wp:anchor simplePos="0" relativeHeight="251657728" behindDoc="1" locked="0" layoutInCell="0" allowOverlap="1">
            <wp:simplePos x="0" y="0"/>
            <wp:positionH relativeFrom="column">
              <wp:posOffset>3810</wp:posOffset>
            </wp:positionH>
            <wp:positionV relativeFrom="paragraph">
              <wp:posOffset>-95885</wp:posOffset>
            </wp:positionV>
            <wp:extent cx="7134860" cy="3028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4">
                      <a:extLst>
                        <a:ext uri="{28A0092B-C50C-407E-A947-70E740481C1C}"/>
                      </a:extLst>
                    </a:blip>
                    <a:srcRect/>
                    <a:stretch>
                      <a:fillRect/>
                    </a:stretch>
                  </pic:blipFill>
                  <pic:spPr bwMode="auto">
                    <a:xfrm>
                      <a:off x="0" y="0"/>
                      <a:ext cx="7134860" cy="302895"/>
                    </a:xfrm>
                    <a:prstGeom prst="rect">
                      <a:avLst/>
                    </a:prstGeom>
                    <a:noFill/>
                  </pic:spPr>
                </pic:pic>
              </a:graphicData>
            </a:graphic>
          </wp:anchor>
        </w:drawing>
      </w:r>
    </w:p>
    <w:p>
      <w:pPr>
        <w:ind w:left="1000"/>
        <w:spacing w:after="0" w:line="223" w:lineRule="auto"/>
        <w:rPr>
          <w:rFonts w:ascii="Times New Roman" w:cs="Times New Roman" w:eastAsia="Times New Roman" w:hAnsi="Times New Roman"/>
          <w:sz w:val="14"/>
          <w:szCs w:val="14"/>
          <w:u w:val="single" w:color="auto"/>
          <w:color w:val="0000FF"/>
        </w:rPr>
      </w:pPr>
      <w:hyperlink r:id="rId173">
        <w:r>
          <w:rPr>
            <w:rFonts w:ascii="Times New Roman" w:cs="Times New Roman" w:eastAsia="Times New Roman" w:hAnsi="Times New Roman"/>
            <w:sz w:val="14"/>
            <w:szCs w:val="14"/>
            <w:u w:val="single" w:color="auto"/>
            <w:color w:val="0000FF"/>
          </w:rPr>
          <w:t>dated as of June 3, 2020, among ZoomInfo Technologies Inc. and each of the other persons from time</w:t>
        </w:r>
      </w:hyperlink>
      <w:r>
        <w:rPr>
          <w:rFonts w:ascii="Times New Roman" w:cs="Times New Roman" w:eastAsia="Times New Roman" w:hAnsi="Times New Roman"/>
          <w:sz w:val="14"/>
          <w:szCs w:val="14"/>
          <w:u w:val="single" w:color="auto"/>
          <w:color w:val="0000FF"/>
        </w:rPr>
        <w:t xml:space="preserve"> </w:t>
      </w:r>
      <w:hyperlink r:id="rId173">
        <w:r>
          <w:rPr>
            <w:rFonts w:ascii="Times New Roman" w:cs="Times New Roman" w:eastAsia="Times New Roman" w:hAnsi="Times New Roman"/>
            <w:sz w:val="14"/>
            <w:szCs w:val="14"/>
            <w:u w:val="single" w:color="auto"/>
            <w:color w:val="0000FF"/>
          </w:rPr>
          <w:t>to time party thereto</w:t>
        </w:r>
      </w:hyperlink>
    </w:p>
    <w:p>
      <w:pPr>
        <w:spacing w:after="0" w:line="16" w:lineRule="exact"/>
        <w:rPr>
          <w:sz w:val="20"/>
          <w:szCs w:val="20"/>
          <w:color w:val="auto"/>
        </w:rPr>
      </w:pPr>
    </w:p>
    <w:p>
      <w:pPr>
        <w:ind w:left="1000" w:right="40" w:hanging="630"/>
        <w:spacing w:after="0" w:line="251" w:lineRule="auto"/>
        <w:tabs>
          <w:tab w:leader="none" w:pos="980" w:val="left"/>
        </w:tabs>
        <w:rPr>
          <w:rFonts w:ascii="Times New Roman" w:cs="Times New Roman" w:eastAsia="Times New Roman" w:hAnsi="Times New Roman"/>
          <w:sz w:val="14"/>
          <w:szCs w:val="14"/>
          <w:u w:val="single" w:color="auto"/>
          <w:color w:val="0000FF"/>
        </w:rPr>
      </w:pPr>
      <w:r>
        <w:rPr>
          <w:rFonts w:ascii="Times New Roman" w:cs="Times New Roman" w:eastAsia="Times New Roman" w:hAnsi="Times New Roman"/>
          <w:sz w:val="14"/>
          <w:szCs w:val="14"/>
          <w:color w:val="auto"/>
        </w:rPr>
        <w:t>10.8</w:t>
      </w:r>
      <w:r>
        <w:rPr>
          <w:sz w:val="20"/>
          <w:szCs w:val="20"/>
          <w:color w:val="auto"/>
        </w:rPr>
        <w:tab/>
      </w:r>
      <w:hyperlink r:id="rId175">
        <w:r>
          <w:rPr>
            <w:rFonts w:ascii="Times New Roman" w:cs="Times New Roman" w:eastAsia="Times New Roman" w:hAnsi="Times New Roman"/>
            <w:sz w:val="14"/>
            <w:szCs w:val="14"/>
            <w:u w:val="single" w:color="auto"/>
            <w:color w:val="0000FF"/>
          </w:rPr>
          <w:t>Registration Rights Agreement, dated as of June 8, 2020, by and among ZoomInfo Technologies Inc.</w:t>
        </w:r>
      </w:hyperlink>
      <w:r>
        <w:rPr>
          <w:rFonts w:ascii="Times New Roman" w:cs="Times New Roman" w:eastAsia="Times New Roman" w:hAnsi="Times New Roman"/>
          <w:sz w:val="14"/>
          <w:szCs w:val="14"/>
          <w:u w:val="single" w:color="auto"/>
          <w:color w:val="0000FF"/>
        </w:rPr>
        <w:t xml:space="preserve"> </w:t>
      </w:r>
      <w:hyperlink r:id="rId175">
        <w:r>
          <w:rPr>
            <w:rFonts w:ascii="Times New Roman" w:cs="Times New Roman" w:eastAsia="Times New Roman" w:hAnsi="Times New Roman"/>
            <w:sz w:val="14"/>
            <w:szCs w:val="14"/>
            <w:u w:val="single" w:color="auto"/>
            <w:color w:val="0000FF"/>
          </w:rPr>
          <w:t>and each of the other persons from time to time a party thereto</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7"/>
        </w:trPr>
        <w:tc>
          <w:tcPr>
            <w:tcW w:w="1880" w:type="dxa"/>
            <w:vAlign w:val="bottom"/>
          </w:tcPr>
          <w:p>
            <w:pPr>
              <w:jc w:val="center"/>
              <w:ind w:right="189"/>
              <w:spacing w:after="0" w:line="147" w:lineRule="exact"/>
              <w:rPr>
                <w:sz w:val="20"/>
                <w:szCs w:val="20"/>
                <w:color w:val="auto"/>
              </w:rPr>
            </w:pPr>
            <w:r>
              <w:rPr>
                <w:rFonts w:ascii="Times New Roman" w:cs="Times New Roman" w:eastAsia="Times New Roman" w:hAnsi="Times New Roman"/>
                <w:sz w:val="14"/>
                <w:szCs w:val="14"/>
                <w:color w:val="auto"/>
                <w:w w:val="99"/>
              </w:rPr>
              <w:t>10-Q filed November 1,</w:t>
            </w:r>
          </w:p>
        </w:tc>
        <w:tc>
          <w:tcPr>
            <w:tcW w:w="1340" w:type="dxa"/>
            <w:vAlign w:val="bottom"/>
          </w:tcPr>
          <w:p>
            <w:pPr>
              <w:jc w:val="right"/>
              <w:ind w:right="409"/>
              <w:spacing w:after="0" w:line="147" w:lineRule="exact"/>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10.2</w:t>
            </w:r>
          </w:p>
        </w:tc>
      </w:tr>
      <w:tr>
        <w:trPr>
          <w:trHeight w:val="184"/>
        </w:trPr>
        <w:tc>
          <w:tcPr>
            <w:tcW w:w="188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w w:val="99"/>
              </w:rPr>
              <w:t>2021</w:t>
            </w:r>
          </w:p>
        </w:tc>
        <w:tc>
          <w:tcPr>
            <w:tcW w:w="13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398"/>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November 1, 2021</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477"/>
        </w:trPr>
        <w:tc>
          <w:tcPr>
            <w:tcW w:w="1880" w:type="dxa"/>
            <w:vAlign w:val="bottom"/>
          </w:tcPr>
          <w:p>
            <w:pPr>
              <w:jc w:val="center"/>
              <w:ind w:right="189"/>
              <w:spacing w:after="0"/>
              <w:rPr>
                <w:sz w:val="20"/>
                <w:szCs w:val="20"/>
                <w:color w:val="auto"/>
              </w:rPr>
            </w:pPr>
            <w:r>
              <w:rPr>
                <w:rFonts w:ascii="Times New Roman" w:cs="Times New Roman" w:eastAsia="Times New Roman" w:hAnsi="Times New Roman"/>
                <w:sz w:val="14"/>
                <w:szCs w:val="14"/>
                <w:color w:val="auto"/>
              </w:rPr>
              <w:t>8-K filed June 8, 2020</w:t>
            </w:r>
          </w:p>
        </w:tc>
        <w:tc>
          <w:tcPr>
            <w:tcW w:w="1340" w:type="dxa"/>
            <w:vAlign w:val="bottom"/>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r>
    </w:tbl>
    <w:p>
      <w:pPr>
        <w:spacing w:after="0" w:line="153" w:lineRule="exact"/>
        <w:rPr>
          <w:sz w:val="20"/>
          <w:szCs w:val="20"/>
          <w:color w:val="auto"/>
        </w:rPr>
      </w:pPr>
    </w:p>
    <w:p>
      <w:pPr>
        <w:sectPr>
          <w:pgSz w:w="11900" w:h="16838" w:orient="portrait"/>
          <w:cols w:equalWidth="0" w:num="2">
            <w:col w:w="6760" w:space="60"/>
            <w:col w:w="4420"/>
          </w:cols>
          <w:pgMar w:left="320" w:top="118" w:right="339" w:bottom="1440" w:gutter="0" w:footer="0" w:header="0"/>
          <w:type w:val="continuous"/>
        </w:sectPr>
      </w:pPr>
    </w:p>
    <w:tbl>
      <w:tblPr>
        <w:tblLayout w:type="fixed"/>
        <w:tblInd w:w="0" w:type="dxa"/>
        <w:tblCellMar>
          <w:top w:w="0" w:type="dxa"/>
          <w:left w:w="0" w:type="dxa"/>
          <w:bottom w:w="0" w:type="dxa"/>
          <w:right w:w="0" w:type="dxa"/>
        </w:tblCellMar>
      </w:tblPr>
      <w:tr>
        <w:trPr>
          <w:trHeight w:val="150"/>
        </w:trPr>
        <w:tc>
          <w:tcPr>
            <w:tcW w:w="1000" w:type="dxa"/>
            <w:vAlign w:val="bottom"/>
            <w:shd w:val="clear" w:color="auto" w:fill="CCEEFF"/>
          </w:tcPr>
          <w:p>
            <w:pPr>
              <w:jc w:val="center"/>
              <w:spacing w:after="0" w:line="150" w:lineRule="exact"/>
              <w:rPr>
                <w:sz w:val="20"/>
                <w:szCs w:val="20"/>
                <w:color w:val="auto"/>
              </w:rPr>
            </w:pPr>
            <w:r>
              <w:rPr>
                <w:rFonts w:ascii="Times New Roman" w:cs="Times New Roman" w:eastAsia="Times New Roman" w:hAnsi="Times New Roman"/>
                <w:sz w:val="14"/>
                <w:szCs w:val="14"/>
                <w:color w:val="auto"/>
                <w:w w:val="97"/>
              </w:rPr>
              <w:t>10.9</w:t>
            </w:r>
          </w:p>
        </w:tc>
        <w:tc>
          <w:tcPr>
            <w:tcW w:w="5800" w:type="dxa"/>
            <w:vAlign w:val="bottom"/>
            <w:gridSpan w:val="6"/>
            <w:shd w:val="clear" w:color="auto" w:fill="CCEEFF"/>
          </w:tcPr>
          <w:p>
            <w:pPr>
              <w:spacing w:after="0" w:line="150"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Stockholders Agreement, dated as of June 3, 2020, by and among ZoomInfo Technologies Inc. and</w:t>
              </w:r>
            </w:hyperlink>
          </w:p>
        </w:tc>
        <w:tc>
          <w:tcPr>
            <w:tcW w:w="1820" w:type="dxa"/>
            <w:vAlign w:val="bottom"/>
            <w:shd w:val="clear" w:color="auto" w:fill="CCEEFF"/>
          </w:tcPr>
          <w:p>
            <w:pPr>
              <w:ind w:left="200"/>
              <w:spacing w:after="0" w:line="150" w:lineRule="exact"/>
              <w:rPr>
                <w:sz w:val="20"/>
                <w:szCs w:val="20"/>
                <w:color w:val="auto"/>
              </w:rPr>
            </w:pPr>
            <w:r>
              <w:rPr>
                <w:rFonts w:ascii="Times New Roman" w:cs="Times New Roman" w:eastAsia="Times New Roman" w:hAnsi="Times New Roman"/>
                <w:sz w:val="14"/>
                <w:szCs w:val="14"/>
                <w:color w:val="auto"/>
              </w:rPr>
              <w:t>8-K filed June 8, 2020</w:t>
            </w:r>
          </w:p>
        </w:tc>
        <w:tc>
          <w:tcPr>
            <w:tcW w:w="1420" w:type="dxa"/>
            <w:vAlign w:val="bottom"/>
            <w:shd w:val="clear" w:color="auto" w:fill="CCEEFF"/>
          </w:tcPr>
          <w:p>
            <w:pPr>
              <w:jc w:val="right"/>
              <w:ind w:right="409"/>
              <w:spacing w:after="0" w:line="150" w:lineRule="exact"/>
              <w:rPr>
                <w:sz w:val="20"/>
                <w:szCs w:val="20"/>
                <w:color w:val="auto"/>
              </w:rPr>
            </w:pPr>
            <w:r>
              <w:rPr>
                <w:rFonts w:ascii="Times New Roman" w:cs="Times New Roman" w:eastAsia="Times New Roman" w:hAnsi="Times New Roman"/>
                <w:sz w:val="14"/>
                <w:szCs w:val="14"/>
                <w:color w:val="auto"/>
              </w:rPr>
              <w:t>001-39310</w:t>
            </w:r>
          </w:p>
        </w:tc>
        <w:tc>
          <w:tcPr>
            <w:tcW w:w="1200" w:type="dxa"/>
            <w:vAlign w:val="bottom"/>
            <w:shd w:val="clear" w:color="auto" w:fill="CCEEFF"/>
          </w:tcPr>
          <w:p>
            <w:pPr>
              <w:jc w:val="right"/>
              <w:ind w:right="389"/>
              <w:spacing w:after="0" w:line="150" w:lineRule="exact"/>
              <w:rPr>
                <w:sz w:val="20"/>
                <w:szCs w:val="20"/>
                <w:color w:val="auto"/>
              </w:rPr>
            </w:pPr>
            <w:r>
              <w:rPr>
                <w:rFonts w:ascii="Times New Roman" w:cs="Times New Roman" w:eastAsia="Times New Roman" w:hAnsi="Times New Roman"/>
                <w:sz w:val="14"/>
                <w:szCs w:val="14"/>
                <w:color w:val="auto"/>
              </w:rPr>
              <w:t>10.6</w:t>
            </w:r>
          </w:p>
        </w:tc>
      </w:tr>
      <w:tr>
        <w:trPr>
          <w:trHeight w:val="146"/>
        </w:trPr>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3200" w:type="dxa"/>
            <w:vAlign w:val="bottom"/>
            <w:tcBorders>
              <w:top w:val="single" w:sz="8" w:color="0000FF"/>
              <w:bottom w:val="single" w:sz="8" w:color="0000FF"/>
            </w:tcBorders>
            <w:gridSpan w:val="2"/>
            <w:shd w:val="clear" w:color="auto" w:fill="CCEEFF"/>
          </w:tcPr>
          <w:p>
            <w:pPr>
              <w:spacing w:after="0" w:line="126" w:lineRule="exact"/>
              <w:rPr>
                <w:rFonts w:ascii="Times New Roman" w:cs="Times New Roman" w:eastAsia="Times New Roman" w:hAnsi="Times New Roman"/>
                <w:sz w:val="14"/>
                <w:szCs w:val="14"/>
                <w:color w:val="0000FF"/>
              </w:rPr>
            </w:pPr>
            <w:hyperlink r:id="rId176">
              <w:r>
                <w:rPr>
                  <w:rFonts w:ascii="Times New Roman" w:cs="Times New Roman" w:eastAsia="Times New Roman" w:hAnsi="Times New Roman"/>
                  <w:sz w:val="14"/>
                  <w:szCs w:val="14"/>
                  <w:color w:val="0000FF"/>
                </w:rPr>
                <w:t>each of the other persons from time to time party thereto</w:t>
              </w:r>
            </w:hyperlink>
          </w:p>
        </w:tc>
        <w:tc>
          <w:tcPr>
            <w:tcW w:w="2400" w:type="dxa"/>
            <w:vAlign w:val="bottom"/>
            <w:tcBorders>
              <w:top w:val="single" w:sz="8" w:color="0000FF"/>
              <w:bottom w:val="single" w:sz="8" w:color="CCEEFF"/>
            </w:tcBorders>
            <w:gridSpan w:val="3"/>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1820" w:type="dxa"/>
            <w:vAlign w:val="bottom"/>
            <w:tcBorders>
              <w:top w:val="single" w:sz="8" w:color="CCEEFF"/>
              <w:bottom w:val="single" w:sz="8" w:color="CCEEFF"/>
            </w:tcBorders>
            <w:shd w:val="clear" w:color="auto" w:fill="CCEEFF"/>
          </w:tcPr>
          <w:p>
            <w:pPr>
              <w:spacing w:after="0"/>
              <w:rPr>
                <w:sz w:val="12"/>
                <w:szCs w:val="12"/>
                <w:color w:val="auto"/>
              </w:rPr>
            </w:pPr>
          </w:p>
        </w:tc>
        <w:tc>
          <w:tcPr>
            <w:tcW w:w="142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6"/>
        </w:trPr>
        <w:tc>
          <w:tcPr>
            <w:tcW w:w="100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10.10†</w:t>
            </w:r>
          </w:p>
        </w:tc>
        <w:tc>
          <w:tcPr>
            <w:tcW w:w="1940" w:type="dxa"/>
            <w:vAlign w:val="bottom"/>
          </w:tcPr>
          <w:p>
            <w:pPr>
              <w:spacing w:after="0" w:line="126" w:lineRule="exact"/>
              <w:rPr>
                <w:rFonts w:ascii="Times New Roman" w:cs="Times New Roman" w:eastAsia="Times New Roman" w:hAnsi="Times New Roman"/>
                <w:sz w:val="14"/>
                <w:szCs w:val="14"/>
                <w:color w:val="0000FF"/>
                <w:w w:val="99"/>
              </w:rPr>
            </w:pPr>
            <w:hyperlink r:id="rId177">
              <w:r>
                <w:rPr>
                  <w:rFonts w:ascii="Times New Roman" w:cs="Times New Roman" w:eastAsia="Times New Roman" w:hAnsi="Times New Roman"/>
                  <w:sz w:val="14"/>
                  <w:szCs w:val="14"/>
                  <w:color w:val="0000FF"/>
                  <w:w w:val="99"/>
                </w:rPr>
                <w:t>ZoomInfo Technologies Inc. 2020</w:t>
              </w:r>
            </w:hyperlink>
          </w:p>
        </w:tc>
        <w:tc>
          <w:tcPr>
            <w:tcW w:w="3860" w:type="dxa"/>
            <w:vAlign w:val="bottom"/>
            <w:gridSpan w:val="5"/>
          </w:tcPr>
          <w:p>
            <w:pPr>
              <w:ind w:left="20"/>
              <w:spacing w:after="0" w:line="126" w:lineRule="exact"/>
              <w:rPr>
                <w:rFonts w:ascii="Times New Roman" w:cs="Times New Roman" w:eastAsia="Times New Roman" w:hAnsi="Times New Roman"/>
                <w:sz w:val="14"/>
                <w:szCs w:val="14"/>
                <w:color w:val="0000FF"/>
              </w:rPr>
            </w:pPr>
            <w:hyperlink r:id="rId177">
              <w:r>
                <w:rPr>
                  <w:rFonts w:ascii="Times New Roman" w:cs="Times New Roman" w:eastAsia="Times New Roman" w:hAnsi="Times New Roman"/>
                  <w:sz w:val="14"/>
                  <w:szCs w:val="14"/>
                  <w:color w:val="0000FF"/>
                </w:rPr>
                <w:t>Omnibus Incentive Plan</w:t>
              </w:r>
            </w:hyperlink>
          </w:p>
        </w:tc>
        <w:tc>
          <w:tcPr>
            <w:tcW w:w="182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8-K filed June 8, 2020</w:t>
            </w:r>
          </w:p>
        </w:tc>
        <w:tc>
          <w:tcPr>
            <w:tcW w:w="1420" w:type="dxa"/>
            <w:vAlign w:val="bottom"/>
          </w:tcPr>
          <w:p>
            <w:pPr>
              <w:jc w:val="right"/>
              <w:ind w:right="409"/>
              <w:spacing w:after="0" w:line="126" w:lineRule="exact"/>
              <w:rPr>
                <w:sz w:val="20"/>
                <w:szCs w:val="20"/>
                <w:color w:val="auto"/>
              </w:rPr>
            </w:pPr>
            <w:r>
              <w:rPr>
                <w:rFonts w:ascii="Times New Roman" w:cs="Times New Roman" w:eastAsia="Times New Roman" w:hAnsi="Times New Roman"/>
                <w:sz w:val="14"/>
                <w:szCs w:val="14"/>
                <w:color w:val="auto"/>
              </w:rPr>
              <w:t>001-39310</w:t>
            </w:r>
          </w:p>
        </w:tc>
        <w:tc>
          <w:tcPr>
            <w:tcW w:w="1200" w:type="dxa"/>
            <w:vAlign w:val="bottom"/>
          </w:tcPr>
          <w:p>
            <w:pPr>
              <w:jc w:val="right"/>
              <w:ind w:right="389"/>
              <w:spacing w:after="0" w:line="126" w:lineRule="exact"/>
              <w:rPr>
                <w:sz w:val="20"/>
                <w:szCs w:val="20"/>
                <w:color w:val="auto"/>
              </w:rPr>
            </w:pPr>
            <w:r>
              <w:rPr>
                <w:rFonts w:ascii="Times New Roman" w:cs="Times New Roman" w:eastAsia="Times New Roman" w:hAnsi="Times New Roman"/>
                <w:sz w:val="14"/>
                <w:szCs w:val="14"/>
                <w:color w:val="auto"/>
              </w:rPr>
              <w:t>10.7</w:t>
            </w:r>
          </w:p>
        </w:tc>
      </w:tr>
      <w:tr>
        <w:trPr>
          <w:trHeight w:val="33"/>
        </w:trPr>
        <w:tc>
          <w:tcPr>
            <w:tcW w:w="1000" w:type="dxa"/>
            <w:vAlign w:val="bottom"/>
          </w:tcPr>
          <w:p>
            <w:pPr>
              <w:spacing w:after="0"/>
              <w:rPr>
                <w:sz w:val="2"/>
                <w:szCs w:val="2"/>
                <w:color w:val="auto"/>
              </w:rPr>
            </w:pPr>
          </w:p>
        </w:tc>
        <w:tc>
          <w:tcPr>
            <w:tcW w:w="1940" w:type="dxa"/>
            <w:vAlign w:val="bottom"/>
            <w:tcBorders>
              <w:top w:val="single" w:sz="8" w:color="0000FF"/>
            </w:tcBorders>
          </w:tcPr>
          <w:p>
            <w:pPr>
              <w:spacing w:after="0"/>
              <w:rPr>
                <w:sz w:val="2"/>
                <w:szCs w:val="2"/>
                <w:color w:val="auto"/>
              </w:rPr>
            </w:pPr>
          </w:p>
        </w:tc>
        <w:tc>
          <w:tcPr>
            <w:tcW w:w="1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3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46"/>
        </w:trPr>
        <w:tc>
          <w:tcPr>
            <w:tcW w:w="10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8"/>
              </w:rPr>
              <w:t>10.11†</w:t>
            </w:r>
          </w:p>
        </w:tc>
        <w:tc>
          <w:tcPr>
            <w:tcW w:w="1940" w:type="dxa"/>
            <w:vAlign w:val="bottom"/>
            <w:shd w:val="clear" w:color="auto" w:fill="CCEEFF"/>
          </w:tcPr>
          <w:p>
            <w:pPr>
              <w:spacing w:after="0" w:line="146" w:lineRule="exact"/>
              <w:rPr>
                <w:rFonts w:ascii="Times New Roman" w:cs="Times New Roman" w:eastAsia="Times New Roman" w:hAnsi="Times New Roman"/>
                <w:sz w:val="14"/>
                <w:szCs w:val="14"/>
                <w:color w:val="0000FF"/>
                <w:w w:val="99"/>
              </w:rPr>
            </w:pPr>
            <w:hyperlink r:id="rId178">
              <w:r>
                <w:rPr>
                  <w:rFonts w:ascii="Times New Roman" w:cs="Times New Roman" w:eastAsia="Times New Roman" w:hAnsi="Times New Roman"/>
                  <w:sz w:val="14"/>
                  <w:szCs w:val="14"/>
                  <w:color w:val="0000FF"/>
                  <w:w w:val="99"/>
                </w:rPr>
                <w:t>ZoomInfo Technologies Inc. 2020</w:t>
              </w:r>
            </w:hyperlink>
          </w:p>
        </w:tc>
        <w:tc>
          <w:tcPr>
            <w:tcW w:w="3860" w:type="dxa"/>
            <w:vAlign w:val="bottom"/>
            <w:gridSpan w:val="5"/>
            <w:shd w:val="clear" w:color="auto" w:fill="CCEEFF"/>
          </w:tcPr>
          <w:p>
            <w:pPr>
              <w:ind w:left="20"/>
              <w:spacing w:after="0" w:line="146" w:lineRule="exact"/>
              <w:rPr>
                <w:rFonts w:ascii="Times New Roman" w:cs="Times New Roman" w:eastAsia="Times New Roman" w:hAnsi="Times New Roman"/>
                <w:sz w:val="14"/>
                <w:szCs w:val="14"/>
                <w:color w:val="0000FF"/>
              </w:rPr>
            </w:pPr>
            <w:hyperlink r:id="rId178">
              <w:r>
                <w:rPr>
                  <w:rFonts w:ascii="Times New Roman" w:cs="Times New Roman" w:eastAsia="Times New Roman" w:hAnsi="Times New Roman"/>
                  <w:sz w:val="14"/>
                  <w:szCs w:val="14"/>
                  <w:color w:val="0000FF"/>
                </w:rPr>
                <w:t>Employee Stock Purchase Plan</w:t>
              </w:r>
            </w:hyperlink>
          </w:p>
        </w:tc>
        <w:tc>
          <w:tcPr>
            <w:tcW w:w="1820" w:type="dxa"/>
            <w:vAlign w:val="bottom"/>
            <w:shd w:val="clear" w:color="auto" w:fill="CCEEFF"/>
          </w:tcPr>
          <w:p>
            <w:pPr>
              <w:ind w:left="200"/>
              <w:spacing w:after="0" w:line="146" w:lineRule="exact"/>
              <w:rPr>
                <w:sz w:val="20"/>
                <w:szCs w:val="20"/>
                <w:color w:val="auto"/>
              </w:rPr>
            </w:pPr>
            <w:r>
              <w:rPr>
                <w:rFonts w:ascii="Times New Roman" w:cs="Times New Roman" w:eastAsia="Times New Roman" w:hAnsi="Times New Roman"/>
                <w:sz w:val="14"/>
                <w:szCs w:val="14"/>
                <w:color w:val="auto"/>
              </w:rPr>
              <w:t>8-K filed June 8, 2020</w:t>
            </w:r>
          </w:p>
        </w:tc>
        <w:tc>
          <w:tcPr>
            <w:tcW w:w="1420" w:type="dxa"/>
            <w:vAlign w:val="bottom"/>
            <w:shd w:val="clear" w:color="auto" w:fill="CCEEFF"/>
          </w:tcPr>
          <w:p>
            <w:pPr>
              <w:jc w:val="right"/>
              <w:ind w:right="409"/>
              <w:spacing w:after="0" w:line="146" w:lineRule="exact"/>
              <w:rPr>
                <w:sz w:val="20"/>
                <w:szCs w:val="20"/>
                <w:color w:val="auto"/>
              </w:rPr>
            </w:pPr>
            <w:r>
              <w:rPr>
                <w:rFonts w:ascii="Times New Roman" w:cs="Times New Roman" w:eastAsia="Times New Roman" w:hAnsi="Times New Roman"/>
                <w:sz w:val="14"/>
                <w:szCs w:val="14"/>
                <w:color w:val="auto"/>
              </w:rPr>
              <w:t>001-39310</w:t>
            </w:r>
          </w:p>
        </w:tc>
        <w:tc>
          <w:tcPr>
            <w:tcW w:w="1200" w:type="dxa"/>
            <w:vAlign w:val="bottom"/>
            <w:shd w:val="clear" w:color="auto" w:fill="CCEEFF"/>
          </w:tcPr>
          <w:p>
            <w:pPr>
              <w:jc w:val="right"/>
              <w:ind w:right="389"/>
              <w:spacing w:after="0" w:line="146" w:lineRule="exact"/>
              <w:rPr>
                <w:sz w:val="20"/>
                <w:szCs w:val="20"/>
                <w:color w:val="auto"/>
              </w:rPr>
            </w:pPr>
            <w:r>
              <w:rPr>
                <w:rFonts w:ascii="Times New Roman" w:cs="Times New Roman" w:eastAsia="Times New Roman" w:hAnsi="Times New Roman"/>
                <w:sz w:val="14"/>
                <w:szCs w:val="14"/>
                <w:color w:val="auto"/>
              </w:rPr>
              <w:t>10.8</w:t>
            </w:r>
          </w:p>
        </w:tc>
      </w:tr>
      <w:tr>
        <w:trPr>
          <w:trHeight w:val="33"/>
        </w:trPr>
        <w:tc>
          <w:tcPr>
            <w:tcW w:w="1000" w:type="dxa"/>
            <w:vAlign w:val="bottom"/>
            <w:tcBorders>
              <w:top w:val="single" w:sz="8" w:color="CCEEFF"/>
            </w:tcBorders>
            <w:shd w:val="clear" w:color="auto" w:fill="CCEEFF"/>
          </w:tcPr>
          <w:p>
            <w:pPr>
              <w:spacing w:after="0"/>
              <w:rPr>
                <w:sz w:val="2"/>
                <w:szCs w:val="2"/>
                <w:color w:val="auto"/>
              </w:rPr>
            </w:pPr>
          </w:p>
        </w:tc>
        <w:tc>
          <w:tcPr>
            <w:tcW w:w="1940" w:type="dxa"/>
            <w:vAlign w:val="bottom"/>
            <w:tcBorders>
              <w:top w:val="single" w:sz="8" w:color="0000FF"/>
            </w:tcBorders>
            <w:shd w:val="clear" w:color="auto" w:fill="CCEEFF"/>
          </w:tcPr>
          <w:p>
            <w:pPr>
              <w:spacing w:after="0"/>
              <w:rPr>
                <w:sz w:val="2"/>
                <w:szCs w:val="2"/>
                <w:color w:val="auto"/>
              </w:rPr>
            </w:pPr>
          </w:p>
        </w:tc>
        <w:tc>
          <w:tcPr>
            <w:tcW w:w="12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42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r>
    </w:tbl>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7"/>
              </w:rPr>
              <w:t>Table of Contents</w:t>
            </w:r>
          </w:p>
        </w:tc>
        <w:tc>
          <w:tcPr>
            <w:tcW w:w="5820" w:type="dxa"/>
            <w:vAlign w:val="bottom"/>
            <w:gridSpan w:val="38"/>
          </w:tcPr>
          <w:p>
            <w:pPr>
              <w:spacing w:after="0"/>
              <w:rPr>
                <w:sz w:val="13"/>
                <w:szCs w:val="13"/>
                <w:color w:val="auto"/>
              </w:rPr>
            </w:pPr>
          </w:p>
        </w:tc>
        <w:tc>
          <w:tcPr>
            <w:tcW w:w="18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497"/>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5820" w:type="dxa"/>
            <w:vAlign w:val="bottom"/>
            <w:gridSpan w:val="38"/>
          </w:tcPr>
          <w:p>
            <w:pPr>
              <w:spacing w:after="0"/>
              <w:rPr>
                <w:rFonts w:ascii="Times New Roman" w:cs="Times New Roman" w:eastAsia="Times New Roman" w:hAnsi="Times New Roman"/>
                <w:sz w:val="14"/>
                <w:szCs w:val="14"/>
                <w:color w:val="0000FF"/>
              </w:rPr>
            </w:pPr>
            <w:hyperlink r:id="rId180">
              <w:r>
                <w:rPr>
                  <w:rFonts w:ascii="Times New Roman" w:cs="Times New Roman" w:eastAsia="Times New Roman" w:hAnsi="Times New Roman"/>
                  <w:sz w:val="14"/>
                  <w:szCs w:val="14"/>
                  <w:color w:val="0000FF"/>
                </w:rPr>
                <w:t>Amendment No. 1 to the ZoomInfo Technologies Inc. 2020 Employee Stock Purchase Plan</w:t>
              </w:r>
            </w:hyperlink>
          </w:p>
        </w:tc>
        <w:tc>
          <w:tcPr>
            <w:tcW w:w="182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10-K filed February 16,</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r>
      <w:tr>
        <w:trPr>
          <w:trHeight w:val="165"/>
        </w:trPr>
        <w:tc>
          <w:tcPr>
            <w:tcW w:w="1020" w:type="dxa"/>
            <w:vAlign w:val="bottom"/>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700" w:type="dxa"/>
            <w:vAlign w:val="bottom"/>
            <w:tcBorders>
              <w:top w:val="single" w:sz="8" w:color="0000FF"/>
            </w:tcBorders>
          </w:tcPr>
          <w:p>
            <w:pPr>
              <w:spacing w:after="0"/>
              <w:rPr>
                <w:sz w:val="14"/>
                <w:szCs w:val="14"/>
                <w:color w:val="auto"/>
              </w:rPr>
            </w:pPr>
          </w:p>
        </w:tc>
        <w:tc>
          <w:tcPr>
            <w:tcW w:w="340" w:type="dxa"/>
            <w:vAlign w:val="bottom"/>
            <w:tcBorders>
              <w:top w:val="single" w:sz="8" w:color="0000FF"/>
            </w:tcBorders>
          </w:tcPr>
          <w:p>
            <w:pPr>
              <w:spacing w:after="0"/>
              <w:rPr>
                <w:sz w:val="14"/>
                <w:szCs w:val="14"/>
                <w:color w:val="auto"/>
              </w:rPr>
            </w:pPr>
          </w:p>
        </w:tc>
        <w:tc>
          <w:tcPr>
            <w:tcW w:w="880" w:type="dxa"/>
            <w:vAlign w:val="bottom"/>
            <w:tcBorders>
              <w:top w:val="single" w:sz="8" w:color="0000FF"/>
            </w:tcBorders>
          </w:tcPr>
          <w:p>
            <w:pPr>
              <w:spacing w:after="0"/>
              <w:rPr>
                <w:sz w:val="14"/>
                <w:szCs w:val="14"/>
                <w:color w:val="auto"/>
              </w:rPr>
            </w:pPr>
          </w:p>
        </w:tc>
        <w:tc>
          <w:tcPr>
            <w:tcW w:w="54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68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77"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Pr>
          <w:p>
            <w:pPr>
              <w:jc w:val="center"/>
              <w:ind w:right="149"/>
              <w:spacing w:after="0"/>
              <w:rPr>
                <w:sz w:val="20"/>
                <w:szCs w:val="20"/>
                <w:color w:val="auto"/>
              </w:rPr>
            </w:pPr>
            <w:r>
              <w:rPr>
                <w:rFonts w:ascii="Times New Roman" w:cs="Times New Roman" w:eastAsia="Times New Roman" w:hAnsi="Times New Roman"/>
                <w:sz w:val="14"/>
                <w:szCs w:val="14"/>
                <w:color w:val="auto"/>
                <w:w w:val="99"/>
              </w:rPr>
              <w:t>2023</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47"/>
        </w:trPr>
        <w:tc>
          <w:tcPr>
            <w:tcW w:w="1020" w:type="dxa"/>
            <w:vAlign w:val="bottom"/>
            <w:tcBorders>
              <w:right w:val="single" w:sz="8" w:color="CCEEFF"/>
            </w:tcBorders>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10.13†</w:t>
            </w:r>
          </w:p>
        </w:tc>
        <w:tc>
          <w:tcPr>
            <w:tcW w:w="5820" w:type="dxa"/>
            <w:vAlign w:val="bottom"/>
            <w:gridSpan w:val="38"/>
            <w:shd w:val="clear" w:color="auto" w:fill="CCEEFF"/>
          </w:tcPr>
          <w:p>
            <w:pPr>
              <w:spacing w:after="0" w:line="147" w:lineRule="exact"/>
              <w:rPr>
                <w:rFonts w:ascii="Times New Roman" w:cs="Times New Roman" w:eastAsia="Times New Roman" w:hAnsi="Times New Roman"/>
                <w:sz w:val="14"/>
                <w:szCs w:val="14"/>
                <w:color w:val="0000FF"/>
              </w:rPr>
            </w:pPr>
            <w:hyperlink r:id="rId181">
              <w:r>
                <w:rPr>
                  <w:rFonts w:ascii="Times New Roman" w:cs="Times New Roman" w:eastAsia="Times New Roman" w:hAnsi="Times New Roman"/>
                  <w:sz w:val="14"/>
                  <w:szCs w:val="14"/>
                  <w:color w:val="0000FF"/>
                </w:rPr>
                <w:t>Form of Indemnification Agreement</w:t>
              </w:r>
            </w:hyperlink>
          </w:p>
        </w:tc>
        <w:tc>
          <w:tcPr>
            <w:tcW w:w="1820" w:type="dxa"/>
            <w:vAlign w:val="bottom"/>
            <w:shd w:val="clear" w:color="auto" w:fill="CCEEFF"/>
          </w:tcPr>
          <w:p>
            <w:pPr>
              <w:jc w:val="center"/>
              <w:ind w:right="169"/>
              <w:spacing w:after="0" w:line="147" w:lineRule="exact"/>
              <w:rPr>
                <w:sz w:val="20"/>
                <w:szCs w:val="20"/>
                <w:color w:val="auto"/>
              </w:rPr>
            </w:pPr>
            <w:r>
              <w:rPr>
                <w:rFonts w:ascii="Times New Roman" w:cs="Times New Roman" w:eastAsia="Times New Roman" w:hAnsi="Times New Roman"/>
                <w:sz w:val="14"/>
                <w:szCs w:val="14"/>
                <w:color w:val="auto"/>
              </w:rPr>
              <w:t>S-1/A filed May 27, 2020</w:t>
            </w:r>
          </w:p>
        </w:tc>
        <w:tc>
          <w:tcPr>
            <w:tcW w:w="1380" w:type="dxa"/>
            <w:vAlign w:val="bottom"/>
            <w:shd w:val="clear" w:color="auto" w:fill="CCEEFF"/>
          </w:tcPr>
          <w:p>
            <w:pPr>
              <w:jc w:val="center"/>
              <w:ind w:right="109"/>
              <w:spacing w:after="0" w:line="147"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10.9</w:t>
            </w:r>
          </w:p>
        </w:tc>
      </w:tr>
      <w:tr>
        <w:trPr>
          <w:trHeight w:val="33"/>
        </w:trPr>
        <w:tc>
          <w:tcPr>
            <w:tcW w:w="1020" w:type="dxa"/>
            <w:vAlign w:val="bottom"/>
            <w:tcBorders>
              <w:top w:val="single" w:sz="8" w:color="CCEEFF"/>
              <w:right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7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r>
      <w:tr>
        <w:trPr>
          <w:trHeight w:val="146"/>
        </w:trPr>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10.14</w:t>
            </w:r>
          </w:p>
        </w:tc>
        <w:tc>
          <w:tcPr>
            <w:tcW w:w="5680" w:type="dxa"/>
            <w:vAlign w:val="bottom"/>
            <w:tcBorders>
              <w:bottom w:val="single" w:sz="8" w:color="0000FF"/>
            </w:tcBorders>
            <w:gridSpan w:val="31"/>
          </w:tcPr>
          <w:p>
            <w:pPr>
              <w:spacing w:after="0" w:line="146"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First Lien Credit Agreement, dated as of February 1, 2019, among DiscoverOrg, LLC, DiscoverOrg</w:t>
              </w:r>
            </w:hyperlink>
          </w:p>
        </w:tc>
        <w:tc>
          <w:tcPr>
            <w:tcW w:w="140" w:type="dxa"/>
            <w:vAlign w:val="bottom"/>
            <w:gridSpan w:val="7"/>
          </w:tcPr>
          <w:p>
            <w:pPr>
              <w:spacing w:after="0"/>
              <w:rPr>
                <w:sz w:val="12"/>
                <w:szCs w:val="12"/>
                <w:color w:val="auto"/>
              </w:rPr>
            </w:pPr>
          </w:p>
        </w:tc>
        <w:tc>
          <w:tcPr>
            <w:tcW w:w="1820" w:type="dxa"/>
            <w:vAlign w:val="bottom"/>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10.10</w:t>
            </w:r>
          </w:p>
        </w:tc>
      </w:tr>
      <w:tr>
        <w:trPr>
          <w:trHeight w:val="126"/>
        </w:trPr>
        <w:tc>
          <w:tcPr>
            <w:tcW w:w="1020" w:type="dxa"/>
            <w:vAlign w:val="bottom"/>
          </w:tcPr>
          <w:p>
            <w:pPr>
              <w:spacing w:after="0"/>
              <w:rPr>
                <w:sz w:val="10"/>
                <w:szCs w:val="10"/>
                <w:color w:val="auto"/>
              </w:rPr>
            </w:pPr>
          </w:p>
        </w:tc>
        <w:tc>
          <w:tcPr>
            <w:tcW w:w="5820" w:type="dxa"/>
            <w:vAlign w:val="bottom"/>
            <w:gridSpan w:val="38"/>
          </w:tcPr>
          <w:p>
            <w:pPr>
              <w:spacing w:after="0" w:line="126"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Midco, LLC, the guarantors party thereto from time to time, Morgan Stanley Senior Funding, Inc., as</w:t>
              </w:r>
            </w:hyperlink>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13"/>
        </w:trPr>
        <w:tc>
          <w:tcPr>
            <w:tcW w:w="1020" w:type="dxa"/>
            <w:vAlign w:val="bottom"/>
          </w:tcPr>
          <w:p>
            <w:pPr>
              <w:spacing w:after="0"/>
              <w:rPr>
                <w:sz w:val="9"/>
                <w:szCs w:val="9"/>
                <w:color w:val="auto"/>
              </w:rPr>
            </w:pPr>
          </w:p>
        </w:tc>
        <w:tc>
          <w:tcPr>
            <w:tcW w:w="5740" w:type="dxa"/>
            <w:vAlign w:val="bottom"/>
            <w:tcBorders>
              <w:top w:val="single" w:sz="8" w:color="0000FF"/>
            </w:tcBorders>
            <w:gridSpan w:val="34"/>
          </w:tcPr>
          <w:p>
            <w:pPr>
              <w:spacing w:after="0" w:line="113" w:lineRule="exact"/>
              <w:rPr>
                <w:rFonts w:ascii="Times New Roman" w:cs="Times New Roman" w:eastAsia="Times New Roman" w:hAnsi="Times New Roman"/>
                <w:sz w:val="13"/>
                <w:szCs w:val="13"/>
                <w:color w:val="0000FF"/>
              </w:rPr>
            </w:pPr>
            <w:hyperlink r:id="rId182">
              <w:r>
                <w:rPr>
                  <w:rFonts w:ascii="Times New Roman" w:cs="Times New Roman" w:eastAsia="Times New Roman" w:hAnsi="Times New Roman"/>
                  <w:sz w:val="13"/>
                  <w:szCs w:val="13"/>
                  <w:color w:val="0000FF"/>
                </w:rPr>
                <w:t>administrative agent, collateral agent and L/C issuer, and the other lenders and L/C issuers party</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26"/>
        </w:trPr>
        <w:tc>
          <w:tcPr>
            <w:tcW w:w="1020" w:type="dxa"/>
            <w:vAlign w:val="bottom"/>
          </w:tcPr>
          <w:p>
            <w:pPr>
              <w:spacing w:after="0"/>
              <w:rPr>
                <w:sz w:val="10"/>
                <w:szCs w:val="10"/>
                <w:color w:val="auto"/>
              </w:rPr>
            </w:pPr>
          </w:p>
        </w:tc>
        <w:tc>
          <w:tcPr>
            <w:tcW w:w="5420" w:type="dxa"/>
            <w:vAlign w:val="bottom"/>
            <w:tcBorders>
              <w:top w:val="single" w:sz="8" w:color="0000FF"/>
            </w:tcBorders>
            <w:gridSpan w:val="17"/>
          </w:tcPr>
          <w:p>
            <w:pPr>
              <w:spacing w:after="0" w:line="126" w:lineRule="exact"/>
              <w:rPr>
                <w:rFonts w:ascii="Times New Roman" w:cs="Times New Roman" w:eastAsia="Times New Roman" w:hAnsi="Times New Roman"/>
                <w:sz w:val="14"/>
                <w:szCs w:val="14"/>
                <w:color w:val="0000FF"/>
              </w:rPr>
            </w:pPr>
            <w:hyperlink r:id="rId182">
              <w:r>
                <w:rPr>
                  <w:rFonts w:ascii="Times New Roman" w:cs="Times New Roman" w:eastAsia="Times New Roman" w:hAnsi="Times New Roman"/>
                  <w:sz w:val="14"/>
                  <w:szCs w:val="14"/>
                  <w:color w:val="0000FF"/>
                </w:rPr>
                <w:t>thereto</w:t>
              </w:r>
            </w:hyperlink>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33"/>
        </w:trPr>
        <w:tc>
          <w:tcPr>
            <w:tcW w:w="10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46"/>
        </w:trPr>
        <w:tc>
          <w:tcPr>
            <w:tcW w:w="1020" w:type="dxa"/>
            <w:vAlign w:val="bottom"/>
            <w:tcBorders>
              <w:right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10.15</w:t>
            </w:r>
          </w:p>
        </w:tc>
        <w:tc>
          <w:tcPr>
            <w:tcW w:w="5820" w:type="dxa"/>
            <w:vAlign w:val="bottom"/>
            <w:gridSpan w:val="38"/>
            <w:shd w:val="clear" w:color="auto" w:fill="CCEEFF"/>
          </w:tcPr>
          <w:p>
            <w:pPr>
              <w:spacing w:after="0" w:line="146"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Amendment No. 1 to the First Lien Credit Agreement, dated February 19, 2020, by and among</w:t>
              </w:r>
            </w:hyperlink>
          </w:p>
        </w:tc>
        <w:tc>
          <w:tcPr>
            <w:tcW w:w="1820" w:type="dxa"/>
            <w:vAlign w:val="bottom"/>
            <w:shd w:val="clear" w:color="auto" w:fill="CCEEFF"/>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shd w:val="clear" w:color="auto" w:fill="CCEEFF"/>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w w:val="95"/>
              </w:rPr>
              <w:t>10.11</w:t>
            </w:r>
          </w:p>
        </w:tc>
      </w:tr>
      <w:tr>
        <w:trPr>
          <w:trHeight w:val="20"/>
        </w:trPr>
        <w:tc>
          <w:tcPr>
            <w:tcW w:w="1020" w:type="dxa"/>
            <w:vAlign w:val="bottom"/>
            <w:tcBorders>
              <w:right w:val="single" w:sz="8" w:color="0000FF"/>
            </w:tcBorders>
            <w:shd w:val="clear" w:color="auto" w:fill="CCEE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294967277"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r>
      <w:tr>
        <w:trPr>
          <w:trHeight w:val="126"/>
        </w:trPr>
        <w:tc>
          <w:tcPr>
            <w:tcW w:w="1020" w:type="dxa"/>
            <w:vAlign w:val="bottom"/>
            <w:tcBorders>
              <w:right w:val="single" w:sz="8" w:color="CCEEFF"/>
            </w:tcBorders>
            <w:shd w:val="clear" w:color="auto" w:fill="CCEEFF"/>
          </w:tcPr>
          <w:p>
            <w:pPr>
              <w:spacing w:after="0"/>
              <w:rPr>
                <w:sz w:val="10"/>
                <w:szCs w:val="10"/>
                <w:color w:val="auto"/>
              </w:rPr>
            </w:pPr>
          </w:p>
        </w:tc>
        <w:tc>
          <w:tcPr>
            <w:tcW w:w="5820" w:type="dxa"/>
            <w:vAlign w:val="bottom"/>
            <w:gridSpan w:val="38"/>
            <w:shd w:val="clear" w:color="auto" w:fill="CCEEFF"/>
          </w:tcPr>
          <w:p>
            <w:pPr>
              <w:spacing w:after="0" w:line="126"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DiscoverOrg, LLC, DiscoverOrg Midco, LLC, Morgan Stanley Bank, N.A., as the new term loan</w:t>
              </w:r>
            </w:hyperlink>
          </w:p>
        </w:tc>
        <w:tc>
          <w:tcPr>
            <w:tcW w:w="18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13"/>
        </w:trPr>
        <w:tc>
          <w:tcPr>
            <w:tcW w:w="1020" w:type="dxa"/>
            <w:vAlign w:val="bottom"/>
            <w:tcBorders>
              <w:top w:val="single" w:sz="8" w:color="CCEEFF"/>
              <w:right w:val="single" w:sz="8" w:color="CCEEFF"/>
            </w:tcBorders>
            <w:shd w:val="clear" w:color="auto" w:fill="CCEEFF"/>
          </w:tcPr>
          <w:p>
            <w:pPr>
              <w:spacing w:after="0"/>
              <w:rPr>
                <w:sz w:val="9"/>
                <w:szCs w:val="9"/>
                <w:color w:val="auto"/>
              </w:rPr>
            </w:pPr>
          </w:p>
        </w:tc>
        <w:tc>
          <w:tcPr>
            <w:tcW w:w="5480" w:type="dxa"/>
            <w:vAlign w:val="bottom"/>
            <w:tcBorders>
              <w:top w:val="single" w:sz="8" w:color="0000FF"/>
            </w:tcBorders>
            <w:gridSpan w:val="20"/>
            <w:shd w:val="clear" w:color="auto" w:fill="CCEEFF"/>
          </w:tcPr>
          <w:p>
            <w:pPr>
              <w:spacing w:after="0" w:line="113" w:lineRule="exact"/>
              <w:rPr>
                <w:rFonts w:ascii="Times New Roman" w:cs="Times New Roman" w:eastAsia="Times New Roman" w:hAnsi="Times New Roman"/>
                <w:sz w:val="13"/>
                <w:szCs w:val="13"/>
                <w:color w:val="0000FF"/>
              </w:rPr>
            </w:pPr>
            <w:hyperlink r:id="rId183">
              <w:r>
                <w:rPr>
                  <w:rFonts w:ascii="Times New Roman" w:cs="Times New Roman" w:eastAsia="Times New Roman" w:hAnsi="Times New Roman"/>
                  <w:sz w:val="13"/>
                  <w:szCs w:val="13"/>
                  <w:color w:val="0000FF"/>
                </w:rPr>
                <w:t>lender, the revolving credit lenders party thereto, Morgan Stanley Senior Funding, Inc., as</w:t>
              </w:r>
            </w:hyperlink>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294967277"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gridSpan w:val="2"/>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82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CCEEFF"/>
            </w:tcBorders>
            <w:shd w:val="clear" w:color="auto" w:fill="CCEEFF"/>
          </w:tcPr>
          <w:p>
            <w:pPr>
              <w:spacing w:after="0"/>
              <w:rPr>
                <w:sz w:val="9"/>
                <w:szCs w:val="9"/>
                <w:color w:val="auto"/>
              </w:rPr>
            </w:pPr>
          </w:p>
        </w:tc>
      </w:tr>
      <w:tr>
        <w:trPr>
          <w:trHeight w:val="126"/>
        </w:trPr>
        <w:tc>
          <w:tcPr>
            <w:tcW w:w="1020" w:type="dxa"/>
            <w:vAlign w:val="bottom"/>
            <w:tcBorders>
              <w:top w:val="single" w:sz="8" w:color="CCEEFF"/>
              <w:right w:val="single" w:sz="8" w:color="CCEEFF"/>
            </w:tcBorders>
            <w:shd w:val="clear" w:color="auto" w:fill="CCEEFF"/>
          </w:tcPr>
          <w:p>
            <w:pPr>
              <w:spacing w:after="0"/>
              <w:rPr>
                <w:sz w:val="10"/>
                <w:szCs w:val="10"/>
                <w:color w:val="auto"/>
              </w:rPr>
            </w:pPr>
          </w:p>
        </w:tc>
        <w:tc>
          <w:tcPr>
            <w:tcW w:w="5060" w:type="dxa"/>
            <w:vAlign w:val="bottom"/>
            <w:tcBorders>
              <w:top w:val="single" w:sz="8" w:color="0000FF"/>
            </w:tcBorders>
            <w:gridSpan w:val="11"/>
            <w:shd w:val="clear" w:color="auto" w:fill="CCEEFF"/>
          </w:tcPr>
          <w:p>
            <w:pPr>
              <w:spacing w:after="0" w:line="126" w:lineRule="exact"/>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administrative agent, collateral agent and L/C issuer</w:t>
              </w:r>
            </w:hyperlink>
          </w:p>
        </w:tc>
        <w:tc>
          <w:tcPr>
            <w:tcW w:w="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right w:val="single" w:sz="8" w:color="CCEEFF"/>
            </w:tcBorders>
            <w:shd w:val="clear" w:color="auto" w:fill="CCEEFF"/>
          </w:tcPr>
          <w:p>
            <w:pPr>
              <w:spacing w:after="0"/>
              <w:rPr>
                <w:sz w:val="10"/>
                <w:szCs w:val="10"/>
                <w:color w:val="auto"/>
              </w:rPr>
            </w:pPr>
          </w:p>
        </w:tc>
        <w:tc>
          <w:tcPr>
            <w:tcW w:w="100" w:type="dxa"/>
            <w:vAlign w:val="bottom"/>
            <w:tcBorders>
              <w:top w:val="single" w:sz="8" w:color="CCEEFF"/>
            </w:tcBorders>
            <w:gridSpan w:val="2"/>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294967277"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r>
      <w:tr>
        <w:trPr>
          <w:trHeight w:val="33"/>
        </w:trPr>
        <w:tc>
          <w:tcPr>
            <w:tcW w:w="1020" w:type="dxa"/>
            <w:vAlign w:val="bottom"/>
            <w:tcBorders>
              <w:top w:val="single" w:sz="8" w:color="CCEEFF"/>
              <w:right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7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r>
      <w:tr>
        <w:trPr>
          <w:trHeight w:val="146"/>
        </w:trPr>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10.16</w:t>
            </w:r>
          </w:p>
        </w:tc>
        <w:tc>
          <w:tcPr>
            <w:tcW w:w="5820" w:type="dxa"/>
            <w:vAlign w:val="bottom"/>
            <w:gridSpan w:val="38"/>
          </w:tcPr>
          <w:p>
            <w:pPr>
              <w:spacing w:after="0" w:line="146"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Amendment No. 2 to First Lien Credit Agreement, dated February 2, 2021, by and among ZoomInfo,</w:t>
              </w:r>
            </w:hyperlink>
          </w:p>
        </w:tc>
        <w:tc>
          <w:tcPr>
            <w:tcW w:w="1820" w:type="dxa"/>
            <w:vAlign w:val="bottom"/>
          </w:tcPr>
          <w:p>
            <w:pPr>
              <w:jc w:val="center"/>
              <w:ind w:right="149"/>
              <w:spacing w:after="0" w:line="146" w:lineRule="exact"/>
              <w:rPr>
                <w:sz w:val="20"/>
                <w:szCs w:val="20"/>
                <w:color w:val="auto"/>
              </w:rPr>
            </w:pPr>
            <w:r>
              <w:rPr>
                <w:rFonts w:ascii="Times New Roman" w:cs="Times New Roman" w:eastAsia="Times New Roman" w:hAnsi="Times New Roman"/>
                <w:sz w:val="14"/>
                <w:szCs w:val="14"/>
                <w:color w:val="auto"/>
              </w:rPr>
              <w:t>8-K filed February 2, 2021</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w:t>
            </w:r>
          </w:p>
        </w:tc>
      </w:tr>
      <w:tr>
        <w:trPr>
          <w:trHeight w:val="119"/>
        </w:trPr>
        <w:tc>
          <w:tcPr>
            <w:tcW w:w="1020" w:type="dxa"/>
            <w:vAlign w:val="bottom"/>
          </w:tcPr>
          <w:p>
            <w:pPr>
              <w:spacing w:after="0"/>
              <w:rPr>
                <w:sz w:val="10"/>
                <w:szCs w:val="10"/>
                <w:color w:val="auto"/>
              </w:rPr>
            </w:pPr>
          </w:p>
        </w:tc>
        <w:tc>
          <w:tcPr>
            <w:tcW w:w="5760" w:type="dxa"/>
            <w:vAlign w:val="bottom"/>
            <w:tcBorders>
              <w:top w:val="single" w:sz="8" w:color="0000FF"/>
            </w:tcBorders>
            <w:gridSpan w:val="35"/>
          </w:tcPr>
          <w:p>
            <w:pPr>
              <w:spacing w:after="0" w:line="113" w:lineRule="exact"/>
              <w:rPr>
                <w:rFonts w:ascii="Times New Roman" w:cs="Times New Roman" w:eastAsia="Times New Roman" w:hAnsi="Times New Roman"/>
                <w:sz w:val="13"/>
                <w:szCs w:val="13"/>
                <w:color w:val="0000FF"/>
              </w:rPr>
            </w:pPr>
            <w:hyperlink r:id="rId184">
              <w:r>
                <w:rPr>
                  <w:rFonts w:ascii="Times New Roman" w:cs="Times New Roman" w:eastAsia="Times New Roman" w:hAnsi="Times New Roman"/>
                  <w:sz w:val="13"/>
                  <w:szCs w:val="13"/>
                  <w:color w:val="0000FF"/>
                </w:rPr>
                <w:t>LLC (f/k/a DiscoverOrg, LLC), ZoomInfo Technologies LLC, ZoomInfo Midco LLC (f/k/a</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19"/>
        </w:trPr>
        <w:tc>
          <w:tcPr>
            <w:tcW w:w="1020" w:type="dxa"/>
            <w:vAlign w:val="bottom"/>
          </w:tcPr>
          <w:p>
            <w:pPr>
              <w:spacing w:after="0"/>
              <w:rPr>
                <w:sz w:val="10"/>
                <w:szCs w:val="10"/>
                <w:color w:val="auto"/>
              </w:rPr>
            </w:pPr>
          </w:p>
        </w:tc>
        <w:tc>
          <w:tcPr>
            <w:tcW w:w="5160" w:type="dxa"/>
            <w:vAlign w:val="bottom"/>
            <w:tcBorders>
              <w:top w:val="single" w:sz="8" w:color="0000FF"/>
            </w:tcBorders>
            <w:gridSpan w:val="13"/>
          </w:tcPr>
          <w:p>
            <w:pPr>
              <w:spacing w:after="0" w:line="119" w:lineRule="exact"/>
              <w:rPr>
                <w:rFonts w:ascii="Times New Roman" w:cs="Times New Roman" w:eastAsia="Times New Roman" w:hAnsi="Times New Roman"/>
                <w:sz w:val="13"/>
                <w:szCs w:val="13"/>
                <w:color w:val="0000FF"/>
              </w:rPr>
            </w:pPr>
            <w:hyperlink r:id="rId184">
              <w:r>
                <w:rPr>
                  <w:rFonts w:ascii="Times New Roman" w:cs="Times New Roman" w:eastAsia="Times New Roman" w:hAnsi="Times New Roman"/>
                  <w:sz w:val="13"/>
                  <w:szCs w:val="13"/>
                  <w:color w:val="0000FF"/>
                </w:rPr>
                <w:t>DiscoverOrg Midco, LLC), Morgan Stanley Bank, N.A., as the new term loan lender, the</w:t>
              </w:r>
            </w:hyperlink>
          </w:p>
        </w:tc>
        <w:tc>
          <w:tcPr>
            <w:tcW w:w="660" w:type="dxa"/>
            <w:vAlign w:val="bottom"/>
            <w:gridSpan w:val="25"/>
          </w:tcPr>
          <w:p>
            <w:pPr>
              <w:spacing w:after="0" w:line="119" w:lineRule="exact"/>
              <w:rPr>
                <w:rFonts w:ascii="Times New Roman" w:cs="Times New Roman" w:eastAsia="Times New Roman" w:hAnsi="Times New Roman"/>
                <w:sz w:val="13"/>
                <w:szCs w:val="13"/>
                <w:color w:val="0000FF"/>
              </w:rPr>
            </w:pPr>
            <w:hyperlink r:id="rId184">
              <w:r>
                <w:rPr>
                  <w:rFonts w:ascii="Times New Roman" w:cs="Times New Roman" w:eastAsia="Times New Roman" w:hAnsi="Times New Roman"/>
                  <w:sz w:val="13"/>
                  <w:szCs w:val="13"/>
                  <w:color w:val="0000FF"/>
                </w:rPr>
                <w:t>revolving</w:t>
              </w:r>
            </w:hyperlink>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26"/>
        </w:trPr>
        <w:tc>
          <w:tcPr>
            <w:tcW w:w="1020" w:type="dxa"/>
            <w:vAlign w:val="bottom"/>
          </w:tcPr>
          <w:p>
            <w:pPr>
              <w:spacing w:after="0"/>
              <w:rPr>
                <w:sz w:val="10"/>
                <w:szCs w:val="10"/>
                <w:color w:val="auto"/>
              </w:rPr>
            </w:pPr>
          </w:p>
        </w:tc>
        <w:tc>
          <w:tcPr>
            <w:tcW w:w="5600" w:type="dxa"/>
            <w:vAlign w:val="bottom"/>
            <w:tcBorders>
              <w:top w:val="single" w:sz="8" w:color="0000FF"/>
            </w:tcBorders>
            <w:gridSpan w:val="25"/>
          </w:tcPr>
          <w:p>
            <w:pPr>
              <w:spacing w:after="0" w:line="126"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credit lenders party thereto, and Morgan Stanley Senior Funding, Inc., as administrative agent,</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26"/>
        </w:trPr>
        <w:tc>
          <w:tcPr>
            <w:tcW w:w="1020" w:type="dxa"/>
            <w:vAlign w:val="bottom"/>
          </w:tcPr>
          <w:p>
            <w:pPr>
              <w:spacing w:after="0"/>
              <w:rPr>
                <w:sz w:val="10"/>
                <w:szCs w:val="10"/>
                <w:color w:val="auto"/>
              </w:rPr>
            </w:pPr>
          </w:p>
        </w:tc>
        <w:tc>
          <w:tcPr>
            <w:tcW w:w="5340" w:type="dxa"/>
            <w:vAlign w:val="bottom"/>
            <w:tcBorders>
              <w:top w:val="single" w:sz="8" w:color="0000FF"/>
            </w:tcBorders>
            <w:gridSpan w:val="16"/>
          </w:tcPr>
          <w:p>
            <w:pPr>
              <w:spacing w:after="0" w:line="126" w:lineRule="exact"/>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collateral agent and L/C issuer</w:t>
              </w:r>
            </w:hyperlink>
          </w:p>
        </w:tc>
        <w:tc>
          <w:tcPr>
            <w:tcW w:w="100" w:type="dxa"/>
            <w:vAlign w:val="bottom"/>
            <w:gridSpan w:val="2"/>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277"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30"/>
        </w:trPr>
        <w:tc>
          <w:tcPr>
            <w:tcW w:w="1020" w:type="dxa"/>
            <w:vAlign w:val="bottom"/>
            <w:tcBorders>
              <w:right w:val="single" w:sz="8" w:color="0000FF"/>
            </w:tcBorders>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620" w:type="dxa"/>
            <w:vAlign w:val="bottom"/>
            <w:shd w:val="clear" w:color="auto" w:fill="0000FF"/>
          </w:tcPr>
          <w:p>
            <w:pPr>
              <w:spacing w:after="0"/>
              <w:rPr>
                <w:sz w:val="2"/>
                <w:szCs w:val="2"/>
                <w:color w:val="auto"/>
              </w:rPr>
            </w:pPr>
          </w:p>
        </w:tc>
        <w:tc>
          <w:tcPr>
            <w:tcW w:w="700" w:type="dxa"/>
            <w:vAlign w:val="bottom"/>
            <w:shd w:val="clear" w:color="auto" w:fill="0000FF"/>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56"/>
        </w:trPr>
        <w:tc>
          <w:tcPr>
            <w:tcW w:w="1020" w:type="dxa"/>
            <w:vAlign w:val="bottom"/>
            <w:tcBorders>
              <w:right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10.17</w:t>
            </w:r>
          </w:p>
        </w:tc>
        <w:tc>
          <w:tcPr>
            <w:tcW w:w="5820" w:type="dxa"/>
            <w:vAlign w:val="bottom"/>
            <w:gridSpan w:val="38"/>
            <w:shd w:val="clear" w:color="auto" w:fill="CCEEFF"/>
          </w:tcPr>
          <w:p>
            <w:pPr>
              <w:spacing w:after="0" w:line="156"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Amendment No. 3 to First Lien Credit Agreement, dated July 20, 2021, by and among ZoomInfo</w:t>
              </w:r>
            </w:hyperlink>
          </w:p>
        </w:tc>
        <w:tc>
          <w:tcPr>
            <w:tcW w:w="1820" w:type="dxa"/>
            <w:vAlign w:val="bottom"/>
            <w:shd w:val="clear" w:color="auto" w:fill="CCEEFF"/>
          </w:tcPr>
          <w:p>
            <w:pPr>
              <w:jc w:val="center"/>
              <w:ind w:right="169"/>
              <w:spacing w:after="0" w:line="156" w:lineRule="exact"/>
              <w:rPr>
                <w:sz w:val="20"/>
                <w:szCs w:val="20"/>
                <w:color w:val="auto"/>
              </w:rPr>
            </w:pPr>
            <w:r>
              <w:rPr>
                <w:rFonts w:ascii="Times New Roman" w:cs="Times New Roman" w:eastAsia="Times New Roman" w:hAnsi="Times New Roman"/>
                <w:sz w:val="14"/>
                <w:szCs w:val="14"/>
                <w:color w:val="auto"/>
                <w:w w:val="99"/>
              </w:rPr>
              <w:t>8-K filed July 20, 2021</w:t>
            </w:r>
          </w:p>
        </w:tc>
        <w:tc>
          <w:tcPr>
            <w:tcW w:w="1380" w:type="dxa"/>
            <w:vAlign w:val="bottom"/>
            <w:shd w:val="clear" w:color="auto" w:fill="CCEEFF"/>
          </w:tcPr>
          <w:p>
            <w:pPr>
              <w:jc w:val="center"/>
              <w:ind w:right="109"/>
              <w:spacing w:after="0" w:line="15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10.1</w:t>
            </w:r>
          </w:p>
        </w:tc>
      </w:tr>
      <w:tr>
        <w:trPr>
          <w:trHeight w:val="126"/>
        </w:trPr>
        <w:tc>
          <w:tcPr>
            <w:tcW w:w="102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5480" w:type="dxa"/>
            <w:vAlign w:val="bottom"/>
            <w:tcBorders>
              <w:top w:val="single" w:sz="8" w:color="0000FF"/>
              <w:bottom w:val="single" w:sz="8" w:color="0000FF"/>
            </w:tcBorders>
            <w:gridSpan w:val="19"/>
            <w:shd w:val="clear" w:color="auto" w:fill="CCEEFF"/>
          </w:tcPr>
          <w:p>
            <w:pPr>
              <w:spacing w:after="0" w:line="126" w:lineRule="exact"/>
              <w:rPr>
                <w:rFonts w:ascii="Times New Roman" w:cs="Times New Roman" w:eastAsia="Times New Roman" w:hAnsi="Times New Roman"/>
                <w:sz w:val="14"/>
                <w:szCs w:val="14"/>
                <w:color w:val="0000FF"/>
                <w:w w:val="98"/>
              </w:rPr>
            </w:pPr>
            <w:hyperlink r:id="rId185">
              <w:r>
                <w:rPr>
                  <w:rFonts w:ascii="Times New Roman" w:cs="Times New Roman" w:eastAsia="Times New Roman" w:hAnsi="Times New Roman"/>
                  <w:sz w:val="14"/>
                  <w:szCs w:val="14"/>
                  <w:color w:val="0000FF"/>
                  <w:w w:val="98"/>
                </w:rPr>
                <w:t>LLC (f/k/a DiscoverOrg, LLC), a Delaware limited liability company (the “Borrower”), ZoomInfo</w:t>
              </w:r>
            </w:hyperlink>
          </w:p>
        </w:tc>
        <w:tc>
          <w:tcPr>
            <w:tcW w:w="0" w:type="dxa"/>
            <w:vAlign w:val="bottom"/>
            <w:tcBorders>
              <w:top w:val="single" w:sz="8" w:color="CCEEFF"/>
              <w:bottom w:val="single" w:sz="8" w:color="0000FF"/>
            </w:tcBorders>
            <w:shd w:val="clear" w:color="auto" w:fill="CCEEFF"/>
          </w:tcPr>
          <w:p>
            <w:pPr>
              <w:spacing w:after="0"/>
              <w:rPr>
                <w:sz w:val="10"/>
                <w:szCs w:val="10"/>
                <w:color w:val="auto"/>
              </w:rPr>
            </w:pPr>
          </w:p>
        </w:tc>
        <w:tc>
          <w:tcPr>
            <w:tcW w:w="4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0" w:type="dxa"/>
            <w:vAlign w:val="bottom"/>
            <w:tcBorders>
              <w:top w:val="single" w:sz="8" w:color="CCEEFF"/>
              <w:bottom w:val="single" w:sz="8" w:color="CCEEFF"/>
            </w:tcBorders>
            <w:gridSpan w:val="2"/>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4294967277"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820" w:type="dxa"/>
            <w:vAlign w:val="bottom"/>
            <w:tcBorders>
              <w:top w:val="single" w:sz="8" w:color="CCEEFF"/>
              <w:bottom w:val="single" w:sz="8" w:color="CCEEFF"/>
            </w:tcBorders>
            <w:shd w:val="clear" w:color="auto" w:fill="CCEEFF"/>
          </w:tcPr>
          <w:p>
            <w:pPr>
              <w:spacing w:after="0"/>
              <w:rPr>
                <w:sz w:val="10"/>
                <w:szCs w:val="10"/>
                <w:color w:val="auto"/>
              </w:rPr>
            </w:pPr>
          </w:p>
        </w:tc>
        <w:tc>
          <w:tcPr>
            <w:tcW w:w="1380" w:type="dxa"/>
            <w:vAlign w:val="bottom"/>
            <w:tcBorders>
              <w:top w:val="single" w:sz="8" w:color="CCEEFF"/>
              <w:bottom w:val="single" w:sz="8" w:color="CCEEFF"/>
            </w:tcBorders>
            <w:shd w:val="clear" w:color="auto" w:fill="CCEEFF"/>
          </w:tcPr>
          <w:p>
            <w:pPr>
              <w:spacing w:after="0"/>
              <w:rPr>
                <w:sz w:val="10"/>
                <w:szCs w:val="10"/>
                <w:color w:val="auto"/>
              </w:rPr>
            </w:pPr>
          </w:p>
        </w:tc>
        <w:tc>
          <w:tcPr>
            <w:tcW w:w="120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13"/>
        </w:trPr>
        <w:tc>
          <w:tcPr>
            <w:tcW w:w="1020" w:type="dxa"/>
            <w:vAlign w:val="bottom"/>
            <w:tcBorders>
              <w:bottom w:val="single" w:sz="8" w:color="CCEEFF"/>
              <w:right w:val="single" w:sz="8" w:color="CCEEFF"/>
            </w:tcBorders>
            <w:shd w:val="clear" w:color="auto" w:fill="CCEEFF"/>
          </w:tcPr>
          <w:p>
            <w:pPr>
              <w:spacing w:after="0"/>
              <w:rPr>
                <w:sz w:val="9"/>
                <w:szCs w:val="9"/>
                <w:color w:val="auto"/>
              </w:rPr>
            </w:pPr>
          </w:p>
        </w:tc>
        <w:tc>
          <w:tcPr>
            <w:tcW w:w="5480" w:type="dxa"/>
            <w:vAlign w:val="bottom"/>
            <w:tcBorders>
              <w:bottom w:val="single" w:sz="8" w:color="0000FF"/>
            </w:tcBorders>
            <w:gridSpan w:val="20"/>
            <w:shd w:val="clear" w:color="auto" w:fill="CCEEFF"/>
          </w:tcPr>
          <w:p>
            <w:pPr>
              <w:spacing w:after="0" w:line="113" w:lineRule="exact"/>
              <w:rPr>
                <w:rFonts w:ascii="Times New Roman" w:cs="Times New Roman" w:eastAsia="Times New Roman" w:hAnsi="Times New Roman"/>
                <w:sz w:val="13"/>
                <w:szCs w:val="13"/>
                <w:color w:val="0000FF"/>
              </w:rPr>
            </w:pPr>
            <w:hyperlink r:id="rId185">
              <w:r>
                <w:rPr>
                  <w:rFonts w:ascii="Times New Roman" w:cs="Times New Roman" w:eastAsia="Times New Roman" w:hAnsi="Times New Roman"/>
                  <w:sz w:val="13"/>
                  <w:szCs w:val="13"/>
                  <w:color w:val="0000FF"/>
                </w:rPr>
                <w:t>Technologies LLC, a Delaware limited liability company (the “Co-Borrower”), ZoomInfo Midco</w:t>
              </w:r>
            </w:hyperlink>
          </w:p>
        </w:tc>
        <w:tc>
          <w:tcPr>
            <w:tcW w:w="80" w:type="dxa"/>
            <w:vAlign w:val="bottom"/>
            <w:tcBorders>
              <w:bottom w:val="single" w:sz="8" w:color="CCEEFF"/>
            </w:tcBorders>
            <w:gridSpan w:val="3"/>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40" w:type="dxa"/>
            <w:vAlign w:val="bottom"/>
            <w:tcBorders>
              <w:bottom w:val="single" w:sz="8" w:color="CCEEFF"/>
            </w:tcBorders>
            <w:gridSpan w:val="2"/>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4294967277"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60" w:type="dxa"/>
            <w:vAlign w:val="bottom"/>
            <w:tcBorders>
              <w:bottom w:val="single" w:sz="8" w:color="CCEEFF"/>
            </w:tcBorders>
            <w:gridSpan w:val="3"/>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20" w:type="dxa"/>
            <w:vAlign w:val="bottom"/>
            <w:tcBorders>
              <w:bottom w:val="single" w:sz="8" w:color="CCEEFF"/>
            </w:tcBorders>
            <w:shd w:val="clear" w:color="auto" w:fill="CCEEFF"/>
          </w:tcPr>
          <w:p>
            <w:pPr>
              <w:spacing w:after="0"/>
              <w:rPr>
                <w:sz w:val="9"/>
                <w:szCs w:val="9"/>
                <w:color w:val="auto"/>
              </w:rPr>
            </w:pPr>
          </w:p>
        </w:tc>
        <w:tc>
          <w:tcPr>
            <w:tcW w:w="1820" w:type="dxa"/>
            <w:vAlign w:val="bottom"/>
            <w:tcBorders>
              <w:bottom w:val="single" w:sz="8" w:color="CCEEFF"/>
            </w:tcBorders>
            <w:shd w:val="clear" w:color="auto" w:fill="CCEEFF"/>
          </w:tcPr>
          <w:p>
            <w:pPr>
              <w:spacing w:after="0"/>
              <w:rPr>
                <w:sz w:val="9"/>
                <w:szCs w:val="9"/>
                <w:color w:val="auto"/>
              </w:rPr>
            </w:pPr>
          </w:p>
        </w:tc>
        <w:tc>
          <w:tcPr>
            <w:tcW w:w="1380" w:type="dxa"/>
            <w:vAlign w:val="bottom"/>
            <w:tcBorders>
              <w:bottom w:val="single" w:sz="8" w:color="CCEEFF"/>
            </w:tcBorders>
            <w:shd w:val="clear" w:color="auto" w:fill="CCEEFF"/>
          </w:tcPr>
          <w:p>
            <w:pPr>
              <w:spacing w:after="0"/>
              <w:rPr>
                <w:sz w:val="9"/>
                <w:szCs w:val="9"/>
                <w:color w:val="auto"/>
              </w:rPr>
            </w:pPr>
          </w:p>
        </w:tc>
        <w:tc>
          <w:tcPr>
            <w:tcW w:w="1200" w:type="dxa"/>
            <w:vAlign w:val="bottom"/>
            <w:tcBorders>
              <w:bottom w:val="single" w:sz="8" w:color="CCEEFF"/>
            </w:tcBorders>
            <w:shd w:val="clear" w:color="auto" w:fill="CCEEFF"/>
          </w:tcPr>
          <w:p>
            <w:pPr>
              <w:spacing w:after="0"/>
              <w:rPr>
                <w:sz w:val="9"/>
                <w:szCs w:val="9"/>
                <w:color w:val="auto"/>
              </w:rPr>
            </w:pPr>
          </w:p>
        </w:tc>
      </w:tr>
      <w:tr>
        <w:trPr>
          <w:trHeight w:val="126"/>
        </w:trPr>
        <w:tc>
          <w:tcPr>
            <w:tcW w:w="1020" w:type="dxa"/>
            <w:vAlign w:val="bottom"/>
            <w:tcBorders>
              <w:right w:val="single" w:sz="8" w:color="CCEEFF"/>
            </w:tcBorders>
            <w:shd w:val="clear" w:color="auto" w:fill="CCEEFF"/>
          </w:tcPr>
          <w:p>
            <w:pPr>
              <w:spacing w:after="0"/>
              <w:rPr>
                <w:sz w:val="10"/>
                <w:szCs w:val="10"/>
                <w:color w:val="auto"/>
              </w:rPr>
            </w:pPr>
          </w:p>
        </w:tc>
        <w:tc>
          <w:tcPr>
            <w:tcW w:w="5820" w:type="dxa"/>
            <w:vAlign w:val="bottom"/>
            <w:gridSpan w:val="38"/>
            <w:shd w:val="clear" w:color="auto" w:fill="CCEEFF"/>
          </w:tcPr>
          <w:p>
            <w:pPr>
              <w:spacing w:after="0" w:line="126"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LLC (f/k/a DiscoverOrg Midco, LLC), a Delaware limited liability company (“Holdings”), Morgan</w:t>
              </w:r>
            </w:hyperlink>
          </w:p>
        </w:tc>
        <w:tc>
          <w:tcPr>
            <w:tcW w:w="18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26"/>
        </w:trPr>
        <w:tc>
          <w:tcPr>
            <w:tcW w:w="1020" w:type="dxa"/>
            <w:vAlign w:val="bottom"/>
            <w:tcBorders>
              <w:top w:val="single" w:sz="8" w:color="CCEEFF"/>
              <w:bottom w:val="single" w:sz="8" w:color="CCEEFF"/>
              <w:right w:val="single" w:sz="8" w:color="CCEEFF"/>
            </w:tcBorders>
            <w:shd w:val="clear" w:color="auto" w:fill="CCEEFF"/>
          </w:tcPr>
          <w:p>
            <w:pPr>
              <w:spacing w:after="0"/>
              <w:rPr>
                <w:sz w:val="10"/>
                <w:szCs w:val="10"/>
                <w:color w:val="auto"/>
              </w:rPr>
            </w:pPr>
          </w:p>
        </w:tc>
        <w:tc>
          <w:tcPr>
            <w:tcW w:w="5640" w:type="dxa"/>
            <w:vAlign w:val="bottom"/>
            <w:tcBorders>
              <w:top w:val="single" w:sz="8" w:color="0000FF"/>
              <w:bottom w:val="single" w:sz="8" w:color="0000FF"/>
            </w:tcBorders>
            <w:gridSpan w:val="27"/>
            <w:shd w:val="clear" w:color="auto" w:fill="CCEEFF"/>
          </w:tcPr>
          <w:p>
            <w:pPr>
              <w:spacing w:after="0" w:line="126" w:lineRule="exact"/>
              <w:rPr>
                <w:rFonts w:ascii="Times New Roman" w:cs="Times New Roman" w:eastAsia="Times New Roman" w:hAnsi="Times New Roman"/>
                <w:sz w:val="14"/>
                <w:szCs w:val="14"/>
                <w:color w:val="0000FF"/>
                <w:w w:val="99"/>
              </w:rPr>
            </w:pPr>
            <w:hyperlink r:id="rId185">
              <w:r>
                <w:rPr>
                  <w:rFonts w:ascii="Times New Roman" w:cs="Times New Roman" w:eastAsia="Times New Roman" w:hAnsi="Times New Roman"/>
                  <w:sz w:val="14"/>
                  <w:szCs w:val="14"/>
                  <w:color w:val="0000FF"/>
                  <w:w w:val="99"/>
                </w:rPr>
                <w:t>Stanley Bank, N.A., as the 2021-1 incremental first lien term loan lender and Morgan Stanley Senior</w:t>
              </w:r>
            </w:hyperlink>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0000FF"/>
            </w:tcBorders>
            <w:shd w:val="clear" w:color="auto" w:fill="CCEEFF"/>
          </w:tcPr>
          <w:p>
            <w:pPr>
              <w:spacing w:after="0"/>
              <w:rPr>
                <w:sz w:val="10"/>
                <w:szCs w:val="10"/>
                <w:color w:val="auto"/>
              </w:rPr>
            </w:pPr>
          </w:p>
        </w:tc>
        <w:tc>
          <w:tcPr>
            <w:tcW w:w="4294967277" w:type="dxa"/>
            <w:vAlign w:val="bottom"/>
            <w:tcBorders>
              <w:top w:val="single" w:sz="8" w:color="CCEEFF"/>
              <w:bottom w:val="single" w:sz="8" w:color="0000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gridSpan w:val="3"/>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820" w:type="dxa"/>
            <w:vAlign w:val="bottom"/>
            <w:tcBorders>
              <w:top w:val="single" w:sz="8" w:color="CCEEFF"/>
              <w:bottom w:val="single" w:sz="8" w:color="CCEEFF"/>
            </w:tcBorders>
            <w:shd w:val="clear" w:color="auto" w:fill="CCEEFF"/>
          </w:tcPr>
          <w:p>
            <w:pPr>
              <w:spacing w:after="0"/>
              <w:rPr>
                <w:sz w:val="10"/>
                <w:szCs w:val="10"/>
                <w:color w:val="auto"/>
              </w:rPr>
            </w:pPr>
          </w:p>
        </w:tc>
        <w:tc>
          <w:tcPr>
            <w:tcW w:w="1380" w:type="dxa"/>
            <w:vAlign w:val="bottom"/>
            <w:tcBorders>
              <w:top w:val="single" w:sz="8" w:color="CCEEFF"/>
              <w:bottom w:val="single" w:sz="8" w:color="CCEEFF"/>
            </w:tcBorders>
            <w:shd w:val="clear" w:color="auto" w:fill="CCEEFF"/>
          </w:tcPr>
          <w:p>
            <w:pPr>
              <w:spacing w:after="0"/>
              <w:rPr>
                <w:sz w:val="10"/>
                <w:szCs w:val="10"/>
                <w:color w:val="auto"/>
              </w:rPr>
            </w:pPr>
          </w:p>
        </w:tc>
        <w:tc>
          <w:tcPr>
            <w:tcW w:w="120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113"/>
        </w:trPr>
        <w:tc>
          <w:tcPr>
            <w:tcW w:w="1020" w:type="dxa"/>
            <w:vAlign w:val="bottom"/>
            <w:tcBorders>
              <w:right w:val="single" w:sz="8" w:color="CCEEFF"/>
            </w:tcBorders>
            <w:shd w:val="clear" w:color="auto" w:fill="CCEEFF"/>
          </w:tcPr>
          <w:p>
            <w:pPr>
              <w:spacing w:after="0"/>
              <w:rPr>
                <w:sz w:val="9"/>
                <w:szCs w:val="9"/>
                <w:color w:val="auto"/>
              </w:rPr>
            </w:pPr>
          </w:p>
        </w:tc>
        <w:tc>
          <w:tcPr>
            <w:tcW w:w="5680" w:type="dxa"/>
            <w:vAlign w:val="bottom"/>
            <w:gridSpan w:val="31"/>
            <w:shd w:val="clear" w:color="auto" w:fill="CCEEFF"/>
          </w:tcPr>
          <w:p>
            <w:pPr>
              <w:spacing w:after="0" w:line="113" w:lineRule="exact"/>
              <w:rPr>
                <w:rFonts w:ascii="Times New Roman" w:cs="Times New Roman" w:eastAsia="Times New Roman" w:hAnsi="Times New Roman"/>
                <w:sz w:val="13"/>
                <w:szCs w:val="13"/>
                <w:color w:val="0000FF"/>
              </w:rPr>
            </w:pPr>
            <w:hyperlink r:id="rId185">
              <w:r>
                <w:rPr>
                  <w:rFonts w:ascii="Times New Roman" w:cs="Times New Roman" w:eastAsia="Times New Roman" w:hAnsi="Times New Roman"/>
                  <w:sz w:val="13"/>
                  <w:szCs w:val="13"/>
                  <w:color w:val="0000FF"/>
                </w:rPr>
                <w:t>Funding, Inc., as administrative agent, collateral agent and L/C issuer</w:t>
              </w:r>
            </w:hyperlink>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gridSpan w:val="3"/>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820" w:type="dxa"/>
            <w:vAlign w:val="bottom"/>
            <w:shd w:val="clear" w:color="auto" w:fill="CCEEFF"/>
          </w:tcPr>
          <w:p>
            <w:pPr>
              <w:spacing w:after="0"/>
              <w:rPr>
                <w:sz w:val="9"/>
                <w:szCs w:val="9"/>
                <w:color w:val="auto"/>
              </w:rPr>
            </w:pPr>
          </w:p>
        </w:tc>
        <w:tc>
          <w:tcPr>
            <w:tcW w:w="1380" w:type="dxa"/>
            <w:vAlign w:val="bottom"/>
            <w:shd w:val="clear" w:color="auto" w:fill="CCEEFF"/>
          </w:tcPr>
          <w:p>
            <w:pPr>
              <w:spacing w:after="0"/>
              <w:rPr>
                <w:sz w:val="9"/>
                <w:szCs w:val="9"/>
                <w:color w:val="auto"/>
              </w:rPr>
            </w:pPr>
          </w:p>
        </w:tc>
        <w:tc>
          <w:tcPr>
            <w:tcW w:w="1200" w:type="dxa"/>
            <w:vAlign w:val="bottom"/>
            <w:shd w:val="clear" w:color="auto" w:fill="CCEEFF"/>
          </w:tcPr>
          <w:p>
            <w:pPr>
              <w:spacing w:after="0"/>
              <w:rPr>
                <w:sz w:val="9"/>
                <w:szCs w:val="9"/>
                <w:color w:val="auto"/>
              </w:rPr>
            </w:pPr>
          </w:p>
        </w:tc>
      </w:tr>
      <w:tr>
        <w:trPr>
          <w:trHeight w:val="33"/>
        </w:trPr>
        <w:tc>
          <w:tcPr>
            <w:tcW w:w="1020" w:type="dxa"/>
            <w:vAlign w:val="bottom"/>
            <w:tcBorders>
              <w:top w:val="single" w:sz="8" w:color="CCEEFF"/>
              <w:right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7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r>
      <w:tr>
        <w:trPr>
          <w:trHeight w:val="146"/>
        </w:trPr>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10.18</w:t>
            </w:r>
          </w:p>
        </w:tc>
        <w:tc>
          <w:tcPr>
            <w:tcW w:w="5220" w:type="dxa"/>
            <w:vAlign w:val="bottom"/>
            <w:tcBorders>
              <w:bottom w:val="single" w:sz="8" w:color="0000FF"/>
            </w:tcBorders>
            <w:gridSpan w:val="15"/>
          </w:tcPr>
          <w:p>
            <w:pPr>
              <w:spacing w:after="0" w:line="146"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Amendment No. 4 to First Lien Credit Agreement, dated December 30, 2022, by and among</w:t>
              </w:r>
            </w:hyperlink>
          </w:p>
        </w:tc>
        <w:tc>
          <w:tcPr>
            <w:tcW w:w="600" w:type="dxa"/>
            <w:vAlign w:val="bottom"/>
            <w:gridSpan w:val="23"/>
          </w:tcPr>
          <w:p>
            <w:pPr>
              <w:spacing w:after="0"/>
              <w:rPr>
                <w:sz w:val="12"/>
                <w:szCs w:val="12"/>
                <w:color w:val="auto"/>
              </w:rPr>
            </w:pPr>
          </w:p>
        </w:tc>
        <w:tc>
          <w:tcPr>
            <w:tcW w:w="1820" w:type="dxa"/>
            <w:vAlign w:val="bottom"/>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10-K filed February 16,</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10.18</w:t>
            </w:r>
          </w:p>
        </w:tc>
      </w:tr>
      <w:tr>
        <w:trPr>
          <w:trHeight w:val="126"/>
        </w:trPr>
        <w:tc>
          <w:tcPr>
            <w:tcW w:w="1020" w:type="dxa"/>
            <w:vAlign w:val="bottom"/>
          </w:tcPr>
          <w:p>
            <w:pPr>
              <w:spacing w:after="0"/>
              <w:rPr>
                <w:sz w:val="10"/>
                <w:szCs w:val="10"/>
                <w:color w:val="auto"/>
              </w:rPr>
            </w:pPr>
          </w:p>
        </w:tc>
        <w:tc>
          <w:tcPr>
            <w:tcW w:w="5820" w:type="dxa"/>
            <w:vAlign w:val="bottom"/>
            <w:gridSpan w:val="38"/>
          </w:tcPr>
          <w:p>
            <w:pPr>
              <w:spacing w:after="0" w:line="126"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ZoomInfo LLC (f/k/a DiscoverOrg, LLC), a Delaware limited liability company (the “Borrower”),</w:t>
              </w:r>
            </w:hyperlink>
          </w:p>
        </w:tc>
        <w:tc>
          <w:tcPr>
            <w:tcW w:w="1820" w:type="dxa"/>
            <w:vAlign w:val="bottom"/>
          </w:tcPr>
          <w:p>
            <w:pPr>
              <w:jc w:val="center"/>
              <w:ind w:right="149"/>
              <w:spacing w:after="0" w:line="126" w:lineRule="exact"/>
              <w:rPr>
                <w:sz w:val="20"/>
                <w:szCs w:val="20"/>
                <w:color w:val="auto"/>
              </w:rPr>
            </w:pPr>
            <w:r>
              <w:rPr>
                <w:rFonts w:ascii="Times New Roman" w:cs="Times New Roman" w:eastAsia="Times New Roman" w:hAnsi="Times New Roman"/>
                <w:sz w:val="14"/>
                <w:szCs w:val="14"/>
                <w:color w:val="auto"/>
                <w:w w:val="99"/>
              </w:rPr>
              <w:t>2023</w:t>
            </w: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13"/>
        </w:trPr>
        <w:tc>
          <w:tcPr>
            <w:tcW w:w="1020" w:type="dxa"/>
            <w:vAlign w:val="bottom"/>
          </w:tcPr>
          <w:p>
            <w:pPr>
              <w:spacing w:after="0"/>
              <w:rPr>
                <w:sz w:val="9"/>
                <w:szCs w:val="9"/>
                <w:color w:val="auto"/>
              </w:rPr>
            </w:pPr>
          </w:p>
        </w:tc>
        <w:tc>
          <w:tcPr>
            <w:tcW w:w="5580" w:type="dxa"/>
            <w:vAlign w:val="bottom"/>
            <w:tcBorders>
              <w:top w:val="single" w:sz="8" w:color="0000FF"/>
              <w:bottom w:val="single" w:sz="8" w:color="0000FF"/>
            </w:tcBorders>
            <w:gridSpan w:val="24"/>
          </w:tcPr>
          <w:p>
            <w:pPr>
              <w:spacing w:after="0" w:line="113" w:lineRule="exact"/>
              <w:rPr>
                <w:rFonts w:ascii="Times New Roman" w:cs="Times New Roman" w:eastAsia="Times New Roman" w:hAnsi="Times New Roman"/>
                <w:sz w:val="13"/>
                <w:szCs w:val="13"/>
                <w:color w:val="0000FF"/>
              </w:rPr>
            </w:pPr>
            <w:hyperlink r:id="rId186">
              <w:r>
                <w:rPr>
                  <w:rFonts w:ascii="Times New Roman" w:cs="Times New Roman" w:eastAsia="Times New Roman" w:hAnsi="Times New Roman"/>
                  <w:sz w:val="13"/>
                  <w:szCs w:val="13"/>
                  <w:color w:val="0000FF"/>
                </w:rPr>
                <w:t>ZoomInfo Technologies LLC, a Delaware limited liability company (the “Co-Borrower”), ZoomInfo</w:t>
              </w:r>
            </w:hyperlink>
          </w:p>
        </w:tc>
        <w:tc>
          <w:tcPr>
            <w:tcW w:w="40" w:type="dxa"/>
            <w:vAlign w:val="bottom"/>
            <w:tcBorders>
              <w:bottom w:val="single" w:sz="8" w:color="0000FF"/>
            </w:tcBorders>
            <w:gridSpan w:val="2"/>
          </w:tcPr>
          <w:p>
            <w:pPr>
              <w:spacing w:after="0"/>
              <w:rPr>
                <w:sz w:val="9"/>
                <w:szCs w:val="9"/>
                <w:color w:val="auto"/>
              </w:rPr>
            </w:pPr>
          </w:p>
        </w:tc>
        <w:tc>
          <w:tcPr>
            <w:tcW w:w="40" w:type="dxa"/>
            <w:vAlign w:val="bottom"/>
            <w:tcBorders>
              <w:bottom w:val="single" w:sz="8" w:color="0000FF"/>
            </w:tcBorders>
            <w:gridSpan w:val="2"/>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0" w:type="dxa"/>
            <w:vAlign w:val="bottom"/>
            <w:tcBorders>
              <w:bottom w:val="single" w:sz="8" w:color="0000FF"/>
            </w:tcBorders>
            <w:gridSpan w:val="2"/>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gridSpan w:val="3"/>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26"/>
        </w:trPr>
        <w:tc>
          <w:tcPr>
            <w:tcW w:w="1020" w:type="dxa"/>
            <w:vAlign w:val="bottom"/>
          </w:tcPr>
          <w:p>
            <w:pPr>
              <w:spacing w:after="0"/>
              <w:rPr>
                <w:sz w:val="10"/>
                <w:szCs w:val="10"/>
                <w:color w:val="auto"/>
              </w:rPr>
            </w:pPr>
          </w:p>
        </w:tc>
        <w:tc>
          <w:tcPr>
            <w:tcW w:w="5540" w:type="dxa"/>
            <w:vAlign w:val="bottom"/>
            <w:tcBorders>
              <w:bottom w:val="single" w:sz="8" w:color="0000FF"/>
            </w:tcBorders>
            <w:gridSpan w:val="22"/>
          </w:tcPr>
          <w:p>
            <w:pPr>
              <w:spacing w:after="0" w:line="126"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Midco LLC (f/k/a DiscoverOrg Midco, LLC), a Delaware limited liability company (“Holdings”),</w:t>
              </w:r>
            </w:hyperlink>
          </w:p>
        </w:tc>
        <w:tc>
          <w:tcPr>
            <w:tcW w:w="160" w:type="dxa"/>
            <w:vAlign w:val="bottom"/>
            <w:gridSpan w:val="10"/>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26"/>
        </w:trPr>
        <w:tc>
          <w:tcPr>
            <w:tcW w:w="1020" w:type="dxa"/>
            <w:vAlign w:val="bottom"/>
          </w:tcPr>
          <w:p>
            <w:pPr>
              <w:spacing w:after="0"/>
              <w:rPr>
                <w:sz w:val="10"/>
                <w:szCs w:val="10"/>
                <w:color w:val="auto"/>
              </w:rPr>
            </w:pPr>
          </w:p>
        </w:tc>
        <w:tc>
          <w:tcPr>
            <w:tcW w:w="5820" w:type="dxa"/>
            <w:vAlign w:val="bottom"/>
            <w:tcBorders>
              <w:bottom w:val="single" w:sz="8" w:color="0000FF"/>
            </w:tcBorders>
            <w:gridSpan w:val="38"/>
          </w:tcPr>
          <w:p>
            <w:pPr>
              <w:spacing w:after="0" w:line="126"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Morgan Stanley Bank, N.A., as the 2021-1 incremental first lien term loan lender and Morgan Stanley</w:t>
              </w:r>
            </w:hyperlink>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13"/>
        </w:trPr>
        <w:tc>
          <w:tcPr>
            <w:tcW w:w="1020" w:type="dxa"/>
            <w:vAlign w:val="bottom"/>
          </w:tcPr>
          <w:p>
            <w:pPr>
              <w:spacing w:after="0"/>
              <w:rPr>
                <w:sz w:val="9"/>
                <w:szCs w:val="9"/>
                <w:color w:val="auto"/>
              </w:rPr>
            </w:pPr>
          </w:p>
        </w:tc>
        <w:tc>
          <w:tcPr>
            <w:tcW w:w="5820" w:type="dxa"/>
            <w:vAlign w:val="bottom"/>
            <w:gridSpan w:val="38"/>
          </w:tcPr>
          <w:p>
            <w:pPr>
              <w:spacing w:after="0" w:line="113" w:lineRule="exact"/>
              <w:rPr>
                <w:rFonts w:ascii="Times New Roman" w:cs="Times New Roman" w:eastAsia="Times New Roman" w:hAnsi="Times New Roman"/>
                <w:sz w:val="13"/>
                <w:szCs w:val="13"/>
                <w:color w:val="0000FF"/>
              </w:rPr>
            </w:pPr>
            <w:hyperlink r:id="rId186">
              <w:r>
                <w:rPr>
                  <w:rFonts w:ascii="Times New Roman" w:cs="Times New Roman" w:eastAsia="Times New Roman" w:hAnsi="Times New Roman"/>
                  <w:sz w:val="13"/>
                  <w:szCs w:val="13"/>
                  <w:color w:val="0000FF"/>
                </w:rPr>
                <w:t>Senior Funding, Inc., as administrative agent, collateral agent and L/C issuer</w:t>
              </w:r>
            </w:hyperlink>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33"/>
        </w:trPr>
        <w:tc>
          <w:tcPr>
            <w:tcW w:w="10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46"/>
        </w:trPr>
        <w:tc>
          <w:tcPr>
            <w:tcW w:w="1020" w:type="dxa"/>
            <w:vAlign w:val="bottom"/>
            <w:tcBorders>
              <w:bottom w:val="single" w:sz="8" w:color="CCEEFF"/>
              <w:right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10.19</w:t>
            </w:r>
          </w:p>
        </w:tc>
        <w:tc>
          <w:tcPr>
            <w:tcW w:w="5140" w:type="dxa"/>
            <w:vAlign w:val="bottom"/>
            <w:tcBorders>
              <w:bottom w:val="single" w:sz="8" w:color="0000FF"/>
            </w:tcBorders>
            <w:gridSpan w:val="12"/>
            <w:shd w:val="clear" w:color="auto" w:fill="CCEEFF"/>
          </w:tcPr>
          <w:p>
            <w:pPr>
              <w:spacing w:after="0" w:line="146"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Amendment No. 5 to First Lien Credit Agreement, dated February 28, 2023, by and among</w:t>
              </w:r>
            </w:hyperlink>
          </w:p>
        </w:tc>
        <w:tc>
          <w:tcPr>
            <w:tcW w:w="680" w:type="dxa"/>
            <w:vAlign w:val="bottom"/>
            <w:tcBorders>
              <w:bottom w:val="single" w:sz="8" w:color="CCEEFF"/>
            </w:tcBorders>
            <w:gridSpan w:val="26"/>
            <w:shd w:val="clear" w:color="auto" w:fill="CCEEFF"/>
          </w:tcPr>
          <w:p>
            <w:pPr>
              <w:spacing w:after="0"/>
              <w:rPr>
                <w:sz w:val="12"/>
                <w:szCs w:val="12"/>
                <w:color w:val="auto"/>
              </w:rPr>
            </w:pPr>
          </w:p>
        </w:tc>
        <w:tc>
          <w:tcPr>
            <w:tcW w:w="1820" w:type="dxa"/>
            <w:vAlign w:val="bottom"/>
            <w:tcBorders>
              <w:bottom w:val="single" w:sz="8" w:color="CCEEFF"/>
            </w:tcBorders>
            <w:shd w:val="clear" w:color="auto" w:fill="CCEEFF"/>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8-K filed March 2, 2023</w:t>
            </w:r>
          </w:p>
        </w:tc>
        <w:tc>
          <w:tcPr>
            <w:tcW w:w="1380" w:type="dxa"/>
            <w:vAlign w:val="bottom"/>
            <w:tcBorders>
              <w:bottom w:val="single" w:sz="8" w:color="CCEEFF"/>
            </w:tcBorders>
            <w:shd w:val="clear" w:color="auto" w:fill="CCEEFF"/>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w:t>
            </w:r>
          </w:p>
        </w:tc>
      </w:tr>
      <w:tr>
        <w:trPr>
          <w:trHeight w:val="126"/>
        </w:trPr>
        <w:tc>
          <w:tcPr>
            <w:tcW w:w="1020" w:type="dxa"/>
            <w:vAlign w:val="bottom"/>
            <w:tcBorders>
              <w:right w:val="single" w:sz="8" w:color="CCEEFF"/>
            </w:tcBorders>
            <w:shd w:val="clear" w:color="auto" w:fill="CCEEFF"/>
          </w:tcPr>
          <w:p>
            <w:pPr>
              <w:spacing w:after="0"/>
              <w:rPr>
                <w:sz w:val="10"/>
                <w:szCs w:val="10"/>
                <w:color w:val="auto"/>
              </w:rPr>
            </w:pPr>
          </w:p>
        </w:tc>
        <w:tc>
          <w:tcPr>
            <w:tcW w:w="5820" w:type="dxa"/>
            <w:vAlign w:val="bottom"/>
            <w:gridSpan w:val="38"/>
            <w:shd w:val="clear" w:color="auto" w:fill="CCEEFF"/>
          </w:tcPr>
          <w:p>
            <w:pPr>
              <w:spacing w:after="0" w:line="126"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ZoomInfo, LLC (f/k/a DiscoverOrg, LLC), a Delaware limited liability company (the “Borrower”),</w:t>
              </w:r>
            </w:hyperlink>
          </w:p>
        </w:tc>
        <w:tc>
          <w:tcPr>
            <w:tcW w:w="18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13"/>
        </w:trPr>
        <w:tc>
          <w:tcPr>
            <w:tcW w:w="102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5620" w:type="dxa"/>
            <w:vAlign w:val="bottom"/>
            <w:tcBorders>
              <w:top w:val="single" w:sz="8" w:color="0000FF"/>
              <w:bottom w:val="single" w:sz="8" w:color="0000FF"/>
            </w:tcBorders>
            <w:gridSpan w:val="26"/>
            <w:shd w:val="clear" w:color="auto" w:fill="CCEEFF"/>
          </w:tcPr>
          <w:p>
            <w:pPr>
              <w:spacing w:after="0" w:line="113" w:lineRule="exact"/>
              <w:rPr>
                <w:rFonts w:ascii="Times New Roman" w:cs="Times New Roman" w:eastAsia="Times New Roman" w:hAnsi="Times New Roman"/>
                <w:sz w:val="13"/>
                <w:szCs w:val="13"/>
                <w:color w:val="0000FF"/>
              </w:rPr>
            </w:pPr>
            <w:hyperlink r:id="rId187">
              <w:r>
                <w:rPr>
                  <w:rFonts w:ascii="Times New Roman" w:cs="Times New Roman" w:eastAsia="Times New Roman" w:hAnsi="Times New Roman"/>
                  <w:sz w:val="13"/>
                  <w:szCs w:val="13"/>
                  <w:color w:val="0000FF"/>
                </w:rPr>
                <w:t>ZoomInfo Technologies LLC, a Delaware limited liability company (the “Co-Borrower”), ZoomInfo</w:t>
              </w:r>
            </w:hyperlink>
          </w:p>
        </w:tc>
        <w:tc>
          <w:tcPr>
            <w:tcW w:w="40" w:type="dxa"/>
            <w:vAlign w:val="bottom"/>
            <w:tcBorders>
              <w:top w:val="single" w:sz="8" w:color="CCEEFF"/>
              <w:bottom w:val="single" w:sz="8" w:color="0000FF"/>
            </w:tcBorders>
            <w:gridSpan w:val="2"/>
            <w:shd w:val="clear" w:color="auto" w:fill="CCEEFF"/>
          </w:tcPr>
          <w:p>
            <w:pPr>
              <w:spacing w:after="0"/>
              <w:rPr>
                <w:sz w:val="9"/>
                <w:szCs w:val="9"/>
                <w:color w:val="auto"/>
              </w:rPr>
            </w:pPr>
          </w:p>
        </w:tc>
        <w:tc>
          <w:tcPr>
            <w:tcW w:w="20" w:type="dxa"/>
            <w:vAlign w:val="bottom"/>
            <w:tcBorders>
              <w:top w:val="single" w:sz="8" w:color="CCEEFF"/>
              <w:bottom w:val="single" w:sz="8" w:color="0000FF"/>
            </w:tcBorders>
            <w:shd w:val="clear" w:color="auto" w:fill="CCEEFF"/>
          </w:tcPr>
          <w:p>
            <w:pPr>
              <w:spacing w:after="0"/>
              <w:rPr>
                <w:sz w:val="9"/>
                <w:szCs w:val="9"/>
                <w:color w:val="auto"/>
              </w:rPr>
            </w:pPr>
          </w:p>
        </w:tc>
        <w:tc>
          <w:tcPr>
            <w:tcW w:w="20" w:type="dxa"/>
            <w:vAlign w:val="bottom"/>
            <w:tcBorders>
              <w:top w:val="single" w:sz="8" w:color="CCEEFF"/>
              <w:bottom w:val="single" w:sz="8" w:color="0000FF"/>
            </w:tcBorders>
            <w:shd w:val="clear" w:color="auto" w:fill="CCEEFF"/>
          </w:tcPr>
          <w:p>
            <w:pPr>
              <w:spacing w:after="0"/>
              <w:rPr>
                <w:sz w:val="9"/>
                <w:szCs w:val="9"/>
                <w:color w:val="auto"/>
              </w:rPr>
            </w:pPr>
          </w:p>
        </w:tc>
        <w:tc>
          <w:tcPr>
            <w:tcW w:w="0" w:type="dxa"/>
            <w:vAlign w:val="bottom"/>
            <w:tcBorders>
              <w:top w:val="single" w:sz="8" w:color="CCEEFF"/>
              <w:bottom w:val="single" w:sz="8" w:color="0000FF"/>
            </w:tcBorders>
            <w:gridSpan w:val="2"/>
            <w:shd w:val="clear" w:color="auto" w:fill="CCEEFF"/>
          </w:tcPr>
          <w:p>
            <w:pPr>
              <w:spacing w:after="0"/>
              <w:rPr>
                <w:sz w:val="9"/>
                <w:szCs w:val="9"/>
                <w:color w:val="auto"/>
              </w:rPr>
            </w:pPr>
          </w:p>
        </w:tc>
        <w:tc>
          <w:tcPr>
            <w:tcW w:w="20" w:type="dxa"/>
            <w:vAlign w:val="bottom"/>
            <w:tcBorders>
              <w:top w:val="single" w:sz="8" w:color="CCEEFF"/>
              <w:bottom w:val="single" w:sz="8" w:color="0000FF"/>
            </w:tcBorders>
            <w:shd w:val="clear" w:color="auto" w:fill="CCEEFF"/>
          </w:tcPr>
          <w:p>
            <w:pPr>
              <w:spacing w:after="0"/>
              <w:rPr>
                <w:sz w:val="9"/>
                <w:szCs w:val="9"/>
                <w:color w:val="auto"/>
              </w:rPr>
            </w:pPr>
          </w:p>
        </w:tc>
        <w:tc>
          <w:tcPr>
            <w:tcW w:w="60" w:type="dxa"/>
            <w:vAlign w:val="bottom"/>
            <w:tcBorders>
              <w:top w:val="single" w:sz="8" w:color="CCEEFF"/>
              <w:bottom w:val="single" w:sz="8" w:color="CCEEFF"/>
            </w:tcBorders>
            <w:gridSpan w:val="3"/>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820" w:type="dxa"/>
            <w:vAlign w:val="bottom"/>
            <w:tcBorders>
              <w:top w:val="single" w:sz="8" w:color="CCEEFF"/>
              <w:bottom w:val="single" w:sz="8" w:color="CCEEFF"/>
            </w:tcBorders>
            <w:shd w:val="clear" w:color="auto" w:fill="CCEEFF"/>
          </w:tcPr>
          <w:p>
            <w:pPr>
              <w:spacing w:after="0"/>
              <w:rPr>
                <w:sz w:val="9"/>
                <w:szCs w:val="9"/>
                <w:color w:val="auto"/>
              </w:rPr>
            </w:pPr>
          </w:p>
        </w:tc>
        <w:tc>
          <w:tcPr>
            <w:tcW w:w="1380" w:type="dxa"/>
            <w:vAlign w:val="bottom"/>
            <w:tcBorders>
              <w:top w:val="single" w:sz="8" w:color="CCEEFF"/>
              <w:bottom w:val="single" w:sz="8" w:color="CCEEFF"/>
            </w:tcBorders>
            <w:shd w:val="clear" w:color="auto" w:fill="CCEEFF"/>
          </w:tcPr>
          <w:p>
            <w:pPr>
              <w:spacing w:after="0"/>
              <w:rPr>
                <w:sz w:val="9"/>
                <w:szCs w:val="9"/>
                <w:color w:val="auto"/>
              </w:rPr>
            </w:pPr>
          </w:p>
        </w:tc>
        <w:tc>
          <w:tcPr>
            <w:tcW w:w="1200" w:type="dxa"/>
            <w:vAlign w:val="bottom"/>
            <w:tcBorders>
              <w:top w:val="single" w:sz="8" w:color="CCEEFF"/>
              <w:bottom w:val="single" w:sz="8" w:color="CCEEFF"/>
            </w:tcBorders>
            <w:shd w:val="clear" w:color="auto" w:fill="CCEEFF"/>
          </w:tcPr>
          <w:p>
            <w:pPr>
              <w:spacing w:after="0"/>
              <w:rPr>
                <w:sz w:val="9"/>
                <w:szCs w:val="9"/>
                <w:color w:val="auto"/>
              </w:rPr>
            </w:pPr>
          </w:p>
        </w:tc>
      </w:tr>
      <w:tr>
        <w:trPr>
          <w:trHeight w:val="126"/>
        </w:trPr>
        <w:tc>
          <w:tcPr>
            <w:tcW w:w="1020" w:type="dxa"/>
            <w:vAlign w:val="bottom"/>
            <w:tcBorders>
              <w:right w:val="single" w:sz="8" w:color="CCEEFF"/>
            </w:tcBorders>
            <w:shd w:val="clear" w:color="auto" w:fill="CCEEFF"/>
          </w:tcPr>
          <w:p>
            <w:pPr>
              <w:spacing w:after="0"/>
              <w:rPr>
                <w:sz w:val="10"/>
                <w:szCs w:val="10"/>
                <w:color w:val="auto"/>
              </w:rPr>
            </w:pPr>
          </w:p>
        </w:tc>
        <w:tc>
          <w:tcPr>
            <w:tcW w:w="5820" w:type="dxa"/>
            <w:vAlign w:val="bottom"/>
            <w:gridSpan w:val="38"/>
            <w:shd w:val="clear" w:color="auto" w:fill="CCEEFF"/>
          </w:tcPr>
          <w:p>
            <w:pPr>
              <w:spacing w:after="0" w:line="126"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Midco LLC (f/k/a DiscoverOrg Midco, LLC), a Delaware limited liability company (“Holdings”), the</w:t>
              </w:r>
            </w:hyperlink>
          </w:p>
        </w:tc>
        <w:tc>
          <w:tcPr>
            <w:tcW w:w="18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26"/>
        </w:trPr>
        <w:tc>
          <w:tcPr>
            <w:tcW w:w="1020" w:type="dxa"/>
            <w:vAlign w:val="bottom"/>
            <w:tcBorders>
              <w:top w:val="single" w:sz="8" w:color="CCEEFF"/>
              <w:right w:val="single" w:sz="8" w:color="CCEEFF"/>
            </w:tcBorders>
            <w:shd w:val="clear" w:color="auto" w:fill="CCEEFF"/>
          </w:tcPr>
          <w:p>
            <w:pPr>
              <w:spacing w:after="0"/>
              <w:rPr>
                <w:sz w:val="10"/>
                <w:szCs w:val="10"/>
                <w:color w:val="auto"/>
              </w:rPr>
            </w:pPr>
          </w:p>
        </w:tc>
        <w:tc>
          <w:tcPr>
            <w:tcW w:w="5780" w:type="dxa"/>
            <w:vAlign w:val="bottom"/>
            <w:tcBorders>
              <w:top w:val="single" w:sz="8" w:color="0000FF"/>
            </w:tcBorders>
            <w:gridSpan w:val="36"/>
            <w:shd w:val="clear" w:color="auto" w:fill="CCEEFF"/>
          </w:tcPr>
          <w:p>
            <w:pPr>
              <w:spacing w:after="0" w:line="126"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other guarantors party thereto, each lender and L/C issuer party thereto, and Morgan Stanley Senior</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r>
      <w:tr>
        <w:trPr>
          <w:trHeight w:val="146"/>
        </w:trPr>
        <w:tc>
          <w:tcPr>
            <w:tcW w:w="10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3940" w:type="dxa"/>
            <w:vAlign w:val="bottom"/>
            <w:tcBorders>
              <w:top w:val="single" w:sz="8" w:color="0000FF"/>
              <w:bottom w:val="single" w:sz="8" w:color="0000FF"/>
            </w:tcBorders>
            <w:gridSpan w:val="8"/>
            <w:shd w:val="clear" w:color="auto" w:fill="CCEEFF"/>
          </w:tcPr>
          <w:p>
            <w:pPr>
              <w:spacing w:after="0" w:line="113" w:lineRule="exact"/>
              <w:rPr>
                <w:rFonts w:ascii="Times New Roman" w:cs="Times New Roman" w:eastAsia="Times New Roman" w:hAnsi="Times New Roman"/>
                <w:sz w:val="13"/>
                <w:szCs w:val="13"/>
                <w:color w:val="0000FF"/>
              </w:rPr>
            </w:pPr>
            <w:hyperlink r:id="rId187">
              <w:r>
                <w:rPr>
                  <w:rFonts w:ascii="Times New Roman" w:cs="Times New Roman" w:eastAsia="Times New Roman" w:hAnsi="Times New Roman"/>
                  <w:sz w:val="13"/>
                  <w:szCs w:val="13"/>
                  <w:color w:val="0000FF"/>
                </w:rPr>
                <w:t>Funding, Inc., as administrative agent, collateral agent and L/C issuer.</w:t>
              </w:r>
            </w:hyperlink>
          </w:p>
        </w:tc>
        <w:tc>
          <w:tcPr>
            <w:tcW w:w="1720" w:type="dxa"/>
            <w:vAlign w:val="bottom"/>
            <w:tcBorders>
              <w:top w:val="single" w:sz="8" w:color="0000FF"/>
              <w:bottom w:val="single" w:sz="8" w:color="CCEEFF"/>
            </w:tcBorders>
            <w:gridSpan w:val="20"/>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gridSpan w:val="3"/>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20" w:type="dxa"/>
            <w:vAlign w:val="bottom"/>
            <w:tcBorders>
              <w:top w:val="single" w:sz="8" w:color="CCEEFF"/>
              <w:bottom w:val="single" w:sz="8" w:color="CCEEFF"/>
            </w:tcBorders>
            <w:shd w:val="clear" w:color="auto" w:fill="CCEEFF"/>
          </w:tcPr>
          <w:p>
            <w:pPr>
              <w:spacing w:after="0"/>
              <w:rPr>
                <w:sz w:val="12"/>
                <w:szCs w:val="12"/>
                <w:color w:val="auto"/>
              </w:rPr>
            </w:pPr>
          </w:p>
        </w:tc>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6"/>
        </w:trPr>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10.20</w:t>
            </w:r>
          </w:p>
        </w:tc>
        <w:tc>
          <w:tcPr>
            <w:tcW w:w="5820" w:type="dxa"/>
            <w:vAlign w:val="bottom"/>
            <w:gridSpan w:val="38"/>
          </w:tcPr>
          <w:p>
            <w:pPr>
              <w:spacing w:after="0" w:line="146"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Amendment No. 6 to First Lien Credit Agreement, dated as of December 8, 2023, by and among</w:t>
              </w:r>
            </w:hyperlink>
          </w:p>
        </w:tc>
        <w:tc>
          <w:tcPr>
            <w:tcW w:w="1820" w:type="dxa"/>
            <w:vAlign w:val="bottom"/>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8-K filed December 11,</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w:t>
            </w:r>
          </w:p>
        </w:tc>
      </w:tr>
      <w:tr>
        <w:trPr>
          <w:trHeight w:val="126"/>
        </w:trPr>
        <w:tc>
          <w:tcPr>
            <w:tcW w:w="1020" w:type="dxa"/>
            <w:vAlign w:val="bottom"/>
          </w:tcPr>
          <w:p>
            <w:pPr>
              <w:spacing w:after="0"/>
              <w:rPr>
                <w:sz w:val="10"/>
                <w:szCs w:val="10"/>
                <w:color w:val="auto"/>
              </w:rPr>
            </w:pPr>
          </w:p>
        </w:tc>
        <w:tc>
          <w:tcPr>
            <w:tcW w:w="5440" w:type="dxa"/>
            <w:vAlign w:val="bottom"/>
            <w:tcBorders>
              <w:top w:val="single" w:sz="8" w:color="0000FF"/>
            </w:tcBorders>
            <w:gridSpan w:val="18"/>
          </w:tcPr>
          <w:p>
            <w:pPr>
              <w:spacing w:after="0" w:line="126" w:lineRule="exact"/>
              <w:rPr>
                <w:rFonts w:ascii="Times New Roman" w:cs="Times New Roman" w:eastAsia="Times New Roman" w:hAnsi="Times New Roman"/>
                <w:sz w:val="14"/>
                <w:szCs w:val="14"/>
                <w:color w:val="0000FF"/>
                <w:w w:val="98"/>
              </w:rPr>
            </w:pPr>
            <w:hyperlink r:id="rId188">
              <w:r>
                <w:rPr>
                  <w:rFonts w:ascii="Times New Roman" w:cs="Times New Roman" w:eastAsia="Times New Roman" w:hAnsi="Times New Roman"/>
                  <w:sz w:val="14"/>
                  <w:szCs w:val="14"/>
                  <w:color w:val="0000FF"/>
                  <w:w w:val="98"/>
                </w:rPr>
                <w:t>ZoomInfo LLC (f/k/a DiscoverOrg, LLC), a Delaware limited liability company (the “Borrower”),</w:t>
              </w:r>
            </w:hyperlink>
          </w:p>
        </w:tc>
        <w:tc>
          <w:tcPr>
            <w:tcW w:w="80" w:type="dxa"/>
            <w:vAlign w:val="bottom"/>
            <w:gridSpan w:val="3"/>
          </w:tcPr>
          <w:p>
            <w:pPr>
              <w:spacing w:after="0"/>
              <w:rPr>
                <w:sz w:val="10"/>
                <w:szCs w:val="10"/>
                <w:color w:val="auto"/>
              </w:rPr>
            </w:pPr>
          </w:p>
        </w:tc>
        <w:tc>
          <w:tcPr>
            <w:tcW w:w="160" w:type="dxa"/>
            <w:vAlign w:val="bottom"/>
            <w:gridSpan w:val="8"/>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gridSpan w:val="3"/>
          </w:tcPr>
          <w:p>
            <w:pPr>
              <w:spacing w:after="0"/>
              <w:rPr>
                <w:sz w:val="10"/>
                <w:szCs w:val="10"/>
                <w:color w:val="auto"/>
              </w:rPr>
            </w:pPr>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jc w:val="center"/>
              <w:ind w:right="149"/>
              <w:spacing w:after="0" w:line="126" w:lineRule="exact"/>
              <w:rPr>
                <w:sz w:val="20"/>
                <w:szCs w:val="20"/>
                <w:color w:val="auto"/>
              </w:rPr>
            </w:pPr>
            <w:r>
              <w:rPr>
                <w:rFonts w:ascii="Times New Roman" w:cs="Times New Roman" w:eastAsia="Times New Roman" w:hAnsi="Times New Roman"/>
                <w:sz w:val="14"/>
                <w:szCs w:val="14"/>
                <w:color w:val="auto"/>
                <w:w w:val="99"/>
              </w:rPr>
              <w:t>2023</w:t>
            </w: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13"/>
        </w:trPr>
        <w:tc>
          <w:tcPr>
            <w:tcW w:w="1020" w:type="dxa"/>
            <w:vAlign w:val="bottom"/>
          </w:tcPr>
          <w:p>
            <w:pPr>
              <w:spacing w:after="0"/>
              <w:rPr>
                <w:sz w:val="9"/>
                <w:szCs w:val="9"/>
                <w:color w:val="auto"/>
              </w:rPr>
            </w:pPr>
          </w:p>
        </w:tc>
        <w:tc>
          <w:tcPr>
            <w:tcW w:w="5580" w:type="dxa"/>
            <w:vAlign w:val="bottom"/>
            <w:tcBorders>
              <w:top w:val="single" w:sz="8" w:color="0000FF"/>
              <w:bottom w:val="single" w:sz="8" w:color="0000FF"/>
            </w:tcBorders>
            <w:gridSpan w:val="24"/>
          </w:tcPr>
          <w:p>
            <w:pPr>
              <w:spacing w:after="0" w:line="113" w:lineRule="exact"/>
              <w:rPr>
                <w:rFonts w:ascii="Times New Roman" w:cs="Times New Roman" w:eastAsia="Times New Roman" w:hAnsi="Times New Roman"/>
                <w:sz w:val="13"/>
                <w:szCs w:val="13"/>
                <w:color w:val="0000FF"/>
              </w:rPr>
            </w:pPr>
            <w:hyperlink r:id="rId188">
              <w:r>
                <w:rPr>
                  <w:rFonts w:ascii="Times New Roman" w:cs="Times New Roman" w:eastAsia="Times New Roman" w:hAnsi="Times New Roman"/>
                  <w:sz w:val="13"/>
                  <w:szCs w:val="13"/>
                  <w:color w:val="0000FF"/>
                </w:rPr>
                <w:t>ZoomInfo Technologies LLC, a Delaware limited liability company (the “Co-Borrower”), ZoomInfo</w:t>
              </w:r>
            </w:hyperlink>
          </w:p>
        </w:tc>
        <w:tc>
          <w:tcPr>
            <w:tcW w:w="100" w:type="dxa"/>
            <w:vAlign w:val="bottom"/>
            <w:tcBorders>
              <w:bottom w:val="single" w:sz="8" w:color="0000FF"/>
            </w:tcBorders>
            <w:gridSpan w:val="5"/>
          </w:tcPr>
          <w:p>
            <w:pPr>
              <w:spacing w:after="0"/>
              <w:rPr>
                <w:sz w:val="9"/>
                <w:szCs w:val="9"/>
                <w:color w:val="auto"/>
              </w:rPr>
            </w:pPr>
          </w:p>
        </w:tc>
        <w:tc>
          <w:tcPr>
            <w:tcW w:w="20" w:type="dxa"/>
            <w:vAlign w:val="bottom"/>
            <w:tcBorders>
              <w:bottom w:val="single" w:sz="8" w:color="0000FF"/>
            </w:tcBorders>
          </w:tcPr>
          <w:p>
            <w:pPr>
              <w:spacing w:after="0"/>
              <w:rPr>
                <w:sz w:val="9"/>
                <w:szCs w:val="9"/>
                <w:color w:val="auto"/>
              </w:rPr>
            </w:pPr>
          </w:p>
        </w:tc>
        <w:tc>
          <w:tcPr>
            <w:tcW w:w="20" w:type="dxa"/>
            <w:vAlign w:val="bottom"/>
            <w:tcBorders>
              <w:bottom w:val="single" w:sz="8" w:color="0000FF"/>
            </w:tcBorders>
            <w:gridSpan w:val="3"/>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126"/>
        </w:trPr>
        <w:tc>
          <w:tcPr>
            <w:tcW w:w="1020" w:type="dxa"/>
            <w:vAlign w:val="bottom"/>
          </w:tcPr>
          <w:p>
            <w:pPr>
              <w:spacing w:after="0"/>
              <w:rPr>
                <w:sz w:val="10"/>
                <w:szCs w:val="10"/>
                <w:color w:val="auto"/>
              </w:rPr>
            </w:pPr>
          </w:p>
        </w:tc>
        <w:tc>
          <w:tcPr>
            <w:tcW w:w="5820" w:type="dxa"/>
            <w:vAlign w:val="bottom"/>
            <w:gridSpan w:val="38"/>
          </w:tcPr>
          <w:p>
            <w:pPr>
              <w:spacing w:after="0" w:line="126"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Midco LLC (f/k/a DiscoverOrg Midco, LLC), a Delaware limited liability company (“Holdings”), the</w:t>
              </w:r>
            </w:hyperlink>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26"/>
        </w:trPr>
        <w:tc>
          <w:tcPr>
            <w:tcW w:w="1020" w:type="dxa"/>
            <w:vAlign w:val="bottom"/>
          </w:tcPr>
          <w:p>
            <w:pPr>
              <w:spacing w:after="0"/>
              <w:rPr>
                <w:sz w:val="10"/>
                <w:szCs w:val="10"/>
                <w:color w:val="auto"/>
              </w:rPr>
            </w:pPr>
          </w:p>
        </w:tc>
        <w:tc>
          <w:tcPr>
            <w:tcW w:w="5780" w:type="dxa"/>
            <w:vAlign w:val="bottom"/>
            <w:tcBorders>
              <w:top w:val="single" w:sz="8" w:color="0000FF"/>
            </w:tcBorders>
            <w:gridSpan w:val="36"/>
          </w:tcPr>
          <w:p>
            <w:pPr>
              <w:spacing w:after="0" w:line="126" w:lineRule="exact"/>
              <w:rPr>
                <w:rFonts w:ascii="Times New Roman" w:cs="Times New Roman" w:eastAsia="Times New Roman" w:hAnsi="Times New Roman"/>
                <w:sz w:val="14"/>
                <w:szCs w:val="14"/>
                <w:color w:val="0000FF"/>
              </w:rPr>
            </w:pPr>
            <w:hyperlink r:id="rId188">
              <w:r>
                <w:rPr>
                  <w:rFonts w:ascii="Times New Roman" w:cs="Times New Roman" w:eastAsia="Times New Roman" w:hAnsi="Times New Roman"/>
                  <w:sz w:val="14"/>
                  <w:szCs w:val="14"/>
                  <w:color w:val="0000FF"/>
                </w:rPr>
                <w:t>other guarantors party thereto, each lender and L/C issuer party thereto, and Morgan Stanley Senior</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13"/>
        </w:trPr>
        <w:tc>
          <w:tcPr>
            <w:tcW w:w="1020" w:type="dxa"/>
            <w:vAlign w:val="bottom"/>
          </w:tcPr>
          <w:p>
            <w:pPr>
              <w:spacing w:after="0"/>
              <w:rPr>
                <w:sz w:val="9"/>
                <w:szCs w:val="9"/>
                <w:color w:val="auto"/>
              </w:rPr>
            </w:pPr>
          </w:p>
        </w:tc>
        <w:tc>
          <w:tcPr>
            <w:tcW w:w="5660" w:type="dxa"/>
            <w:vAlign w:val="bottom"/>
            <w:tcBorders>
              <w:top w:val="single" w:sz="8" w:color="0000FF"/>
            </w:tcBorders>
            <w:gridSpan w:val="28"/>
          </w:tcPr>
          <w:p>
            <w:pPr>
              <w:spacing w:after="0" w:line="113" w:lineRule="exact"/>
              <w:rPr>
                <w:rFonts w:ascii="Times New Roman" w:cs="Times New Roman" w:eastAsia="Times New Roman" w:hAnsi="Times New Roman"/>
                <w:sz w:val="13"/>
                <w:szCs w:val="13"/>
                <w:color w:val="0000FF"/>
              </w:rPr>
            </w:pPr>
            <w:hyperlink r:id="rId188">
              <w:r>
                <w:rPr>
                  <w:rFonts w:ascii="Times New Roman" w:cs="Times New Roman" w:eastAsia="Times New Roman" w:hAnsi="Times New Roman"/>
                  <w:sz w:val="13"/>
                  <w:szCs w:val="13"/>
                  <w:color w:val="0000FF"/>
                </w:rPr>
                <w:t>Funding, Inc., as administrative agent, collateral agent and L/C issuer</w:t>
              </w:r>
            </w:hyperlink>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gridSpan w:val="3"/>
          </w:tcPr>
          <w:p>
            <w:pPr>
              <w:spacing w:after="0"/>
              <w:rPr>
                <w:sz w:val="9"/>
                <w:szCs w:val="9"/>
                <w:color w:val="auto"/>
              </w:rPr>
            </w:pPr>
          </w:p>
        </w:tc>
        <w:tc>
          <w:tcPr>
            <w:tcW w:w="80" w:type="dxa"/>
            <w:vAlign w:val="bottom"/>
            <w:gridSpan w:val="4"/>
          </w:tcPr>
          <w:p>
            <w:pPr>
              <w:spacing w:after="0"/>
              <w:rPr>
                <w:sz w:val="9"/>
                <w:szCs w:val="9"/>
                <w:color w:val="auto"/>
              </w:rPr>
            </w:pPr>
          </w:p>
        </w:tc>
        <w:tc>
          <w:tcPr>
            <w:tcW w:w="20" w:type="dxa"/>
            <w:vAlign w:val="bottom"/>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33"/>
        </w:trPr>
        <w:tc>
          <w:tcPr>
            <w:tcW w:w="10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8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46"/>
        </w:trPr>
        <w:tc>
          <w:tcPr>
            <w:tcW w:w="1020" w:type="dxa"/>
            <w:vAlign w:val="bottom"/>
            <w:tcBorders>
              <w:bottom w:val="single" w:sz="8" w:color="CCEEFF"/>
              <w:right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10.21</w:t>
            </w:r>
          </w:p>
        </w:tc>
        <w:tc>
          <w:tcPr>
            <w:tcW w:w="5200" w:type="dxa"/>
            <w:vAlign w:val="bottom"/>
            <w:tcBorders>
              <w:bottom w:val="single" w:sz="8" w:color="0000FF"/>
            </w:tcBorders>
            <w:gridSpan w:val="14"/>
            <w:shd w:val="clear" w:color="auto" w:fill="CCEEFF"/>
          </w:tcPr>
          <w:p>
            <w:pPr>
              <w:spacing w:after="0" w:line="146"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Amendment No. 7 to First Lien Credit Agreement, dated as of June 10, 2024, by and among</w:t>
              </w:r>
            </w:hyperlink>
          </w:p>
        </w:tc>
        <w:tc>
          <w:tcPr>
            <w:tcW w:w="620" w:type="dxa"/>
            <w:vAlign w:val="bottom"/>
            <w:tcBorders>
              <w:bottom w:val="single" w:sz="8" w:color="CCEEFF"/>
            </w:tcBorders>
            <w:gridSpan w:val="24"/>
            <w:shd w:val="clear" w:color="auto" w:fill="CCEEFF"/>
          </w:tcPr>
          <w:p>
            <w:pPr>
              <w:spacing w:after="0"/>
              <w:rPr>
                <w:sz w:val="12"/>
                <w:szCs w:val="12"/>
                <w:color w:val="auto"/>
              </w:rPr>
            </w:pPr>
          </w:p>
        </w:tc>
        <w:tc>
          <w:tcPr>
            <w:tcW w:w="1820" w:type="dxa"/>
            <w:vAlign w:val="bottom"/>
            <w:tcBorders>
              <w:bottom w:val="single" w:sz="8" w:color="CCEEFF"/>
            </w:tcBorders>
            <w:shd w:val="clear" w:color="auto" w:fill="CCEEFF"/>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8-K filed June 12, 2024</w:t>
            </w:r>
          </w:p>
        </w:tc>
        <w:tc>
          <w:tcPr>
            <w:tcW w:w="1380" w:type="dxa"/>
            <w:vAlign w:val="bottom"/>
            <w:tcBorders>
              <w:bottom w:val="single" w:sz="8" w:color="CCEEFF"/>
            </w:tcBorders>
            <w:shd w:val="clear" w:color="auto" w:fill="CCEEFF"/>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w:t>
            </w:r>
          </w:p>
        </w:tc>
      </w:tr>
      <w:tr>
        <w:trPr>
          <w:trHeight w:val="126"/>
        </w:trPr>
        <w:tc>
          <w:tcPr>
            <w:tcW w:w="1020" w:type="dxa"/>
            <w:vAlign w:val="bottom"/>
            <w:tcBorders>
              <w:right w:val="single" w:sz="8" w:color="CCEEFF"/>
            </w:tcBorders>
            <w:shd w:val="clear" w:color="auto" w:fill="CCEEFF"/>
          </w:tcPr>
          <w:p>
            <w:pPr>
              <w:spacing w:after="0"/>
              <w:rPr>
                <w:sz w:val="10"/>
                <w:szCs w:val="10"/>
                <w:color w:val="auto"/>
              </w:rPr>
            </w:pPr>
          </w:p>
        </w:tc>
        <w:tc>
          <w:tcPr>
            <w:tcW w:w="5820" w:type="dxa"/>
            <w:vAlign w:val="bottom"/>
            <w:gridSpan w:val="38"/>
            <w:shd w:val="clear" w:color="auto" w:fill="CCEEFF"/>
          </w:tcPr>
          <w:p>
            <w:pPr>
              <w:spacing w:after="0" w:line="126"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ZoomInfo LLC (f/k/a DiscoverOrg, LLC), a Delaware limited liability company (the “Borrower”),</w:t>
              </w:r>
            </w:hyperlink>
          </w:p>
        </w:tc>
        <w:tc>
          <w:tcPr>
            <w:tcW w:w="18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13"/>
        </w:trPr>
        <w:tc>
          <w:tcPr>
            <w:tcW w:w="1020" w:type="dxa"/>
            <w:vAlign w:val="bottom"/>
            <w:tcBorders>
              <w:top w:val="single" w:sz="8" w:color="CCEEFF"/>
              <w:bottom w:val="single" w:sz="8" w:color="CCEEFF"/>
              <w:right w:val="single" w:sz="8" w:color="CCEEFF"/>
            </w:tcBorders>
            <w:shd w:val="clear" w:color="auto" w:fill="CCEEFF"/>
          </w:tcPr>
          <w:p>
            <w:pPr>
              <w:spacing w:after="0"/>
              <w:rPr>
                <w:sz w:val="9"/>
                <w:szCs w:val="9"/>
                <w:color w:val="auto"/>
              </w:rPr>
            </w:pPr>
          </w:p>
        </w:tc>
        <w:tc>
          <w:tcPr>
            <w:tcW w:w="5580" w:type="dxa"/>
            <w:vAlign w:val="bottom"/>
            <w:tcBorders>
              <w:top w:val="single" w:sz="8" w:color="0000FF"/>
              <w:bottom w:val="single" w:sz="8" w:color="0000FF"/>
            </w:tcBorders>
            <w:gridSpan w:val="24"/>
            <w:shd w:val="clear" w:color="auto" w:fill="CCEEFF"/>
          </w:tcPr>
          <w:p>
            <w:pPr>
              <w:spacing w:after="0" w:line="113" w:lineRule="exact"/>
              <w:rPr>
                <w:rFonts w:ascii="Times New Roman" w:cs="Times New Roman" w:eastAsia="Times New Roman" w:hAnsi="Times New Roman"/>
                <w:sz w:val="13"/>
                <w:szCs w:val="13"/>
                <w:color w:val="0000FF"/>
              </w:rPr>
            </w:pPr>
            <w:hyperlink r:id="rId189">
              <w:r>
                <w:rPr>
                  <w:rFonts w:ascii="Times New Roman" w:cs="Times New Roman" w:eastAsia="Times New Roman" w:hAnsi="Times New Roman"/>
                  <w:sz w:val="13"/>
                  <w:szCs w:val="13"/>
                  <w:color w:val="0000FF"/>
                </w:rPr>
                <w:t>ZoomInfo Technologies LLC, a Delaware limited liability company (the “Co-Borrower”), ZoomInfo</w:t>
              </w:r>
            </w:hyperlink>
          </w:p>
        </w:tc>
        <w:tc>
          <w:tcPr>
            <w:tcW w:w="100" w:type="dxa"/>
            <w:vAlign w:val="bottom"/>
            <w:tcBorders>
              <w:top w:val="single" w:sz="8" w:color="CCEEFF"/>
              <w:bottom w:val="single" w:sz="8" w:color="0000FF"/>
            </w:tcBorders>
            <w:gridSpan w:val="5"/>
            <w:shd w:val="clear" w:color="auto" w:fill="CCEEFF"/>
          </w:tcPr>
          <w:p>
            <w:pPr>
              <w:spacing w:after="0"/>
              <w:rPr>
                <w:sz w:val="9"/>
                <w:szCs w:val="9"/>
                <w:color w:val="auto"/>
              </w:rPr>
            </w:pPr>
          </w:p>
        </w:tc>
        <w:tc>
          <w:tcPr>
            <w:tcW w:w="20" w:type="dxa"/>
            <w:vAlign w:val="bottom"/>
            <w:tcBorders>
              <w:top w:val="single" w:sz="8" w:color="CCEEFF"/>
              <w:bottom w:val="single" w:sz="8" w:color="0000FF"/>
            </w:tcBorders>
            <w:shd w:val="clear" w:color="auto" w:fill="CCEEFF"/>
          </w:tcPr>
          <w:p>
            <w:pPr>
              <w:spacing w:after="0"/>
              <w:rPr>
                <w:sz w:val="9"/>
                <w:szCs w:val="9"/>
                <w:color w:val="auto"/>
              </w:rPr>
            </w:pPr>
          </w:p>
        </w:tc>
        <w:tc>
          <w:tcPr>
            <w:tcW w:w="20" w:type="dxa"/>
            <w:vAlign w:val="bottom"/>
            <w:tcBorders>
              <w:top w:val="single" w:sz="8" w:color="CCEEFF"/>
              <w:bottom w:val="single" w:sz="8" w:color="0000FF"/>
            </w:tcBorders>
            <w:gridSpan w:val="3"/>
            <w:shd w:val="clear" w:color="auto" w:fill="CCEEFF"/>
          </w:tcPr>
          <w:p>
            <w:pPr>
              <w:spacing w:after="0"/>
              <w:rPr>
                <w:sz w:val="9"/>
                <w:szCs w:val="9"/>
                <w:color w:val="auto"/>
              </w:rPr>
            </w:pPr>
          </w:p>
        </w:tc>
        <w:tc>
          <w:tcPr>
            <w:tcW w:w="80" w:type="dxa"/>
            <w:vAlign w:val="bottom"/>
            <w:tcBorders>
              <w:top w:val="single" w:sz="8" w:color="CCEEFF"/>
              <w:bottom w:val="single" w:sz="8" w:color="CCEEFF"/>
            </w:tcBorders>
            <w:gridSpan w:val="4"/>
            <w:shd w:val="clear" w:color="auto" w:fill="CCEEFF"/>
          </w:tcPr>
          <w:p>
            <w:pPr>
              <w:spacing w:after="0"/>
              <w:rPr>
                <w:sz w:val="9"/>
                <w:szCs w:val="9"/>
                <w:color w:val="auto"/>
              </w:rPr>
            </w:pPr>
          </w:p>
        </w:tc>
        <w:tc>
          <w:tcPr>
            <w:tcW w:w="20" w:type="dxa"/>
            <w:vAlign w:val="bottom"/>
            <w:tcBorders>
              <w:top w:val="single" w:sz="8" w:color="CCEEFF"/>
              <w:bottom w:val="single" w:sz="8" w:color="CCEEFF"/>
            </w:tcBorders>
            <w:shd w:val="clear" w:color="auto" w:fill="CCEEFF"/>
          </w:tcPr>
          <w:p>
            <w:pPr>
              <w:spacing w:after="0"/>
              <w:rPr>
                <w:sz w:val="9"/>
                <w:szCs w:val="9"/>
                <w:color w:val="auto"/>
              </w:rPr>
            </w:pPr>
          </w:p>
        </w:tc>
        <w:tc>
          <w:tcPr>
            <w:tcW w:w="1820" w:type="dxa"/>
            <w:vAlign w:val="bottom"/>
            <w:tcBorders>
              <w:top w:val="single" w:sz="8" w:color="CCEEFF"/>
              <w:bottom w:val="single" w:sz="8" w:color="CCEEFF"/>
            </w:tcBorders>
            <w:shd w:val="clear" w:color="auto" w:fill="CCEEFF"/>
          </w:tcPr>
          <w:p>
            <w:pPr>
              <w:spacing w:after="0"/>
              <w:rPr>
                <w:sz w:val="9"/>
                <w:szCs w:val="9"/>
                <w:color w:val="auto"/>
              </w:rPr>
            </w:pPr>
          </w:p>
        </w:tc>
        <w:tc>
          <w:tcPr>
            <w:tcW w:w="1380" w:type="dxa"/>
            <w:vAlign w:val="bottom"/>
            <w:tcBorders>
              <w:top w:val="single" w:sz="8" w:color="CCEEFF"/>
              <w:bottom w:val="single" w:sz="8" w:color="CCEEFF"/>
            </w:tcBorders>
            <w:shd w:val="clear" w:color="auto" w:fill="CCEEFF"/>
          </w:tcPr>
          <w:p>
            <w:pPr>
              <w:spacing w:after="0"/>
              <w:rPr>
                <w:sz w:val="9"/>
                <w:szCs w:val="9"/>
                <w:color w:val="auto"/>
              </w:rPr>
            </w:pPr>
          </w:p>
        </w:tc>
        <w:tc>
          <w:tcPr>
            <w:tcW w:w="1200" w:type="dxa"/>
            <w:vAlign w:val="bottom"/>
            <w:tcBorders>
              <w:top w:val="single" w:sz="8" w:color="CCEEFF"/>
              <w:bottom w:val="single" w:sz="8" w:color="CCEEFF"/>
            </w:tcBorders>
            <w:shd w:val="clear" w:color="auto" w:fill="CCEEFF"/>
          </w:tcPr>
          <w:p>
            <w:pPr>
              <w:spacing w:after="0"/>
              <w:rPr>
                <w:sz w:val="9"/>
                <w:szCs w:val="9"/>
                <w:color w:val="auto"/>
              </w:rPr>
            </w:pPr>
          </w:p>
        </w:tc>
      </w:tr>
      <w:tr>
        <w:trPr>
          <w:trHeight w:val="126"/>
        </w:trPr>
        <w:tc>
          <w:tcPr>
            <w:tcW w:w="1020" w:type="dxa"/>
            <w:vAlign w:val="bottom"/>
            <w:tcBorders>
              <w:right w:val="single" w:sz="8" w:color="CCEEFF"/>
            </w:tcBorders>
            <w:shd w:val="clear" w:color="auto" w:fill="CCEEFF"/>
          </w:tcPr>
          <w:p>
            <w:pPr>
              <w:spacing w:after="0"/>
              <w:rPr>
                <w:sz w:val="10"/>
                <w:szCs w:val="10"/>
                <w:color w:val="auto"/>
              </w:rPr>
            </w:pPr>
          </w:p>
        </w:tc>
        <w:tc>
          <w:tcPr>
            <w:tcW w:w="5820" w:type="dxa"/>
            <w:vAlign w:val="bottom"/>
            <w:gridSpan w:val="38"/>
            <w:shd w:val="clear" w:color="auto" w:fill="CCEEFF"/>
          </w:tcPr>
          <w:p>
            <w:pPr>
              <w:spacing w:after="0" w:line="126"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Midco LLC (f/k/a DiscoverOrg Midco, LLC), a Delaware limited liability company (“Holdings”), the</w:t>
              </w:r>
            </w:hyperlink>
          </w:p>
        </w:tc>
        <w:tc>
          <w:tcPr>
            <w:tcW w:w="182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r>
      <w:tr>
        <w:trPr>
          <w:trHeight w:val="126"/>
        </w:trPr>
        <w:tc>
          <w:tcPr>
            <w:tcW w:w="1020" w:type="dxa"/>
            <w:vAlign w:val="bottom"/>
            <w:tcBorders>
              <w:top w:val="single" w:sz="8" w:color="CCEEFF"/>
              <w:right w:val="single" w:sz="8" w:color="CCEEFF"/>
            </w:tcBorders>
            <w:shd w:val="clear" w:color="auto" w:fill="CCEEFF"/>
          </w:tcPr>
          <w:p>
            <w:pPr>
              <w:spacing w:after="0"/>
              <w:rPr>
                <w:sz w:val="10"/>
                <w:szCs w:val="10"/>
                <w:color w:val="auto"/>
              </w:rPr>
            </w:pPr>
          </w:p>
        </w:tc>
        <w:tc>
          <w:tcPr>
            <w:tcW w:w="5780" w:type="dxa"/>
            <w:vAlign w:val="bottom"/>
            <w:tcBorders>
              <w:top w:val="single" w:sz="8" w:color="0000FF"/>
            </w:tcBorders>
            <w:gridSpan w:val="36"/>
            <w:shd w:val="clear" w:color="auto" w:fill="CCEEFF"/>
          </w:tcPr>
          <w:p>
            <w:pPr>
              <w:spacing w:after="0" w:line="126" w:lineRule="exact"/>
              <w:rPr>
                <w:rFonts w:ascii="Times New Roman" w:cs="Times New Roman" w:eastAsia="Times New Roman" w:hAnsi="Times New Roman"/>
                <w:sz w:val="14"/>
                <w:szCs w:val="14"/>
                <w:color w:val="0000FF"/>
              </w:rPr>
            </w:pPr>
            <w:hyperlink r:id="rId189">
              <w:r>
                <w:rPr>
                  <w:rFonts w:ascii="Times New Roman" w:cs="Times New Roman" w:eastAsia="Times New Roman" w:hAnsi="Times New Roman"/>
                  <w:sz w:val="14"/>
                  <w:szCs w:val="14"/>
                  <w:color w:val="0000FF"/>
                </w:rPr>
                <w:t>other guarantors party thereto, each lender and L/C issuer party thereto, and Morgan Stanley Senior</w:t>
              </w:r>
            </w:hyperlink>
          </w:p>
        </w:tc>
        <w:tc>
          <w:tcPr>
            <w:tcW w:w="2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r>
      <w:tr>
        <w:trPr>
          <w:trHeight w:val="113"/>
        </w:trPr>
        <w:tc>
          <w:tcPr>
            <w:tcW w:w="1020" w:type="dxa"/>
            <w:vAlign w:val="bottom"/>
            <w:tcBorders>
              <w:top w:val="single" w:sz="8" w:color="CCEEFF"/>
              <w:right w:val="single" w:sz="8" w:color="CCEEFF"/>
            </w:tcBorders>
            <w:shd w:val="clear" w:color="auto" w:fill="CCEEFF"/>
          </w:tcPr>
          <w:p>
            <w:pPr>
              <w:spacing w:after="0"/>
              <w:rPr>
                <w:sz w:val="9"/>
                <w:szCs w:val="9"/>
                <w:color w:val="auto"/>
              </w:rPr>
            </w:pPr>
          </w:p>
        </w:tc>
        <w:tc>
          <w:tcPr>
            <w:tcW w:w="5660" w:type="dxa"/>
            <w:vAlign w:val="bottom"/>
            <w:tcBorders>
              <w:top w:val="single" w:sz="8" w:color="0000FF"/>
            </w:tcBorders>
            <w:gridSpan w:val="28"/>
            <w:shd w:val="clear" w:color="auto" w:fill="CCEEFF"/>
          </w:tcPr>
          <w:p>
            <w:pPr>
              <w:spacing w:after="0" w:line="113" w:lineRule="exact"/>
              <w:rPr>
                <w:rFonts w:ascii="Times New Roman" w:cs="Times New Roman" w:eastAsia="Times New Roman" w:hAnsi="Times New Roman"/>
                <w:sz w:val="13"/>
                <w:szCs w:val="13"/>
                <w:color w:val="0000FF"/>
              </w:rPr>
            </w:pPr>
            <w:hyperlink r:id="rId189">
              <w:r>
                <w:rPr>
                  <w:rFonts w:ascii="Times New Roman" w:cs="Times New Roman" w:eastAsia="Times New Roman" w:hAnsi="Times New Roman"/>
                  <w:sz w:val="13"/>
                  <w:szCs w:val="13"/>
                  <w:color w:val="0000FF"/>
                </w:rPr>
                <w:t>Funding, Inc., as administrative agent, collateral agent and L/C issuer</w:t>
              </w:r>
            </w:hyperlink>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gridSpan w:val="3"/>
            <w:shd w:val="clear" w:color="auto" w:fill="CCEEFF"/>
          </w:tcPr>
          <w:p>
            <w:pPr>
              <w:spacing w:after="0"/>
              <w:rPr>
                <w:sz w:val="9"/>
                <w:szCs w:val="9"/>
                <w:color w:val="auto"/>
              </w:rPr>
            </w:pPr>
          </w:p>
        </w:tc>
        <w:tc>
          <w:tcPr>
            <w:tcW w:w="80" w:type="dxa"/>
            <w:vAlign w:val="bottom"/>
            <w:tcBorders>
              <w:top w:val="single" w:sz="8" w:color="CCEEFF"/>
            </w:tcBorders>
            <w:gridSpan w:val="4"/>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820" w:type="dxa"/>
            <w:vAlign w:val="bottom"/>
            <w:tcBorders>
              <w:top w:val="single" w:sz="8" w:color="CCEEFF"/>
            </w:tcBorders>
            <w:shd w:val="clear" w:color="auto" w:fill="CCEEFF"/>
          </w:tcPr>
          <w:p>
            <w:pPr>
              <w:spacing w:after="0"/>
              <w:rPr>
                <w:sz w:val="9"/>
                <w:szCs w:val="9"/>
                <w:color w:val="auto"/>
              </w:rPr>
            </w:pPr>
          </w:p>
        </w:tc>
        <w:tc>
          <w:tcPr>
            <w:tcW w:w="13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CCEEFF"/>
            </w:tcBorders>
            <w:shd w:val="clear" w:color="auto" w:fill="CCEEFF"/>
          </w:tcPr>
          <w:p>
            <w:pPr>
              <w:spacing w:after="0"/>
              <w:rPr>
                <w:sz w:val="9"/>
                <w:szCs w:val="9"/>
                <w:color w:val="auto"/>
              </w:rPr>
            </w:pPr>
          </w:p>
        </w:tc>
      </w:tr>
      <w:tr>
        <w:trPr>
          <w:trHeight w:val="33"/>
        </w:trPr>
        <w:tc>
          <w:tcPr>
            <w:tcW w:w="1020" w:type="dxa"/>
            <w:vAlign w:val="bottom"/>
            <w:tcBorders>
              <w:top w:val="single" w:sz="8" w:color="CCEEFF"/>
              <w:right w:val="single" w:sz="8" w:color="CCEEFF"/>
            </w:tcBorders>
            <w:shd w:val="clear" w:color="auto" w:fill="CCEEFF"/>
          </w:tcPr>
          <w:p>
            <w:pPr>
              <w:spacing w:after="0"/>
              <w:rPr>
                <w:sz w:val="2"/>
                <w:szCs w:val="2"/>
                <w:color w:val="auto"/>
              </w:rPr>
            </w:pPr>
          </w:p>
        </w:tc>
        <w:tc>
          <w:tcPr>
            <w:tcW w:w="38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88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4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8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294967277"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82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r>
      <w:tr>
        <w:trPr>
          <w:trHeight w:val="146"/>
        </w:trPr>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10.22</w:t>
            </w:r>
          </w:p>
        </w:tc>
        <w:tc>
          <w:tcPr>
            <w:tcW w:w="5820" w:type="dxa"/>
            <w:vAlign w:val="bottom"/>
            <w:gridSpan w:val="38"/>
          </w:tcPr>
          <w:p>
            <w:pPr>
              <w:spacing w:after="0" w:line="146"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First Lien Security Agreement, dated as of February 1, 2019, among DiscoverOrg, LLC, DiscoverOrg</w:t>
              </w:r>
            </w:hyperlink>
          </w:p>
        </w:tc>
        <w:tc>
          <w:tcPr>
            <w:tcW w:w="1820" w:type="dxa"/>
            <w:vAlign w:val="bottom"/>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10.12</w:t>
            </w:r>
          </w:p>
        </w:tc>
      </w:tr>
      <w:tr>
        <w:trPr>
          <w:trHeight w:val="126"/>
        </w:trPr>
        <w:tc>
          <w:tcPr>
            <w:tcW w:w="1020" w:type="dxa"/>
            <w:vAlign w:val="bottom"/>
          </w:tcPr>
          <w:p>
            <w:pPr>
              <w:spacing w:after="0"/>
              <w:rPr>
                <w:sz w:val="10"/>
                <w:szCs w:val="10"/>
                <w:color w:val="auto"/>
              </w:rPr>
            </w:pPr>
          </w:p>
        </w:tc>
        <w:tc>
          <w:tcPr>
            <w:tcW w:w="5800" w:type="dxa"/>
            <w:vAlign w:val="bottom"/>
            <w:tcBorders>
              <w:top w:val="single" w:sz="8" w:color="0000FF"/>
            </w:tcBorders>
            <w:gridSpan w:val="37"/>
          </w:tcPr>
          <w:p>
            <w:pPr>
              <w:spacing w:after="0" w:line="126" w:lineRule="exact"/>
              <w:rPr>
                <w:rFonts w:ascii="Times New Roman" w:cs="Times New Roman" w:eastAsia="Times New Roman" w:hAnsi="Times New Roman"/>
                <w:sz w:val="14"/>
                <w:szCs w:val="14"/>
                <w:color w:val="0000FF"/>
              </w:rPr>
            </w:pPr>
            <w:hyperlink r:id="rId190">
              <w:r>
                <w:rPr>
                  <w:rFonts w:ascii="Times New Roman" w:cs="Times New Roman" w:eastAsia="Times New Roman" w:hAnsi="Times New Roman"/>
                  <w:sz w:val="14"/>
                  <w:szCs w:val="14"/>
                  <w:color w:val="0000FF"/>
                </w:rPr>
                <w:t>Midco, LLC, the grantors party thereto from time to time and Morgan Stanley Senior Funding, Inc.,</w:t>
              </w:r>
            </w:hyperlink>
          </w:p>
        </w:tc>
        <w:tc>
          <w:tcPr>
            <w:tcW w:w="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13"/>
        </w:trPr>
        <w:tc>
          <w:tcPr>
            <w:tcW w:w="1020" w:type="dxa"/>
            <w:vAlign w:val="bottom"/>
          </w:tcPr>
          <w:p>
            <w:pPr>
              <w:spacing w:after="0"/>
              <w:rPr>
                <w:sz w:val="9"/>
                <w:szCs w:val="9"/>
                <w:color w:val="auto"/>
              </w:rPr>
            </w:pPr>
          </w:p>
        </w:tc>
        <w:tc>
          <w:tcPr>
            <w:tcW w:w="5700" w:type="dxa"/>
            <w:vAlign w:val="bottom"/>
            <w:tcBorders>
              <w:top w:val="single" w:sz="8" w:color="0000FF"/>
            </w:tcBorders>
            <w:gridSpan w:val="30"/>
          </w:tcPr>
          <w:p>
            <w:pPr>
              <w:spacing w:after="0" w:line="113" w:lineRule="exact"/>
              <w:rPr>
                <w:rFonts w:ascii="Times New Roman" w:cs="Times New Roman" w:eastAsia="Times New Roman" w:hAnsi="Times New Roman"/>
                <w:sz w:val="13"/>
                <w:szCs w:val="13"/>
                <w:color w:val="0000FF"/>
              </w:rPr>
            </w:pPr>
            <w:hyperlink r:id="rId190">
              <w:r>
                <w:rPr>
                  <w:rFonts w:ascii="Times New Roman" w:cs="Times New Roman" w:eastAsia="Times New Roman" w:hAnsi="Times New Roman"/>
                  <w:sz w:val="13"/>
                  <w:szCs w:val="13"/>
                  <w:color w:val="0000FF"/>
                </w:rPr>
                <w:t>as collateral agent</w:t>
              </w:r>
            </w:hyperlink>
          </w:p>
        </w:tc>
        <w:tc>
          <w:tcPr>
            <w:tcW w:w="20" w:type="dxa"/>
            <w:vAlign w:val="bottom"/>
            <w:gridSpan w:val="3"/>
          </w:tcPr>
          <w:p>
            <w:pPr>
              <w:spacing w:after="0"/>
              <w:rPr>
                <w:sz w:val="9"/>
                <w:szCs w:val="9"/>
                <w:color w:val="auto"/>
              </w:rPr>
            </w:pPr>
          </w:p>
        </w:tc>
        <w:tc>
          <w:tcPr>
            <w:tcW w:w="100" w:type="dxa"/>
            <w:vAlign w:val="bottom"/>
            <w:gridSpan w:val="5"/>
          </w:tcPr>
          <w:p>
            <w:pPr>
              <w:spacing w:after="0"/>
              <w:rPr>
                <w:sz w:val="9"/>
                <w:szCs w:val="9"/>
                <w:color w:val="auto"/>
              </w:rPr>
            </w:pPr>
          </w:p>
        </w:tc>
        <w:tc>
          <w:tcPr>
            <w:tcW w:w="18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r>
      <w:tr>
        <w:trPr>
          <w:trHeight w:val="33"/>
        </w:trPr>
        <w:tc>
          <w:tcPr>
            <w:tcW w:w="1020" w:type="dxa"/>
            <w:vAlign w:val="bottom"/>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294967277"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46"/>
        </w:trPr>
        <w:tc>
          <w:tcPr>
            <w:tcW w:w="1020" w:type="dxa"/>
            <w:vAlign w:val="bottom"/>
            <w:tcBorders>
              <w:right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10.23</w:t>
            </w:r>
          </w:p>
        </w:tc>
        <w:tc>
          <w:tcPr>
            <w:tcW w:w="5820" w:type="dxa"/>
            <w:vAlign w:val="bottom"/>
            <w:gridSpan w:val="38"/>
            <w:shd w:val="clear" w:color="auto" w:fill="CCEEFF"/>
          </w:tcPr>
          <w:p>
            <w:pPr>
              <w:spacing w:after="0" w:line="146" w:lineRule="exact"/>
              <w:rPr>
                <w:rFonts w:ascii="Times New Roman" w:cs="Times New Roman" w:eastAsia="Times New Roman" w:hAnsi="Times New Roman"/>
                <w:sz w:val="14"/>
                <w:szCs w:val="14"/>
                <w:color w:val="0000FF"/>
              </w:rPr>
            </w:pPr>
            <w:hyperlink r:id="rId191">
              <w:r>
                <w:rPr>
                  <w:rFonts w:ascii="Times New Roman" w:cs="Times New Roman" w:eastAsia="Times New Roman" w:hAnsi="Times New Roman"/>
                  <w:sz w:val="14"/>
                  <w:szCs w:val="14"/>
                  <w:color w:val="0000FF"/>
                </w:rPr>
                <w:t>First Lien Holdings Guaranty, dated as of February 1, 2019, among DiscoverOrg Midco, LLC and</w:t>
              </w:r>
            </w:hyperlink>
          </w:p>
        </w:tc>
        <w:tc>
          <w:tcPr>
            <w:tcW w:w="1820" w:type="dxa"/>
            <w:vAlign w:val="bottom"/>
            <w:shd w:val="clear" w:color="auto" w:fill="CCEEFF"/>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shd w:val="clear" w:color="auto" w:fill="CCEEFF"/>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10.13</w:t>
            </w:r>
          </w:p>
        </w:tc>
      </w:tr>
      <w:tr>
        <w:trPr>
          <w:trHeight w:val="145"/>
        </w:trPr>
        <w:tc>
          <w:tcPr>
            <w:tcW w:w="10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3460" w:type="dxa"/>
            <w:vAlign w:val="bottom"/>
            <w:tcBorders>
              <w:top w:val="single" w:sz="8" w:color="0000FF"/>
              <w:bottom w:val="single" w:sz="8" w:color="0000FF"/>
            </w:tcBorders>
            <w:gridSpan w:val="6"/>
            <w:shd w:val="clear" w:color="auto" w:fill="CCEEFF"/>
          </w:tcPr>
          <w:p>
            <w:pPr>
              <w:spacing w:after="0" w:line="126" w:lineRule="exact"/>
              <w:rPr>
                <w:rFonts w:ascii="Times New Roman" w:cs="Times New Roman" w:eastAsia="Times New Roman" w:hAnsi="Times New Roman"/>
                <w:sz w:val="14"/>
                <w:szCs w:val="14"/>
                <w:color w:val="0000FF"/>
                <w:w w:val="99"/>
              </w:rPr>
            </w:pPr>
            <w:hyperlink r:id="rId191">
              <w:r>
                <w:rPr>
                  <w:rFonts w:ascii="Times New Roman" w:cs="Times New Roman" w:eastAsia="Times New Roman" w:hAnsi="Times New Roman"/>
                  <w:sz w:val="14"/>
                  <w:szCs w:val="14"/>
                  <w:color w:val="0000FF"/>
                  <w:w w:val="99"/>
                </w:rPr>
                <w:t>Morgan Stanley Senior Funding, Inc., as administrative agent</w:t>
              </w:r>
            </w:hyperlink>
          </w:p>
        </w:tc>
        <w:tc>
          <w:tcPr>
            <w:tcW w:w="2060" w:type="dxa"/>
            <w:vAlign w:val="bottom"/>
            <w:tcBorders>
              <w:top w:val="single" w:sz="8" w:color="0000FF"/>
              <w:bottom w:val="single" w:sz="8" w:color="CCEEFF"/>
            </w:tcBorders>
            <w:gridSpan w:val="15"/>
            <w:shd w:val="clear" w:color="auto" w:fill="CCEEFF"/>
          </w:tcPr>
          <w:p>
            <w:pPr>
              <w:spacing w:after="0"/>
              <w:rPr>
                <w:sz w:val="12"/>
                <w:szCs w:val="12"/>
                <w:color w:val="auto"/>
              </w:rPr>
            </w:pPr>
          </w:p>
        </w:tc>
        <w:tc>
          <w:tcPr>
            <w:tcW w:w="160" w:type="dxa"/>
            <w:vAlign w:val="bottom"/>
            <w:tcBorders>
              <w:top w:val="single" w:sz="8" w:color="CCEEFF"/>
              <w:bottom w:val="single" w:sz="8" w:color="CCEEFF"/>
            </w:tcBorders>
            <w:gridSpan w:val="8"/>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4"/>
            <w:shd w:val="clear" w:color="auto" w:fill="CCEEFF"/>
          </w:tcPr>
          <w:p>
            <w:pPr>
              <w:spacing w:after="0"/>
              <w:rPr>
                <w:sz w:val="12"/>
                <w:szCs w:val="12"/>
                <w:color w:val="auto"/>
              </w:rPr>
            </w:pPr>
          </w:p>
        </w:tc>
        <w:tc>
          <w:tcPr>
            <w:tcW w:w="100" w:type="dxa"/>
            <w:vAlign w:val="bottom"/>
            <w:tcBorders>
              <w:top w:val="single" w:sz="8" w:color="CCEEFF"/>
              <w:bottom w:val="single" w:sz="8" w:color="CCEEFF"/>
            </w:tcBorders>
            <w:gridSpan w:val="5"/>
            <w:shd w:val="clear" w:color="auto" w:fill="CCEEFF"/>
          </w:tcPr>
          <w:p>
            <w:pPr>
              <w:spacing w:after="0"/>
              <w:rPr>
                <w:sz w:val="12"/>
                <w:szCs w:val="12"/>
                <w:color w:val="auto"/>
              </w:rPr>
            </w:pPr>
          </w:p>
        </w:tc>
        <w:tc>
          <w:tcPr>
            <w:tcW w:w="1820" w:type="dxa"/>
            <w:vAlign w:val="bottom"/>
            <w:tcBorders>
              <w:top w:val="single" w:sz="8" w:color="CCEEFF"/>
              <w:bottom w:val="single" w:sz="8" w:color="CCEEFF"/>
            </w:tcBorders>
            <w:shd w:val="clear" w:color="auto" w:fill="CCEEFF"/>
          </w:tcPr>
          <w:p>
            <w:pPr>
              <w:spacing w:after="0"/>
              <w:rPr>
                <w:sz w:val="12"/>
                <w:szCs w:val="12"/>
                <w:color w:val="auto"/>
              </w:rPr>
            </w:pPr>
          </w:p>
        </w:tc>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6"/>
        </w:trPr>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10.24</w:t>
            </w:r>
          </w:p>
        </w:tc>
        <w:tc>
          <w:tcPr>
            <w:tcW w:w="5820" w:type="dxa"/>
            <w:vAlign w:val="bottom"/>
            <w:gridSpan w:val="38"/>
          </w:tcPr>
          <w:p>
            <w:pPr>
              <w:spacing w:after="0" w:line="146" w:lineRule="exact"/>
              <w:rPr>
                <w:rFonts w:ascii="Times New Roman" w:cs="Times New Roman" w:eastAsia="Times New Roman" w:hAnsi="Times New Roman"/>
                <w:sz w:val="14"/>
                <w:szCs w:val="14"/>
                <w:color w:val="0000FF"/>
              </w:rPr>
            </w:pPr>
            <w:hyperlink r:id="rId192">
              <w:r>
                <w:rPr>
                  <w:rFonts w:ascii="Times New Roman" w:cs="Times New Roman" w:eastAsia="Times New Roman" w:hAnsi="Times New Roman"/>
                  <w:sz w:val="14"/>
                  <w:szCs w:val="14"/>
                  <w:color w:val="0000FF"/>
                </w:rPr>
                <w:t>First Lien Subsidiary Guaranty, dated as of February 1, 2019, among the guarantors party thereto and</w:t>
              </w:r>
            </w:hyperlink>
          </w:p>
        </w:tc>
        <w:tc>
          <w:tcPr>
            <w:tcW w:w="1820" w:type="dxa"/>
            <w:vAlign w:val="bottom"/>
          </w:tcPr>
          <w:p>
            <w:pPr>
              <w:jc w:val="center"/>
              <w:ind w:right="169"/>
              <w:spacing w:after="0" w:line="14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10.14</w:t>
            </w:r>
          </w:p>
        </w:tc>
      </w:tr>
      <w:tr>
        <w:trPr>
          <w:trHeight w:val="126"/>
        </w:trPr>
        <w:tc>
          <w:tcPr>
            <w:tcW w:w="1020" w:type="dxa"/>
            <w:vAlign w:val="bottom"/>
          </w:tcPr>
          <w:p>
            <w:pPr>
              <w:spacing w:after="0"/>
              <w:rPr>
                <w:sz w:val="10"/>
                <w:szCs w:val="10"/>
                <w:color w:val="auto"/>
              </w:rPr>
            </w:pPr>
          </w:p>
        </w:tc>
        <w:tc>
          <w:tcPr>
            <w:tcW w:w="3460" w:type="dxa"/>
            <w:vAlign w:val="bottom"/>
            <w:tcBorders>
              <w:top w:val="single" w:sz="8" w:color="0000FF"/>
              <w:bottom w:val="single" w:sz="8" w:color="0000FF"/>
            </w:tcBorders>
            <w:gridSpan w:val="6"/>
          </w:tcPr>
          <w:p>
            <w:pPr>
              <w:spacing w:after="0" w:line="126" w:lineRule="exact"/>
              <w:rPr>
                <w:rFonts w:ascii="Times New Roman" w:cs="Times New Roman" w:eastAsia="Times New Roman" w:hAnsi="Times New Roman"/>
                <w:sz w:val="14"/>
                <w:szCs w:val="14"/>
                <w:color w:val="0000FF"/>
                <w:w w:val="99"/>
              </w:rPr>
            </w:pPr>
            <w:hyperlink r:id="rId192">
              <w:r>
                <w:rPr>
                  <w:rFonts w:ascii="Times New Roman" w:cs="Times New Roman" w:eastAsia="Times New Roman" w:hAnsi="Times New Roman"/>
                  <w:sz w:val="14"/>
                  <w:szCs w:val="14"/>
                  <w:color w:val="0000FF"/>
                  <w:w w:val="99"/>
                </w:rPr>
                <w:t>Morgan Stanley Senior Funding, Inc., as administrative agent</w:t>
              </w:r>
            </w:hyperlink>
          </w:p>
        </w:tc>
        <w:tc>
          <w:tcPr>
            <w:tcW w:w="2260" w:type="dxa"/>
            <w:vAlign w:val="bottom"/>
            <w:tcBorders>
              <w:top w:val="single" w:sz="8" w:color="0000FF"/>
            </w:tcBorders>
            <w:gridSpan w:val="27"/>
          </w:tcPr>
          <w:p>
            <w:pPr>
              <w:spacing w:after="0"/>
              <w:rPr>
                <w:sz w:val="10"/>
                <w:szCs w:val="10"/>
                <w:color w:val="auto"/>
              </w:rPr>
            </w:pPr>
          </w:p>
        </w:tc>
        <w:tc>
          <w:tcPr>
            <w:tcW w:w="100" w:type="dxa"/>
            <w:vAlign w:val="bottom"/>
            <w:gridSpan w:val="5"/>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66"/>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10.25</w:t>
            </w:r>
          </w:p>
        </w:tc>
        <w:tc>
          <w:tcPr>
            <w:tcW w:w="5000" w:type="dxa"/>
            <w:vAlign w:val="bottom"/>
            <w:tcBorders>
              <w:bottom w:val="single" w:sz="8" w:color="0000FF"/>
            </w:tcBorders>
            <w:gridSpan w:val="10"/>
          </w:tcPr>
          <w:p>
            <w:pPr>
              <w:spacing w:after="0"/>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First Lien Intercompany Subordination Agreement, dated as of February 1, 2019, among</w:t>
              </w:r>
            </w:hyperlink>
          </w:p>
        </w:tc>
        <w:tc>
          <w:tcPr>
            <w:tcW w:w="820" w:type="dxa"/>
            <w:vAlign w:val="bottom"/>
            <w:gridSpan w:val="28"/>
          </w:tcPr>
          <w:p>
            <w:pPr>
              <w:spacing w:after="0"/>
              <w:rPr>
                <w:sz w:val="14"/>
                <w:szCs w:val="14"/>
                <w:color w:val="auto"/>
              </w:rPr>
            </w:pPr>
          </w:p>
        </w:tc>
        <w:tc>
          <w:tcPr>
            <w:tcW w:w="1820" w:type="dxa"/>
            <w:vAlign w:val="bottom"/>
          </w:tcPr>
          <w:p>
            <w:pPr>
              <w:jc w:val="center"/>
              <w:ind w:right="169"/>
              <w:spacing w:after="0"/>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w:t>
            </w:r>
          </w:p>
        </w:tc>
      </w:tr>
      <w:tr>
        <w:trPr>
          <w:trHeight w:val="126"/>
        </w:trPr>
        <w:tc>
          <w:tcPr>
            <w:tcW w:w="1020" w:type="dxa"/>
            <w:vAlign w:val="bottom"/>
          </w:tcPr>
          <w:p>
            <w:pPr>
              <w:spacing w:after="0"/>
              <w:rPr>
                <w:sz w:val="10"/>
                <w:szCs w:val="10"/>
                <w:color w:val="auto"/>
              </w:rPr>
            </w:pPr>
          </w:p>
        </w:tc>
        <w:tc>
          <w:tcPr>
            <w:tcW w:w="5820" w:type="dxa"/>
            <w:vAlign w:val="bottom"/>
            <w:gridSpan w:val="38"/>
          </w:tcPr>
          <w:p>
            <w:pPr>
              <w:spacing w:after="0" w:line="126" w:lineRule="exact"/>
              <w:rPr>
                <w:rFonts w:ascii="Times New Roman" w:cs="Times New Roman" w:eastAsia="Times New Roman" w:hAnsi="Times New Roman"/>
                <w:sz w:val="14"/>
                <w:szCs w:val="14"/>
                <w:color w:val="0000FF"/>
              </w:rPr>
            </w:pPr>
            <w:hyperlink r:id="rId193">
              <w:r>
                <w:rPr>
                  <w:rFonts w:ascii="Times New Roman" w:cs="Times New Roman" w:eastAsia="Times New Roman" w:hAnsi="Times New Roman"/>
                  <w:sz w:val="14"/>
                  <w:szCs w:val="14"/>
                  <w:color w:val="0000FF"/>
                </w:rPr>
                <w:t>DiscoverOrg, LLC, DiscoverOrg Midco, LLC, the subordinated creditors and obligors party thereto</w:t>
              </w:r>
            </w:hyperlink>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119"/>
        </w:trPr>
        <w:tc>
          <w:tcPr>
            <w:tcW w:w="1020" w:type="dxa"/>
            <w:vAlign w:val="bottom"/>
          </w:tcPr>
          <w:p>
            <w:pPr>
              <w:spacing w:after="0"/>
              <w:rPr>
                <w:sz w:val="10"/>
                <w:szCs w:val="10"/>
                <w:color w:val="auto"/>
              </w:rPr>
            </w:pPr>
          </w:p>
        </w:tc>
        <w:tc>
          <w:tcPr>
            <w:tcW w:w="5680" w:type="dxa"/>
            <w:vAlign w:val="bottom"/>
            <w:tcBorders>
              <w:top w:val="single" w:sz="8" w:color="0000FF"/>
            </w:tcBorders>
            <w:gridSpan w:val="29"/>
          </w:tcPr>
          <w:p>
            <w:pPr>
              <w:spacing w:after="0" w:line="119" w:lineRule="exact"/>
              <w:rPr>
                <w:rFonts w:ascii="Times New Roman" w:cs="Times New Roman" w:eastAsia="Times New Roman" w:hAnsi="Times New Roman"/>
                <w:sz w:val="13"/>
                <w:szCs w:val="13"/>
                <w:u w:val="single" w:color="auto"/>
                <w:color w:val="0000FF"/>
              </w:rPr>
            </w:pPr>
            <w:hyperlink r:id="rId193">
              <w:r>
                <w:rPr>
                  <w:rFonts w:ascii="Times New Roman" w:cs="Times New Roman" w:eastAsia="Times New Roman" w:hAnsi="Times New Roman"/>
                  <w:sz w:val="13"/>
                  <w:szCs w:val="13"/>
                  <w:u w:val="single" w:color="auto"/>
                  <w:color w:val="0000FF"/>
                </w:rPr>
                <w:t>from time to time and Morgan Stanley Senior Funding, Inc., as administrative agent and collateral</w:t>
              </w:r>
            </w:hyperlink>
          </w:p>
        </w:tc>
        <w:tc>
          <w:tcPr>
            <w:tcW w:w="140" w:type="dxa"/>
            <w:vAlign w:val="bottom"/>
            <w:gridSpan w:val="9"/>
          </w:tcPr>
          <w:p>
            <w:pPr>
              <w:spacing w:after="0"/>
              <w:rPr>
                <w:sz w:val="10"/>
                <w:szCs w:val="10"/>
                <w:color w:val="auto"/>
              </w:rPr>
            </w:pPr>
          </w:p>
        </w:tc>
        <w:tc>
          <w:tcPr>
            <w:tcW w:w="18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-273050</wp:posOffset>
            </wp:positionV>
            <wp:extent cx="7134860" cy="3956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7134860" cy="395605"/>
                    </a:xfrm>
                    <a:prstGeom prst="rect">
                      <a:avLst/>
                    </a:prstGeom>
                    <a:noFill/>
                  </pic:spPr>
                </pic:pic>
              </a:graphicData>
            </a:graphic>
          </wp:anchor>
        </w:drawing>
      </w:r>
    </w:p>
    <w:p>
      <w:pPr>
        <w:ind w:left="1000"/>
        <w:spacing w:after="0"/>
        <w:rPr>
          <w:rFonts w:ascii="Times New Roman" w:cs="Times New Roman" w:eastAsia="Times New Roman" w:hAnsi="Times New Roman"/>
          <w:sz w:val="14"/>
          <w:szCs w:val="14"/>
          <w:u w:val="single" w:color="auto"/>
          <w:color w:val="0000FF"/>
        </w:rPr>
      </w:pPr>
      <w:hyperlink r:id="rId193">
        <w:r>
          <w:rPr>
            <w:rFonts w:ascii="Times New Roman" w:cs="Times New Roman" w:eastAsia="Times New Roman" w:hAnsi="Times New Roman"/>
            <w:sz w:val="14"/>
            <w:szCs w:val="14"/>
            <w:u w:val="single" w:color="auto"/>
            <w:color w:val="0000FF"/>
          </w:rPr>
          <w:t>agent</w:t>
        </w:r>
      </w:hyperlink>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29" w:name="page130"/>
    <w:bookmarkEnd w:id="129"/>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4"/>
                <w:szCs w:val="14"/>
                <w:color w:val="0000FF"/>
                <w:w w:val="99"/>
              </w:rPr>
              <w:t>Table of Contents</w:t>
            </w:r>
          </w:p>
        </w:tc>
        <w:tc>
          <w:tcPr>
            <w:tcW w:w="5760" w:type="dxa"/>
            <w:vAlign w:val="bottom"/>
            <w:gridSpan w:val="18"/>
          </w:tcPr>
          <w:p>
            <w:pPr>
              <w:spacing w:after="0"/>
              <w:rPr>
                <w:sz w:val="13"/>
                <w:szCs w:val="13"/>
                <w:color w:val="auto"/>
              </w:rPr>
            </w:pPr>
          </w:p>
        </w:tc>
        <w:tc>
          <w:tcPr>
            <w:tcW w:w="1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497"/>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10.26†</w:t>
            </w:r>
          </w:p>
        </w:tc>
        <w:tc>
          <w:tcPr>
            <w:tcW w:w="5760" w:type="dxa"/>
            <w:vAlign w:val="bottom"/>
            <w:gridSpan w:val="18"/>
          </w:tcPr>
          <w:p>
            <w:pPr>
              <w:spacing w:after="0"/>
              <w:rPr>
                <w:rFonts w:ascii="Times New Roman" w:cs="Times New Roman" w:eastAsia="Times New Roman" w:hAnsi="Times New Roman"/>
                <w:sz w:val="14"/>
                <w:szCs w:val="14"/>
                <w:color w:val="0000FF"/>
              </w:rPr>
            </w:pPr>
            <w:hyperlink r:id="rId196">
              <w:r>
                <w:rPr>
                  <w:rFonts w:ascii="Times New Roman" w:cs="Times New Roman" w:eastAsia="Times New Roman" w:hAnsi="Times New Roman"/>
                  <w:sz w:val="14"/>
                  <w:szCs w:val="14"/>
                  <w:color w:val="0000FF"/>
                </w:rPr>
                <w:t>Employment Agreement, dated as of May 27, 2020, between ZoomInfo Technologies Inc., ZoomInfo</w:t>
              </w:r>
            </w:hyperlink>
          </w:p>
        </w:tc>
        <w:tc>
          <w:tcPr>
            <w:tcW w:w="1880" w:type="dxa"/>
            <w:vAlign w:val="bottom"/>
          </w:tcPr>
          <w:p>
            <w:pPr>
              <w:jc w:val="center"/>
              <w:ind w:right="110"/>
              <w:spacing w:after="0"/>
              <w:rPr>
                <w:sz w:val="20"/>
                <w:szCs w:val="20"/>
                <w:color w:val="auto"/>
              </w:rPr>
            </w:pPr>
            <w:r>
              <w:rPr>
                <w:rFonts w:ascii="Times New Roman" w:cs="Times New Roman" w:eastAsia="Times New Roman" w:hAnsi="Times New Roman"/>
                <w:sz w:val="14"/>
                <w:szCs w:val="14"/>
                <w:color w:val="auto"/>
              </w:rPr>
              <w:t>8-K filed June 8, 2020</w:t>
            </w:r>
          </w:p>
        </w:tc>
        <w:tc>
          <w:tcPr>
            <w:tcW w:w="1380" w:type="dxa"/>
            <w:vAlign w:val="bottom"/>
          </w:tcPr>
          <w:p>
            <w:pPr>
              <w:jc w:val="center"/>
              <w:ind w:right="109"/>
              <w:spacing w:after="0"/>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w:t>
            </w:r>
          </w:p>
        </w:tc>
      </w:tr>
      <w:tr>
        <w:trPr>
          <w:trHeight w:val="136"/>
        </w:trPr>
        <w:tc>
          <w:tcPr>
            <w:tcW w:w="1020" w:type="dxa"/>
            <w:vAlign w:val="bottom"/>
          </w:tcPr>
          <w:p>
            <w:pPr>
              <w:spacing w:after="0"/>
              <w:rPr>
                <w:sz w:val="11"/>
                <w:szCs w:val="11"/>
                <w:color w:val="auto"/>
              </w:rPr>
            </w:pPr>
          </w:p>
        </w:tc>
        <w:tc>
          <w:tcPr>
            <w:tcW w:w="1400" w:type="dxa"/>
            <w:vAlign w:val="bottom"/>
            <w:tcBorders>
              <w:top w:val="single" w:sz="8" w:color="0000FF"/>
              <w:bottom w:val="single" w:sz="8" w:color="0000FF"/>
            </w:tcBorders>
            <w:gridSpan w:val="5"/>
          </w:tcPr>
          <w:p>
            <w:pPr>
              <w:spacing w:after="0" w:line="126" w:lineRule="exact"/>
              <w:rPr>
                <w:rFonts w:ascii="Times New Roman" w:cs="Times New Roman" w:eastAsia="Times New Roman" w:hAnsi="Times New Roman"/>
                <w:sz w:val="14"/>
                <w:szCs w:val="14"/>
                <w:color w:val="0000FF"/>
                <w:w w:val="98"/>
              </w:rPr>
            </w:pPr>
            <w:hyperlink r:id="rId196">
              <w:r>
                <w:rPr>
                  <w:rFonts w:ascii="Times New Roman" w:cs="Times New Roman" w:eastAsia="Times New Roman" w:hAnsi="Times New Roman"/>
                  <w:sz w:val="14"/>
                  <w:szCs w:val="14"/>
                  <w:color w:val="0000FF"/>
                  <w:w w:val="98"/>
                </w:rPr>
                <w:t>OpCo and Henry Schuck</w:t>
              </w:r>
            </w:hyperlink>
          </w:p>
        </w:tc>
        <w:tc>
          <w:tcPr>
            <w:tcW w:w="4320" w:type="dxa"/>
            <w:vAlign w:val="bottom"/>
            <w:tcBorders>
              <w:top w:val="single" w:sz="8" w:color="0000FF"/>
            </w:tcBorders>
            <w:gridSpan w:val="12"/>
          </w:tcPr>
          <w:p>
            <w:pPr>
              <w:spacing w:after="0"/>
              <w:rPr>
                <w:sz w:val="11"/>
                <w:szCs w:val="11"/>
                <w:color w:val="auto"/>
              </w:rPr>
            </w:pPr>
          </w:p>
        </w:tc>
        <w:tc>
          <w:tcPr>
            <w:tcW w:w="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56"/>
        </w:trPr>
        <w:tc>
          <w:tcPr>
            <w:tcW w:w="1020" w:type="dxa"/>
            <w:vAlign w:val="bottom"/>
            <w:tcBorders>
              <w:right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10.27†</w:t>
            </w:r>
          </w:p>
        </w:tc>
        <w:tc>
          <w:tcPr>
            <w:tcW w:w="5760" w:type="dxa"/>
            <w:vAlign w:val="bottom"/>
            <w:gridSpan w:val="18"/>
            <w:shd w:val="clear" w:color="auto" w:fill="CCEEFF"/>
          </w:tcPr>
          <w:p>
            <w:pPr>
              <w:spacing w:after="0" w:line="156"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Employment Agreement, dated December 21, 2018, by and between DiscoverOrg Data, LLC and</w:t>
              </w:r>
            </w:hyperlink>
          </w:p>
        </w:tc>
        <w:tc>
          <w:tcPr>
            <w:tcW w:w="1880" w:type="dxa"/>
            <w:vAlign w:val="bottom"/>
            <w:shd w:val="clear" w:color="auto" w:fill="CCEEFF"/>
          </w:tcPr>
          <w:p>
            <w:pPr>
              <w:jc w:val="center"/>
              <w:ind w:right="110"/>
              <w:spacing w:after="0" w:line="156" w:lineRule="exact"/>
              <w:rPr>
                <w:sz w:val="20"/>
                <w:szCs w:val="20"/>
                <w:color w:val="auto"/>
              </w:rPr>
            </w:pPr>
            <w:r>
              <w:rPr>
                <w:rFonts w:ascii="Times New Roman" w:cs="Times New Roman" w:eastAsia="Times New Roman" w:hAnsi="Times New Roman"/>
                <w:sz w:val="14"/>
                <w:szCs w:val="14"/>
                <w:color w:val="auto"/>
              </w:rPr>
              <w:t>S-1 filed February 27, 2020</w:t>
            </w:r>
          </w:p>
        </w:tc>
        <w:tc>
          <w:tcPr>
            <w:tcW w:w="1380" w:type="dxa"/>
            <w:vAlign w:val="bottom"/>
            <w:shd w:val="clear" w:color="auto" w:fill="CCEEFF"/>
          </w:tcPr>
          <w:p>
            <w:pPr>
              <w:jc w:val="center"/>
              <w:ind w:right="109"/>
              <w:spacing w:after="0" w:line="15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10.25</w:t>
            </w:r>
          </w:p>
        </w:tc>
      </w:tr>
      <w:tr>
        <w:trPr>
          <w:trHeight w:val="126"/>
        </w:trPr>
        <w:tc>
          <w:tcPr>
            <w:tcW w:w="1020" w:type="dxa"/>
            <w:vAlign w:val="bottom"/>
            <w:tcBorders>
              <w:top w:val="single" w:sz="8" w:color="CCEEFF"/>
              <w:right w:val="single" w:sz="8" w:color="CCEEFF"/>
            </w:tcBorders>
            <w:shd w:val="clear" w:color="auto" w:fill="CCEEFF"/>
          </w:tcPr>
          <w:p>
            <w:pPr>
              <w:spacing w:after="0"/>
              <w:rPr>
                <w:sz w:val="10"/>
                <w:szCs w:val="10"/>
                <w:color w:val="auto"/>
              </w:rPr>
            </w:pPr>
          </w:p>
        </w:tc>
        <w:tc>
          <w:tcPr>
            <w:tcW w:w="5500" w:type="dxa"/>
            <w:vAlign w:val="bottom"/>
            <w:tcBorders>
              <w:top w:val="single" w:sz="8" w:color="0000FF"/>
            </w:tcBorders>
            <w:gridSpan w:val="12"/>
            <w:shd w:val="clear" w:color="auto" w:fill="CCEEFF"/>
          </w:tcPr>
          <w:p>
            <w:pPr>
              <w:spacing w:after="0" w:line="126" w:lineRule="exact"/>
              <w:rPr>
                <w:rFonts w:ascii="Times New Roman" w:cs="Times New Roman" w:eastAsia="Times New Roman" w:hAnsi="Times New Roman"/>
                <w:sz w:val="14"/>
                <w:szCs w:val="14"/>
                <w:color w:val="0000FF"/>
              </w:rPr>
            </w:pPr>
            <w:hyperlink r:id="rId197">
              <w:r>
                <w:rPr>
                  <w:rFonts w:ascii="Times New Roman" w:cs="Times New Roman" w:eastAsia="Times New Roman" w:hAnsi="Times New Roman"/>
                  <w:sz w:val="14"/>
                  <w:szCs w:val="14"/>
                  <w:color w:val="0000FF"/>
                </w:rPr>
                <w:t>Peter Cameron Hyzer</w:t>
              </w:r>
            </w:hyperlink>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gridSpan w:val="2"/>
            <w:shd w:val="clear" w:color="auto" w:fill="CCEEFF"/>
          </w:tcPr>
          <w:p>
            <w:pPr>
              <w:spacing w:after="0"/>
              <w:rPr>
                <w:sz w:val="10"/>
                <w:szCs w:val="10"/>
                <w:color w:val="auto"/>
              </w:rPr>
            </w:pPr>
          </w:p>
        </w:tc>
        <w:tc>
          <w:tcPr>
            <w:tcW w:w="188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CCEEFF"/>
            </w:tcBorders>
            <w:shd w:val="clear" w:color="auto" w:fill="CCEEFF"/>
          </w:tcPr>
          <w:p>
            <w:pPr>
              <w:spacing w:after="0"/>
              <w:rPr>
                <w:sz w:val="10"/>
                <w:szCs w:val="10"/>
                <w:color w:val="auto"/>
              </w:rPr>
            </w:pPr>
          </w:p>
        </w:tc>
      </w:tr>
      <w:tr>
        <w:trPr>
          <w:trHeight w:val="40"/>
        </w:trPr>
        <w:tc>
          <w:tcPr>
            <w:tcW w:w="1020" w:type="dxa"/>
            <w:vAlign w:val="bottom"/>
            <w:tcBorders>
              <w:right w:val="single" w:sz="8" w:color="0000FF"/>
            </w:tcBorders>
            <w:shd w:val="clear" w:color="auto" w:fill="CCEE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76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12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r>
        <w:trPr>
          <w:trHeight w:val="146"/>
        </w:trPr>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10.28†</w:t>
            </w:r>
          </w:p>
        </w:tc>
        <w:tc>
          <w:tcPr>
            <w:tcW w:w="5760" w:type="dxa"/>
            <w:vAlign w:val="bottom"/>
            <w:gridSpan w:val="18"/>
          </w:tcPr>
          <w:p>
            <w:pPr>
              <w:spacing w:after="0" w:line="146" w:lineRule="exact"/>
              <w:rPr>
                <w:rFonts w:ascii="Times New Roman" w:cs="Times New Roman" w:eastAsia="Times New Roman" w:hAnsi="Times New Roman"/>
                <w:sz w:val="14"/>
                <w:szCs w:val="14"/>
                <w:color w:val="0000FF"/>
              </w:rPr>
            </w:pPr>
            <w:hyperlink r:id="rId198">
              <w:r>
                <w:rPr>
                  <w:rFonts w:ascii="Times New Roman" w:cs="Times New Roman" w:eastAsia="Times New Roman" w:hAnsi="Times New Roman"/>
                  <w:sz w:val="14"/>
                  <w:szCs w:val="14"/>
                  <w:color w:val="0000FF"/>
                </w:rPr>
                <w:t>Form of Standard Employee Stock Option Agreement under 2020 Omnibus Incentive Plan</w:t>
              </w:r>
            </w:hyperlink>
          </w:p>
        </w:tc>
        <w:tc>
          <w:tcPr>
            <w:tcW w:w="1880" w:type="dxa"/>
            <w:vAlign w:val="bottom"/>
          </w:tcPr>
          <w:p>
            <w:pPr>
              <w:jc w:val="center"/>
              <w:ind w:right="110"/>
              <w:spacing w:after="0" w:line="146" w:lineRule="exact"/>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10.28</w:t>
            </w:r>
          </w:p>
        </w:tc>
      </w:tr>
      <w:tr>
        <w:trPr>
          <w:trHeight w:val="33"/>
        </w:trPr>
        <w:tc>
          <w:tcPr>
            <w:tcW w:w="1020" w:type="dxa"/>
            <w:vAlign w:val="bottom"/>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76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4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79"/>
        </w:trPr>
        <w:tc>
          <w:tcPr>
            <w:tcW w:w="1020" w:type="dxa"/>
            <w:vAlign w:val="bottom"/>
            <w:tcBorders>
              <w:bottom w:val="single" w:sz="8" w:color="CCEEFF"/>
              <w:right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10.29†</w:t>
            </w:r>
          </w:p>
        </w:tc>
        <w:tc>
          <w:tcPr>
            <w:tcW w:w="5220" w:type="dxa"/>
            <w:vAlign w:val="bottom"/>
            <w:tcBorders>
              <w:bottom w:val="single" w:sz="8" w:color="0000FF"/>
              <w:right w:val="single" w:sz="8" w:color="CCEEFF"/>
            </w:tcBorders>
            <w:gridSpan w:val="10"/>
            <w:shd w:val="clear" w:color="auto" w:fill="CCEEFF"/>
          </w:tcPr>
          <w:p>
            <w:pPr>
              <w:spacing w:after="0" w:line="146" w:lineRule="exact"/>
              <w:rPr>
                <w:rFonts w:ascii="Times New Roman" w:cs="Times New Roman" w:eastAsia="Times New Roman" w:hAnsi="Times New Roman"/>
                <w:sz w:val="14"/>
                <w:szCs w:val="14"/>
                <w:color w:val="0000FF"/>
                <w:w w:val="99"/>
              </w:rPr>
            </w:pPr>
            <w:hyperlink r:id="rId199">
              <w:r>
                <w:rPr>
                  <w:rFonts w:ascii="Times New Roman" w:cs="Times New Roman" w:eastAsia="Times New Roman" w:hAnsi="Times New Roman"/>
                  <w:sz w:val="14"/>
                  <w:szCs w:val="14"/>
                  <w:color w:val="0000FF"/>
                  <w:w w:val="99"/>
                </w:rPr>
                <w:t>Form of Leverage Restoration Stock Option Agreement under 2020 Omnibus Incentive Plan</w:t>
              </w:r>
            </w:hyperlink>
          </w:p>
        </w:tc>
        <w:tc>
          <w:tcPr>
            <w:tcW w:w="540" w:type="dxa"/>
            <w:vAlign w:val="bottom"/>
            <w:tcBorders>
              <w:bottom w:val="single" w:sz="8" w:color="CCEEFF"/>
            </w:tcBorders>
            <w:gridSpan w:val="8"/>
            <w:shd w:val="clear" w:color="auto" w:fill="CCEEFF"/>
          </w:tcPr>
          <w:p>
            <w:pPr>
              <w:spacing w:after="0"/>
              <w:rPr>
                <w:sz w:val="15"/>
                <w:szCs w:val="15"/>
                <w:color w:val="auto"/>
              </w:rPr>
            </w:pPr>
          </w:p>
        </w:tc>
        <w:tc>
          <w:tcPr>
            <w:tcW w:w="1880" w:type="dxa"/>
            <w:vAlign w:val="bottom"/>
            <w:tcBorders>
              <w:bottom w:val="single" w:sz="8" w:color="CCEEFF"/>
            </w:tcBorders>
            <w:shd w:val="clear" w:color="auto" w:fill="CCEEFF"/>
          </w:tcPr>
          <w:p>
            <w:pPr>
              <w:jc w:val="center"/>
              <w:ind w:right="110"/>
              <w:spacing w:after="0" w:line="146" w:lineRule="exact"/>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Borders>
              <w:bottom w:val="single" w:sz="8" w:color="CCEEFF"/>
            </w:tcBorders>
            <w:shd w:val="clear" w:color="auto" w:fill="CCEEFF"/>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Borders>
              <w:bottom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10.30</w:t>
            </w:r>
          </w:p>
        </w:tc>
      </w:tr>
      <w:tr>
        <w:trPr>
          <w:trHeight w:val="146"/>
        </w:trPr>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10.30†</w:t>
            </w:r>
          </w:p>
        </w:tc>
        <w:tc>
          <w:tcPr>
            <w:tcW w:w="5760" w:type="dxa"/>
            <w:vAlign w:val="bottom"/>
            <w:gridSpan w:val="18"/>
          </w:tcPr>
          <w:p>
            <w:pPr>
              <w:spacing w:after="0" w:line="146" w:lineRule="exact"/>
              <w:rPr>
                <w:rFonts w:ascii="Times New Roman" w:cs="Times New Roman" w:eastAsia="Times New Roman" w:hAnsi="Times New Roman"/>
                <w:sz w:val="14"/>
                <w:szCs w:val="14"/>
                <w:color w:val="0000FF"/>
              </w:rPr>
            </w:pPr>
            <w:hyperlink r:id="rId200">
              <w:r>
                <w:rPr>
                  <w:rFonts w:ascii="Times New Roman" w:cs="Times New Roman" w:eastAsia="Times New Roman" w:hAnsi="Times New Roman"/>
                  <w:sz w:val="14"/>
                  <w:szCs w:val="14"/>
                  <w:color w:val="0000FF"/>
                </w:rPr>
                <w:t>Form of Standard Employee Restricted Stock Unit Agreement under 2020 Omnibus Incentive Plan</w:t>
              </w:r>
            </w:hyperlink>
          </w:p>
        </w:tc>
        <w:tc>
          <w:tcPr>
            <w:tcW w:w="1880" w:type="dxa"/>
            <w:vAlign w:val="bottom"/>
          </w:tcPr>
          <w:p>
            <w:pPr>
              <w:jc w:val="center"/>
              <w:ind w:right="110"/>
              <w:spacing w:after="0" w:line="146" w:lineRule="exact"/>
              <w:rPr>
                <w:sz w:val="20"/>
                <w:szCs w:val="20"/>
                <w:color w:val="auto"/>
              </w:rPr>
            </w:pPr>
            <w:r>
              <w:rPr>
                <w:rFonts w:ascii="Times New Roman" w:cs="Times New Roman" w:eastAsia="Times New Roman" w:hAnsi="Times New Roman"/>
                <w:sz w:val="14"/>
                <w:szCs w:val="14"/>
                <w:color w:val="auto"/>
              </w:rPr>
              <w:t>10-K filed February 16,</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10.30</w:t>
            </w:r>
          </w:p>
        </w:tc>
      </w:tr>
      <w:tr>
        <w:trPr>
          <w:trHeight w:val="165"/>
        </w:trPr>
        <w:tc>
          <w:tcPr>
            <w:tcW w:w="1020" w:type="dxa"/>
            <w:vAlign w:val="bottom"/>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76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80" w:type="dxa"/>
            <w:vAlign w:val="bottom"/>
          </w:tcPr>
          <w:p>
            <w:pPr>
              <w:jc w:val="center"/>
              <w:ind w:right="90"/>
              <w:spacing w:after="0"/>
              <w:rPr>
                <w:sz w:val="20"/>
                <w:szCs w:val="20"/>
                <w:color w:val="auto"/>
              </w:rPr>
            </w:pPr>
            <w:r>
              <w:rPr>
                <w:rFonts w:ascii="Times New Roman" w:cs="Times New Roman" w:eastAsia="Times New Roman" w:hAnsi="Times New Roman"/>
                <w:sz w:val="14"/>
                <w:szCs w:val="14"/>
                <w:color w:val="auto"/>
                <w:w w:val="99"/>
              </w:rPr>
              <w:t>2023</w:t>
            </w:r>
          </w:p>
        </w:tc>
        <w:tc>
          <w:tcPr>
            <w:tcW w:w="1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47"/>
        </w:trPr>
        <w:tc>
          <w:tcPr>
            <w:tcW w:w="1020" w:type="dxa"/>
            <w:vAlign w:val="bottom"/>
            <w:tcBorders>
              <w:right w:val="single" w:sz="8" w:color="CCEEFF"/>
            </w:tcBorders>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10.31†</w:t>
            </w:r>
          </w:p>
        </w:tc>
        <w:tc>
          <w:tcPr>
            <w:tcW w:w="5760" w:type="dxa"/>
            <w:vAlign w:val="bottom"/>
            <w:gridSpan w:val="18"/>
            <w:shd w:val="clear" w:color="auto" w:fill="CCEEFF"/>
          </w:tcPr>
          <w:p>
            <w:pPr>
              <w:spacing w:after="0" w:line="147" w:lineRule="exact"/>
              <w:rPr>
                <w:rFonts w:ascii="Times New Roman" w:cs="Times New Roman" w:eastAsia="Times New Roman" w:hAnsi="Times New Roman"/>
                <w:sz w:val="14"/>
                <w:szCs w:val="14"/>
                <w:color w:val="0000FF"/>
              </w:rPr>
            </w:pPr>
            <w:hyperlink r:id="rId201">
              <w:r>
                <w:rPr>
                  <w:rFonts w:ascii="Times New Roman" w:cs="Times New Roman" w:eastAsia="Times New Roman" w:hAnsi="Times New Roman"/>
                  <w:sz w:val="14"/>
                  <w:szCs w:val="14"/>
                  <w:color w:val="0000FF"/>
                </w:rPr>
                <w:t>Form of Non-Employee Director Annual Restricted Stock Unit Agreement under 2020 Omnibus</w:t>
              </w:r>
            </w:hyperlink>
          </w:p>
        </w:tc>
        <w:tc>
          <w:tcPr>
            <w:tcW w:w="1880" w:type="dxa"/>
            <w:vAlign w:val="bottom"/>
            <w:shd w:val="clear" w:color="auto" w:fill="CCEEFF"/>
          </w:tcPr>
          <w:p>
            <w:pPr>
              <w:jc w:val="center"/>
              <w:ind w:right="110"/>
              <w:spacing w:after="0" w:line="147" w:lineRule="exact"/>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shd w:val="clear" w:color="auto" w:fill="CCEEFF"/>
          </w:tcPr>
          <w:p>
            <w:pPr>
              <w:jc w:val="center"/>
              <w:ind w:right="109"/>
              <w:spacing w:after="0" w:line="147"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shd w:val="clear" w:color="auto" w:fill="CCEEFF"/>
          </w:tcPr>
          <w:p>
            <w:pPr>
              <w:jc w:val="center"/>
              <w:spacing w:after="0" w:line="147" w:lineRule="exact"/>
              <w:rPr>
                <w:sz w:val="20"/>
                <w:szCs w:val="20"/>
                <w:color w:val="auto"/>
              </w:rPr>
            </w:pPr>
            <w:r>
              <w:rPr>
                <w:rFonts w:ascii="Times New Roman" w:cs="Times New Roman" w:eastAsia="Times New Roman" w:hAnsi="Times New Roman"/>
                <w:sz w:val="14"/>
                <w:szCs w:val="14"/>
                <w:color w:val="auto"/>
              </w:rPr>
              <w:t>10.32</w:t>
            </w:r>
          </w:p>
        </w:tc>
      </w:tr>
      <w:tr>
        <w:trPr>
          <w:trHeight w:val="146"/>
        </w:trPr>
        <w:tc>
          <w:tcPr>
            <w:tcW w:w="102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800" w:type="dxa"/>
            <w:vAlign w:val="bottom"/>
            <w:tcBorders>
              <w:top w:val="single" w:sz="8" w:color="0000FF"/>
              <w:bottom w:val="single" w:sz="8" w:color="0000FF"/>
            </w:tcBorders>
            <w:gridSpan w:val="3"/>
            <w:shd w:val="clear" w:color="auto" w:fill="CCEEFF"/>
          </w:tcPr>
          <w:p>
            <w:pPr>
              <w:spacing w:after="0" w:line="126" w:lineRule="exact"/>
              <w:rPr>
                <w:rFonts w:ascii="Times New Roman" w:cs="Times New Roman" w:eastAsia="Times New Roman" w:hAnsi="Times New Roman"/>
                <w:sz w:val="14"/>
                <w:szCs w:val="14"/>
                <w:color w:val="0000FF"/>
                <w:w w:val="96"/>
              </w:rPr>
            </w:pPr>
            <w:hyperlink r:id="rId201">
              <w:r>
                <w:rPr>
                  <w:rFonts w:ascii="Times New Roman" w:cs="Times New Roman" w:eastAsia="Times New Roman" w:hAnsi="Times New Roman"/>
                  <w:sz w:val="14"/>
                  <w:szCs w:val="14"/>
                  <w:color w:val="0000FF"/>
                  <w:w w:val="96"/>
                </w:rPr>
                <w:t>Incentive Plan</w:t>
              </w:r>
            </w:hyperlink>
          </w:p>
        </w:tc>
        <w:tc>
          <w:tcPr>
            <w:tcW w:w="4640" w:type="dxa"/>
            <w:vAlign w:val="bottom"/>
            <w:tcBorders>
              <w:top w:val="single" w:sz="8" w:color="0000FF"/>
              <w:bottom w:val="single" w:sz="8" w:color="CCEEFF"/>
            </w:tcBorders>
            <w:gridSpan w:val="8"/>
            <w:shd w:val="clear" w:color="auto" w:fill="CCEEFF"/>
          </w:tcPr>
          <w:p>
            <w:pPr>
              <w:spacing w:after="0"/>
              <w:rPr>
                <w:sz w:val="12"/>
                <w:szCs w:val="12"/>
                <w:color w:val="auto"/>
              </w:rPr>
            </w:pPr>
          </w:p>
        </w:tc>
        <w:tc>
          <w:tcPr>
            <w:tcW w:w="8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gridSpan w:val="2"/>
            <w:shd w:val="clear" w:color="auto" w:fill="CCEEFF"/>
          </w:tcPr>
          <w:p>
            <w:pPr>
              <w:spacing w:after="0"/>
              <w:rPr>
                <w:sz w:val="12"/>
                <w:szCs w:val="12"/>
                <w:color w:val="auto"/>
              </w:rPr>
            </w:pPr>
          </w:p>
        </w:tc>
        <w:tc>
          <w:tcPr>
            <w:tcW w:w="1880" w:type="dxa"/>
            <w:vAlign w:val="bottom"/>
            <w:tcBorders>
              <w:top w:val="single" w:sz="8" w:color="CCEEFF"/>
              <w:bottom w:val="single" w:sz="8" w:color="CCEEFF"/>
            </w:tcBorders>
            <w:shd w:val="clear" w:color="auto" w:fill="CCEEFF"/>
          </w:tcPr>
          <w:p>
            <w:pPr>
              <w:spacing w:after="0"/>
              <w:rPr>
                <w:sz w:val="12"/>
                <w:szCs w:val="12"/>
                <w:color w:val="auto"/>
              </w:rPr>
            </w:pPr>
          </w:p>
        </w:tc>
        <w:tc>
          <w:tcPr>
            <w:tcW w:w="1380" w:type="dxa"/>
            <w:vAlign w:val="bottom"/>
            <w:tcBorders>
              <w:top w:val="single" w:sz="8" w:color="CCEEFF"/>
              <w:bottom w:val="single" w:sz="8" w:color="CCEEFF"/>
            </w:tcBorders>
            <w:shd w:val="clear" w:color="auto" w:fill="CCEEFF"/>
          </w:tcPr>
          <w:p>
            <w:pPr>
              <w:spacing w:after="0"/>
              <w:rPr>
                <w:sz w:val="12"/>
                <w:szCs w:val="12"/>
                <w:color w:val="auto"/>
              </w:rPr>
            </w:pPr>
          </w:p>
        </w:tc>
        <w:tc>
          <w:tcPr>
            <w:tcW w:w="120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46"/>
        </w:trPr>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10.32†</w:t>
            </w:r>
          </w:p>
        </w:tc>
        <w:tc>
          <w:tcPr>
            <w:tcW w:w="5760" w:type="dxa"/>
            <w:vAlign w:val="bottom"/>
            <w:gridSpan w:val="18"/>
          </w:tcPr>
          <w:p>
            <w:pPr>
              <w:spacing w:after="0" w:line="146" w:lineRule="exact"/>
              <w:rPr>
                <w:rFonts w:ascii="Times New Roman" w:cs="Times New Roman" w:eastAsia="Times New Roman" w:hAnsi="Times New Roman"/>
                <w:sz w:val="14"/>
                <w:szCs w:val="14"/>
                <w:color w:val="0000FF"/>
              </w:rPr>
            </w:pPr>
            <w:hyperlink r:id="rId202">
              <w:r>
                <w:rPr>
                  <w:rFonts w:ascii="Times New Roman" w:cs="Times New Roman" w:eastAsia="Times New Roman" w:hAnsi="Times New Roman"/>
                  <w:sz w:val="14"/>
                  <w:szCs w:val="14"/>
                  <w:color w:val="0000FF"/>
                </w:rPr>
                <w:t>Form of Non-Employee Director Sign-On Restricted Stock Unit Agreement under 2020 Omnibus</w:t>
              </w:r>
            </w:hyperlink>
          </w:p>
        </w:tc>
        <w:tc>
          <w:tcPr>
            <w:tcW w:w="1880" w:type="dxa"/>
            <w:vAlign w:val="bottom"/>
          </w:tcPr>
          <w:p>
            <w:pPr>
              <w:jc w:val="center"/>
              <w:ind w:right="110"/>
              <w:spacing w:after="0" w:line="146" w:lineRule="exact"/>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10.33</w:t>
            </w:r>
          </w:p>
        </w:tc>
      </w:tr>
      <w:tr>
        <w:trPr>
          <w:trHeight w:val="136"/>
        </w:trPr>
        <w:tc>
          <w:tcPr>
            <w:tcW w:w="1020" w:type="dxa"/>
            <w:vAlign w:val="bottom"/>
          </w:tcPr>
          <w:p>
            <w:pPr>
              <w:spacing w:after="0"/>
              <w:rPr>
                <w:sz w:val="11"/>
                <w:szCs w:val="11"/>
                <w:color w:val="auto"/>
              </w:rPr>
            </w:pPr>
          </w:p>
        </w:tc>
        <w:tc>
          <w:tcPr>
            <w:tcW w:w="800" w:type="dxa"/>
            <w:vAlign w:val="bottom"/>
            <w:tcBorders>
              <w:top w:val="single" w:sz="8" w:color="0000FF"/>
              <w:bottom w:val="single" w:sz="8" w:color="0000FF"/>
            </w:tcBorders>
            <w:gridSpan w:val="3"/>
          </w:tcPr>
          <w:p>
            <w:pPr>
              <w:spacing w:after="0" w:line="126" w:lineRule="exact"/>
              <w:rPr>
                <w:rFonts w:ascii="Times New Roman" w:cs="Times New Roman" w:eastAsia="Times New Roman" w:hAnsi="Times New Roman"/>
                <w:sz w:val="14"/>
                <w:szCs w:val="14"/>
                <w:color w:val="0000FF"/>
                <w:w w:val="96"/>
              </w:rPr>
            </w:pPr>
            <w:hyperlink r:id="rId202">
              <w:r>
                <w:rPr>
                  <w:rFonts w:ascii="Times New Roman" w:cs="Times New Roman" w:eastAsia="Times New Roman" w:hAnsi="Times New Roman"/>
                  <w:sz w:val="14"/>
                  <w:szCs w:val="14"/>
                  <w:color w:val="0000FF"/>
                  <w:w w:val="96"/>
                </w:rPr>
                <w:t>Incentive Plan</w:t>
              </w:r>
            </w:hyperlink>
          </w:p>
        </w:tc>
        <w:tc>
          <w:tcPr>
            <w:tcW w:w="4720" w:type="dxa"/>
            <w:vAlign w:val="bottom"/>
            <w:tcBorders>
              <w:top w:val="single" w:sz="8" w:color="0000FF"/>
            </w:tcBorders>
            <w:gridSpan w:val="10"/>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gridSpan w:val="2"/>
          </w:tcPr>
          <w:p>
            <w:pPr>
              <w:spacing w:after="0"/>
              <w:rPr>
                <w:sz w:val="11"/>
                <w:szCs w:val="11"/>
                <w:color w:val="auto"/>
              </w:rPr>
            </w:pPr>
          </w:p>
        </w:tc>
        <w:tc>
          <w:tcPr>
            <w:tcW w:w="18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89"/>
        </w:trPr>
        <w:tc>
          <w:tcPr>
            <w:tcW w:w="1020" w:type="dxa"/>
            <w:vAlign w:val="bottom"/>
            <w:tcBorders>
              <w:bottom w:val="single" w:sz="8" w:color="CCEEFF"/>
              <w:right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10.33†</w:t>
            </w:r>
          </w:p>
        </w:tc>
        <w:tc>
          <w:tcPr>
            <w:tcW w:w="4200" w:type="dxa"/>
            <w:vAlign w:val="bottom"/>
            <w:tcBorders>
              <w:bottom w:val="single" w:sz="8" w:color="0000FF"/>
            </w:tcBorders>
            <w:gridSpan w:val="7"/>
            <w:shd w:val="clear" w:color="auto" w:fill="CCEEFF"/>
          </w:tcPr>
          <w:p>
            <w:pPr>
              <w:spacing w:after="0" w:line="156" w:lineRule="exact"/>
              <w:rPr>
                <w:rFonts w:ascii="Times New Roman" w:cs="Times New Roman" w:eastAsia="Times New Roman" w:hAnsi="Times New Roman"/>
                <w:sz w:val="14"/>
                <w:szCs w:val="14"/>
                <w:color w:val="0000FF"/>
                <w:w w:val="99"/>
              </w:rPr>
            </w:pPr>
            <w:hyperlink r:id="rId203">
              <w:r>
                <w:rPr>
                  <w:rFonts w:ascii="Times New Roman" w:cs="Times New Roman" w:eastAsia="Times New Roman" w:hAnsi="Times New Roman"/>
                  <w:sz w:val="14"/>
                  <w:szCs w:val="14"/>
                  <w:color w:val="0000FF"/>
                  <w:w w:val="99"/>
                </w:rPr>
                <w:t>Form of LTIP Unit Award Agreement under 2020 Omnibus Incentive Plan</w:t>
              </w:r>
            </w:hyperlink>
          </w:p>
        </w:tc>
        <w:tc>
          <w:tcPr>
            <w:tcW w:w="1560" w:type="dxa"/>
            <w:vAlign w:val="bottom"/>
            <w:tcBorders>
              <w:bottom w:val="single" w:sz="8" w:color="CCEEFF"/>
            </w:tcBorders>
            <w:gridSpan w:val="11"/>
            <w:shd w:val="clear" w:color="auto" w:fill="CCEEFF"/>
          </w:tcPr>
          <w:p>
            <w:pPr>
              <w:spacing w:after="0"/>
              <w:rPr>
                <w:sz w:val="16"/>
                <w:szCs w:val="16"/>
                <w:color w:val="auto"/>
              </w:rPr>
            </w:pPr>
          </w:p>
        </w:tc>
        <w:tc>
          <w:tcPr>
            <w:tcW w:w="1880" w:type="dxa"/>
            <w:vAlign w:val="bottom"/>
            <w:tcBorders>
              <w:bottom w:val="single" w:sz="8" w:color="CCEEFF"/>
            </w:tcBorders>
            <w:shd w:val="clear" w:color="auto" w:fill="CCEEFF"/>
          </w:tcPr>
          <w:p>
            <w:pPr>
              <w:jc w:val="center"/>
              <w:ind w:right="110"/>
              <w:spacing w:after="0" w:line="156" w:lineRule="exact"/>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Borders>
              <w:bottom w:val="single" w:sz="8" w:color="CCEEFF"/>
            </w:tcBorders>
            <w:shd w:val="clear" w:color="auto" w:fill="CCEEFF"/>
          </w:tcPr>
          <w:p>
            <w:pPr>
              <w:jc w:val="center"/>
              <w:ind w:right="109"/>
              <w:spacing w:after="0" w:line="15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Borders>
              <w:bottom w:val="single" w:sz="8" w:color="CCEEFF"/>
            </w:tcBorders>
            <w:shd w:val="clear" w:color="auto" w:fill="CCEEFF"/>
          </w:tcPr>
          <w:p>
            <w:pPr>
              <w:jc w:val="center"/>
              <w:spacing w:after="0" w:line="156" w:lineRule="exact"/>
              <w:rPr>
                <w:sz w:val="20"/>
                <w:szCs w:val="20"/>
                <w:color w:val="auto"/>
              </w:rPr>
            </w:pPr>
            <w:r>
              <w:rPr>
                <w:rFonts w:ascii="Times New Roman" w:cs="Times New Roman" w:eastAsia="Times New Roman" w:hAnsi="Times New Roman"/>
                <w:sz w:val="14"/>
                <w:szCs w:val="14"/>
                <w:color w:val="auto"/>
              </w:rPr>
              <w:t>10.35</w:t>
            </w:r>
          </w:p>
        </w:tc>
      </w:tr>
      <w:tr>
        <w:trPr>
          <w:trHeight w:val="146"/>
        </w:trPr>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10.34†</w:t>
            </w:r>
          </w:p>
        </w:tc>
        <w:tc>
          <w:tcPr>
            <w:tcW w:w="5760" w:type="dxa"/>
            <w:vAlign w:val="bottom"/>
            <w:gridSpan w:val="18"/>
          </w:tcPr>
          <w:p>
            <w:pPr>
              <w:spacing w:after="0" w:line="146" w:lineRule="exact"/>
              <w:rPr>
                <w:rFonts w:ascii="Times New Roman" w:cs="Times New Roman" w:eastAsia="Times New Roman" w:hAnsi="Times New Roman"/>
                <w:sz w:val="14"/>
                <w:szCs w:val="14"/>
                <w:color w:val="0000FF"/>
              </w:rPr>
            </w:pPr>
            <w:hyperlink r:id="rId204">
              <w:r>
                <w:rPr>
                  <w:rFonts w:ascii="Times New Roman" w:cs="Times New Roman" w:eastAsia="Times New Roman" w:hAnsi="Times New Roman"/>
                  <w:sz w:val="14"/>
                  <w:szCs w:val="14"/>
                  <w:color w:val="0000FF"/>
                </w:rPr>
                <w:t>Form of Restrictive Covenant Agreement Exhibit to Employee Equity Awards under 2020 Omnibus</w:t>
              </w:r>
            </w:hyperlink>
          </w:p>
        </w:tc>
        <w:tc>
          <w:tcPr>
            <w:tcW w:w="1880" w:type="dxa"/>
            <w:vAlign w:val="bottom"/>
          </w:tcPr>
          <w:p>
            <w:pPr>
              <w:jc w:val="center"/>
              <w:ind w:right="110"/>
              <w:spacing w:after="0" w:line="146" w:lineRule="exact"/>
              <w:rPr>
                <w:sz w:val="20"/>
                <w:szCs w:val="20"/>
                <w:color w:val="auto"/>
              </w:rPr>
            </w:pPr>
            <w:r>
              <w:rPr>
                <w:rFonts w:ascii="Times New Roman" w:cs="Times New Roman" w:eastAsia="Times New Roman" w:hAnsi="Times New Roman"/>
                <w:sz w:val="14"/>
                <w:szCs w:val="14"/>
                <w:color w:val="auto"/>
              </w:rPr>
              <w:t>S-1/A filed May 22, 2020</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rPr>
              <w:t>333-236674</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10.36</w:t>
            </w:r>
          </w:p>
        </w:tc>
      </w:tr>
      <w:tr>
        <w:trPr>
          <w:trHeight w:val="136"/>
        </w:trPr>
        <w:tc>
          <w:tcPr>
            <w:tcW w:w="1020" w:type="dxa"/>
            <w:vAlign w:val="bottom"/>
          </w:tcPr>
          <w:p>
            <w:pPr>
              <w:spacing w:after="0"/>
              <w:rPr>
                <w:sz w:val="11"/>
                <w:szCs w:val="11"/>
                <w:color w:val="auto"/>
              </w:rPr>
            </w:pPr>
          </w:p>
        </w:tc>
        <w:tc>
          <w:tcPr>
            <w:tcW w:w="800" w:type="dxa"/>
            <w:vAlign w:val="bottom"/>
            <w:tcBorders>
              <w:top w:val="single" w:sz="8" w:color="0000FF"/>
              <w:bottom w:val="single" w:sz="8" w:color="0000FF"/>
            </w:tcBorders>
            <w:gridSpan w:val="3"/>
          </w:tcPr>
          <w:p>
            <w:pPr>
              <w:spacing w:after="0" w:line="126" w:lineRule="exact"/>
              <w:rPr>
                <w:rFonts w:ascii="Times New Roman" w:cs="Times New Roman" w:eastAsia="Times New Roman" w:hAnsi="Times New Roman"/>
                <w:sz w:val="14"/>
                <w:szCs w:val="14"/>
                <w:color w:val="0000FF"/>
                <w:w w:val="96"/>
              </w:rPr>
            </w:pPr>
            <w:hyperlink r:id="rId204">
              <w:r>
                <w:rPr>
                  <w:rFonts w:ascii="Times New Roman" w:cs="Times New Roman" w:eastAsia="Times New Roman" w:hAnsi="Times New Roman"/>
                  <w:sz w:val="14"/>
                  <w:szCs w:val="14"/>
                  <w:color w:val="0000FF"/>
                  <w:w w:val="96"/>
                </w:rPr>
                <w:t>Incentive Plan</w:t>
              </w:r>
            </w:hyperlink>
          </w:p>
        </w:tc>
        <w:tc>
          <w:tcPr>
            <w:tcW w:w="4840" w:type="dxa"/>
            <w:vAlign w:val="bottom"/>
            <w:tcBorders>
              <w:top w:val="single" w:sz="8" w:color="0000FF"/>
            </w:tcBorders>
            <w:gridSpan w:val="13"/>
          </w:tcPr>
          <w:p>
            <w:pPr>
              <w:spacing w:after="0"/>
              <w:rPr>
                <w:sz w:val="11"/>
                <w:szCs w:val="11"/>
                <w:color w:val="auto"/>
              </w:rPr>
            </w:pPr>
          </w:p>
        </w:tc>
        <w:tc>
          <w:tcPr>
            <w:tcW w:w="120" w:type="dxa"/>
            <w:vAlign w:val="bottom"/>
            <w:gridSpan w:val="2"/>
          </w:tcPr>
          <w:p>
            <w:pPr>
              <w:spacing w:after="0"/>
              <w:rPr>
                <w:sz w:val="11"/>
                <w:szCs w:val="11"/>
                <w:color w:val="auto"/>
              </w:rPr>
            </w:pPr>
          </w:p>
        </w:tc>
        <w:tc>
          <w:tcPr>
            <w:tcW w:w="18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200" w:type="dxa"/>
            <w:vAlign w:val="bottom"/>
          </w:tcPr>
          <w:p>
            <w:pPr>
              <w:spacing w:after="0"/>
              <w:rPr>
                <w:sz w:val="11"/>
                <w:szCs w:val="11"/>
                <w:color w:val="auto"/>
              </w:rPr>
            </w:pPr>
          </w:p>
        </w:tc>
      </w:tr>
      <w:tr>
        <w:trPr>
          <w:trHeight w:val="169"/>
        </w:trPr>
        <w:tc>
          <w:tcPr>
            <w:tcW w:w="1020" w:type="dxa"/>
            <w:vAlign w:val="bottom"/>
            <w:tcBorders>
              <w:right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10.35†</w:t>
            </w:r>
          </w:p>
        </w:tc>
        <w:tc>
          <w:tcPr>
            <w:tcW w:w="5760" w:type="dxa"/>
            <w:vAlign w:val="bottom"/>
            <w:gridSpan w:val="18"/>
            <w:shd w:val="clear" w:color="auto" w:fill="CCEEFF"/>
          </w:tcPr>
          <w:p>
            <w:pPr>
              <w:spacing w:after="0"/>
              <w:rPr>
                <w:rFonts w:ascii="Times New Roman" w:cs="Times New Roman" w:eastAsia="Times New Roman" w:hAnsi="Times New Roman"/>
                <w:sz w:val="14"/>
                <w:szCs w:val="14"/>
                <w:color w:val="0000FF"/>
              </w:rPr>
            </w:pPr>
            <w:hyperlink r:id="rId205">
              <w:r>
                <w:rPr>
                  <w:rFonts w:ascii="Times New Roman" w:cs="Times New Roman" w:eastAsia="Times New Roman" w:hAnsi="Times New Roman"/>
                  <w:sz w:val="14"/>
                  <w:szCs w:val="14"/>
                  <w:color w:val="0000FF"/>
                </w:rPr>
                <w:t>Form of Performance Restricted Stock Unit Agreement under 2020 Omnibus Incentive Plan</w:t>
              </w:r>
            </w:hyperlink>
          </w:p>
        </w:tc>
        <w:tc>
          <w:tcPr>
            <w:tcW w:w="1880" w:type="dxa"/>
            <w:vAlign w:val="bottom"/>
            <w:shd w:val="clear" w:color="auto" w:fill="CCEEFF"/>
          </w:tcPr>
          <w:p>
            <w:pPr>
              <w:jc w:val="center"/>
              <w:ind w:right="110"/>
              <w:spacing w:after="0"/>
              <w:rPr>
                <w:sz w:val="20"/>
                <w:szCs w:val="20"/>
                <w:color w:val="auto"/>
              </w:rPr>
            </w:pPr>
            <w:r>
              <w:rPr>
                <w:rFonts w:ascii="Times New Roman" w:cs="Times New Roman" w:eastAsia="Times New Roman" w:hAnsi="Times New Roman"/>
                <w:sz w:val="14"/>
                <w:szCs w:val="14"/>
                <w:color w:val="auto"/>
              </w:rPr>
              <w:t>10-Q filed May 1, 2023</w:t>
            </w:r>
          </w:p>
        </w:tc>
        <w:tc>
          <w:tcPr>
            <w:tcW w:w="1380" w:type="dxa"/>
            <w:vAlign w:val="bottom"/>
            <w:shd w:val="clear" w:color="auto" w:fill="CCEEFF"/>
          </w:tcPr>
          <w:p>
            <w:pPr>
              <w:jc w:val="center"/>
              <w:ind w:right="109"/>
              <w:spacing w:after="0"/>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w:t>
            </w:r>
          </w:p>
        </w:tc>
      </w:tr>
      <w:tr>
        <w:trPr>
          <w:trHeight w:val="40"/>
        </w:trPr>
        <w:tc>
          <w:tcPr>
            <w:tcW w:w="1020" w:type="dxa"/>
            <w:vAlign w:val="bottom"/>
            <w:tcBorders>
              <w:right w:val="single" w:sz="8" w:color="0000FF"/>
            </w:tcBorders>
            <w:shd w:val="clear" w:color="auto" w:fill="CCEE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0" w:type="dxa"/>
            <w:vAlign w:val="bottom"/>
            <w:shd w:val="clear" w:color="auto" w:fill="0000FF"/>
          </w:tcPr>
          <w:p>
            <w:pPr>
              <w:spacing w:after="0"/>
              <w:rPr>
                <w:sz w:val="3"/>
                <w:szCs w:val="3"/>
                <w:color w:val="auto"/>
              </w:rPr>
            </w:pPr>
          </w:p>
        </w:tc>
        <w:tc>
          <w:tcPr>
            <w:tcW w:w="2760" w:type="dxa"/>
            <w:vAlign w:val="bottom"/>
            <w:shd w:val="clear" w:color="auto" w:fill="0000FF"/>
          </w:tcPr>
          <w:p>
            <w:pPr>
              <w:spacing w:after="0"/>
              <w:rPr>
                <w:sz w:val="3"/>
                <w:szCs w:val="3"/>
                <w:color w:val="auto"/>
              </w:rPr>
            </w:pPr>
          </w:p>
        </w:tc>
        <w:tc>
          <w:tcPr>
            <w:tcW w:w="460" w:type="dxa"/>
            <w:vAlign w:val="bottom"/>
            <w:shd w:val="clear" w:color="auto" w:fill="0000FF"/>
          </w:tcPr>
          <w:p>
            <w:pPr>
              <w:spacing w:after="0"/>
              <w:rPr>
                <w:sz w:val="3"/>
                <w:szCs w:val="3"/>
                <w:color w:val="auto"/>
              </w:rPr>
            </w:pPr>
          </w:p>
        </w:tc>
        <w:tc>
          <w:tcPr>
            <w:tcW w:w="440" w:type="dxa"/>
            <w:vAlign w:val="bottom"/>
            <w:shd w:val="clear" w:color="auto" w:fill="0000FF"/>
          </w:tcPr>
          <w:p>
            <w:pPr>
              <w:spacing w:after="0"/>
              <w:rPr>
                <w:sz w:val="3"/>
                <w:szCs w:val="3"/>
                <w:color w:val="auto"/>
              </w:rPr>
            </w:pPr>
          </w:p>
        </w:tc>
        <w:tc>
          <w:tcPr>
            <w:tcW w:w="12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88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r>
      <w:tr>
        <w:trPr>
          <w:trHeight w:val="159"/>
        </w:trPr>
        <w:tc>
          <w:tcPr>
            <w:tcW w:w="10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10.36†</w:t>
            </w:r>
          </w:p>
        </w:tc>
        <w:tc>
          <w:tcPr>
            <w:tcW w:w="5760" w:type="dxa"/>
            <w:vAlign w:val="bottom"/>
            <w:gridSpan w:val="18"/>
          </w:tcPr>
          <w:p>
            <w:pPr>
              <w:spacing w:after="0" w:line="159" w:lineRule="exact"/>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Employment Agreement dated as of April 21, 2023, between ZoomInfo Technologies LLC and Ali</w:t>
              </w:r>
            </w:hyperlink>
          </w:p>
        </w:tc>
        <w:tc>
          <w:tcPr>
            <w:tcW w:w="1880" w:type="dxa"/>
            <w:vAlign w:val="bottom"/>
          </w:tcPr>
          <w:p>
            <w:pPr>
              <w:jc w:val="center"/>
              <w:ind w:right="110"/>
              <w:spacing w:after="0" w:line="159" w:lineRule="exact"/>
              <w:rPr>
                <w:sz w:val="20"/>
                <w:szCs w:val="20"/>
                <w:color w:val="auto"/>
              </w:rPr>
            </w:pPr>
            <w:r>
              <w:rPr>
                <w:rFonts w:ascii="Times New Roman" w:cs="Times New Roman" w:eastAsia="Times New Roman" w:hAnsi="Times New Roman"/>
                <w:sz w:val="14"/>
                <w:szCs w:val="14"/>
                <w:color w:val="auto"/>
              </w:rPr>
              <w:t>10-Q filed May 1, 2023</w:t>
            </w:r>
          </w:p>
        </w:tc>
        <w:tc>
          <w:tcPr>
            <w:tcW w:w="1380" w:type="dxa"/>
            <w:vAlign w:val="bottom"/>
          </w:tcPr>
          <w:p>
            <w:pPr>
              <w:jc w:val="center"/>
              <w:ind w:right="109"/>
              <w:spacing w:after="0" w:line="159"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10.2</w:t>
            </w:r>
          </w:p>
        </w:tc>
      </w:tr>
      <w:tr>
        <w:trPr>
          <w:trHeight w:val="126"/>
        </w:trPr>
        <w:tc>
          <w:tcPr>
            <w:tcW w:w="1020" w:type="dxa"/>
            <w:vAlign w:val="bottom"/>
          </w:tcPr>
          <w:p>
            <w:pPr>
              <w:spacing w:after="0"/>
              <w:rPr>
                <w:sz w:val="10"/>
                <w:szCs w:val="10"/>
                <w:color w:val="auto"/>
              </w:rPr>
            </w:pPr>
          </w:p>
        </w:tc>
        <w:tc>
          <w:tcPr>
            <w:tcW w:w="5580" w:type="dxa"/>
            <w:vAlign w:val="bottom"/>
            <w:tcBorders>
              <w:top w:val="single" w:sz="8" w:color="0000FF"/>
            </w:tcBorders>
            <w:gridSpan w:val="14"/>
          </w:tcPr>
          <w:p>
            <w:pPr>
              <w:spacing w:after="0" w:line="126" w:lineRule="exact"/>
              <w:rPr>
                <w:rFonts w:ascii="Times New Roman" w:cs="Times New Roman" w:eastAsia="Times New Roman" w:hAnsi="Times New Roman"/>
                <w:sz w:val="14"/>
                <w:szCs w:val="14"/>
                <w:color w:val="0000FF"/>
              </w:rPr>
            </w:pPr>
            <w:hyperlink r:id="rId206">
              <w:r>
                <w:rPr>
                  <w:rFonts w:ascii="Times New Roman" w:cs="Times New Roman" w:eastAsia="Times New Roman" w:hAnsi="Times New Roman"/>
                  <w:sz w:val="14"/>
                  <w:szCs w:val="14"/>
                  <w:color w:val="0000FF"/>
                </w:rPr>
                <w:t>Dasdan</w:t>
              </w:r>
            </w:hyperlink>
          </w:p>
        </w:tc>
        <w:tc>
          <w:tcPr>
            <w:tcW w:w="20" w:type="dxa"/>
            <w:vAlign w:val="bottom"/>
          </w:tcPr>
          <w:p>
            <w:pPr>
              <w:spacing w:after="0"/>
              <w:rPr>
                <w:sz w:val="10"/>
                <w:szCs w:val="10"/>
                <w:color w:val="auto"/>
              </w:rPr>
            </w:pPr>
          </w:p>
        </w:tc>
        <w:tc>
          <w:tcPr>
            <w:tcW w:w="160" w:type="dxa"/>
            <w:vAlign w:val="bottom"/>
            <w:gridSpan w:val="3"/>
          </w:tcPr>
          <w:p>
            <w:pPr>
              <w:spacing w:after="0"/>
              <w:rPr>
                <w:sz w:val="10"/>
                <w:szCs w:val="10"/>
                <w:color w:val="auto"/>
              </w:rPr>
            </w:pPr>
          </w:p>
        </w:tc>
        <w:tc>
          <w:tcPr>
            <w:tcW w:w="18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0" w:type="dxa"/>
            <w:vAlign w:val="bottom"/>
          </w:tcPr>
          <w:p>
            <w:pPr>
              <w:spacing w:after="0"/>
              <w:rPr>
                <w:sz w:val="10"/>
                <w:szCs w:val="10"/>
                <w:color w:val="auto"/>
              </w:rPr>
            </w:pPr>
          </w:p>
        </w:tc>
      </w:tr>
      <w:tr>
        <w:trPr>
          <w:trHeight w:val="33"/>
        </w:trPr>
        <w:tc>
          <w:tcPr>
            <w:tcW w:w="1020" w:type="dxa"/>
            <w:vAlign w:val="bottom"/>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72"/>
        </w:trPr>
        <w:tc>
          <w:tcPr>
            <w:tcW w:w="1020" w:type="dxa"/>
            <w:vAlign w:val="bottom"/>
            <w:tcBorders>
              <w:right w:val="single" w:sz="8" w:color="CCEEFF"/>
            </w:tcBorders>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10.37†</w:t>
            </w:r>
          </w:p>
        </w:tc>
        <w:tc>
          <w:tcPr>
            <w:tcW w:w="5760" w:type="dxa"/>
            <w:vAlign w:val="bottom"/>
            <w:gridSpan w:val="18"/>
            <w:shd w:val="clear" w:color="auto" w:fill="CCEEFF"/>
          </w:tcPr>
          <w:p>
            <w:pPr>
              <w:spacing w:after="0" w:line="146" w:lineRule="exact"/>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Separation Agreement and Release, as Amended, effective October 8, 2024, between the Company</w:t>
              </w:r>
            </w:hyperlink>
          </w:p>
        </w:tc>
        <w:tc>
          <w:tcPr>
            <w:tcW w:w="1880" w:type="dxa"/>
            <w:vAlign w:val="bottom"/>
            <w:shd w:val="clear" w:color="auto" w:fill="CCEEFF"/>
          </w:tcPr>
          <w:p>
            <w:pPr>
              <w:jc w:val="center"/>
              <w:ind w:right="110"/>
              <w:spacing w:after="0" w:line="146" w:lineRule="exact"/>
              <w:rPr>
                <w:sz w:val="20"/>
                <w:szCs w:val="20"/>
                <w:color w:val="auto"/>
              </w:rPr>
            </w:pPr>
            <w:r>
              <w:rPr>
                <w:rFonts w:ascii="Times New Roman" w:cs="Times New Roman" w:eastAsia="Times New Roman" w:hAnsi="Times New Roman"/>
                <w:sz w:val="14"/>
                <w:szCs w:val="14"/>
                <w:color w:val="auto"/>
              </w:rPr>
              <w:t>10-Q filed November 12,</w:t>
            </w:r>
          </w:p>
        </w:tc>
        <w:tc>
          <w:tcPr>
            <w:tcW w:w="1380" w:type="dxa"/>
            <w:vAlign w:val="bottom"/>
            <w:shd w:val="clear" w:color="auto" w:fill="CCEEFF"/>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shd w:val="clear" w:color="auto" w:fill="CCEEFF"/>
          </w:tcPr>
          <w:p>
            <w:pPr>
              <w:jc w:val="center"/>
              <w:spacing w:after="0" w:line="146" w:lineRule="exact"/>
              <w:rPr>
                <w:sz w:val="20"/>
                <w:szCs w:val="20"/>
                <w:color w:val="auto"/>
              </w:rPr>
            </w:pPr>
            <w:r>
              <w:rPr>
                <w:rFonts w:ascii="Times New Roman" w:cs="Times New Roman" w:eastAsia="Times New Roman" w:hAnsi="Times New Roman"/>
                <w:sz w:val="14"/>
                <w:szCs w:val="14"/>
                <w:color w:val="auto"/>
              </w:rPr>
              <w:t>10.1</w:t>
            </w:r>
          </w:p>
        </w:tc>
      </w:tr>
      <w:tr>
        <w:trPr>
          <w:trHeight w:val="113"/>
        </w:trPr>
        <w:tc>
          <w:tcPr>
            <w:tcW w:w="1020" w:type="dxa"/>
            <w:vAlign w:val="bottom"/>
            <w:tcBorders>
              <w:top w:val="single" w:sz="8" w:color="CCEEFF"/>
              <w:right w:val="single" w:sz="8" w:color="CCEEFF"/>
            </w:tcBorders>
            <w:shd w:val="clear" w:color="auto" w:fill="CCEEFF"/>
          </w:tcPr>
          <w:p>
            <w:pPr>
              <w:spacing w:after="0"/>
              <w:rPr>
                <w:sz w:val="9"/>
                <w:szCs w:val="9"/>
                <w:color w:val="auto"/>
              </w:rPr>
            </w:pPr>
          </w:p>
        </w:tc>
        <w:tc>
          <w:tcPr>
            <w:tcW w:w="260" w:type="dxa"/>
            <w:vAlign w:val="bottom"/>
            <w:tcBorders>
              <w:top w:val="single" w:sz="8" w:color="0000FF"/>
            </w:tcBorders>
            <w:shd w:val="clear" w:color="auto" w:fill="CCEEFF"/>
          </w:tcPr>
          <w:p>
            <w:pPr>
              <w:spacing w:after="0" w:line="113" w:lineRule="exact"/>
              <w:rPr>
                <w:rFonts w:ascii="Times New Roman" w:cs="Times New Roman" w:eastAsia="Times New Roman" w:hAnsi="Times New Roman"/>
                <w:sz w:val="13"/>
                <w:szCs w:val="13"/>
                <w:color w:val="0000FF"/>
              </w:rPr>
            </w:pPr>
            <w:hyperlink r:id="rId207">
              <w:r>
                <w:rPr>
                  <w:rFonts w:ascii="Times New Roman" w:cs="Times New Roman" w:eastAsia="Times New Roman" w:hAnsi="Times New Roman"/>
                  <w:sz w:val="13"/>
                  <w:szCs w:val="13"/>
                  <w:color w:val="0000FF"/>
                </w:rPr>
                <w:t>and</w:t>
              </w:r>
            </w:hyperlink>
          </w:p>
        </w:tc>
        <w:tc>
          <w:tcPr>
            <w:tcW w:w="5340" w:type="dxa"/>
            <w:vAlign w:val="bottom"/>
            <w:tcBorders>
              <w:top w:val="single" w:sz="8" w:color="0000FF"/>
            </w:tcBorders>
            <w:gridSpan w:val="14"/>
            <w:shd w:val="clear" w:color="auto" w:fill="CCEEFF"/>
          </w:tcPr>
          <w:p>
            <w:pPr>
              <w:spacing w:after="0" w:line="113" w:lineRule="exact"/>
              <w:rPr>
                <w:rFonts w:ascii="Times New Roman" w:cs="Times New Roman" w:eastAsia="Times New Roman" w:hAnsi="Times New Roman"/>
                <w:sz w:val="13"/>
                <w:szCs w:val="13"/>
                <w:color w:val="0000FF"/>
              </w:rPr>
            </w:pPr>
            <w:hyperlink r:id="rId207">
              <w:r>
                <w:rPr>
                  <w:rFonts w:ascii="Times New Roman" w:cs="Times New Roman" w:eastAsia="Times New Roman" w:hAnsi="Times New Roman"/>
                  <w:sz w:val="13"/>
                  <w:szCs w:val="13"/>
                  <w:color w:val="0000FF"/>
                </w:rPr>
                <w:t>Peter Cameron Hyzer</w:t>
              </w:r>
            </w:hyperlink>
          </w:p>
        </w:tc>
        <w:tc>
          <w:tcPr>
            <w:tcW w:w="160" w:type="dxa"/>
            <w:vAlign w:val="bottom"/>
            <w:tcBorders>
              <w:top w:val="single" w:sz="8" w:color="CCEEFF"/>
            </w:tcBorders>
            <w:gridSpan w:val="3"/>
            <w:shd w:val="clear" w:color="auto" w:fill="CCEEFF"/>
          </w:tcPr>
          <w:p>
            <w:pPr>
              <w:spacing w:after="0"/>
              <w:rPr>
                <w:sz w:val="9"/>
                <w:szCs w:val="9"/>
                <w:color w:val="auto"/>
              </w:rPr>
            </w:pPr>
          </w:p>
        </w:tc>
        <w:tc>
          <w:tcPr>
            <w:tcW w:w="1880" w:type="dxa"/>
            <w:vAlign w:val="bottom"/>
            <w:tcBorders>
              <w:top w:val="single" w:sz="8" w:color="CCEEFF"/>
            </w:tcBorders>
            <w:shd w:val="clear" w:color="auto" w:fill="CCEEFF"/>
          </w:tcPr>
          <w:p>
            <w:pPr>
              <w:jc w:val="center"/>
              <w:ind w:right="90"/>
              <w:spacing w:after="0" w:line="113" w:lineRule="exact"/>
              <w:rPr>
                <w:sz w:val="20"/>
                <w:szCs w:val="20"/>
                <w:color w:val="auto"/>
              </w:rPr>
            </w:pPr>
            <w:r>
              <w:rPr>
                <w:rFonts w:ascii="Times New Roman" w:cs="Times New Roman" w:eastAsia="Times New Roman" w:hAnsi="Times New Roman"/>
                <w:sz w:val="13"/>
                <w:szCs w:val="13"/>
                <w:color w:val="auto"/>
              </w:rPr>
              <w:t>2024</w:t>
            </w:r>
          </w:p>
        </w:tc>
        <w:tc>
          <w:tcPr>
            <w:tcW w:w="1380" w:type="dxa"/>
            <w:vAlign w:val="bottom"/>
            <w:tcBorders>
              <w:top w:val="single" w:sz="8" w:color="CCEEFF"/>
            </w:tcBorders>
            <w:shd w:val="clear" w:color="auto" w:fill="CCEEFF"/>
          </w:tcPr>
          <w:p>
            <w:pPr>
              <w:spacing w:after="0"/>
              <w:rPr>
                <w:sz w:val="9"/>
                <w:szCs w:val="9"/>
                <w:color w:val="auto"/>
              </w:rPr>
            </w:pPr>
          </w:p>
        </w:tc>
        <w:tc>
          <w:tcPr>
            <w:tcW w:w="1200" w:type="dxa"/>
            <w:vAlign w:val="bottom"/>
            <w:tcBorders>
              <w:top w:val="single" w:sz="8" w:color="CCEEFF"/>
            </w:tcBorders>
            <w:shd w:val="clear" w:color="auto" w:fill="CCEEFF"/>
          </w:tcPr>
          <w:p>
            <w:pPr>
              <w:spacing w:after="0"/>
              <w:rPr>
                <w:sz w:val="9"/>
                <w:szCs w:val="9"/>
                <w:color w:val="auto"/>
              </w:rPr>
            </w:pPr>
          </w:p>
        </w:tc>
      </w:tr>
      <w:tr>
        <w:trPr>
          <w:trHeight w:val="33"/>
        </w:trPr>
        <w:tc>
          <w:tcPr>
            <w:tcW w:w="1020" w:type="dxa"/>
            <w:vAlign w:val="bottom"/>
            <w:tcBorders>
              <w:top w:val="single" w:sz="8" w:color="CCEEFF"/>
              <w:right w:val="single" w:sz="8" w:color="CCEE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2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7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right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188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1200" w:type="dxa"/>
            <w:vAlign w:val="bottom"/>
            <w:tcBorders>
              <w:top w:val="single" w:sz="8" w:color="CCEEFF"/>
            </w:tcBorders>
            <w:shd w:val="clear" w:color="auto" w:fill="CCEEFF"/>
          </w:tcPr>
          <w:p>
            <w:pPr>
              <w:spacing w:after="0"/>
              <w:rPr>
                <w:sz w:val="2"/>
                <w:szCs w:val="2"/>
                <w:color w:val="auto"/>
              </w:rPr>
            </w:pPr>
          </w:p>
        </w:tc>
      </w:tr>
      <w:tr>
        <w:trPr>
          <w:trHeight w:val="152"/>
        </w:trPr>
        <w:tc>
          <w:tcPr>
            <w:tcW w:w="10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10.38†</w:t>
            </w:r>
          </w:p>
        </w:tc>
        <w:tc>
          <w:tcPr>
            <w:tcW w:w="5760" w:type="dxa"/>
            <w:vAlign w:val="bottom"/>
            <w:gridSpan w:val="18"/>
          </w:tcPr>
          <w:p>
            <w:pPr>
              <w:spacing w:after="0" w:line="146" w:lineRule="exact"/>
              <w:rPr>
                <w:rFonts w:ascii="Times New Roman" w:cs="Times New Roman" w:eastAsia="Times New Roman" w:hAnsi="Times New Roman"/>
                <w:sz w:val="14"/>
                <w:szCs w:val="14"/>
                <w:color w:val="0000FF"/>
              </w:rPr>
            </w:pPr>
            <w:hyperlink r:id="rId207">
              <w:r>
                <w:rPr>
                  <w:rFonts w:ascii="Times New Roman" w:cs="Times New Roman" w:eastAsia="Times New Roman" w:hAnsi="Times New Roman"/>
                  <w:sz w:val="14"/>
                  <w:szCs w:val="14"/>
                  <w:color w:val="0000FF"/>
                </w:rPr>
                <w:t xml:space="preserve">Offer Letter dated September 6, 2024, between the Company and Graham </w:t>
              </w:r>
            </w:hyperlink>
            <w:r>
              <w:rPr>
                <w:rFonts w:ascii="Times New Roman" w:cs="Times New Roman" w:eastAsia="Times New Roman" w:hAnsi="Times New Roman"/>
                <w:sz w:val="14"/>
                <w:szCs w:val="14"/>
                <w:color w:val="0000FF"/>
              </w:rPr>
              <w:t>O’Brien</w:t>
            </w:r>
          </w:p>
        </w:tc>
        <w:tc>
          <w:tcPr>
            <w:tcW w:w="1880" w:type="dxa"/>
            <w:vAlign w:val="bottom"/>
          </w:tcPr>
          <w:p>
            <w:pPr>
              <w:jc w:val="center"/>
              <w:ind w:right="110"/>
              <w:spacing w:after="0" w:line="146" w:lineRule="exact"/>
              <w:rPr>
                <w:sz w:val="20"/>
                <w:szCs w:val="20"/>
                <w:color w:val="auto"/>
              </w:rPr>
            </w:pPr>
            <w:r>
              <w:rPr>
                <w:rFonts w:ascii="Times New Roman" w:cs="Times New Roman" w:eastAsia="Times New Roman" w:hAnsi="Times New Roman"/>
                <w:sz w:val="14"/>
                <w:szCs w:val="14"/>
                <w:color w:val="auto"/>
              </w:rPr>
              <w:t>10-Q filed November 12,</w:t>
            </w:r>
          </w:p>
        </w:tc>
        <w:tc>
          <w:tcPr>
            <w:tcW w:w="1380" w:type="dxa"/>
            <w:vAlign w:val="bottom"/>
          </w:tcPr>
          <w:p>
            <w:pPr>
              <w:jc w:val="center"/>
              <w:ind w:right="109"/>
              <w:spacing w:after="0" w:line="146" w:lineRule="exact"/>
              <w:rPr>
                <w:sz w:val="20"/>
                <w:szCs w:val="20"/>
                <w:color w:val="auto"/>
              </w:rPr>
            </w:pPr>
            <w:r>
              <w:rPr>
                <w:rFonts w:ascii="Times New Roman" w:cs="Times New Roman" w:eastAsia="Times New Roman" w:hAnsi="Times New Roman"/>
                <w:sz w:val="14"/>
                <w:szCs w:val="14"/>
                <w:color w:val="auto"/>
                <w:w w:val="98"/>
              </w:rPr>
              <w:t>001-39310</w:t>
            </w:r>
          </w:p>
        </w:tc>
        <w:tc>
          <w:tcPr>
            <w:tcW w:w="12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color w:val="auto"/>
              </w:rPr>
              <w:t>10.2</w:t>
            </w:r>
          </w:p>
        </w:tc>
      </w:tr>
      <w:tr>
        <w:trPr>
          <w:trHeight w:val="157"/>
        </w:trPr>
        <w:tc>
          <w:tcPr>
            <w:tcW w:w="10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76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80" w:type="dxa"/>
            <w:vAlign w:val="bottom"/>
          </w:tcPr>
          <w:p>
            <w:pPr>
              <w:jc w:val="center"/>
              <w:ind w:right="90"/>
              <w:spacing w:after="0" w:line="157" w:lineRule="exact"/>
              <w:rPr>
                <w:sz w:val="20"/>
                <w:szCs w:val="20"/>
                <w:color w:val="auto"/>
              </w:rPr>
            </w:pPr>
            <w:r>
              <w:rPr>
                <w:rFonts w:ascii="Times New Roman" w:cs="Times New Roman" w:eastAsia="Times New Roman" w:hAnsi="Times New Roman"/>
                <w:sz w:val="14"/>
                <w:szCs w:val="14"/>
                <w:color w:val="auto"/>
                <w:w w:val="99"/>
              </w:rPr>
              <w:t>2024</w:t>
            </w:r>
          </w:p>
        </w:tc>
        <w:tc>
          <w:tcPr>
            <w:tcW w:w="1380" w:type="dxa"/>
            <w:vAlign w:val="bottom"/>
          </w:tcPr>
          <w:p>
            <w:pPr>
              <w:spacing w:after="0"/>
              <w:rPr>
                <w:sz w:val="13"/>
                <w:szCs w:val="13"/>
                <w:color w:val="auto"/>
              </w:rPr>
            </w:pPr>
          </w:p>
        </w:tc>
        <w:tc>
          <w:tcPr>
            <w:tcW w:w="1200" w:type="dxa"/>
            <w:vAlign w:val="bottom"/>
          </w:tcPr>
          <w:p>
            <w:pPr>
              <w:spacing w:after="0"/>
              <w:rPr>
                <w:sz w:val="13"/>
                <w:szCs w:val="13"/>
                <w:color w:val="auto"/>
              </w:rPr>
            </w:pPr>
          </w:p>
        </w:tc>
      </w:tr>
    </w:tbl>
    <w:p>
      <w:pPr>
        <w:spacing w:after="0" w:line="1" w:lineRule="exact"/>
        <w:rPr>
          <w:sz w:val="20"/>
          <w:szCs w:val="20"/>
          <w:color w:val="auto"/>
        </w:rPr>
      </w:pPr>
    </w:p>
    <w:p>
      <w:pPr>
        <w:sectPr>
          <w:pgSz w:w="11900" w:h="16838" w:orient="portrait"/>
          <w:cols w:equalWidth="0" w:num="1">
            <w:col w:w="11240"/>
          </w:cols>
          <w:pgMar w:left="320" w:top="111" w:right="339" w:bottom="1440" w:gutter="0" w:footer="0" w:header="0"/>
        </w:sectPr>
      </w:pPr>
    </w:p>
    <w:p>
      <w:pPr>
        <w:jc w:val="center"/>
        <w:ind w:left="200"/>
        <w:spacing w:after="0"/>
        <w:rPr>
          <w:sz w:val="20"/>
          <w:szCs w:val="20"/>
          <w:color w:val="auto"/>
        </w:rPr>
      </w:pPr>
      <w:r>
        <w:rPr>
          <w:rFonts w:ascii="Times New Roman" w:cs="Times New Roman" w:eastAsia="Times New Roman" w:hAnsi="Times New Roman"/>
          <w:sz w:val="14"/>
          <w:szCs w:val="14"/>
          <w:color w:val="auto"/>
        </w:rPr>
        <w:t>+10.39†</w:t>
      </w:r>
    </w:p>
    <w:p>
      <w:pPr>
        <w:spacing w:after="0" w:line="3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color w:val="auto"/>
        </w:rPr>
        <w:t>+10.40†</w:t>
      </w:r>
    </w:p>
    <w:p>
      <w:pPr>
        <w:spacing w:after="0" w:line="38"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color w:val="auto"/>
        </w:rPr>
        <w:t>+19.1</w:t>
      </w:r>
    </w:p>
    <w:p>
      <w:pPr>
        <w:spacing w:after="0" w:line="38"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color w:val="auto"/>
        </w:rPr>
        <w:t>+21.1</w:t>
      </w:r>
    </w:p>
    <w:p>
      <w:pPr>
        <w:spacing w:after="0" w:line="38"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color w:val="auto"/>
        </w:rPr>
        <w:t>+23.1</w:t>
      </w:r>
    </w:p>
    <w:p>
      <w:pPr>
        <w:spacing w:after="0" w:line="38"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color w:val="auto"/>
        </w:rPr>
        <w:t>+31.1</w:t>
      </w:r>
    </w:p>
    <w:p>
      <w:pPr>
        <w:spacing w:after="0" w:line="19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color w:val="auto"/>
        </w:rPr>
        <w:t>+31.2</w:t>
      </w:r>
    </w:p>
    <w:p>
      <w:pPr>
        <w:spacing w:after="0" w:line="19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color w:val="auto"/>
        </w:rPr>
        <w:t>+32.1*</w:t>
      </w:r>
    </w:p>
    <w:p>
      <w:pPr>
        <w:spacing w:after="0" w:line="197"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color w:val="auto"/>
        </w:rPr>
        <w:t>97.1</w:t>
      </w:r>
    </w:p>
    <w:p>
      <w:pPr>
        <w:spacing w:after="0" w:line="170"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color w:val="auto"/>
        </w:rPr>
        <w:t>+101.INS</w:t>
      </w:r>
    </w:p>
    <w:p>
      <w:pPr>
        <w:spacing w:after="0" w:line="38"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color w:val="auto"/>
        </w:rPr>
        <w:t>+101.SCH</w:t>
      </w:r>
    </w:p>
    <w:p>
      <w:pPr>
        <w:spacing w:after="0" w:line="38"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3"/>
          <w:szCs w:val="13"/>
          <w:color w:val="auto"/>
        </w:rPr>
        <w:t>+101.CAL</w:t>
      </w:r>
    </w:p>
    <w:p>
      <w:pPr>
        <w:spacing w:after="0" w:line="4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color w:val="auto"/>
        </w:rPr>
        <w:t>+101.DEF</w:t>
      </w:r>
    </w:p>
    <w:p>
      <w:pPr>
        <w:spacing w:after="0" w:line="38"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3"/>
          <w:szCs w:val="13"/>
          <w:color w:val="auto"/>
        </w:rPr>
        <w:t>+101.LAB</w:t>
      </w:r>
    </w:p>
    <w:p>
      <w:pPr>
        <w:spacing w:after="0" w:line="49"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color w:val="auto"/>
        </w:rPr>
        <w:t>+101.PRE</w:t>
      </w:r>
    </w:p>
    <w:p>
      <w:pPr>
        <w:spacing w:after="0" w:line="38" w:lineRule="exact"/>
        <w:rPr>
          <w:sz w:val="20"/>
          <w:szCs w:val="20"/>
          <w:color w:val="auto"/>
        </w:rPr>
      </w:pPr>
    </w:p>
    <w:p>
      <w:pPr>
        <w:jc w:val="center"/>
        <w:ind w:left="200"/>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u w:val="single" w:color="auto"/>
          <w:color w:val="0000FF"/>
        </w:rPr>
        <w:t>Employment Agreement dated February 11, 2025, between the Company and James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-104140</wp:posOffset>
            </wp:positionV>
            <wp:extent cx="7134860" cy="1263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8">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Employment Agreement dated February 11, 2025, between the Company and Ashley McGrane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21590</wp:posOffset>
            </wp:positionV>
            <wp:extent cx="7134860" cy="1263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09">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Securities Trading Policy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Subsidiaries of ZoomInfo Technologies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21590</wp:posOffset>
            </wp:positionV>
            <wp:extent cx="7134860" cy="1263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0">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Consent of KPMG LLP, Independent Registered Public Accounting Firm</w:t>
      </w:r>
    </w:p>
    <w:p>
      <w:pPr>
        <w:spacing w:after="0" w:line="38" w:lineRule="exact"/>
        <w:rPr>
          <w:sz w:val="20"/>
          <w:szCs w:val="20"/>
          <w:color w:val="auto"/>
        </w:rPr>
      </w:pPr>
    </w:p>
    <w:p>
      <w:pPr>
        <w:ind w:right="4480"/>
        <w:spacing w:after="0" w:line="251" w:lineRule="auto"/>
        <w:rPr>
          <w:sz w:val="20"/>
          <w:szCs w:val="20"/>
          <w:color w:val="auto"/>
        </w:rPr>
      </w:pPr>
      <w:r>
        <w:rPr>
          <w:rFonts w:ascii="Times New Roman" w:cs="Times New Roman" w:eastAsia="Times New Roman" w:hAnsi="Times New Roman"/>
          <w:sz w:val="14"/>
          <w:szCs w:val="14"/>
          <w:u w:val="single" w:color="auto"/>
          <w:color w:val="0000FF"/>
        </w:rPr>
        <w:t>Certification of Principal Executive Officer pursuant to Exchange Act Rules 13a-14(a) and 15d-14(a), as adopted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10795</wp:posOffset>
            </wp:positionV>
            <wp:extent cx="7134860" cy="2273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1">
                      <a:extLst>
                        <a:ext uri="{28A0092B-C50C-407E-A947-70E740481C1C}"/>
                      </a:extLst>
                    </a:blip>
                    <a:srcRect/>
                    <a:stretch>
                      <a:fillRect/>
                    </a:stretch>
                  </pic:blipFill>
                  <pic:spPr bwMode="auto">
                    <a:xfrm>
                      <a:off x="0" y="0"/>
                      <a:ext cx="7134860" cy="227330"/>
                    </a:xfrm>
                    <a:prstGeom prst="rect">
                      <a:avLst/>
                    </a:prstGeom>
                    <a:noFill/>
                  </pic:spPr>
                </pic:pic>
              </a:graphicData>
            </a:graphic>
          </wp:anchor>
        </w:drawing>
      </w:r>
    </w:p>
    <w:p>
      <w:pPr>
        <w:spacing w:after="0" w:line="1" w:lineRule="exact"/>
        <w:rPr>
          <w:sz w:val="20"/>
          <w:szCs w:val="20"/>
          <w:color w:val="auto"/>
        </w:rPr>
      </w:pPr>
    </w:p>
    <w:p>
      <w:pPr>
        <w:ind w:right="4520"/>
        <w:spacing w:after="0" w:line="251" w:lineRule="auto"/>
        <w:rPr>
          <w:sz w:val="20"/>
          <w:szCs w:val="20"/>
          <w:color w:val="auto"/>
        </w:rPr>
      </w:pPr>
      <w:r>
        <w:rPr>
          <w:rFonts w:ascii="Times New Roman" w:cs="Times New Roman" w:eastAsia="Times New Roman" w:hAnsi="Times New Roman"/>
          <w:sz w:val="14"/>
          <w:szCs w:val="14"/>
          <w:u w:val="single" w:color="auto"/>
          <w:color w:val="0000FF"/>
        </w:rPr>
        <w:t>Certification of Principal Financial Officer pursuant to Exchange Act Rules 13a-14(a) and 15d-14(a), as adopted pursuant to Section 302 of the Sarbanes-Oxley Act of 2002.</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Certifications of Principal Executive Officer and Principal Financial Officer pursuant to 18 U.S.C.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0000FF"/>
        </w:rPr>
        <w:t>Section 1350, as adopted pursuant to Section 906 of the Sarbanes-Oxley Act of 2002.</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2"/>
          </w:tcPr>
          <w:p>
            <w:pPr>
              <w:spacing w:after="0"/>
              <w:rPr>
                <w:rFonts w:ascii="Times New Roman" w:cs="Times New Roman" w:eastAsia="Times New Roman" w:hAnsi="Times New Roman"/>
                <w:sz w:val="14"/>
                <w:szCs w:val="14"/>
                <w:color w:val="0000FF"/>
              </w:rPr>
            </w:pPr>
            <w:hyperlink r:id="rId212">
              <w:r>
                <w:rPr>
                  <w:rFonts w:ascii="Times New Roman" w:cs="Times New Roman" w:eastAsia="Times New Roman" w:hAnsi="Times New Roman"/>
                  <w:sz w:val="14"/>
                  <w:szCs w:val="14"/>
                  <w:color w:val="0000FF"/>
                </w:rPr>
                <w:t>ZoomInfo Technologies Inc. Clawback Policy</w:t>
              </w:r>
            </w:hyperlink>
          </w:p>
        </w:tc>
        <w:tc>
          <w:tcPr>
            <w:tcW w:w="3340" w:type="dxa"/>
            <w:vAlign w:val="bottom"/>
          </w:tcPr>
          <w:p>
            <w:pPr>
              <w:jc w:val="center"/>
              <w:ind w:left="1289"/>
              <w:spacing w:after="0"/>
              <w:rPr>
                <w:sz w:val="20"/>
                <w:szCs w:val="20"/>
                <w:color w:val="auto"/>
              </w:rPr>
            </w:pPr>
            <w:r>
              <w:rPr>
                <w:rFonts w:ascii="Times New Roman" w:cs="Times New Roman" w:eastAsia="Times New Roman" w:hAnsi="Times New Roman"/>
                <w:sz w:val="14"/>
                <w:szCs w:val="14"/>
                <w:color w:val="auto"/>
              </w:rPr>
              <w:t>10-K filed February 15,</w:t>
            </w:r>
          </w:p>
        </w:tc>
        <w:tc>
          <w:tcPr>
            <w:tcW w:w="1420" w:type="dxa"/>
            <w:vAlign w:val="bottom"/>
            <w:vMerge w:val="restart"/>
          </w:tcPr>
          <w:p>
            <w:pPr>
              <w:jc w:val="right"/>
              <w:ind w:right="409"/>
              <w:spacing w:after="0"/>
              <w:rPr>
                <w:sz w:val="20"/>
                <w:szCs w:val="20"/>
                <w:color w:val="auto"/>
              </w:rPr>
            </w:pPr>
            <w:r>
              <w:rPr>
                <w:rFonts w:ascii="Times New Roman" w:cs="Times New Roman" w:eastAsia="Times New Roman" w:hAnsi="Times New Roman"/>
                <w:sz w:val="14"/>
                <w:szCs w:val="14"/>
                <w:color w:val="auto"/>
              </w:rPr>
              <w:t>001-39310</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0" w:type="dxa"/>
            <w:vAlign w:val="bottom"/>
          </w:tcPr>
          <w:p>
            <w:pPr>
              <w:spacing w:after="0"/>
              <w:rPr>
                <w:sz w:val="1"/>
                <w:szCs w:val="1"/>
                <w:color w:val="auto"/>
              </w:rPr>
            </w:pPr>
          </w:p>
        </w:tc>
      </w:tr>
      <w:tr>
        <w:trPr>
          <w:trHeight w:val="164"/>
        </w:trPr>
        <w:tc>
          <w:tcPr>
            <w:tcW w:w="2600" w:type="dxa"/>
            <w:vAlign w:val="bottom"/>
            <w:tcBorders>
              <w:top w:val="single" w:sz="8" w:color="0000FF"/>
            </w:tcBorders>
          </w:tcPr>
          <w:p>
            <w:pPr>
              <w:spacing w:after="0"/>
              <w:rPr>
                <w:sz w:val="14"/>
                <w:szCs w:val="14"/>
                <w:color w:val="auto"/>
              </w:rPr>
            </w:pPr>
          </w:p>
        </w:tc>
        <w:tc>
          <w:tcPr>
            <w:tcW w:w="1680" w:type="dxa"/>
            <w:vAlign w:val="bottom"/>
          </w:tcPr>
          <w:p>
            <w:pPr>
              <w:spacing w:after="0"/>
              <w:rPr>
                <w:sz w:val="14"/>
                <w:szCs w:val="14"/>
                <w:color w:val="auto"/>
              </w:rPr>
            </w:pPr>
          </w:p>
        </w:tc>
        <w:tc>
          <w:tcPr>
            <w:tcW w:w="3340" w:type="dxa"/>
            <w:vAlign w:val="bottom"/>
          </w:tcPr>
          <w:p>
            <w:pPr>
              <w:jc w:val="right"/>
              <w:ind w:right="769"/>
              <w:spacing w:after="0"/>
              <w:rPr>
                <w:sz w:val="20"/>
                <w:szCs w:val="20"/>
                <w:color w:val="auto"/>
              </w:rPr>
            </w:pPr>
            <w:r>
              <w:rPr>
                <w:rFonts w:ascii="Times New Roman" w:cs="Times New Roman" w:eastAsia="Times New Roman" w:hAnsi="Times New Roman"/>
                <w:sz w:val="14"/>
                <w:szCs w:val="14"/>
                <w:color w:val="auto"/>
              </w:rPr>
              <w:t>2024</w:t>
            </w:r>
          </w:p>
        </w:tc>
        <w:tc>
          <w:tcPr>
            <w:tcW w:w="14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-208915</wp:posOffset>
            </wp:positionV>
            <wp:extent cx="7134860" cy="2101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extLst>
                        <a:ext uri="{28A0092B-C50C-407E-A947-70E740481C1C}"/>
                      </a:extLst>
                    </a:blip>
                    <a:srcRect/>
                    <a:stretch>
                      <a:fillRect/>
                    </a:stretch>
                  </pic:blipFill>
                  <pic:spPr bwMode="auto">
                    <a:xfrm>
                      <a:off x="0" y="0"/>
                      <a:ext cx="7134860" cy="21018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XBRL Instance Document</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XBRL Taxonomy Extension Schema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-95885</wp:posOffset>
            </wp:positionV>
            <wp:extent cx="7134860" cy="1263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XBRL Taxonomy Extension Calculation Linkbase Document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-95885</wp:posOffset>
            </wp:positionV>
            <wp:extent cx="7134860" cy="1263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XBRL Taxonomy Extension Label Linkbase Document</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-95885</wp:posOffset>
            </wp:positionV>
            <wp:extent cx="7134860" cy="1263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7134860" cy="12636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117" w:lineRule="exact"/>
        <w:rPr>
          <w:sz w:val="20"/>
          <w:szCs w:val="20"/>
          <w:color w:val="auto"/>
        </w:rPr>
      </w:pPr>
    </w:p>
    <w:p>
      <w:pPr>
        <w:sectPr>
          <w:pgSz w:w="11900" w:h="16838" w:orient="portrait"/>
          <w:cols w:equalWidth="0" w:num="2">
            <w:col w:w="800" w:space="200"/>
            <w:col w:w="10240"/>
          </w:cols>
          <w:pgMar w:left="320" w:top="111"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 Management contract or compensatory plan or arrangement.</w:t>
      </w:r>
    </w:p>
    <w:p>
      <w:pPr>
        <w:spacing w:after="0" w:line="157" w:lineRule="exact"/>
        <w:rPr>
          <w:sz w:val="20"/>
          <w:szCs w:val="20"/>
          <w:color w:val="auto"/>
        </w:rPr>
      </w:pPr>
    </w:p>
    <w:p>
      <w:pPr>
        <w:jc w:val="both"/>
        <w:ind w:firstLine="6"/>
        <w:spacing w:after="0" w:line="273" w:lineRule="auto"/>
        <w:tabs>
          <w:tab w:leader="none" w:pos="109"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Annual Report on Form 10-K are not deemed filed with the Securities and Exchange Commission and are not to be incorporated by reference into any filing of ZoomInfo Technologies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716026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18" w:right="1440"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25th day of February, 2025.</w:t>
      </w:r>
    </w:p>
    <w:p>
      <w:pPr>
        <w:spacing w:after="0" w:line="150" w:lineRule="exact"/>
        <w:rPr>
          <w:sz w:val="20"/>
          <w:szCs w:val="20"/>
          <w:color w:val="auto"/>
        </w:rPr>
      </w:pPr>
    </w:p>
    <w:p>
      <w:pPr>
        <w:ind w:left="6920"/>
        <w:spacing w:after="0"/>
        <w:rPr>
          <w:sz w:val="20"/>
          <w:szCs w:val="20"/>
          <w:color w:val="auto"/>
        </w:rPr>
      </w:pPr>
      <w:r>
        <w:rPr>
          <w:rFonts w:ascii="Times New Roman" w:cs="Times New Roman" w:eastAsia="Times New Roman" w:hAnsi="Times New Roman"/>
          <w:sz w:val="18"/>
          <w:szCs w:val="18"/>
          <w:color w:val="auto"/>
        </w:rPr>
        <w:t>ZOOMINFO TECHNOLOGIES INC.</w:t>
      </w:r>
    </w:p>
    <w:p>
      <w:pPr>
        <w:spacing w:after="0" w:line="230" w:lineRule="exact"/>
        <w:rPr>
          <w:sz w:val="20"/>
          <w:szCs w:val="20"/>
          <w:color w:val="auto"/>
        </w:rPr>
      </w:pPr>
    </w:p>
    <w:p>
      <w:pPr>
        <w:ind w:left="6920"/>
        <w:spacing w:after="0"/>
        <w:tabs>
          <w:tab w:leader="none" w:pos="74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4707255</wp:posOffset>
            </wp:positionH>
            <wp:positionV relativeFrom="paragraph">
              <wp:posOffset>14605</wp:posOffset>
            </wp:positionV>
            <wp:extent cx="243141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2431415" cy="8255"/>
                    </a:xfrm>
                    <a:prstGeom prst="rect">
                      <a:avLst/>
                    </a:prstGeom>
                    <a:noFill/>
                  </pic:spPr>
                </pic:pic>
              </a:graphicData>
            </a:graphic>
          </wp:anchor>
        </w:drawing>
      </w:r>
    </w:p>
    <w:p>
      <w:pPr>
        <w:ind w:left="7440"/>
        <w:spacing w:after="0"/>
        <w:rPr>
          <w:sz w:val="20"/>
          <w:szCs w:val="20"/>
          <w:color w:val="auto"/>
        </w:rPr>
      </w:pPr>
      <w:r>
        <w:rPr>
          <w:rFonts w:ascii="Times New Roman" w:cs="Times New Roman" w:eastAsia="Times New Roman" w:hAnsi="Times New Roman"/>
          <w:sz w:val="18"/>
          <w:szCs w:val="18"/>
          <w:color w:val="auto"/>
        </w:rPr>
        <w:t>Name: Henry Schuck</w:t>
      </w:r>
    </w:p>
    <w:p>
      <w:pPr>
        <w:ind w:left="744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ectPr>
          <w:pgSz w:w="11900" w:h="16838" w:orient="portrait"/>
          <w:cols w:equalWidth="0" w:num="1">
            <w:col w:w="11240"/>
          </w:cols>
          <w:pgMar w:left="320" w:top="118" w:right="339" w:bottom="1440" w:gutter="0" w:footer="0" w:header="0"/>
        </w:sectPr>
      </w:pPr>
    </w:p>
    <w:p>
      <w:pPr>
        <w:spacing w:after="0" w:line="144"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249047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77"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Henry Schuck</w:t>
      </w:r>
    </w:p>
    <w:p>
      <w:pPr>
        <w:spacing w:after="0" w:line="7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Keith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Keith Enright</w:t>
      </w:r>
    </w:p>
    <w:p>
      <w:pPr>
        <w:spacing w:after="0" w:line="7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Ashley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Ashley Evans</w:t>
      </w:r>
    </w:p>
    <w:p>
      <w:pPr>
        <w:spacing w:after="0" w:line="7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Alison Gleeson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Alison Gleeson</w:t>
      </w:r>
    </w:p>
    <w:p>
      <w:pPr>
        <w:spacing w:after="0" w:line="7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 Mark Mader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Mark Mader</w:t>
      </w:r>
    </w:p>
    <w:p>
      <w:pPr>
        <w:spacing w:after="0" w:line="7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 Domenic Maida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Domenic Maida</w:t>
      </w:r>
    </w:p>
    <w:p>
      <w:pPr>
        <w:spacing w:after="0" w:line="71"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18"/>
          <w:szCs w:val="18"/>
          <w:color w:val="auto"/>
        </w:rPr>
        <w:t>/s/ Patrick McCarter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Patrick McCarter</w:t>
      </w:r>
    </w:p>
    <w:p>
      <w:pPr>
        <w:spacing w:after="0" w:line="71"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/s/ Katie Rooney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Katie Rooney</w:t>
      </w:r>
    </w:p>
    <w:p>
      <w:pPr>
        <w:spacing w:after="0" w:line="71"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/s/ D. Randall Winn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color w:val="auto"/>
        </w:rPr>
        <w:t>D. Randall Winn</w:t>
      </w:r>
    </w:p>
    <w:p>
      <w:pPr>
        <w:spacing w:after="0" w:line="71"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/s/ Owen Wurzbacher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249047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1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Owen Wurzbacher</w:t>
      </w:r>
    </w:p>
    <w:p>
      <w:pPr>
        <w:spacing w:after="0" w:line="7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/s/ M. Graham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24904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2490470" cy="8255"/>
                    </a:xfrm>
                    <a:prstGeom prst="rect">
                      <a:avLst/>
                    </a:prstGeom>
                    <a:noFill/>
                  </pic:spPr>
                </pic:pic>
              </a:graphicData>
            </a:graphic>
          </wp:anchor>
        </w:drawing>
      </w:r>
    </w:p>
    <w:p>
      <w:pPr>
        <w:spacing w:after="0" w:line="23"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M. Graham O’Brien</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wp:posOffset>
            </wp:positionH>
            <wp:positionV relativeFrom="paragraph">
              <wp:posOffset>31115</wp:posOffset>
            </wp:positionV>
            <wp:extent cx="326453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3264535" cy="8255"/>
                    </a:xfrm>
                    <a:prstGeom prst="rect">
                      <a:avLst/>
                    </a:prstGeom>
                    <a:noFill/>
                  </pic:spPr>
                </pic:pic>
              </a:graphicData>
            </a:graphic>
          </wp:anchor>
        </w:drawing>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Chief Executive Officer and Chairman of the Board of Directors</w:t>
      </w:r>
    </w:p>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1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Director</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Director</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Interim Chief Financial Officer (principal financial officer &amp; principal</w:t>
      </w:r>
    </w:p>
    <w:p>
      <w:pPr>
        <w:jc w:val="center"/>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31115</wp:posOffset>
            </wp:positionV>
            <wp:extent cx="126174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22225</wp:posOffset>
            </wp:positionV>
            <wp:extent cx="126174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1261745" cy="8255"/>
                    </a:xfrm>
                    <a:prstGeom prst="rect">
                      <a:avLst/>
                    </a:prstGeom>
                    <a:noFill/>
                  </pic:spPr>
                </pic:pic>
              </a:graphicData>
            </a:graphic>
          </wp:anchor>
        </w:drawing>
      </w:r>
    </w:p>
    <w:p>
      <w:pPr>
        <w:spacing w:after="0" w:line="450" w:lineRule="exact"/>
        <w:rPr>
          <w:sz w:val="20"/>
          <w:szCs w:val="20"/>
          <w:color w:val="auto"/>
        </w:rPr>
      </w:pPr>
    </w:p>
    <w:p>
      <w:pPr>
        <w:sectPr>
          <w:pgSz w:w="11900" w:h="16838" w:orient="portrait"/>
          <w:cols w:equalWidth="0" w:num="3">
            <w:col w:w="3380" w:space="720"/>
            <w:col w:w="4980" w:space="520"/>
            <w:col w:w="1640"/>
          </w:cols>
          <w:pgMar w:left="320" w:top="11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123</w:t>
      </w:r>
    </w:p>
    <w:p>
      <w:pPr>
        <w:sectPr>
          <w:pgSz w:w="11900" w:h="16838" w:orient="portrait"/>
          <w:cols w:equalWidth="0" w:num="1">
            <w:col w:w="11240"/>
          </w:cols>
          <w:pgMar w:left="320" w:top="118" w:right="339" w:bottom="1440" w:gutter="0" w:footer="0" w:header="0"/>
          <w:type w:val="continuous"/>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10.39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ZOOMINFO TECHNOLOGIES</w:t>
      </w:r>
    </w:p>
    <w:p>
      <w:pPr>
        <w:spacing w:after="0" w:line="22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spacing w:after="0" w:line="22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21"/>
          <w:szCs w:val="21"/>
          <w:color w:val="auto"/>
        </w:rPr>
        <w:t>THIS EMPLOYMENT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by and between ZoomInfo Technologies LLC, a Delaware limited liability company, on the one hand, and James Roth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on the other, as of February 11, 2025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The Company and Executive are referred to herein individually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WHEREAS, the Company would like to continue to engage the services of Executive on a full-time basis, and Executive would like to continue to be so engaged;</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WHEREAS, the Company and Executive have agreed on terms for such services and compensation therefor; and</w:t>
      </w:r>
    </w:p>
    <w:p>
      <w:pPr>
        <w:spacing w:after="0" w:line="23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WHEREAS, the Company and Executive wish to enter into a formal written agreement to document such relationship in order to set forth, among other matters (a) Executive’s services and compensation therefor, (b) the nature of Executive’s employment by the Company, (c) the Company’s exclusive ownership of and right to designs, inventions, trade secrets, and proprietary and confidential information relating to the Company, and (d) the resolution of all disputes, claims and any other matters in question arising out of or relating to the Parties’ employment relationship.</w:t>
      </w:r>
    </w:p>
    <w:p>
      <w:pPr>
        <w:spacing w:after="0" w:line="168"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color w:val="auto"/>
        </w:rPr>
        <w:t>NOW, THEREFORE, in consideration of the promises and mutual covenants set forth herein and for other good and valuable consideration, the receipt and sufficiency of which are hereby acknowledged, the Parties agree as follows:</w:t>
      </w:r>
    </w:p>
    <w:p>
      <w:pPr>
        <w:spacing w:after="0" w:line="125" w:lineRule="exact"/>
        <w:rPr>
          <w:sz w:val="20"/>
          <w:szCs w:val="20"/>
          <w:color w:val="auto"/>
        </w:rPr>
      </w:pPr>
    </w:p>
    <w:p>
      <w:pPr>
        <w:jc w:val="both"/>
        <w:ind w:firstLine="6"/>
        <w:spacing w:after="0" w:line="263" w:lineRule="auto"/>
        <w:tabs>
          <w:tab w:leader="none" w:pos="636"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Employment Term</w:t>
      </w:r>
      <w:r>
        <w:rPr>
          <w:rFonts w:ascii="Times New Roman" w:cs="Times New Roman" w:eastAsia="Times New Roman" w:hAnsi="Times New Roman"/>
          <w:sz w:val="21"/>
          <w:szCs w:val="21"/>
          <w:color w:val="auto"/>
        </w:rPr>
        <w:t>. Executive’s employment pursuant to this Agreement shall be effective as of the effective date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Effective Date and shall continue until terminated as provided in Section 4 below. The period during which Executive is employed by the Company hereunder is hereinafter referred to as the “</w:t>
      </w:r>
      <w:r>
        <w:rPr>
          <w:rFonts w:ascii="Times New Roman" w:cs="Times New Roman" w:eastAsia="Times New Roman" w:hAnsi="Times New Roman"/>
          <w:sz w:val="21"/>
          <w:szCs w:val="21"/>
          <w:u w:val="single" w:color="auto"/>
          <w:color w:val="auto"/>
        </w:rPr>
        <w:t>Employment Term</w:t>
      </w:r>
      <w:r>
        <w:rPr>
          <w:rFonts w:ascii="Times New Roman" w:cs="Times New Roman" w:eastAsia="Times New Roman" w:hAnsi="Times New Roman"/>
          <w:sz w:val="21"/>
          <w:szCs w:val="21"/>
          <w:color w:val="auto"/>
        </w:rPr>
        <w:t>.” The last day of Executive’s employment with the Company is hereinafter referred to as the “</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ind w:left="640" w:hanging="634"/>
        <w:spacing w:after="0"/>
        <w:tabs>
          <w:tab w:leader="none" w:pos="640" w:val="left"/>
        </w:tabs>
        <w:numPr>
          <w:ilvl w:val="0"/>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Title; Duties; Reporting</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jc w:val="both"/>
        <w:ind w:firstLine="642"/>
        <w:spacing w:after="0" w:line="259" w:lineRule="auto"/>
        <w:tabs>
          <w:tab w:leader="none" w:pos="1269" w:val="left"/>
        </w:tabs>
        <w:numPr>
          <w:ilvl w:val="1"/>
          <w:numId w:val="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 shall continue to be employed by the Company as Chief Revenue Officer. Executive’s authority and responsibilities shall be those customary to the role of Chief Revenue Officer. Executive’s duties shall include overseeing the Company’s revenue generating functions, assisting the Chief Executive Officer in executing the Company’s sales execution strategies, and performing any such other tasks as may be assigned from time to time by the Chief Executive Officer. Executive shall devote substantially all of Executive’s business time (excluding periods of vacation and other approved leaves of absence) to the performance of his duties with the Company.</w:t>
      </w:r>
    </w:p>
    <w:p>
      <w:pPr>
        <w:spacing w:after="0" w:line="172" w:lineRule="exact"/>
        <w:rPr>
          <w:rFonts w:ascii="Times New Roman" w:cs="Times New Roman" w:eastAsia="Times New Roman" w:hAnsi="Times New Roman"/>
          <w:sz w:val="21"/>
          <w:szCs w:val="21"/>
          <w:color w:val="010000"/>
        </w:rPr>
      </w:pPr>
    </w:p>
    <w:p>
      <w:pPr>
        <w:ind w:left="1280" w:hanging="638"/>
        <w:spacing w:after="0"/>
        <w:tabs>
          <w:tab w:leader="none" w:pos="1280" w:val="left"/>
        </w:tabs>
        <w:numPr>
          <w:ilvl w:val="1"/>
          <w:numId w:val="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During the Employment Term, Executive shall report to the Company’s Chief Executive Officer.</w:t>
      </w:r>
    </w:p>
    <w:p>
      <w:pPr>
        <w:sectPr>
          <w:pgSz w:w="11900" w:h="16838" w:orient="portrait"/>
          <w:cols w:equalWidth="0" w:num="1">
            <w:col w:w="11240"/>
          </w:cols>
          <w:pgMar w:left="320" w:top="119" w:right="339" w:bottom="1440" w:gutter="0" w:footer="0" w:header="0"/>
        </w:sectPr>
      </w:pPr>
    </w:p>
    <w:bookmarkStart w:id="133" w:name="page134"/>
    <w:bookmarkEnd w:id="133"/>
    <w:p>
      <w:pPr>
        <w:jc w:val="both"/>
        <w:ind w:firstLine="642"/>
        <w:spacing w:after="0" w:line="257" w:lineRule="auto"/>
        <w:tabs>
          <w:tab w:leader="none" w:pos="1269" w:val="left"/>
        </w:tabs>
        <w:numPr>
          <w:ilvl w:val="1"/>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 shall devote Executive’s best efforts to Executive’s performance of Executive’s duties hereunder and shall not engage in any other business or employment that would prevent Executive from fully and satisfactorily performing the services required by the Company or that would result in a conflict of interest. Executive shall perform Executive’s duties, responsibilities, and functions for the Company to the best of Executive’s abilities in a diligent, trustworthy, businesslike, and efficient manner. Executive’s duties will be determined by the Company and may include activities for the benefit of the Company’s subsidiaries or affiliates. Executive shall perform his duties applying Executive’s fiduciary duty to the Company in accordance with laws, the provisions of this Agreement, the Company’s organizational documents, and general directives and specific instructions given to Executive by the Company from time to time. Executive will also abide by all Company policies and procedures as may be in effect from time to time, including, without limitation, those set forth in the applicable Employee Handbook.</w:t>
      </w:r>
    </w:p>
    <w:p>
      <w:pPr>
        <w:spacing w:after="0" w:line="176" w:lineRule="exact"/>
        <w:rPr>
          <w:rFonts w:ascii="Times New Roman" w:cs="Times New Roman" w:eastAsia="Times New Roman" w:hAnsi="Times New Roman"/>
          <w:sz w:val="21"/>
          <w:szCs w:val="21"/>
          <w:color w:val="010000"/>
        </w:rPr>
      </w:pPr>
    </w:p>
    <w:p>
      <w:pPr>
        <w:jc w:val="both"/>
        <w:ind w:firstLine="642"/>
        <w:spacing w:after="0" w:line="267" w:lineRule="auto"/>
        <w:tabs>
          <w:tab w:leader="none" w:pos="1267" w:val="left"/>
        </w:tabs>
        <w:numPr>
          <w:ilvl w:val="1"/>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principal place of Executive’s employment shall be Bethesda, MD, or otherwise designated as remote;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Executive may be required to travel on Company business and to work out of other of the Company’s offices from time to time. Executive may work remotely with prior approval of the Company.</w:t>
      </w:r>
    </w:p>
    <w:p>
      <w:pPr>
        <w:spacing w:after="0" w:line="161" w:lineRule="exact"/>
        <w:rPr>
          <w:rFonts w:ascii="Times New Roman" w:cs="Times New Roman" w:eastAsia="Times New Roman" w:hAnsi="Times New Roman"/>
          <w:sz w:val="21"/>
          <w:szCs w:val="21"/>
          <w:color w:val="010000"/>
        </w:rPr>
      </w:pPr>
    </w:p>
    <w:p>
      <w:pPr>
        <w:jc w:val="both"/>
        <w:ind w:firstLine="642"/>
        <w:spacing w:after="0" w:line="259" w:lineRule="auto"/>
        <w:tabs>
          <w:tab w:leader="none" w:pos="1269" w:val="left"/>
        </w:tabs>
        <w:numPr>
          <w:ilvl w:val="1"/>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 agrees that (i) Executive’s title, position, salary, responsibilities, education, professional certifications, and background, as they relate to Executive’s employment by the Company under this Agreement, classify Executive as an “Exempt” employee and “Regular Full-Time” for purposes of all state and federal laws that relate to overtime pay and other employment law and policy matters; (ii) Executive shall receive only the compensation and benefits described herein; and (iii) Executive shall not be eligible for or receive any extra overtime or other special payment or compensation under this Agreement, including, without limitation, for hours of work performed outside of regular business hours, on holidays or otherwise.</w:t>
      </w:r>
    </w:p>
    <w:p>
      <w:pPr>
        <w:spacing w:after="0" w:line="221" w:lineRule="exact"/>
        <w:rPr>
          <w:rFonts w:ascii="Times New Roman" w:cs="Times New Roman" w:eastAsia="Times New Roman" w:hAnsi="Times New Roman"/>
          <w:sz w:val="21"/>
          <w:szCs w:val="21"/>
          <w:color w:val="010000"/>
        </w:rPr>
      </w:pPr>
    </w:p>
    <w:p>
      <w:pPr>
        <w:ind w:left="640" w:hanging="634"/>
        <w:spacing w:after="0"/>
        <w:tabs>
          <w:tab w:leader="none" w:pos="640"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Compensation and Benefits</w:t>
      </w:r>
      <w:r>
        <w:rPr>
          <w:rFonts w:ascii="Times New Roman" w:cs="Times New Roman" w:eastAsia="Times New Roman" w:hAnsi="Times New Roman"/>
          <w:sz w:val="21"/>
          <w:szCs w:val="21"/>
          <w:color w:val="auto"/>
        </w:rPr>
        <w:t>.</w:t>
      </w:r>
    </w:p>
    <w:p>
      <w:pPr>
        <w:spacing w:after="0" w:line="235" w:lineRule="exact"/>
        <w:rPr>
          <w:rFonts w:ascii="Times New Roman" w:cs="Times New Roman" w:eastAsia="Times New Roman" w:hAnsi="Times New Roman"/>
          <w:sz w:val="21"/>
          <w:szCs w:val="21"/>
          <w:color w:val="auto"/>
        </w:rPr>
      </w:pPr>
    </w:p>
    <w:p>
      <w:pPr>
        <w:jc w:val="both"/>
        <w:ind w:firstLine="642"/>
        <w:spacing w:after="0" w:line="263" w:lineRule="auto"/>
        <w:tabs>
          <w:tab w:leader="none" w:pos="1269" w:val="left"/>
        </w:tabs>
        <w:numPr>
          <w:ilvl w:val="1"/>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During the Employment Term, Executive’s base salary shall be paid at a rate of 500,000.00 US Dollars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 annum (the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payable in regular installments in accordance with the Company’s general payroll practices. Your base salary will be eligible for an annual review and adjustment as approved by the Chief Executive Officer and as approved by the Compensation Committee of Company’s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Compensation Committee</w:t>
      </w:r>
      <w:r>
        <w:rPr>
          <w:rFonts w:ascii="Times New Roman" w:cs="Times New Roman" w:eastAsia="Times New Roman" w:hAnsi="Times New Roman"/>
          <w:sz w:val="21"/>
          <w:szCs w:val="21"/>
          <w:color w:val="auto"/>
        </w:rPr>
        <w: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97" w:right="339" w:bottom="1440" w:gutter="0" w:footer="0" w:header="0"/>
        </w:sectPr>
      </w:pPr>
    </w:p>
    <w:bookmarkStart w:id="134" w:name="page135"/>
    <w:bookmarkEnd w:id="134"/>
    <w:p>
      <w:pPr>
        <w:jc w:val="both"/>
        <w:ind w:firstLine="642"/>
        <w:spacing w:after="0" w:line="255" w:lineRule="auto"/>
        <w:tabs>
          <w:tab w:leader="none" w:pos="1267" w:val="left"/>
        </w:tabs>
        <w:numPr>
          <w:ilvl w:val="0"/>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Annual Performance Bonus</w:t>
      </w:r>
      <w:r>
        <w:rPr>
          <w:rFonts w:ascii="Times New Roman" w:cs="Times New Roman" w:eastAsia="Times New Roman" w:hAnsi="Times New Roman"/>
          <w:sz w:val="21"/>
          <w:szCs w:val="21"/>
          <w:color w:val="auto"/>
        </w:rPr>
        <w:t>. In respect of each fiscal year of the Company occurring during the Employment 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shall be eligible for an annual cash incentive bonus (the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with a target bonus amount of 100% of the Base Salary (the “Target Bonus Amount”). The actual Annual Bonus amount paid will be based upon the achievement of specific performance targets for such fiscal year, as approved by the Compensation Committee, subject to the Committee’s discretion. The Annual Bonus shall otherwise be subject to the terms and conditions of the annual bonus plan adopted by the Board or the Compensation Committee, under which bonuses are generally payable to senior executives of the Company, as in effect for the relevant fiscal year. The Annual Bonus shall be paid to Executive at the same time as annual bonuses are generally payable to other senior executives of the Company, but in no event later than March 15th of the calendar year immediately following the calendar year to which such Annual Bonus relates. The Company may modify or eliminate the Annual Performance Bonus at any time, subject to approval by the Compensation Committee or the Board. Modification or elimination of the Annual Performance Bonus shall not constitute “Good Reason” as defined in Section 4(h), provided that the Company provides additional compensation in the form of an adjustment to base salary, stock-based compensation, or other performance-based award where the sum of the components of the adjustments is economically equivalent, if achieved, to the Annual Bonus amount.</w:t>
      </w:r>
    </w:p>
    <w:p>
      <w:pPr>
        <w:spacing w:after="0" w:line="175" w:lineRule="exact"/>
        <w:rPr>
          <w:rFonts w:ascii="Times New Roman" w:cs="Times New Roman" w:eastAsia="Times New Roman" w:hAnsi="Times New Roman"/>
          <w:sz w:val="21"/>
          <w:szCs w:val="21"/>
          <w:color w:val="010000"/>
        </w:rPr>
      </w:pPr>
    </w:p>
    <w:p>
      <w:pPr>
        <w:jc w:val="both"/>
        <w:ind w:firstLine="642"/>
        <w:spacing w:after="0" w:line="260" w:lineRule="auto"/>
        <w:tabs>
          <w:tab w:leader="none" w:pos="1269" w:val="left"/>
        </w:tabs>
        <w:numPr>
          <w:ilvl w:val="0"/>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Other Benefits</w:t>
      </w:r>
      <w:r>
        <w:rPr>
          <w:rFonts w:ascii="Times New Roman" w:cs="Times New Roman" w:eastAsia="Times New Roman" w:hAnsi="Times New Roman"/>
          <w:sz w:val="21"/>
          <w:szCs w:val="21"/>
          <w:color w:val="auto"/>
        </w:rPr>
        <w:t>. During the Employment Term, Executive shall be entitled to participate in all employee benefit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plans, practices, programs and perquisite arrangements provided generally to the most senior executives of the Company, as in effect from time to time (collectively, “</w:t>
      </w:r>
      <w:r>
        <w:rPr>
          <w:rFonts w:ascii="Times New Roman" w:cs="Times New Roman" w:eastAsia="Times New Roman" w:hAnsi="Times New Roman"/>
          <w:sz w:val="21"/>
          <w:szCs w:val="21"/>
          <w:u w:val="single" w:color="auto"/>
          <w:color w:val="auto"/>
        </w:rPr>
        <w:t>Employee Benefit Plans</w:t>
      </w:r>
      <w:r>
        <w:rPr>
          <w:rFonts w:ascii="Times New Roman" w:cs="Times New Roman" w:eastAsia="Times New Roman" w:hAnsi="Times New Roman"/>
          <w:sz w:val="21"/>
          <w:szCs w:val="21"/>
          <w:color w:val="auto"/>
        </w:rPr>
        <w:t>”), on a basis which is no less favorable than is provided to other similarly situated employees of the Company, to the extent consistent with applicable law and the terms of applicable Employee Benefit Plans. The Company reserves the right to amend or cancel any Employee Benefit Plans at any time in its sole discretion, subject to the terms of such Employee Benefit Plan and applicable law.</w:t>
      </w:r>
    </w:p>
    <w:p>
      <w:pPr>
        <w:spacing w:after="0" w:line="179" w:lineRule="exact"/>
        <w:rPr>
          <w:rFonts w:ascii="Times New Roman" w:cs="Times New Roman" w:eastAsia="Times New Roman" w:hAnsi="Times New Roman"/>
          <w:sz w:val="21"/>
          <w:szCs w:val="21"/>
          <w:color w:val="010000"/>
        </w:rPr>
      </w:pPr>
    </w:p>
    <w:p>
      <w:pPr>
        <w:jc w:val="both"/>
        <w:ind w:firstLine="642"/>
        <w:spacing w:after="0" w:line="260" w:lineRule="auto"/>
        <w:tabs>
          <w:tab w:leader="none" w:pos="1267" w:val="left"/>
        </w:tabs>
        <w:numPr>
          <w:ilvl w:val="0"/>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Vacation</w:t>
      </w:r>
      <w:r>
        <w:rPr>
          <w:rFonts w:ascii="Times New Roman" w:cs="Times New Roman" w:eastAsia="Times New Roman" w:hAnsi="Times New Roman"/>
          <w:sz w:val="21"/>
          <w:szCs w:val="21"/>
          <w:color w:val="auto"/>
        </w:rPr>
        <w:t>. During the Employment Term, Executive shall be entitled to paid vacation in accordance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vacation policies applicable to Exempt employees, as in effect from time to time. Executive’s vacation days shall be taken at such time or times during the applicable year as may be mutually agreed upon by Executive and the Company, thereby taking into consideration the needs of the Company and the personal wishes of Executive. The Company reserves the right to grant additional vacation time or to deny any request for vacation or time-off at its sole discretion, unless the leave is for illness or other exigent circumstances or is otherwise authorized by law.</w:t>
      </w:r>
    </w:p>
    <w:p>
      <w:pPr>
        <w:spacing w:after="0" w:line="166" w:lineRule="exact"/>
        <w:rPr>
          <w:rFonts w:ascii="Times New Roman" w:cs="Times New Roman" w:eastAsia="Times New Roman" w:hAnsi="Times New Roman"/>
          <w:sz w:val="21"/>
          <w:szCs w:val="21"/>
          <w:color w:val="010000"/>
        </w:rPr>
      </w:pPr>
    </w:p>
    <w:p>
      <w:pPr>
        <w:jc w:val="both"/>
        <w:ind w:firstLine="642"/>
        <w:spacing w:after="0" w:line="269" w:lineRule="auto"/>
        <w:tabs>
          <w:tab w:leader="none" w:pos="1269" w:val="left"/>
        </w:tabs>
        <w:numPr>
          <w:ilvl w:val="0"/>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Withholding Taxes</w:t>
      </w:r>
      <w:r>
        <w:rPr>
          <w:rFonts w:ascii="Times New Roman" w:cs="Times New Roman" w:eastAsia="Times New Roman" w:hAnsi="Times New Roman"/>
          <w:sz w:val="21"/>
          <w:szCs w:val="21"/>
          <w:color w:val="auto"/>
        </w:rPr>
        <w:t>. All amounts payable to Executive as compensation hereunder, including any bonuses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monetary incentives, shall be subject to such federal, state and local taxes as may be required to be withheld pursuant to any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93" w:right="339" w:bottom="1440" w:gutter="0" w:footer="0" w:header="0"/>
        </w:sectPr>
      </w:pPr>
    </w:p>
    <w:bookmarkStart w:id="135" w:name="page136"/>
    <w:bookmarkEnd w:id="135"/>
    <w:p>
      <w:pPr>
        <w:jc w:val="both"/>
        <w:ind w:firstLine="642"/>
        <w:spacing w:after="0" w:line="269" w:lineRule="auto"/>
        <w:tabs>
          <w:tab w:leader="none" w:pos="1272" w:val="left"/>
        </w:tabs>
        <w:numPr>
          <w:ilvl w:val="1"/>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Expense Reimbursement</w:t>
      </w:r>
      <w:r>
        <w:rPr>
          <w:rFonts w:ascii="Times New Roman" w:cs="Times New Roman" w:eastAsia="Times New Roman" w:hAnsi="Times New Roman"/>
          <w:sz w:val="21"/>
          <w:szCs w:val="21"/>
          <w:color w:val="auto"/>
        </w:rPr>
        <w:t>. Executive shall be reimbursed for reasonable out-of-pocket expenses incurred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in the furtherance of the Company’s business, provided Executive obtains all required approvals and submits all required verification as provided by Company policy.</w:t>
      </w:r>
    </w:p>
    <w:p>
      <w:pPr>
        <w:spacing w:after="0" w:line="168" w:lineRule="exact"/>
        <w:rPr>
          <w:rFonts w:ascii="Times New Roman" w:cs="Times New Roman" w:eastAsia="Times New Roman" w:hAnsi="Times New Roman"/>
          <w:sz w:val="21"/>
          <w:szCs w:val="21"/>
          <w:color w:val="010000"/>
        </w:rPr>
      </w:pPr>
    </w:p>
    <w:p>
      <w:pPr>
        <w:jc w:val="both"/>
        <w:ind w:firstLine="642"/>
        <w:spacing w:after="0" w:line="269" w:lineRule="auto"/>
        <w:tabs>
          <w:tab w:leader="none" w:pos="1267" w:val="left"/>
        </w:tabs>
        <w:numPr>
          <w:ilvl w:val="1"/>
          <w:numId w:val="5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Equity Compensation</w:t>
      </w:r>
      <w:r>
        <w:rPr>
          <w:rFonts w:ascii="Times New Roman" w:cs="Times New Roman" w:eastAsia="Times New Roman" w:hAnsi="Times New Roman"/>
          <w:sz w:val="21"/>
          <w:szCs w:val="21"/>
          <w:color w:val="auto"/>
        </w:rPr>
        <w:t>. Executive will be eligible to receive equity awards under the Company’s 2020 Omnibus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Incentive Plan (the “</w:t>
      </w:r>
      <w:r>
        <w:rPr>
          <w:rFonts w:ascii="Times New Roman" w:cs="Times New Roman" w:eastAsia="Times New Roman" w:hAnsi="Times New Roman"/>
          <w:sz w:val="21"/>
          <w:szCs w:val="21"/>
          <w:u w:val="single" w:color="auto"/>
          <w:color w:val="auto"/>
        </w:rPr>
        <w:t>OIP</w:t>
      </w:r>
      <w:r>
        <w:rPr>
          <w:rFonts w:ascii="Times New Roman" w:cs="Times New Roman" w:eastAsia="Times New Roman" w:hAnsi="Times New Roman"/>
          <w:sz w:val="21"/>
          <w:szCs w:val="21"/>
          <w:color w:val="auto"/>
        </w:rPr>
        <w:t>”) and to participate in any future long-term incentive programs made generally available to the Company’s senior executives as determined by the Board.</w:t>
      </w:r>
    </w:p>
    <w:p>
      <w:pPr>
        <w:spacing w:after="0" w:line="208" w:lineRule="exact"/>
        <w:rPr>
          <w:rFonts w:ascii="Times New Roman" w:cs="Times New Roman" w:eastAsia="Times New Roman" w:hAnsi="Times New Roman"/>
          <w:sz w:val="21"/>
          <w:szCs w:val="21"/>
          <w:color w:val="010000"/>
        </w:rPr>
      </w:pPr>
    </w:p>
    <w:p>
      <w:pPr>
        <w:ind w:left="640" w:hanging="634"/>
        <w:spacing w:after="0"/>
        <w:tabs>
          <w:tab w:leader="none" w:pos="640" w:val="left"/>
        </w:tabs>
        <w:numPr>
          <w:ilvl w:val="0"/>
          <w:numId w:val="5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of Employment</w:t>
      </w:r>
      <w:r>
        <w:rPr>
          <w:rFonts w:ascii="Times New Roman" w:cs="Times New Roman" w:eastAsia="Times New Roman" w:hAnsi="Times New Roman"/>
          <w:sz w:val="21"/>
          <w:szCs w:val="21"/>
          <w:color w:val="auto"/>
        </w:rPr>
        <w:t>.</w:t>
      </w:r>
    </w:p>
    <w:p>
      <w:pPr>
        <w:spacing w:after="0" w:line="235" w:lineRule="exact"/>
        <w:rPr>
          <w:rFonts w:ascii="Times New Roman" w:cs="Times New Roman" w:eastAsia="Times New Roman" w:hAnsi="Times New Roman"/>
          <w:sz w:val="21"/>
          <w:szCs w:val="21"/>
          <w:color w:val="auto"/>
        </w:rPr>
      </w:pPr>
    </w:p>
    <w:p>
      <w:pPr>
        <w:jc w:val="both"/>
        <w:ind w:firstLine="642"/>
        <w:spacing w:after="0" w:line="287" w:lineRule="auto"/>
        <w:tabs>
          <w:tab w:leader="none" w:pos="1269" w:val="left"/>
        </w:tabs>
        <w:numPr>
          <w:ilvl w:val="1"/>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Termination of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Employment Term and Executive’s employment hereunder may be terminated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either the Company or Executive at any time and for any reason; provided, that, unless otherwise provided herein, either Party shall be required to give the other at least thirty (30) days’ advance written notice of any termination (and the Company shall be entitled to pay Executive Base Salary for such notice period in lieu of actual notice). Upon termination of Executive’s employment during the Employment Term, Executive shall have no further rights to any compensation or benefits from the Company or any of its affiliates, except as set forth in this Section 4 or as provided under the OIP or any other documents pursuant to which equity awards have been granted.</w:t>
      </w:r>
    </w:p>
    <w:p>
      <w:pPr>
        <w:spacing w:after="0" w:line="164" w:lineRule="exact"/>
        <w:rPr>
          <w:rFonts w:ascii="Times New Roman" w:cs="Times New Roman" w:eastAsia="Times New Roman" w:hAnsi="Times New Roman"/>
          <w:sz w:val="21"/>
          <w:szCs w:val="21"/>
          <w:color w:val="010000"/>
        </w:rPr>
      </w:pPr>
    </w:p>
    <w:p>
      <w:pPr>
        <w:jc w:val="both"/>
        <w:ind w:firstLine="642"/>
        <w:spacing w:after="0" w:line="289" w:lineRule="auto"/>
        <w:tabs>
          <w:tab w:leader="none" w:pos="1267" w:val="left"/>
        </w:tabs>
        <w:numPr>
          <w:ilvl w:val="1"/>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 xml:space="preserve">Termination by the Company for Cause or by Executive Without Good Reason. </w:t>
      </w:r>
      <w:r>
        <w:rPr>
          <w:rFonts w:ascii="Times New Roman" w:cs="Times New Roman" w:eastAsia="Times New Roman" w:hAnsi="Times New Roman"/>
          <w:sz w:val="21"/>
          <w:szCs w:val="21"/>
          <w:color w:val="auto"/>
        </w:rPr>
        <w:t>If Executive’s employment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terminated by the Company for “Cause,” or by Executive without “Good Reason,” Executive shall be entitled to receive: (i) any accrued but unpaid Base Salary through the Termination Date; and (ii) reimbursement for unreimbursed business expenses properly incurred prior to the Termination Date ((i) and (ii) collectively, the “Accrued Amounts”). No additional payments or benefits shall be due under this Agreement in such circumstances.</w:t>
      </w:r>
    </w:p>
    <w:p>
      <w:pPr>
        <w:spacing w:after="0" w:line="175" w:lineRule="exact"/>
        <w:rPr>
          <w:rFonts w:ascii="Times New Roman" w:cs="Times New Roman" w:eastAsia="Times New Roman" w:hAnsi="Times New Roman"/>
          <w:sz w:val="21"/>
          <w:szCs w:val="21"/>
          <w:color w:val="010000"/>
        </w:rPr>
      </w:pPr>
    </w:p>
    <w:p>
      <w:pPr>
        <w:jc w:val="both"/>
        <w:ind w:firstLine="642"/>
        <w:spacing w:after="0" w:line="285" w:lineRule="auto"/>
        <w:tabs>
          <w:tab w:leader="none" w:pos="1269" w:val="left"/>
        </w:tabs>
        <w:numPr>
          <w:ilvl w:val="1"/>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 xml:space="preserve">Termination by the Company Without Cause or by Executive for Good Reason (Not Connected to a Change in Control). </w:t>
      </w:r>
      <w:r>
        <w:rPr>
          <w:rFonts w:ascii="Times New Roman" w:cs="Times New Roman" w:eastAsia="Times New Roman" w:hAnsi="Times New Roman"/>
          <w:sz w:val="21"/>
          <w:szCs w:val="21"/>
          <w:color w:val="auto"/>
        </w:rPr>
        <w:t>The Employment Term and Executive’s employment hereunder may be terminated either by the Company without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Cause or by Executive for Good Reason, in each case not in connection with a Change in Control (subject to Section 4(d)). In the event of such a termination, Executive shall be entitled to receive: (1) Accrued Amounts; and (2) The “Severance Amount,” but only if (A) Executive has materially complied with and remains in material compliance with Sections 5, 6, and 7 of this Agreement, and (B) Executive executes and does not revoke a general release of claims in a form substantially similar to Exhibit A (the “Release”) within forty-five (45) days following the Termination Date, The Severance Amount shall consist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93" w:right="339" w:bottom="1440" w:gutter="0" w:footer="0" w:header="0"/>
        </w:sectPr>
      </w:pPr>
    </w:p>
    <w:bookmarkStart w:id="136" w:name="page137"/>
    <w:bookmarkEnd w:id="136"/>
    <w:p>
      <w:pPr>
        <w:jc w:val="both"/>
        <w:ind w:firstLine="1278"/>
        <w:spacing w:after="0" w:line="300" w:lineRule="auto"/>
        <w:tabs>
          <w:tab w:leader="none" w:pos="1896" w:val="left"/>
        </w:tabs>
        <w:numPr>
          <w:ilvl w:val="1"/>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Cash Severance: A single lump sum payment equal to fifty percent (50%) of Executive’s then-current Base Salary, payable within sixty (60) days following the Termination Date (subject to any timing rules if the Release period straddles two calendar years).</w:t>
      </w:r>
    </w:p>
    <w:p>
      <w:pPr>
        <w:spacing w:after="0" w:line="154" w:lineRule="exact"/>
        <w:rPr>
          <w:rFonts w:ascii="Times New Roman" w:cs="Times New Roman" w:eastAsia="Times New Roman" w:hAnsi="Times New Roman"/>
          <w:sz w:val="21"/>
          <w:szCs w:val="21"/>
          <w:color w:val="010000"/>
        </w:rPr>
      </w:pPr>
    </w:p>
    <w:p>
      <w:pPr>
        <w:jc w:val="both"/>
        <w:ind w:firstLine="1278"/>
        <w:spacing w:after="0" w:line="312" w:lineRule="auto"/>
        <w:tabs>
          <w:tab w:leader="none" w:pos="1902" w:val="left"/>
        </w:tabs>
        <w:numPr>
          <w:ilvl w:val="1"/>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Healthcare Coverage: Reimbursement or payment of Executive’s health insurance premiums for nine (9) months under COBRA (or an equivalent arrangement), provided Executive timely elects continuation coverage and remains eligible.</w:t>
      </w:r>
    </w:p>
    <w:p>
      <w:pPr>
        <w:spacing w:after="0" w:line="200" w:lineRule="exact"/>
        <w:rPr>
          <w:rFonts w:ascii="Times New Roman" w:cs="Times New Roman" w:eastAsia="Times New Roman" w:hAnsi="Times New Roman"/>
          <w:sz w:val="21"/>
          <w:szCs w:val="21"/>
          <w:color w:val="010000"/>
        </w:rPr>
      </w:pPr>
    </w:p>
    <w:p>
      <w:pPr>
        <w:spacing w:after="0" w:line="232" w:lineRule="exact"/>
        <w:rPr>
          <w:rFonts w:ascii="Times New Roman" w:cs="Times New Roman" w:eastAsia="Times New Roman" w:hAnsi="Times New Roman"/>
          <w:sz w:val="21"/>
          <w:szCs w:val="21"/>
          <w:color w:val="010000"/>
        </w:rPr>
      </w:pPr>
    </w:p>
    <w:p>
      <w:pPr>
        <w:jc w:val="both"/>
        <w:ind w:firstLine="1278"/>
        <w:spacing w:after="0" w:line="294" w:lineRule="auto"/>
        <w:tabs>
          <w:tab w:leader="none" w:pos="1970" w:val="left"/>
        </w:tabs>
        <w:numPr>
          <w:ilvl w:val="1"/>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Pro-Rata Annual Bonus: Payment of a pro-rated portion of Executive’s annual cash-based Annual Bonus, if such a plan exists for the year of termination, based on actual performance and prorated for the portion of the year in which Executive remained employed.</w:t>
      </w:r>
    </w:p>
    <w:p>
      <w:pPr>
        <w:spacing w:after="0" w:line="159" w:lineRule="exact"/>
        <w:rPr>
          <w:rFonts w:ascii="Times New Roman" w:cs="Times New Roman" w:eastAsia="Times New Roman" w:hAnsi="Times New Roman"/>
          <w:sz w:val="21"/>
          <w:szCs w:val="21"/>
          <w:color w:val="010000"/>
        </w:rPr>
      </w:pPr>
    </w:p>
    <w:p>
      <w:pPr>
        <w:jc w:val="both"/>
        <w:ind w:firstLine="1278"/>
        <w:spacing w:after="0" w:line="280" w:lineRule="auto"/>
        <w:tabs>
          <w:tab w:leader="none" w:pos="1896" w:val="left"/>
        </w:tabs>
        <w:numPr>
          <w:ilvl w:val="1"/>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Acceleration of Time-Based Equity: Accelerated vesting of any time-based restricted stock units (RSUs) or comparable time-based equity awards that would otherwise have vested in the twelve (12) months immediately following the Termination Date, subject to specified Fair Market Value (FMV) caps determined as of the termination date:</w:t>
      </w:r>
    </w:p>
    <w:p>
      <w:pPr>
        <w:spacing w:after="0" w:line="2" w:lineRule="exact"/>
        <w:rPr>
          <w:rFonts w:ascii="Times New Roman" w:cs="Times New Roman" w:eastAsia="Times New Roman" w:hAnsi="Times New Roman"/>
          <w:sz w:val="21"/>
          <w:szCs w:val="21"/>
          <w:color w:val="010000"/>
        </w:rPr>
      </w:pPr>
    </w:p>
    <w:p>
      <w:pPr>
        <w:ind w:left="2540" w:hanging="626"/>
        <w:spacing w:after="0"/>
        <w:tabs>
          <w:tab w:leader="none" w:pos="2540" w:val="left"/>
        </w:tabs>
        <w:numPr>
          <w:ilvl w:val="2"/>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 to $2,000,000 for 3 years of service;</w:t>
      </w:r>
    </w:p>
    <w:p>
      <w:pPr>
        <w:spacing w:after="0" w:line="36" w:lineRule="exact"/>
        <w:rPr>
          <w:rFonts w:ascii="Times New Roman" w:cs="Times New Roman" w:eastAsia="Times New Roman" w:hAnsi="Times New Roman"/>
          <w:sz w:val="21"/>
          <w:szCs w:val="21"/>
          <w:color w:val="010000"/>
        </w:rPr>
      </w:pPr>
    </w:p>
    <w:p>
      <w:pPr>
        <w:ind w:left="2560" w:hanging="646"/>
        <w:spacing w:after="0"/>
        <w:tabs>
          <w:tab w:leader="none" w:pos="2560" w:val="left"/>
        </w:tabs>
        <w:numPr>
          <w:ilvl w:val="2"/>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 to $2,750,000 for 4 years;</w:t>
      </w:r>
    </w:p>
    <w:p>
      <w:pPr>
        <w:spacing w:after="0" w:line="50" w:lineRule="exact"/>
        <w:rPr>
          <w:rFonts w:ascii="Times New Roman" w:cs="Times New Roman" w:eastAsia="Times New Roman" w:hAnsi="Times New Roman"/>
          <w:sz w:val="21"/>
          <w:szCs w:val="21"/>
          <w:color w:val="010000"/>
        </w:rPr>
      </w:pPr>
    </w:p>
    <w:p>
      <w:pPr>
        <w:ind w:left="2540" w:hanging="626"/>
        <w:spacing w:after="0"/>
        <w:tabs>
          <w:tab w:leader="none" w:pos="2540" w:val="left"/>
        </w:tabs>
        <w:numPr>
          <w:ilvl w:val="2"/>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 to $3,500,000 for 5 years;</w:t>
      </w:r>
    </w:p>
    <w:p>
      <w:pPr>
        <w:spacing w:after="0" w:line="36" w:lineRule="exact"/>
        <w:rPr>
          <w:rFonts w:ascii="Times New Roman" w:cs="Times New Roman" w:eastAsia="Times New Roman" w:hAnsi="Times New Roman"/>
          <w:sz w:val="21"/>
          <w:szCs w:val="21"/>
          <w:color w:val="010000"/>
        </w:rPr>
      </w:pPr>
    </w:p>
    <w:p>
      <w:pPr>
        <w:ind w:left="2560" w:hanging="646"/>
        <w:spacing w:after="0"/>
        <w:tabs>
          <w:tab w:leader="none" w:pos="2560" w:val="left"/>
        </w:tabs>
        <w:numPr>
          <w:ilvl w:val="2"/>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and up to $4,250,000 for 6+ years.</w:t>
      </w:r>
    </w:p>
    <w:p>
      <w:pPr>
        <w:spacing w:after="0" w:line="36" w:lineRule="exact"/>
        <w:rPr>
          <w:rFonts w:ascii="Times New Roman" w:cs="Times New Roman" w:eastAsia="Times New Roman" w:hAnsi="Times New Roman"/>
          <w:sz w:val="21"/>
          <w:szCs w:val="21"/>
          <w:color w:val="010000"/>
        </w:rPr>
      </w:pPr>
    </w:p>
    <w:p>
      <w:pPr>
        <w:ind w:left="2560" w:hanging="646"/>
        <w:spacing w:after="0" w:line="324" w:lineRule="auto"/>
        <w:tabs>
          <w:tab w:leader="none" w:pos="2548" w:val="left"/>
        </w:tabs>
        <w:numPr>
          <w:ilvl w:val="2"/>
          <w:numId w:val="5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clarity, years of service will be calculated from the date the executive commenced employment, in any role, at the Company.</w:t>
      </w:r>
    </w:p>
    <w:p>
      <w:pPr>
        <w:spacing w:after="0" w:line="125" w:lineRule="exact"/>
        <w:rPr>
          <w:rFonts w:ascii="Times New Roman" w:cs="Times New Roman" w:eastAsia="Times New Roman" w:hAnsi="Times New Roman"/>
          <w:sz w:val="21"/>
          <w:szCs w:val="21"/>
          <w:color w:val="010000"/>
        </w:rPr>
      </w:pPr>
    </w:p>
    <w:p>
      <w:pPr>
        <w:jc w:val="both"/>
        <w:ind w:firstLine="642"/>
        <w:spacing w:after="0" w:line="289" w:lineRule="auto"/>
        <w:tabs>
          <w:tab w:leader="none" w:pos="1267"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 xml:space="preserve">Termination by the Company Without Cause or by Executive for Good Reason Within Twelve (12) Months Following a Change in Control. </w:t>
      </w:r>
      <w:r>
        <w:rPr>
          <w:rFonts w:ascii="Times New Roman" w:cs="Times New Roman" w:eastAsia="Times New Roman" w:hAnsi="Times New Roman"/>
          <w:sz w:val="21"/>
          <w:szCs w:val="21"/>
          <w:color w:val="auto"/>
        </w:rPr>
        <w:t>If Executive’s employment is terminated by the Company without Cause or by Executive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Good Reason within twelve (12) months after a “Change in Control” (as defined in the OIP or the relevant award agreement), then in lieu of the severance benefits described above, Executive shall be entitled to receive: (1) Accrued Amounts; and (2) Enhanced Severance Benefits, subject to the same compliance conditions and Release requirements referenced above:</w:t>
      </w:r>
    </w:p>
    <w:p>
      <w:pPr>
        <w:spacing w:after="0" w:line="166" w:lineRule="exact"/>
        <w:rPr>
          <w:rFonts w:ascii="Times New Roman" w:cs="Times New Roman" w:eastAsia="Times New Roman" w:hAnsi="Times New Roman"/>
          <w:sz w:val="21"/>
          <w:szCs w:val="21"/>
          <w:color w:val="010000"/>
        </w:rPr>
      </w:pPr>
    </w:p>
    <w:p>
      <w:pPr>
        <w:jc w:val="both"/>
        <w:ind w:firstLine="1278"/>
        <w:spacing w:after="0" w:line="300" w:lineRule="auto"/>
        <w:tabs>
          <w:tab w:leader="none" w:pos="1896" w:val="left"/>
        </w:tabs>
        <w:numPr>
          <w:ilvl w:val="1"/>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Cash Severance: A single lump sum payment equal to seventy-five percent (75%) of Executive’s then-current Base Salary, payable within sixty (60) days following the Termination Date (subject to the Release timing rules if it straddles two calendar years).</w:t>
      </w:r>
    </w:p>
    <w:p>
      <w:pPr>
        <w:spacing w:after="0" w:line="154" w:lineRule="exact"/>
        <w:rPr>
          <w:rFonts w:ascii="Times New Roman" w:cs="Times New Roman" w:eastAsia="Times New Roman" w:hAnsi="Times New Roman"/>
          <w:sz w:val="21"/>
          <w:szCs w:val="21"/>
          <w:color w:val="010000"/>
        </w:rPr>
      </w:pPr>
    </w:p>
    <w:p>
      <w:pPr>
        <w:ind w:firstLine="1278"/>
        <w:spacing w:after="0" w:line="311" w:lineRule="auto"/>
        <w:tabs>
          <w:tab w:leader="none" w:pos="1902" w:val="left"/>
        </w:tabs>
        <w:numPr>
          <w:ilvl w:val="1"/>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Healthcare Coverage: Reimbursement or payment of Executive’s health insurance premiums for twelve (12) months, provided Executive timely elects COBRA (or equivalent) and remains eligible.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11" w:right="339" w:bottom="1440" w:gutter="0" w:footer="0" w:header="0"/>
        </w:sectPr>
      </w:pPr>
    </w:p>
    <w:bookmarkStart w:id="137" w:name="page138"/>
    <w:bookmarkEnd w:id="137"/>
    <w:p>
      <w:pPr>
        <w:ind w:firstLine="1278"/>
        <w:spacing w:after="0" w:line="311" w:lineRule="auto"/>
        <w:tabs>
          <w:tab w:leader="none" w:pos="1908" w:val="left"/>
        </w:tabs>
        <w:numPr>
          <w:ilvl w:val="1"/>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Annual Bonus: Payment of one hundred percent (100%) of Executive’s cash-based Annual Bonus for the year of termination (if applicable), at target (or prorated per the plan, if so required).</w:t>
      </w:r>
    </w:p>
    <w:p>
      <w:pPr>
        <w:spacing w:after="0" w:line="155" w:lineRule="exact"/>
        <w:rPr>
          <w:rFonts w:ascii="Times New Roman" w:cs="Times New Roman" w:eastAsia="Times New Roman" w:hAnsi="Times New Roman"/>
          <w:sz w:val="21"/>
          <w:szCs w:val="21"/>
          <w:color w:val="010000"/>
        </w:rPr>
      </w:pPr>
    </w:p>
    <w:p>
      <w:pPr>
        <w:ind w:left="1900" w:hanging="622"/>
        <w:spacing w:after="0"/>
        <w:tabs>
          <w:tab w:leader="none" w:pos="1900" w:val="left"/>
        </w:tabs>
        <w:numPr>
          <w:ilvl w:val="1"/>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Full Acceleration of Time-Based Equity: All outstanding time-based equity awards vest in full (100%).</w:t>
      </w:r>
    </w:p>
    <w:p>
      <w:pPr>
        <w:spacing w:after="0" w:line="248" w:lineRule="exact"/>
        <w:rPr>
          <w:rFonts w:ascii="Times New Roman" w:cs="Times New Roman" w:eastAsia="Times New Roman" w:hAnsi="Times New Roman"/>
          <w:sz w:val="21"/>
          <w:szCs w:val="21"/>
          <w:color w:val="010000"/>
        </w:rPr>
      </w:pPr>
    </w:p>
    <w:p>
      <w:pPr>
        <w:jc w:val="both"/>
        <w:ind w:firstLine="1278"/>
        <w:spacing w:after="0" w:line="294" w:lineRule="auto"/>
        <w:tabs>
          <w:tab w:leader="none" w:pos="1903" w:val="left"/>
        </w:tabs>
        <w:numPr>
          <w:ilvl w:val="1"/>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Performance-Based Equity: Any outstanding performance-based equity awards vest at the greater of (i) at target, or (ii) the actual attainment level determined in good faith by the Board (or its authorized committee). If that attainment is determined after the Termination Date, shares in excess of target shall vest as soon as practicable thereafter.</w:t>
      </w:r>
    </w:p>
    <w:p>
      <w:pPr>
        <w:spacing w:after="0" w:line="155" w:lineRule="exact"/>
        <w:rPr>
          <w:rFonts w:ascii="Times New Roman" w:cs="Times New Roman" w:eastAsia="Times New Roman" w:hAnsi="Times New Roman"/>
          <w:sz w:val="21"/>
          <w:szCs w:val="21"/>
          <w:color w:val="010000"/>
        </w:rPr>
      </w:pPr>
    </w:p>
    <w:p>
      <w:pPr>
        <w:ind w:left="1280" w:hanging="638"/>
        <w:spacing w:after="0"/>
        <w:tabs>
          <w:tab w:leader="none" w:pos="1280" w:val="left"/>
        </w:tabs>
        <w:numPr>
          <w:ilvl w:val="0"/>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Death or Disability</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010000"/>
        </w:rPr>
      </w:pPr>
    </w:p>
    <w:p>
      <w:pPr>
        <w:ind w:firstLine="1278"/>
        <w:spacing w:after="0" w:line="285" w:lineRule="auto"/>
        <w:tabs>
          <w:tab w:leader="none" w:pos="1896" w:val="left"/>
        </w:tabs>
        <w:numPr>
          <w:ilvl w:val="1"/>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Executive’s employment hereunder shall terminate automatically upon Executive’s death during the Employment Term, and the Company may terminate Executive’s employment on account of Executive’s Disability.</w:t>
      </w:r>
    </w:p>
    <w:p>
      <w:pPr>
        <w:spacing w:after="0" w:line="141" w:lineRule="exact"/>
        <w:rPr>
          <w:rFonts w:ascii="Times New Roman" w:cs="Times New Roman" w:eastAsia="Times New Roman" w:hAnsi="Times New Roman"/>
          <w:sz w:val="21"/>
          <w:szCs w:val="21"/>
          <w:color w:val="010000"/>
        </w:rPr>
      </w:pPr>
    </w:p>
    <w:p>
      <w:pPr>
        <w:jc w:val="both"/>
        <w:ind w:firstLine="1278"/>
        <w:spacing w:after="0" w:line="257" w:lineRule="auto"/>
        <w:tabs>
          <w:tab w:leader="none" w:pos="1902" w:val="left"/>
        </w:tabs>
        <w:numPr>
          <w:ilvl w:val="1"/>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Executive’s employment is terminated during the Employment Term on account of Executive’s death or Disability, Executive (or Executive’s estate and/or beneficiaries, as the case may be) shall be entitled to receive the Accrued Amounts plus the expected amount of Executive’s Annual Performance Bonus for the year in which such termination occurs, pro-rated through the Termination Date. Additionally, the Company will cause to accelerate any time-based restricted stock units or other form of time-based equity that would have otherwise become vested in the twelve (12) months immediately following the death or Disability of the Executive. The accelerated equity shall be transferred or delivered to the Executive’s estate and/or beneficiaries in accordance with the terms of the applicable award agreement, ZoomInfo’s Omnibus Incentive Plan, or as otherwise approved by the Company’s Board of Directors.</w:t>
      </w:r>
    </w:p>
    <w:p>
      <w:pPr>
        <w:spacing w:after="0" w:line="179" w:lineRule="exact"/>
        <w:rPr>
          <w:rFonts w:ascii="Times New Roman" w:cs="Times New Roman" w:eastAsia="Times New Roman" w:hAnsi="Times New Roman"/>
          <w:sz w:val="21"/>
          <w:szCs w:val="21"/>
          <w:color w:val="010000"/>
        </w:rPr>
      </w:pPr>
    </w:p>
    <w:p>
      <w:pPr>
        <w:jc w:val="both"/>
        <w:ind w:firstLine="642"/>
        <w:spacing w:after="0" w:line="269" w:lineRule="auto"/>
        <w:tabs>
          <w:tab w:leader="none" w:pos="1272" w:val="left"/>
        </w:tabs>
        <w:numPr>
          <w:ilvl w:val="0"/>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 xml:space="preserve">Resignation of All Other Positions. </w:t>
      </w:r>
      <w:r>
        <w:rPr>
          <w:rFonts w:ascii="Times New Roman" w:cs="Times New Roman" w:eastAsia="Times New Roman" w:hAnsi="Times New Roman"/>
          <w:sz w:val="21"/>
          <w:szCs w:val="21"/>
          <w:color w:val="auto"/>
        </w:rPr>
        <w:t>Upon termination of Executive’s employment hereunder for any reason,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agrees to resign from all positions that Executive holds as an officer or member of a board (or a committee thereof) of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11" w:right="339" w:bottom="1440" w:gutter="0" w:footer="0" w:header="0"/>
        </w:sectPr>
      </w:pPr>
    </w:p>
    <w:bookmarkStart w:id="138" w:name="page139"/>
    <w:bookmarkEnd w:id="138"/>
    <w:p>
      <w:pPr>
        <w:jc w:val="both"/>
        <w:ind w:firstLine="642"/>
        <w:spacing w:after="0" w:line="255" w:lineRule="auto"/>
        <w:tabs>
          <w:tab w:leader="none" w:pos="1267" w:val="left"/>
        </w:tabs>
        <w:numPr>
          <w:ilvl w:val="0"/>
          <w:numId w:val="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Section 280G</w:t>
      </w:r>
      <w:r>
        <w:rPr>
          <w:rFonts w:ascii="Times New Roman" w:cs="Times New Roman" w:eastAsia="Times New Roman" w:hAnsi="Times New Roman"/>
          <w:sz w:val="21"/>
          <w:szCs w:val="21"/>
          <w:color w:val="auto"/>
        </w:rPr>
        <w:t>. Notwithstanding anything in this Agreement to the contrary, if the payments and benefits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afforded to Executive under Section 4 hereof (the “</w:t>
      </w:r>
      <w:r>
        <w:rPr>
          <w:rFonts w:ascii="Times New Roman" w:cs="Times New Roman" w:eastAsia="Times New Roman" w:hAnsi="Times New Roman"/>
          <w:sz w:val="21"/>
          <w:szCs w:val="21"/>
          <w:u w:val="single" w:color="auto"/>
          <w:color w:val="auto"/>
        </w:rPr>
        <w:t>Severance Benefits</w:t>
      </w:r>
      <w:r>
        <w:rPr>
          <w:rFonts w:ascii="Times New Roman" w:cs="Times New Roman" w:eastAsia="Times New Roman" w:hAnsi="Times New Roman"/>
          <w:sz w:val="21"/>
          <w:szCs w:val="21"/>
          <w:color w:val="auto"/>
        </w:rPr>
        <w:t>”) either alone or together with other payments and benefits which Executive has the right receive from the Company (or any affiliate) would constitute a “parachute payment” under Section 280G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and but for this Section 4(f), would be subject to the excise tax imposed by Section 4999 of the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the Severance Benefits shall be reduced (the “</w:t>
      </w:r>
      <w:r>
        <w:rPr>
          <w:rFonts w:ascii="Times New Roman" w:cs="Times New Roman" w:eastAsia="Times New Roman" w:hAnsi="Times New Roman"/>
          <w:sz w:val="21"/>
          <w:szCs w:val="21"/>
          <w:u w:val="single" w:color="auto"/>
          <w:color w:val="auto"/>
        </w:rPr>
        <w:t>Benefit Reduction</w:t>
      </w:r>
      <w:r>
        <w:rPr>
          <w:rFonts w:ascii="Times New Roman" w:cs="Times New Roman" w:eastAsia="Times New Roman" w:hAnsi="Times New Roman"/>
          <w:sz w:val="21"/>
          <w:szCs w:val="21"/>
          <w:color w:val="auto"/>
        </w:rPr>
        <w:t xml:space="preserve">”) by the minimum amount necessary to result in no portion of the Severance Benefits being subject to the Excise Tax,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Benefit Reduction shall only occur if such reduction would result in Executive’s “Net After-Tax Amount” attributable to the Severance Benefits being greater than it would be if no Benefit Reduction was effected. For this purpose, “Net After-Tax Amount” shall mean the net amount of Severance Benefits Executive is entitled under this Agreement after giving effect to all federal, state and local taxes which would be applicable to such payments and benefits, including but not limited to, the Excise Tax. Nothing contained herein shall result in the reduction of any payments or benefits to which Executive may be entitled upon termination of employment and/or a change in control other than as specified in this Section 4(f), or a reduction in the Severance Benefits below zero.</w:t>
      </w:r>
    </w:p>
    <w:p>
      <w:pPr>
        <w:spacing w:after="0" w:line="175" w:lineRule="exact"/>
        <w:rPr>
          <w:rFonts w:ascii="Times New Roman" w:cs="Times New Roman" w:eastAsia="Times New Roman" w:hAnsi="Times New Roman"/>
          <w:sz w:val="21"/>
          <w:szCs w:val="21"/>
          <w:color w:val="010000"/>
        </w:rPr>
      </w:pPr>
    </w:p>
    <w:p>
      <w:pPr>
        <w:ind w:left="1280" w:hanging="638"/>
        <w:spacing w:after="0"/>
        <w:tabs>
          <w:tab w:leader="none" w:pos="1280" w:val="left"/>
        </w:tabs>
        <w:numPr>
          <w:ilvl w:val="0"/>
          <w:numId w:val="6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240" w:lineRule="exact"/>
        <w:rPr>
          <w:sz w:val="20"/>
          <w:szCs w:val="20"/>
          <w:color w:val="auto"/>
        </w:rPr>
      </w:pPr>
    </w:p>
    <w:p>
      <w:pPr>
        <w:jc w:val="both"/>
        <w:ind w:firstLine="1272"/>
        <w:spacing w:after="0" w:line="254" w:lineRule="auto"/>
        <w:rPr>
          <w:sz w:val="20"/>
          <w:szCs w:val="20"/>
          <w:color w:val="auto"/>
        </w:rPr>
      </w:pPr>
      <w:r>
        <w:rPr>
          <w:rFonts w:ascii="Times New Roman" w:cs="Times New Roman" w:eastAsia="Times New Roman" w:hAnsi="Times New Roman"/>
          <w:sz w:val="21"/>
          <w:szCs w:val="21"/>
          <w:color w:val="010000"/>
        </w:rPr>
        <w:t xml:space="preserve">(i) </w:t>
      </w:r>
      <w:r>
        <w:rPr>
          <w:rFonts w:ascii="Times New Roman" w:cs="Times New Roman" w:eastAsia="Times New Roman" w:hAnsi="Times New Roman"/>
          <w:sz w:val="21"/>
          <w:szCs w:val="21"/>
          <w:color w:val="000000"/>
        </w:rPr>
        <w:t>For purposes of this Agreement, “</w:t>
      </w:r>
      <w:r>
        <w:rPr>
          <w:rFonts w:ascii="Times New Roman" w:cs="Times New Roman" w:eastAsia="Times New Roman" w:hAnsi="Times New Roman"/>
          <w:sz w:val="21"/>
          <w:szCs w:val="21"/>
          <w:u w:val="single" w:color="auto"/>
          <w:color w:val="000000"/>
        </w:rPr>
        <w:t>Cause</w:t>
      </w:r>
      <w:r>
        <w:rPr>
          <w:rFonts w:ascii="Times New Roman" w:cs="Times New Roman" w:eastAsia="Times New Roman" w:hAnsi="Times New Roman"/>
          <w:sz w:val="21"/>
          <w:szCs w:val="21"/>
          <w:color w:val="000000"/>
        </w:rPr>
        <w:t>” shall mean: (1) The Executive’s (i) willful and continued failure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to perform Executive’s duties (other than any such failure resulting from incapacity due to physical or mental illness), or (ii) continued failure to meet reasonable performance standards or objectives, in each case after the Chief Executive Officer has provided written notice and a reasonable opportunity (not less than sixty (60) days) to cure such deficiency to the satisfaction of the Chief Executive Officer; (2) Executive’s willful and continued failure to comply with any valid and legal directive of the Board; (3) Executive’s engagement in fraud, embezzlement, or other illegal or gross misconduct, which is, in each case, materially injurious to the Company or its affiliates; (4) Executive’s conviction of or plea of guilty or no contest to a crime that constitutes a felony or a crime that constitutes a misdemeanor involving moral turpitude; (5) Executive’s willful and continued violation of a material policy of the Company; or (6) Executive’s willful and material breach of any material obligation under this Agreement or any other written agreement between Executive and the Company. Except (a) where a cure period is specifically defined above, or (b) for a failure, breach, or refusal which, by its nature, cannot reasonably be expected to be cured, Executive shall have 20 business days from the delivery of written notice by the Company within which to cure any acts constituting Cause;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that if the Company reasonably expects irreparable injury from a delay of 20 business days, the Company may give Executive notice of such shorter period within which to cure as is reasonable under the circumstances, which may include the termination of Executive’s employment without notice and with immediate effect. For purposes of the definition, no act, or failure to act, by Executive shall be considered “willful” unless done, or omitted, by him in bad faith, or without a reasonable belief that such act or omission was in the best interests of the Company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93" w:right="339" w:bottom="1440" w:gutter="0" w:footer="0" w:header="0"/>
        </w:sectPr>
      </w:pPr>
    </w:p>
    <w:bookmarkStart w:id="139" w:name="page140"/>
    <w:bookmarkEnd w:id="139"/>
    <w:p>
      <w:pPr>
        <w:jc w:val="both"/>
        <w:ind w:firstLine="1278"/>
        <w:spacing w:after="0" w:line="262" w:lineRule="auto"/>
        <w:tabs>
          <w:tab w:leader="none" w:pos="1902" w:val="left"/>
        </w:tabs>
        <w:numPr>
          <w:ilvl w:val="2"/>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shall mean Executive’s inability, due to physical or mental incapacity, to perform the essential functions of his job for 180 consecutive days. Any question as to the existence of Executive’s Disability as to which Executive and the Company cannot agree shall be determined by a qualified, mutually agreed upon independent physician. The determination of Disability made in writing to the Company and Executive shall be final and conclusive for all purposes of this Agreement.</w:t>
      </w:r>
    </w:p>
    <w:p>
      <w:pPr>
        <w:spacing w:after="0" w:line="165" w:lineRule="exact"/>
        <w:rPr>
          <w:rFonts w:ascii="Times New Roman" w:cs="Times New Roman" w:eastAsia="Times New Roman" w:hAnsi="Times New Roman"/>
          <w:sz w:val="21"/>
          <w:szCs w:val="21"/>
          <w:color w:val="010000"/>
        </w:rPr>
      </w:pPr>
    </w:p>
    <w:p>
      <w:pPr>
        <w:jc w:val="both"/>
        <w:ind w:firstLine="1278"/>
        <w:spacing w:after="0" w:line="255" w:lineRule="auto"/>
        <w:tabs>
          <w:tab w:leader="none" w:pos="1908" w:val="left"/>
        </w:tabs>
        <w:numPr>
          <w:ilvl w:val="2"/>
          <w:numId w:val="6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any of the following: (1) any material breach by the Company of any material provision of this Agreement during the employment term without Executive’s written consent; (2) any change in Executive’s title, or any material diminution of Executive’s duties, responsibilities, or status in a manner not consistent with this Agreement, without Executive’s consent; (3) reduction of Executive’s Base Salary, without Executive’s consent; (4) relocation of Executive’s principal place of business that will require Executive to travel a materially greater distance on a regular basis (as compared with Executive’s prior practice) without Executive’s consent; or (5) the failure of a successor in interest to the Company (whether by merger, stock purchase, or acquisition of all or substantially all of the Company’s assets) to assume this Agreement within 15 days of such transaction. Executive cannot terminate Executive’s employment for Good Reason unless Executive has provided written notice to the Company of the existence of the circumstances providing grounds for termination for Good Reason within 30 days of the first occurrence of applicable grounds, and the Company has had a least 30 days from the date on which such notice is provided to cure such circumstances. If the Company fails to cure, and Executive does not resign for Good Reason within 20 days following the expiration of the Company’s cure period, then Executive will be deemed to have waived his right to terminate for Good Reason with respect to the grounds asserted.</w:t>
      </w:r>
    </w:p>
    <w:p>
      <w:pPr>
        <w:spacing w:after="0" w:line="224" w:lineRule="exact"/>
        <w:rPr>
          <w:rFonts w:ascii="Times New Roman" w:cs="Times New Roman" w:eastAsia="Times New Roman" w:hAnsi="Times New Roman"/>
          <w:sz w:val="21"/>
          <w:szCs w:val="21"/>
          <w:color w:val="010000"/>
        </w:rPr>
      </w:pPr>
    </w:p>
    <w:p>
      <w:pPr>
        <w:ind w:left="640" w:hanging="634"/>
        <w:spacing w:after="0"/>
        <w:tabs>
          <w:tab w:leader="none" w:pos="64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Trade Secrets and Confidential Information; Confidentiality of Employment Terms</w:t>
      </w:r>
      <w:r>
        <w:rPr>
          <w:rFonts w:ascii="Times New Roman" w:cs="Times New Roman" w:eastAsia="Times New Roman" w:hAnsi="Times New Roman"/>
          <w:sz w:val="21"/>
          <w:szCs w:val="21"/>
          <w:color w:val="auto"/>
        </w:rPr>
        <w:t>.</w:t>
      </w:r>
    </w:p>
    <w:p>
      <w:pPr>
        <w:spacing w:after="0" w:line="239" w:lineRule="exact"/>
        <w:rPr>
          <w:rFonts w:ascii="Times New Roman" w:cs="Times New Roman" w:eastAsia="Times New Roman" w:hAnsi="Times New Roman"/>
          <w:sz w:val="21"/>
          <w:szCs w:val="21"/>
          <w:color w:val="auto"/>
        </w:rPr>
      </w:pPr>
    </w:p>
    <w:p>
      <w:pPr>
        <w:jc w:val="both"/>
        <w:ind w:firstLine="642"/>
        <w:spacing w:after="0" w:line="255" w:lineRule="auto"/>
        <w:tabs>
          <w:tab w:leader="none" w:pos="1269" w:val="left"/>
        </w:tabs>
        <w:numPr>
          <w:ilvl w:val="1"/>
          <w:numId w:val="6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 acknowledges and agrees that, as a result of Executive’s employment, Executive will have access to trade secrets and other confidential and/or proprietary information of the Company, its customers, clients and vendors (“</w:t>
      </w:r>
      <w:r>
        <w:rPr>
          <w:rFonts w:ascii="Times New Roman" w:cs="Times New Roman" w:eastAsia="Times New Roman" w:hAnsi="Times New Roman"/>
          <w:sz w:val="21"/>
          <w:szCs w:val="21"/>
          <w:u w:val="single" w:color="auto"/>
          <w:color w:val="auto"/>
        </w:rPr>
        <w:t>Trade Secrets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Such Trade Secrets and Confidential Information and other such information includes, but is not limited to, any and all: (i) customers, clients and vendors, and client, customer, supplier and vendor lists; (ii) accounting and business methods; (iii) services or products and the marketing of such services and products; (iv) fees, costs and pricing structures; (v) designs; (vi) analyses; (vii) drawings, photographs and reports; (viii) computer software, including operating systems, applications and program listings; (ix) flow charts, manuals and documentation; databases and database access and manipulation methods, tools and software; (xi) inventions, devices, new developments, methods, tools and processes, whether patentable or unpatentable and whether or not reduced to practice; (xii) copyrightable works; (xiii) technology and trade secrets; (xiv) templates, forms and formatting tools; (xv) specifications; (xvi) analysis reporting and analysis methods and processes; and (xvii) all similar and related information, in whatever form. The Company acknowledges that this protection only extends to confidential information and not publicly available and generally known or available information or information not protectable from non-disclosure under the applicable law. Executive agrees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97" w:right="339" w:bottom="1440" w:gutter="0" w:footer="0" w:header="0"/>
        </w:sectPr>
      </w:pPr>
    </w:p>
    <w:bookmarkStart w:id="140" w:name="page141"/>
    <w:bookmarkEnd w:id="140"/>
    <w:p>
      <w:pPr>
        <w:jc w:val="both"/>
        <w:spacing w:after="0" w:line="254" w:lineRule="auto"/>
        <w:rPr>
          <w:sz w:val="20"/>
          <w:szCs w:val="20"/>
          <w:color w:val="auto"/>
        </w:rPr>
      </w:pPr>
      <w:r>
        <w:rPr>
          <w:rFonts w:ascii="Times New Roman" w:cs="Times New Roman" w:eastAsia="Times New Roman" w:hAnsi="Times New Roman"/>
          <w:sz w:val="21"/>
          <w:szCs w:val="21"/>
          <w:color w:val="auto"/>
        </w:rPr>
        <w:t xml:space="preserve">Executive shall not, either directly or indirectly, disclose or use at any time, whether during Executive’s employment with the Company or for a period of three years thereafter, any Trade Secrets and Confidential Information, except to the extent that such disclosure or use is necessary for Executive to perform Executive’s duties pursuant to this Agreement or otherwise with respect to the Company’s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the event of a disclosure of any Trade Secrets and Confidential Information that Executive is requested or demanded to make under the guise of law, Executive must give the Company prompt written notice of any order, subpoena or other notice or information that relates to such a request or demand for disclosure compelled by law such that the Company will have sufficient opportunity to challenge the requested disclosure in advance of disclosure by Executive, and further provided that Executive shall (1) not disclose any more information than the minimum disclosure that is in fact required by law, and</w:t>
      </w:r>
    </w:p>
    <w:p>
      <w:pPr>
        <w:spacing w:after="0" w:line="8" w:lineRule="exact"/>
        <w:rPr>
          <w:sz w:val="20"/>
          <w:szCs w:val="20"/>
          <w:color w:val="auto"/>
        </w:rPr>
      </w:pPr>
    </w:p>
    <w:p>
      <w:pPr>
        <w:ind w:firstLine="6"/>
        <w:spacing w:after="0" w:line="273" w:lineRule="auto"/>
        <w:tabs>
          <w:tab w:leader="none" w:pos="327"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cooperate fully with all efforts by the Company to obtain a protective order or similar confidentiality treatment for all such information prior to making any such disclosure.</w:t>
      </w:r>
    </w:p>
    <w:p>
      <w:pPr>
        <w:spacing w:after="0" w:line="154" w:lineRule="exact"/>
        <w:rPr>
          <w:rFonts w:ascii="Times New Roman" w:cs="Times New Roman" w:eastAsia="Times New Roman" w:hAnsi="Times New Roman"/>
          <w:sz w:val="21"/>
          <w:szCs w:val="21"/>
          <w:color w:val="auto"/>
        </w:rPr>
      </w:pPr>
    </w:p>
    <w:p>
      <w:pPr>
        <w:jc w:val="both"/>
        <w:ind w:firstLine="642"/>
        <w:spacing w:after="0" w:line="261" w:lineRule="auto"/>
        <w:tabs>
          <w:tab w:leader="none" w:pos="1267"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 covenants and agrees that, other than acknowledging the existence of an employer-employee relationship between the Company and Executive and as otherwise required by law (subject to the terms of Section 5(a) above), Executive shall not at any time divulge, directly or indirectly, any of the terms of this Agreement to any person or entity other than Executive’s legal counsel and Certified Public Accountant.</w:t>
      </w:r>
    </w:p>
    <w:p>
      <w:pPr>
        <w:spacing w:after="0" w:line="181" w:lineRule="exact"/>
        <w:rPr>
          <w:rFonts w:ascii="Times New Roman" w:cs="Times New Roman" w:eastAsia="Times New Roman" w:hAnsi="Times New Roman"/>
          <w:sz w:val="21"/>
          <w:szCs w:val="21"/>
          <w:color w:val="010000"/>
        </w:rPr>
      </w:pPr>
    </w:p>
    <w:p>
      <w:pPr>
        <w:jc w:val="both"/>
        <w:ind w:firstLine="642"/>
        <w:spacing w:after="0" w:line="261" w:lineRule="auto"/>
        <w:tabs>
          <w:tab w:leader="none" w:pos="1269"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the Company’s request at any time, or upon the Company’s termination of Executive’s employment with the Company, Executive will return to the Company all originals and copies of Trade Secrets and Confidential Information. Executive’s obligations under this Agreement supplement, but do not supersede, cancel, or limit, other obligations Executive has to the Company or rights or remedies of the Company, including those under the Defend Trade Secrets Act (“</w:t>
      </w:r>
      <w:r>
        <w:rPr>
          <w:rFonts w:ascii="Times New Roman" w:cs="Times New Roman" w:eastAsia="Times New Roman" w:hAnsi="Times New Roman"/>
          <w:sz w:val="21"/>
          <w:szCs w:val="21"/>
          <w:u w:val="single" w:color="auto"/>
          <w:color w:val="auto"/>
        </w:rPr>
        <w:t>DTSA</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010000"/>
        </w:rPr>
      </w:pPr>
    </w:p>
    <w:p>
      <w:pPr>
        <w:jc w:val="both"/>
        <w:ind w:firstLine="642"/>
        <w:spacing w:after="0" w:line="266" w:lineRule="auto"/>
        <w:tabs>
          <w:tab w:leader="none" w:pos="1267" w:val="left"/>
        </w:tabs>
        <w:numPr>
          <w:ilvl w:val="1"/>
          <w:numId w:val="6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 acknowledges that the DTSA provides civil and criminal immunity for any disclosure of Trade Secrets and Confidential Information to his attorney, the government, or in a court filing under seal, so long as the purpose is for reporting or investigating a suspected violation of law. Executive further acknowledges that if he files a lawsuit for retaliation by virtue of reporting a suspected violation of the law, he may use Trade Secrets and Confidential Information in that anti-retaliation lawsuit.</w:t>
      </w:r>
    </w:p>
    <w:p>
      <w:pPr>
        <w:spacing w:after="0" w:line="211" w:lineRule="exact"/>
        <w:rPr>
          <w:sz w:val="20"/>
          <w:szCs w:val="20"/>
          <w:color w:val="auto"/>
        </w:rPr>
      </w:pPr>
    </w:p>
    <w:p>
      <w:pPr>
        <w:ind w:left="640" w:hanging="634"/>
        <w:spacing w:after="0"/>
        <w:tabs>
          <w:tab w:leader="none" w:pos="640"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Restricted Activities</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firstLine="642"/>
        <w:spacing w:after="0" w:line="260" w:lineRule="auto"/>
        <w:tabs>
          <w:tab w:leader="none" w:pos="1269" w:val="left"/>
        </w:tabs>
        <w:numPr>
          <w:ilvl w:val="1"/>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Non-Solicitation of Customers</w:t>
      </w:r>
      <w:r>
        <w:rPr>
          <w:rFonts w:ascii="Times New Roman" w:cs="Times New Roman" w:eastAsia="Times New Roman" w:hAnsi="Times New Roman"/>
          <w:sz w:val="21"/>
          <w:szCs w:val="21"/>
          <w:color w:val="auto"/>
        </w:rPr>
        <w:t>. During the Employment Term, without limiting Executive’s obligations and duties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an employee under applicable law, and for a period of 24 months running consecutively from the Termination Date (whether Executive’s employment is terminated for any reason or no reason), Executive shall not directly or indirectly: (i) solicit or divert any business or any customer (actual or potential) from the Company or assist any person, group or entity in doing so or attempting to do so; or (ii) cause or seek to cause any person, group or entity to refrain from dealing or doing business with the Company or assist any person, group or entity in doing so or attempting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97" w:right="339" w:bottom="1440" w:gutter="0" w:footer="0" w:header="0"/>
        </w:sectPr>
      </w:pPr>
    </w:p>
    <w:bookmarkStart w:id="141" w:name="page142"/>
    <w:bookmarkEnd w:id="141"/>
    <w:p>
      <w:pPr>
        <w:jc w:val="both"/>
        <w:ind w:firstLine="642"/>
        <w:spacing w:after="0" w:line="257" w:lineRule="auto"/>
        <w:tabs>
          <w:tab w:leader="none" w:pos="1267" w:val="left"/>
        </w:tabs>
        <w:numPr>
          <w:ilvl w:val="0"/>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Non-Solicitation of Executives</w:t>
      </w:r>
      <w:r>
        <w:rPr>
          <w:rFonts w:ascii="Times New Roman" w:cs="Times New Roman" w:eastAsia="Times New Roman" w:hAnsi="Times New Roman"/>
          <w:sz w:val="21"/>
          <w:szCs w:val="21"/>
          <w:color w:val="auto"/>
        </w:rPr>
        <w:t>. During the Employment Term, without limiting Executive’s obligations and duties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an employee under applicable law, and for a period of 24 months running consecutively from the Termination Date (whether Executive’s employment is terminated for any reason or no reason), Executive shall not, directly or indirectly, for Executive’s own account or on behalf of any other person or entity, solicit, encourage, entice, or cause, or attempt to solicit, encourage, entice or cause, any employee or contractor of the Company or any Company Party to: (i) breach or modify any provision of such employee’s employment agreement with the Company or any Company Party; (ii) reduce or change the quality or quantity or availability of such employee’s services to the Company or any Company Party; or (iii) terminate such employee’s employment with the Company or any Company Party.</w:t>
      </w:r>
    </w:p>
    <w:p>
      <w:pPr>
        <w:spacing w:after="0" w:line="183" w:lineRule="exact"/>
        <w:rPr>
          <w:rFonts w:ascii="Times New Roman" w:cs="Times New Roman" w:eastAsia="Times New Roman" w:hAnsi="Times New Roman"/>
          <w:sz w:val="21"/>
          <w:szCs w:val="21"/>
          <w:color w:val="010000"/>
        </w:rPr>
      </w:pPr>
    </w:p>
    <w:p>
      <w:pPr>
        <w:jc w:val="both"/>
        <w:ind w:firstLine="642"/>
        <w:spacing w:after="0" w:line="256" w:lineRule="auto"/>
        <w:tabs>
          <w:tab w:leader="none" w:pos="1269" w:val="left"/>
        </w:tabs>
        <w:numPr>
          <w:ilvl w:val="0"/>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Non-Competition</w:t>
      </w:r>
      <w:r>
        <w:rPr>
          <w:rFonts w:ascii="Times New Roman" w:cs="Times New Roman" w:eastAsia="Times New Roman" w:hAnsi="Times New Roman"/>
          <w:sz w:val="21"/>
          <w:szCs w:val="21"/>
          <w:color w:val="auto"/>
        </w:rPr>
        <w:t>. Executive acknowledges and agrees that due to his position and responsibilities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Executive will have access to Trade Secrets and Confidential Information. Because of the Company’s protectable interest, and the good and valuable consideration offered to Executive during the Employment Term, Executive agrees and covenants that during the Employment Term and until the later of 12 months following the Termination Date, he will not, directly or indirectly, engage in any “</w:t>
      </w:r>
      <w:r>
        <w:rPr>
          <w:rFonts w:ascii="Times New Roman" w:cs="Times New Roman" w:eastAsia="Times New Roman" w:hAnsi="Times New Roman"/>
          <w:sz w:val="21"/>
          <w:szCs w:val="21"/>
          <w:u w:val="single" w:color="auto"/>
          <w:color w:val="auto"/>
        </w:rPr>
        <w:t>Prohibited Activity</w:t>
      </w:r>
      <w:r>
        <w:rPr>
          <w:rFonts w:ascii="Times New Roman" w:cs="Times New Roman" w:eastAsia="Times New Roman" w:hAnsi="Times New Roman"/>
          <w:sz w:val="21"/>
          <w:szCs w:val="21"/>
          <w:color w:val="auto"/>
        </w:rPr>
        <w:t>” anywhere that the Company does business. Prohibited Activity is defined as any activity Executive engages in that is the same or similar to the business of the Company, including, without limitation, the business of gathering, cataloging, cleansing, filtering, organizing, or providing business contact information, firmographic or technographic information on business organizations, or predictive purchase intent data for use in sales, marketing, or recruiting, or any activity in which Executive contributes Executive’s knowledge, directly or indirectly, in whole or in part, as an employee, employer, operator, manager, advisor, consultant, contractor, agent, partner, director, stockholder, officer, volunteer, intern, or any other similar capacity to an entity engaged in the same or similar business of the Company. Prohibited Activity also includes activity that may require or inevitably require disclosure of trade secrets, proprietary information or Trade Secrets and Confidential Information.</w:t>
      </w:r>
    </w:p>
    <w:p>
      <w:pPr>
        <w:spacing w:after="0" w:line="168" w:lineRule="exact"/>
        <w:rPr>
          <w:rFonts w:ascii="Times New Roman" w:cs="Times New Roman" w:eastAsia="Times New Roman" w:hAnsi="Times New Roman"/>
          <w:sz w:val="21"/>
          <w:szCs w:val="21"/>
          <w:color w:val="010000"/>
        </w:rPr>
      </w:pPr>
    </w:p>
    <w:p>
      <w:pPr>
        <w:jc w:val="both"/>
        <w:ind w:firstLine="642"/>
        <w:spacing w:after="0" w:line="263" w:lineRule="auto"/>
        <w:tabs>
          <w:tab w:leader="none" w:pos="1267" w:val="left"/>
        </w:tabs>
        <w:numPr>
          <w:ilvl w:val="0"/>
          <w:numId w:val="6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Non-Disparagement</w:t>
      </w:r>
      <w:r>
        <w:rPr>
          <w:rFonts w:ascii="Times New Roman" w:cs="Times New Roman" w:eastAsia="Times New Roman" w:hAnsi="Times New Roman"/>
          <w:sz w:val="21"/>
          <w:szCs w:val="21"/>
          <w:color w:val="auto"/>
        </w:rPr>
        <w:t>. Executive covenants and agrees that for the longest period legally enforceable, he shall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disparage the image or reputation of the Company or any of its subsidiaries or affiliates and their officers, senior management employees and professional employees. The Company covenants and agrees that it (i) shall not, in any official or Company-sanctioned statement, disparage the image or reputation of Executive; and (ii) shall instruct its officers, directors and senior management employees not to disparage the image or reputation of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93" w:right="339" w:bottom="1440" w:gutter="0" w:footer="0" w:header="0"/>
        </w:sectPr>
      </w:pPr>
    </w:p>
    <w:bookmarkStart w:id="142" w:name="page143"/>
    <w:bookmarkEnd w:id="142"/>
    <w:p>
      <w:pPr>
        <w:jc w:val="both"/>
        <w:ind w:firstLine="642"/>
        <w:spacing w:after="0" w:line="255" w:lineRule="auto"/>
        <w:tabs>
          <w:tab w:leader="none" w:pos="1269" w:val="left"/>
        </w:tabs>
        <w:numPr>
          <w:ilvl w:val="0"/>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Permitted Activities</w:t>
      </w:r>
      <w:r>
        <w:rPr>
          <w:rFonts w:ascii="Times New Roman" w:cs="Times New Roman" w:eastAsia="Times New Roman" w:hAnsi="Times New Roman"/>
          <w:sz w:val="21"/>
          <w:szCs w:val="21"/>
          <w:color w:val="auto"/>
        </w:rPr>
        <w:t>. Notwithstanding any language in this Agreement to the contrary, nothing in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prohibits or impedes Executive from reporting possible violations of federal law or regulation to any governmental agency or entity, including but not limited to the Department of Justice, the Securities and Exchange Commission, the Congress, and any agency Inspector General, otherwise communicating, cooperating, or filing a complaint with or making other disclosures or complaints to any such agency or entity that are protected under the whistleblower provisions of federal law or regulation;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each case such communications and disclosures are consistent with applicable law. Executive does not need the prior authorization of the Company to make any such reports or disclosures and Executive is not required to notify the Company that Executive has made such reports or disclosures. Notwithstanding the foregoing, under no circumstance is Executive authorized to disclose any information covered by the Company’s attorney-client privilege or attorney work product or the Company’s trade secrets without prior written consent of the Company. An individual shall not be held criminally or civilly liable under any U.S. federal or state trade secret law for the disclosure of a trade secret that is made (i) in confidence to a U.S. federal, state, or local government official or to an attorney solely for the purpose of reporting or investigating a suspected violation of law, or (ii)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78" w:lineRule="exact"/>
        <w:rPr>
          <w:rFonts w:ascii="Times New Roman" w:cs="Times New Roman" w:eastAsia="Times New Roman" w:hAnsi="Times New Roman"/>
          <w:sz w:val="21"/>
          <w:szCs w:val="21"/>
          <w:color w:val="010000"/>
        </w:rPr>
      </w:pPr>
    </w:p>
    <w:p>
      <w:pPr>
        <w:jc w:val="both"/>
        <w:ind w:firstLine="642"/>
        <w:spacing w:after="0" w:line="258" w:lineRule="auto"/>
        <w:tabs>
          <w:tab w:leader="none" w:pos="1272" w:val="left"/>
        </w:tabs>
        <w:numPr>
          <w:ilvl w:val="0"/>
          <w:numId w:val="6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that Executive shall breach any of the provisions of Section 6(a)-(d), or in the event that any such breach is threatened by Executive, in addition to and without limiting or waiving any other of the Company’s rights under this Agreement or any remedies available to the Company at law or in equity, the Company shall be entitled to immediate injunctive relief in any court, domestic or foreign, having the capacity to grant such relief, without the necessity of posting a bond, to restrain any such breach or threatened breach and to enforce the provisions of these Sections. Executive acknowledges and agrees that there is no adequate remedy at law for any such breach or threatened breach and, in the event that any action or proceeding is brought seeking injunctive relief, Executive shall be estopped from asserting as a defense thereto that there is an adequate remedy at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93" w:right="339" w:bottom="1440" w:gutter="0" w:footer="0" w:header="0"/>
        </w:sectPr>
      </w:pPr>
    </w:p>
    <w:bookmarkStart w:id="143" w:name="page144"/>
    <w:bookmarkEnd w:id="143"/>
    <w:p>
      <w:pPr>
        <w:jc w:val="both"/>
        <w:ind w:firstLine="642"/>
        <w:spacing w:after="0" w:line="257" w:lineRule="auto"/>
        <w:tabs>
          <w:tab w:leader="none" w:pos="1267" w:val="left"/>
        </w:tabs>
        <w:numPr>
          <w:ilvl w:val="1"/>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 acknowledges and agrees that (i) the foregoing restrictions and the duration and scope thereof as set forth in Section 6(a)-(d) (collectively, the “</w:t>
      </w: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are agreed with respect to all of the circumstances reasonable and necessary for the protection of the Company and its business, and the Restrictions do not preclude Executive from earning a livelihood, nor do the Restrictions unreasonably impose limitations on Executive’s ability to earn a living, (ii) the potential harm to the Company of the non-enforcement of the Restrictions outweighs any harm to Executive of the enforcement of the Restrictions by injunction or otherwise, and (iii) that none of the rights, damages or other consideration set forth in Section 6(c), or any specific enforcement or injunction rights that the Company may have under this Agreement, shall limit, restrict or affect any other rights the Company may have, or any recovery the Company may be entitled to obtain, from any party, under any theory, or with respect to any agreement or relationship, including any such rights or potential recovery the Company may have pursuant to the other provisions of this Agreement.</w:t>
      </w:r>
    </w:p>
    <w:p>
      <w:pPr>
        <w:spacing w:after="0" w:line="170" w:lineRule="exact"/>
        <w:rPr>
          <w:rFonts w:ascii="Times New Roman" w:cs="Times New Roman" w:eastAsia="Times New Roman" w:hAnsi="Times New Roman"/>
          <w:sz w:val="21"/>
          <w:szCs w:val="21"/>
          <w:color w:val="010000"/>
        </w:rPr>
      </w:pPr>
    </w:p>
    <w:p>
      <w:pPr>
        <w:jc w:val="both"/>
        <w:ind w:firstLine="642"/>
        <w:spacing w:after="0" w:line="259" w:lineRule="auto"/>
        <w:tabs>
          <w:tab w:leader="none" w:pos="1267" w:val="left"/>
        </w:tabs>
        <w:numPr>
          <w:ilvl w:val="1"/>
          <w:numId w:val="6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Restrictions will be construed as a series of separate covenants, one for each country, city, state, or similar subdivision in any part of the world where the Company does business. If in any judicial proceeding or arbitration, a court or arbitrator refuses to enforce any of these separate covenants (or any part of a covenant), then the unenforceable covenant (or part) will be eliminated from this Agreement to the extent necessary to permit the remaining separate covenants (or portions) to be enforced. In the event that the provisions of this section are deemed to exceed the time, geographic, or scope limitations permitted by law, then the provisions will be reformed to the maximum time, geographic, or scope limitations permitted by law.</w:t>
      </w:r>
    </w:p>
    <w:p>
      <w:pPr>
        <w:spacing w:after="0" w:line="221" w:lineRule="exact"/>
        <w:rPr>
          <w:rFonts w:ascii="Times New Roman" w:cs="Times New Roman" w:eastAsia="Times New Roman" w:hAnsi="Times New Roman"/>
          <w:sz w:val="21"/>
          <w:szCs w:val="21"/>
          <w:color w:val="010000"/>
        </w:rPr>
      </w:pPr>
    </w:p>
    <w:p>
      <w:pPr>
        <w:ind w:left="640" w:hanging="634"/>
        <w:spacing w:after="0"/>
        <w:tabs>
          <w:tab w:leader="none" w:pos="640"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Inventions and Patents</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firstLine="642"/>
        <w:spacing w:after="0" w:line="276" w:lineRule="auto"/>
        <w:tabs>
          <w:tab w:leader="none" w:pos="1269" w:val="left"/>
        </w:tabs>
        <w:numPr>
          <w:ilvl w:val="1"/>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Inventions Defined</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Inventions</w:t>
      </w:r>
      <w:r>
        <w:rPr>
          <w:rFonts w:ascii="Times New Roman" w:cs="Times New Roman" w:eastAsia="Times New Roman" w:hAnsi="Times New Roman"/>
          <w:sz w:val="21"/>
          <w:szCs w:val="21"/>
          <w:color w:val="auto"/>
        </w:rPr>
        <w:t>” means inventions, original works of authorship, developments, concepts,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improvements, designs, discoveries, ideas, know-how, trademarks, and trade secrets, whether or not patentable or registrable under copyright or similar laws, that Executive may solely or jointly author, conceive, develop, or reduce to practice.</w:t>
      </w:r>
    </w:p>
    <w:p>
      <w:pPr>
        <w:spacing w:after="0" w:line="147" w:lineRule="exact"/>
        <w:rPr>
          <w:rFonts w:ascii="Times New Roman" w:cs="Times New Roman" w:eastAsia="Times New Roman" w:hAnsi="Times New Roman"/>
          <w:sz w:val="21"/>
          <w:szCs w:val="21"/>
          <w:color w:val="010000"/>
        </w:rPr>
      </w:pPr>
    </w:p>
    <w:p>
      <w:pPr>
        <w:jc w:val="both"/>
        <w:ind w:firstLine="642"/>
        <w:spacing w:after="0" w:line="257" w:lineRule="auto"/>
        <w:tabs>
          <w:tab w:leader="none" w:pos="1267" w:val="left"/>
        </w:tabs>
        <w:numPr>
          <w:ilvl w:val="1"/>
          <w:numId w:val="6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Assignment of Inventions and Works Made for Hire</w:t>
      </w:r>
      <w:r>
        <w:rPr>
          <w:rFonts w:ascii="Times New Roman" w:cs="Times New Roman" w:eastAsia="Times New Roman" w:hAnsi="Times New Roman"/>
          <w:sz w:val="21"/>
          <w:szCs w:val="21"/>
          <w:color w:val="auto"/>
        </w:rPr>
        <w:t>. Executive will promptly make a full written disclosure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will hold in trust for the sole right and benefit of the Company, and will assign to the Company, or its designee, all of Executive’s right, title and interest (including all related intellectual property rights and the right to sue and collect payment for past, present and future infringement) in all Inventions that Executive creates during the Employment Term (the “</w:t>
      </w:r>
      <w:r>
        <w:rPr>
          <w:rFonts w:ascii="Times New Roman" w:cs="Times New Roman" w:eastAsia="Times New Roman" w:hAnsi="Times New Roman"/>
          <w:sz w:val="21"/>
          <w:szCs w:val="21"/>
          <w:u w:val="single" w:color="auto"/>
          <w:color w:val="auto"/>
        </w:rPr>
        <w:t>Company Inventions</w:t>
      </w:r>
      <w:r>
        <w:rPr>
          <w:rFonts w:ascii="Times New Roman" w:cs="Times New Roman" w:eastAsia="Times New Roman" w:hAnsi="Times New Roman"/>
          <w:sz w:val="21"/>
          <w:szCs w:val="21"/>
          <w:color w:val="auto"/>
        </w:rPr>
        <w:t>”). In addition, all original works of authorship that are made by Executive (solely or jointly with others) within the scope of and during the period of the Employment Term and that are protectable by copyright are “works made for hire,” as that term is defined in the United States Copyright Act, and, in accordance, the Company will be considered the author of these works. Executive agrees that this assignment includes the present conveyance to the Company of ownership of Inventions that are not yet in existence.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97" w:right="339" w:bottom="1440" w:gutter="0" w:footer="0" w:header="0"/>
        </w:sectPr>
      </w:pPr>
    </w:p>
    <w:bookmarkStart w:id="144" w:name="page145"/>
    <w:bookmarkEnd w:id="144"/>
    <w:p>
      <w:pPr>
        <w:jc w:val="both"/>
        <w:ind w:firstLine="642"/>
        <w:spacing w:after="0" w:line="258" w:lineRule="auto"/>
        <w:tabs>
          <w:tab w:leader="none" w:pos="1269" w:val="left"/>
        </w:tabs>
        <w:numPr>
          <w:ilvl w:val="0"/>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Exception to Assignments</w:t>
      </w:r>
      <w:r>
        <w:rPr>
          <w:rFonts w:ascii="Times New Roman" w:cs="Times New Roman" w:eastAsia="Times New Roman" w:hAnsi="Times New Roman"/>
          <w:sz w:val="21"/>
          <w:szCs w:val="21"/>
          <w:color w:val="auto"/>
        </w:rPr>
        <w:t>. Notwithstanding any other provision in this Section to the contrary, Executive is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obligated to assign or offer to assign to the Company any of Executive’s rights, title or interest in an Invention for which no equipment, supplies, facilities or trade secret information of the Company was used and that was developed entirely on Executive’s own time, unless (i) the Invention relates (A) at the time of conception or reduction to practice of the Invention, to the business of the Company, or (B) to the Company’s actual or demonstrably anticipated research or development, or (ii) the Invention results from any work performed by Executive for the Company. This notice is intended to satisfy any applicable requirements of the Revised Code of Washington Section 49.44.140.</w:t>
      </w:r>
    </w:p>
    <w:p>
      <w:pPr>
        <w:spacing w:after="0" w:line="170" w:lineRule="exact"/>
        <w:rPr>
          <w:rFonts w:ascii="Times New Roman" w:cs="Times New Roman" w:eastAsia="Times New Roman" w:hAnsi="Times New Roman"/>
          <w:sz w:val="21"/>
          <w:szCs w:val="21"/>
          <w:color w:val="010000"/>
        </w:rPr>
      </w:pPr>
    </w:p>
    <w:p>
      <w:pPr>
        <w:jc w:val="both"/>
        <w:ind w:firstLine="642"/>
        <w:spacing w:after="0" w:line="257" w:lineRule="auto"/>
        <w:tabs>
          <w:tab w:leader="none" w:pos="1267" w:val="left"/>
        </w:tabs>
        <w:numPr>
          <w:ilvl w:val="0"/>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Inventions Retained and Licensed</w:t>
      </w:r>
      <w:r>
        <w:rPr>
          <w:rFonts w:ascii="Times New Roman" w:cs="Times New Roman" w:eastAsia="Times New Roman" w:hAnsi="Times New Roman"/>
          <w:sz w:val="21"/>
          <w:szCs w:val="21"/>
          <w:color w:val="auto"/>
        </w:rPr>
        <w:t>. Executive has attached to this Agreement a list describing all Inventions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were made by Executive prior to the Employment Term, that relate to the Company’s proposed business, products, or research and development, and that are not assigned to the Company under this Agreement (collectively, “</w:t>
      </w:r>
      <w:r>
        <w:rPr>
          <w:rFonts w:ascii="Times New Roman" w:cs="Times New Roman" w:eastAsia="Times New Roman" w:hAnsi="Times New Roman"/>
          <w:sz w:val="21"/>
          <w:szCs w:val="21"/>
          <w:u w:val="single" w:color="auto"/>
          <w:color w:val="auto"/>
        </w:rPr>
        <w:t>Prior Inventions</w:t>
      </w:r>
      <w:r>
        <w:rPr>
          <w:rFonts w:ascii="Times New Roman" w:cs="Times New Roman" w:eastAsia="Times New Roman" w:hAnsi="Times New Roman"/>
          <w:sz w:val="21"/>
          <w:szCs w:val="21"/>
          <w:color w:val="auto"/>
        </w:rPr>
        <w:t>”). If no list is attached or if no Prior Inventions are listed, Executive represents that there are no Prior Inventions. Furthermore, Executive represents and warrants that the inclusion of any Prior Inventions will not materially affect Executive’s ability to perform all obligations under this Agreement. If, in the course of the Employment Term, Executive incorporates into a the Company product, process or machine an Invention owned by Executive or in which Executive has an interest, the Company is granted a nonexclusive, royalty-free, irrevocable, perpetual, transferrable, worldwide license (with right to sublicense) to make, have modify, use, import, offer for sale, sell, reproduce, distribute, modify, adapt, prepare derivative works of, display, perform and otherwise exploit the Invention without restriction of any kind.</w:t>
      </w:r>
    </w:p>
    <w:p>
      <w:pPr>
        <w:spacing w:after="0" w:line="170" w:lineRule="exact"/>
        <w:rPr>
          <w:rFonts w:ascii="Times New Roman" w:cs="Times New Roman" w:eastAsia="Times New Roman" w:hAnsi="Times New Roman"/>
          <w:sz w:val="21"/>
          <w:szCs w:val="21"/>
          <w:color w:val="010000"/>
        </w:rPr>
      </w:pPr>
    </w:p>
    <w:p>
      <w:pPr>
        <w:jc w:val="both"/>
        <w:ind w:firstLine="642"/>
        <w:spacing w:after="0" w:line="276" w:lineRule="auto"/>
        <w:tabs>
          <w:tab w:leader="none" w:pos="1269" w:val="left"/>
        </w:tabs>
        <w:numPr>
          <w:ilvl w:val="0"/>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Third-Party Inventions</w:t>
      </w:r>
      <w:r>
        <w:rPr>
          <w:rFonts w:ascii="Times New Roman" w:cs="Times New Roman" w:eastAsia="Times New Roman" w:hAnsi="Times New Roman"/>
          <w:sz w:val="21"/>
          <w:szCs w:val="21"/>
          <w:color w:val="auto"/>
        </w:rPr>
        <w:t>. Executive will not incorporate any original work of authorship, development, concept,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improvement or trade secret owned, in whole or in part, by any third party, into any Company Invention without the Company’s prior written permission.</w:t>
      </w:r>
    </w:p>
    <w:p>
      <w:pPr>
        <w:spacing w:after="0" w:line="147" w:lineRule="exact"/>
        <w:rPr>
          <w:rFonts w:ascii="Times New Roman" w:cs="Times New Roman" w:eastAsia="Times New Roman" w:hAnsi="Times New Roman"/>
          <w:sz w:val="21"/>
          <w:szCs w:val="21"/>
          <w:color w:val="010000"/>
        </w:rPr>
      </w:pPr>
    </w:p>
    <w:p>
      <w:pPr>
        <w:jc w:val="both"/>
        <w:ind w:firstLine="642"/>
        <w:spacing w:after="0" w:line="263" w:lineRule="auto"/>
        <w:tabs>
          <w:tab w:leader="none" w:pos="1272" w:val="left"/>
        </w:tabs>
        <w:numPr>
          <w:ilvl w:val="0"/>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Moral Rights</w:t>
      </w:r>
      <w:r>
        <w:rPr>
          <w:rFonts w:ascii="Times New Roman" w:cs="Times New Roman" w:eastAsia="Times New Roman" w:hAnsi="Times New Roman"/>
          <w:sz w:val="21"/>
          <w:szCs w:val="21"/>
          <w:color w:val="auto"/>
        </w:rPr>
        <w:t>. Any assignment to the Company of the Company Inventions includes all rights of attribution,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paternity, integrity, modification, disclosure and withdrawal and any other rights throughout the world that may be known as or referred to as “moral rights,” “artist’s rights,” or the like (collectively, “</w:t>
      </w:r>
      <w:r>
        <w:rPr>
          <w:rFonts w:ascii="Times New Roman" w:cs="Times New Roman" w:eastAsia="Times New Roman" w:hAnsi="Times New Roman"/>
          <w:sz w:val="21"/>
          <w:szCs w:val="21"/>
          <w:u w:val="single" w:color="auto"/>
          <w:color w:val="auto"/>
        </w:rPr>
        <w:t>Moral Rights</w:t>
      </w:r>
      <w:r>
        <w:rPr>
          <w:rFonts w:ascii="Times New Roman" w:cs="Times New Roman" w:eastAsia="Times New Roman" w:hAnsi="Times New Roman"/>
          <w:sz w:val="21"/>
          <w:szCs w:val="21"/>
          <w:color w:val="auto"/>
        </w:rPr>
        <w:t>”). To the extent that Moral Rights cannot be assigned under applicable law, Executive hereby waives and agrees not to enforce any and all Moral Rights, including any limitation on subsequent modification, to the extent permitted under applicable law.</w:t>
      </w:r>
    </w:p>
    <w:p>
      <w:pPr>
        <w:spacing w:after="0" w:line="160" w:lineRule="exact"/>
        <w:rPr>
          <w:rFonts w:ascii="Times New Roman" w:cs="Times New Roman" w:eastAsia="Times New Roman" w:hAnsi="Times New Roman"/>
          <w:sz w:val="21"/>
          <w:szCs w:val="21"/>
          <w:color w:val="010000"/>
        </w:rPr>
      </w:pPr>
    </w:p>
    <w:p>
      <w:pPr>
        <w:jc w:val="both"/>
        <w:ind w:firstLine="642"/>
        <w:spacing w:after="0" w:line="263" w:lineRule="auto"/>
        <w:tabs>
          <w:tab w:leader="none" w:pos="1267" w:val="left"/>
        </w:tabs>
        <w:numPr>
          <w:ilvl w:val="0"/>
          <w:numId w:val="6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Marketing of the Company Inventions</w:t>
      </w:r>
      <w:r>
        <w:rPr>
          <w:rFonts w:ascii="Times New Roman" w:cs="Times New Roman" w:eastAsia="Times New Roman" w:hAnsi="Times New Roman"/>
          <w:sz w:val="21"/>
          <w:szCs w:val="21"/>
          <w:color w:val="auto"/>
        </w:rPr>
        <w:t>. The decision whether or not to commercialize or market any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Invention developed by Executive solely or jointly with others is within the Company’s sole discretion and for the Company’s sole benefit. Neither the Company nor any other entity will pay Executive a royalty as a result of the Company’s efforts to commercialize or market any Company Invention.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93" w:right="339" w:bottom="1440" w:gutter="0" w:footer="0" w:header="0"/>
        </w:sectPr>
      </w:pPr>
    </w:p>
    <w:bookmarkStart w:id="145" w:name="page146"/>
    <w:bookmarkEnd w:id="145"/>
    <w:p>
      <w:pPr>
        <w:jc w:val="both"/>
        <w:ind w:firstLine="642"/>
        <w:spacing w:after="0" w:line="267" w:lineRule="auto"/>
        <w:tabs>
          <w:tab w:leader="none" w:pos="1267" w:val="left"/>
        </w:tabs>
        <w:numPr>
          <w:ilvl w:val="1"/>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Maintenance of Records</w:t>
      </w:r>
      <w:r>
        <w:rPr>
          <w:rFonts w:ascii="Times New Roman" w:cs="Times New Roman" w:eastAsia="Times New Roman" w:hAnsi="Times New Roman"/>
          <w:sz w:val="21"/>
          <w:szCs w:val="21"/>
          <w:color w:val="auto"/>
        </w:rPr>
        <w:t>. Executive will keep and maintain adequate and current written records of all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Inventions. These records will be in the form of notes, sketches, drawings, electronic files, laboratory notebooks, and any other format that may be specified by the Company. At all times, the records will be available to the Company, and remain the sole property of the Company.</w:t>
      </w:r>
    </w:p>
    <w:p>
      <w:pPr>
        <w:spacing w:after="0" w:line="157" w:lineRule="exact"/>
        <w:rPr>
          <w:rFonts w:ascii="Times New Roman" w:cs="Times New Roman" w:eastAsia="Times New Roman" w:hAnsi="Times New Roman"/>
          <w:sz w:val="21"/>
          <w:szCs w:val="21"/>
          <w:color w:val="010000"/>
        </w:rPr>
      </w:pPr>
    </w:p>
    <w:p>
      <w:pPr>
        <w:jc w:val="both"/>
        <w:ind w:firstLine="642"/>
        <w:spacing w:after="0" w:line="256" w:lineRule="auto"/>
        <w:tabs>
          <w:tab w:leader="none" w:pos="1260" w:val="left"/>
        </w:tabs>
        <w:numPr>
          <w:ilvl w:val="1"/>
          <w:numId w:val="7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Further Assurances</w:t>
      </w:r>
      <w:r>
        <w:rPr>
          <w:rFonts w:ascii="Times New Roman" w:cs="Times New Roman" w:eastAsia="Times New Roman" w:hAnsi="Times New Roman"/>
          <w:sz w:val="21"/>
          <w:szCs w:val="21"/>
          <w:color w:val="auto"/>
        </w:rPr>
        <w:t>. Executive will assist the Company, or its designee, at the Company’s expense, in every proper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way to secure and protect the Company’s rights in the Company Inventions and any related copyrights, patents, mask work rights, or other intellectual property rights in any and all countries. Executive will disclose to the Company all pertinent information and data. Executive will execute all applications, specifications, oaths, assignments, and all other instruments that the Company deems necessary in order to apply for and obtain these rights and in order to deliver, assign and convey to the Company, its successors, assigns and nominees the sole and exclusive rights, title and interest in and to the Company Inventions, and any related copyrights, patents, mask work rights or other intellectual property rights. The Company will testify in a suit or other proceeding relating to such the Company Inventions and any rights relating thereto. Executive’s obligation to execute or cause to be executed, when it is in Executive’s power to do so, any instrument or papers will continue after the termination of this Agreement.</w:t>
      </w:r>
    </w:p>
    <w:p>
      <w:pPr>
        <w:spacing w:after="0" w:line="225" w:lineRule="exact"/>
        <w:rPr>
          <w:rFonts w:ascii="Times New Roman" w:cs="Times New Roman" w:eastAsia="Times New Roman" w:hAnsi="Times New Roman"/>
          <w:sz w:val="21"/>
          <w:szCs w:val="21"/>
          <w:color w:val="010000"/>
        </w:rPr>
      </w:pPr>
    </w:p>
    <w:p>
      <w:pPr>
        <w:jc w:val="both"/>
        <w:ind w:firstLine="6"/>
        <w:spacing w:after="0" w:line="276" w:lineRule="auto"/>
        <w:tabs>
          <w:tab w:leader="none" w:pos="636"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Any notice provided for herein shall be in writing and shall be deemed to have been given or made when personally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delivered or delivered by reputable overnight courier service and deemed delivered in the case of courier service upon confirmation of receipt of the delivery or affirmative rejection thereof.</w:t>
      </w:r>
    </w:p>
    <w:p>
      <w:pPr>
        <w:spacing w:after="0" w:line="200" w:lineRule="exact"/>
        <w:rPr>
          <w:rFonts w:ascii="Times New Roman" w:cs="Times New Roman" w:eastAsia="Times New Roman" w:hAnsi="Times New Roman"/>
          <w:sz w:val="21"/>
          <w:szCs w:val="21"/>
          <w:color w:val="auto"/>
        </w:rPr>
      </w:pPr>
    </w:p>
    <w:p>
      <w:pPr>
        <w:jc w:val="both"/>
        <w:ind w:firstLine="6"/>
        <w:spacing w:after="0" w:line="257" w:lineRule="auto"/>
        <w:tabs>
          <w:tab w:leader="none" w:pos="636"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 In case any one or more of the provisions contained in this Agreement for any reason shall be held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invalid, illegal or unenforceable in any respect under any applicable law or rule in any jurisdiction, any such provision(s) shall be severed, but only to the minimum extent necessary to comply with applicable laws and rules. Such invalidity, illegality or unenforceability shall not affect any other portion of the same provision or of any other provision of this Agreement or any action in any other jurisdiction. In addition to the foregoing, if one or more of the provisions contained in this Agreement shall for any reason be held to be excessively broad or unreasonable as to the period, scope or geographical area so as to be unenforceable at law, such provision or provisions shall be modified or substituted by the appropriate judicial or governing body so as to cover the maximum period, scope or geographical area permitted by applicable law.</w:t>
      </w:r>
    </w:p>
    <w:p>
      <w:pPr>
        <w:spacing w:after="0" w:line="236" w:lineRule="exact"/>
        <w:rPr>
          <w:rFonts w:ascii="Times New Roman" w:cs="Times New Roman" w:eastAsia="Times New Roman" w:hAnsi="Times New Roman"/>
          <w:sz w:val="21"/>
          <w:szCs w:val="21"/>
          <w:color w:val="auto"/>
        </w:rPr>
      </w:pPr>
    </w:p>
    <w:p>
      <w:pPr>
        <w:jc w:val="both"/>
        <w:ind w:firstLine="6"/>
        <w:spacing w:after="0" w:line="258" w:lineRule="auto"/>
        <w:tabs>
          <w:tab w:leader="none" w:pos="636" w:val="left"/>
        </w:tabs>
        <w:numPr>
          <w:ilvl w:val="0"/>
          <w:numId w:val="7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Complete Agreement</w:t>
      </w:r>
      <w:r>
        <w:rPr>
          <w:rFonts w:ascii="Times New Roman" w:cs="Times New Roman" w:eastAsia="Times New Roman" w:hAnsi="Times New Roman"/>
          <w:sz w:val="21"/>
          <w:szCs w:val="21"/>
          <w:color w:val="auto"/>
        </w:rPr>
        <w:t>. This Agreement is fully integrated and embodies the complete agreement and understanding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between the Parties regarding Executive’s employment with the Company and supersedes and preempts any prior understandings, offers, agreements or representations by or between the Parties, written or oral, which may have related to the subject matter hereof in any way. No modification or amendment to this Agreement, nor any waiver of any rights under this Agreement, will be effective unless in writing signed by both Parties. Any subsequent change or changes in Executive’s duties, obligations, rights or compensation will not affect the validity or scope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93" w:right="339" w:bottom="1440" w:gutter="0" w:footer="0" w:header="0"/>
        </w:sectPr>
      </w:pPr>
    </w:p>
    <w:bookmarkStart w:id="146" w:name="page147"/>
    <w:bookmarkEnd w:id="146"/>
    <w:p>
      <w:pPr>
        <w:ind w:firstLine="6"/>
        <w:spacing w:after="0" w:line="289" w:lineRule="auto"/>
        <w:tabs>
          <w:tab w:leader="none" w:pos="628"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Strict Construction</w:t>
      </w:r>
      <w:r>
        <w:rPr>
          <w:rFonts w:ascii="Times New Roman" w:cs="Times New Roman" w:eastAsia="Times New Roman" w:hAnsi="Times New Roman"/>
          <w:sz w:val="21"/>
          <w:szCs w:val="21"/>
          <w:color w:val="auto"/>
        </w:rPr>
        <w:t>. The language used in this Agreement shall be deemed to be the language chosen by the Parties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express their mutual intent, and no rule of strict construction shall be applied against any party hereto, including the drafter hereof.</w:t>
      </w:r>
    </w:p>
    <w:p>
      <w:pPr>
        <w:spacing w:after="0" w:line="186" w:lineRule="exact"/>
        <w:rPr>
          <w:rFonts w:ascii="Times New Roman" w:cs="Times New Roman" w:eastAsia="Times New Roman" w:hAnsi="Times New Roman"/>
          <w:sz w:val="21"/>
          <w:szCs w:val="21"/>
          <w:color w:val="auto"/>
        </w:rPr>
      </w:pPr>
    </w:p>
    <w:p>
      <w:pPr>
        <w:jc w:val="both"/>
        <w:ind w:firstLine="6"/>
        <w:spacing w:after="0" w:line="276" w:lineRule="auto"/>
        <w:tabs>
          <w:tab w:leader="none" w:pos="636"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Construction</w:t>
      </w:r>
      <w:r>
        <w:rPr>
          <w:rFonts w:ascii="Times New Roman" w:cs="Times New Roman" w:eastAsia="Times New Roman" w:hAnsi="Times New Roman"/>
          <w:sz w:val="21"/>
          <w:szCs w:val="21"/>
          <w:color w:val="auto"/>
        </w:rPr>
        <w:t>. The headings and enumeration used in this Agreement are for ease of reference only and shall not affect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interpretation of any provision. References to the singular shall include the plural and vice-versa, except when the context requires otherwise. All uses of the word “or” herein are as a logical disjunction unless otherwise specified.</w:t>
      </w:r>
    </w:p>
    <w:p>
      <w:pPr>
        <w:spacing w:after="0" w:line="200" w:lineRule="exact"/>
        <w:rPr>
          <w:rFonts w:ascii="Times New Roman" w:cs="Times New Roman" w:eastAsia="Times New Roman" w:hAnsi="Times New Roman"/>
          <w:sz w:val="21"/>
          <w:szCs w:val="21"/>
          <w:color w:val="auto"/>
        </w:rPr>
      </w:pPr>
    </w:p>
    <w:p>
      <w:pPr>
        <w:jc w:val="both"/>
        <w:ind w:firstLine="6"/>
        <w:spacing w:after="0" w:line="260" w:lineRule="auto"/>
        <w:tabs>
          <w:tab w:leader="none" w:pos="636"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 a Partnership; Successors and Assigns</w:t>
      </w:r>
      <w:r>
        <w:rPr>
          <w:rFonts w:ascii="Times New Roman" w:cs="Times New Roman" w:eastAsia="Times New Roman" w:hAnsi="Times New Roman"/>
          <w:sz w:val="21"/>
          <w:szCs w:val="21"/>
          <w:color w:val="auto"/>
        </w:rPr>
        <w:t>. This Agreement forms an employer-employee relationship between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as such, and the Company, as employer, and shall not form or be deemed to form a partnership or joint venture or any other relationship. Executive may not assign Executive’s rights or delegate Executive’s duties or obligations hereunder without the prior written consent of the Company. This Agreement and the benefit of each agreement and obligations of Executive hereunder may be freely assigned to and enforced by all successors and assigns of the Company, in its sole discretion, and such agreements and obligations shall operate and remain binding notwithstanding the termination of this Agreement.</w:t>
      </w:r>
    </w:p>
    <w:p>
      <w:pPr>
        <w:spacing w:after="0" w:line="219" w:lineRule="exact"/>
        <w:rPr>
          <w:rFonts w:ascii="Times New Roman" w:cs="Times New Roman" w:eastAsia="Times New Roman" w:hAnsi="Times New Roman"/>
          <w:sz w:val="21"/>
          <w:szCs w:val="21"/>
          <w:color w:val="auto"/>
        </w:rPr>
      </w:pPr>
    </w:p>
    <w:p>
      <w:pPr>
        <w:jc w:val="both"/>
        <w:ind w:firstLine="6"/>
        <w:spacing w:after="0" w:line="260" w:lineRule="auto"/>
        <w:tabs>
          <w:tab w:leader="none" w:pos="636"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Company Party Defined</w:t>
      </w:r>
      <w:r>
        <w:rPr>
          <w:rFonts w:ascii="Times New Roman" w:cs="Times New Roman" w:eastAsia="Times New Roman" w:hAnsi="Times New Roman"/>
          <w:sz w:val="21"/>
          <w:szCs w:val="21"/>
          <w:color w:val="auto"/>
        </w:rPr>
        <w:t>. For purposes of this Agreement, the “Company Parties” collectively (and, individually,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Party</w:t>
      </w:r>
      <w:r>
        <w:rPr>
          <w:rFonts w:ascii="Times New Roman" w:cs="Times New Roman" w:eastAsia="Times New Roman" w:hAnsi="Times New Roman"/>
          <w:sz w:val="21"/>
          <w:szCs w:val="21"/>
          <w:color w:val="auto"/>
        </w:rPr>
        <w:t>”) means the Company, and its subsidiaries and affiliates, and each and every other entity which is in control of, controlled by or directly or indirectly under common control with the Company. Any and all such entities and individuals is an intended third-party beneficiary of this Agreement. Should Executive be employed by or transferred to a successor, or to a member, subsidiary, affiliate or other related entity, this Agreement shall continue in full force and effect as part of the terms of Executive’s employment.</w:t>
      </w:r>
    </w:p>
    <w:p>
      <w:pPr>
        <w:spacing w:after="0" w:line="219" w:lineRule="exact"/>
        <w:rPr>
          <w:rFonts w:ascii="Times New Roman" w:cs="Times New Roman" w:eastAsia="Times New Roman" w:hAnsi="Times New Roman"/>
          <w:sz w:val="21"/>
          <w:szCs w:val="21"/>
          <w:color w:val="auto"/>
        </w:rPr>
      </w:pPr>
    </w:p>
    <w:p>
      <w:pPr>
        <w:jc w:val="both"/>
        <w:ind w:firstLine="6"/>
        <w:spacing w:after="0" w:line="276" w:lineRule="auto"/>
        <w:tabs>
          <w:tab w:leader="none" w:pos="636"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Choice of Law</w:t>
      </w:r>
      <w:r>
        <w:rPr>
          <w:rFonts w:ascii="Times New Roman" w:cs="Times New Roman" w:eastAsia="Times New Roman" w:hAnsi="Times New Roman"/>
          <w:sz w:val="21"/>
          <w:szCs w:val="21"/>
          <w:color w:val="auto"/>
        </w:rPr>
        <w:t>. This Agreement, and all of the rights and obligations of the parties hereto in connection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relationship established hereby, shall be governed by and construed in accordance with the substantive laws of the State of Washington, without giving effect to principles relating to conflicts of law.</w:t>
      </w:r>
    </w:p>
    <w:p>
      <w:pPr>
        <w:spacing w:after="0" w:line="200" w:lineRule="exact"/>
        <w:rPr>
          <w:rFonts w:ascii="Times New Roman" w:cs="Times New Roman" w:eastAsia="Times New Roman" w:hAnsi="Times New Roman"/>
          <w:sz w:val="21"/>
          <w:szCs w:val="21"/>
          <w:color w:val="auto"/>
        </w:rPr>
      </w:pPr>
    </w:p>
    <w:p>
      <w:pPr>
        <w:jc w:val="both"/>
        <w:ind w:firstLine="6"/>
        <w:spacing w:after="0" w:line="257" w:lineRule="auto"/>
        <w:tabs>
          <w:tab w:leader="none" w:pos="636"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Amendment and Waiver</w:t>
      </w:r>
      <w:r>
        <w:rPr>
          <w:rFonts w:ascii="Times New Roman" w:cs="Times New Roman" w:eastAsia="Times New Roman" w:hAnsi="Times New Roman"/>
          <w:sz w:val="21"/>
          <w:szCs w:val="21"/>
          <w:color w:val="auto"/>
        </w:rPr>
        <w:t>. The provisions of this Agreement may be amended or waived only with the written consent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both the Company and Executive, and no course of conduct or course of dealing or failure or delay by any party hereto in enforcing or exercising any of the provisions of this Agreement shall affect the validity, binding effect or enforceability of this Agreement or be deemed to be an implied waiver of any provision of this Agreement. No waiver or indulgence by the Company or any Company Party of any failure by Executive to keep or perform any promise or condition of this Agreement shall be a waiver of any preceding or succeeding breach of the same or any other promise or condition. No waiver by the Company or any Company Party of any right shall be construed as a waiver of any other right. No Company Party shall be required to give notice to enforce strict adherence to all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93" w:right="339" w:bottom="1440" w:gutter="0" w:footer="0" w:header="0"/>
        </w:sectPr>
      </w:pPr>
    </w:p>
    <w:bookmarkStart w:id="147" w:name="page148"/>
    <w:bookmarkEnd w:id="147"/>
    <w:p>
      <w:pPr>
        <w:spacing w:after="0" w:line="219" w:lineRule="exact"/>
        <w:rPr>
          <w:sz w:val="20"/>
          <w:szCs w:val="20"/>
          <w:color w:val="auto"/>
        </w:rPr>
      </w:pPr>
    </w:p>
    <w:p>
      <w:pPr>
        <w:jc w:val="both"/>
        <w:ind w:firstLine="6"/>
        <w:spacing w:after="0" w:line="253" w:lineRule="auto"/>
        <w:tabs>
          <w:tab w:leader="none" w:pos="636" w:val="left"/>
        </w:tabs>
        <w:numPr>
          <w:ilvl w:val="0"/>
          <w:numId w:val="7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Dispute Resolution</w:t>
      </w:r>
      <w:r>
        <w:rPr>
          <w:rFonts w:ascii="Times New Roman" w:cs="Times New Roman" w:eastAsia="Times New Roman" w:hAnsi="Times New Roman"/>
          <w:sz w:val="21"/>
          <w:szCs w:val="21"/>
          <w:color w:val="auto"/>
        </w:rPr>
        <w:t>. The parties agree to solely arbitrate all grievances, disputes, claims, or causes of action arising out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this Agreement or Executive’s employment with the Company, including claims Executive may have against the Company or against its officers, directors, supervisors, managers, employees or agents, unless arbitration is otherwise prohibited by law. Claims for violation of any federal, state or local statute, including, but not limited to, Title VII of the Civil Rights Act of 1964, the Civil Rights Act of 1991, the Age Discrimination in Employment Act of 1967, the Americans with Disabilities Act of 1990, the Family Medical Leave Act, and the Fair Labor Standards Act, and alleged wage and hour violations, including, but not limited to, claims for overtime, unpaid wages, and claims involving meal and rest breaks shall all be subject to this arbitration clause;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this arbitration clause does not cover claims for sexual harassment or sexual assault brought under federal, state or local law. All claims subject to arbitration shall be settled by final and binding arbitration in accordance with the employment dispute resolution rules of the American Arbitration Association (“</w:t>
      </w:r>
      <w:r>
        <w:rPr>
          <w:rFonts w:ascii="Times New Roman" w:cs="Times New Roman" w:eastAsia="Times New Roman" w:hAnsi="Times New Roman"/>
          <w:sz w:val="21"/>
          <w:szCs w:val="21"/>
          <w:u w:val="single" w:color="auto"/>
          <w:color w:val="auto"/>
        </w:rPr>
        <w:t>AAA</w:t>
      </w:r>
      <w:r>
        <w:rPr>
          <w:rFonts w:ascii="Times New Roman" w:cs="Times New Roman" w:eastAsia="Times New Roman" w:hAnsi="Times New Roman"/>
          <w:sz w:val="21"/>
          <w:szCs w:val="21"/>
          <w:color w:val="auto"/>
        </w:rPr>
        <w:t xml:space="preserve">”) in effect at the time the demand for arbitration is made. Accordingly, the parties are not permitted to pursue court action regarding claims that are subject to arbitration. Such arbitration shall be filed with the AAA and shall be heard before a single neutral arbitrator, who shall be selected as provided in AAA’s Rules and Procedures. Any arbitration filed by Executive shall be heard in Vancouver, Washington;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arbitration in Vancouver, Washington is impractical because Executive’s employment for the Company is located more than 100 miles from Vancouver, Washington, the arbitration may be held in the County and State where Executive last resided during Executive’s employment for the Company. The Company shall be responsible for the arbitrator’s fees and expenses in excess of any reasonable filing fee with the AAA;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each party shall pay its own costs and attorneys’ fees, if 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further, that if Executive prevails in any dispute regarding Executive’s rights under this Agreement, then the Company will reimburse his reasonable legal fees and expenses. The arbitrator shall issue a written decision that contains the essential findings and conclusions on which the decision is based. The arbitrator’s remedial authority shall be no greater than that which is available under the statutory or common law theory asserted. Judgment upon any award rendered by the arbitrator may be entered in any court with appropriate jurisdiction. Neither this agreement to arbitrate nor any demand for arbitration shall waive or otherwise affect the Company’s right to obtain any provisional remedy, including, without limitation, injunctive relief for unfair competition, the use or unauthorized disclosure or misappropriation of trade secrets, the disclosure of any other confidential information or the violation of the confidentiality or other provisions of Section 6(a)-(d) or Section 7 of this Agreement. Executive and the Company intend and agree that class action and representative action procedures are hereby waived and shall not be asserted, nor will they apply, in any arbitration pursuant to this agreement.</w:t>
      </w:r>
    </w:p>
    <w:p>
      <w:pPr>
        <w:spacing w:after="0" w:line="21" w:lineRule="exact"/>
        <w:rPr>
          <w:rFonts w:ascii="Times New Roman" w:cs="Times New Roman" w:eastAsia="Times New Roman" w:hAnsi="Times New Roman"/>
          <w:sz w:val="21"/>
          <w:szCs w:val="21"/>
          <w:color w:val="auto"/>
        </w:rPr>
      </w:pPr>
    </w:p>
    <w:p>
      <w:pPr>
        <w:spacing w:after="0" w:line="26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AND THE COMPANY UNDERSTAND AND ACKNOWLEDGE THAT BY SIGNING THIS AGREEMENT, THE PARTIES ARE GIVING UP THE RIGHT TO A JURY TRIAL AND TO A TRIAL IN A COURT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440" w:right="339" w:bottom="1440" w:gutter="0" w:footer="0" w:header="0"/>
        </w:sectPr>
      </w:pPr>
    </w:p>
    <w:bookmarkStart w:id="148" w:name="page149"/>
    <w:bookmarkEnd w:id="148"/>
    <w:p>
      <w:pPr>
        <w:jc w:val="both"/>
        <w:ind w:firstLine="6"/>
        <w:spacing w:after="0" w:line="260" w:lineRule="auto"/>
        <w:tabs>
          <w:tab w:leader="none" w:pos="63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Cooperation with Regard to Litigation</w:t>
      </w:r>
      <w:r>
        <w:rPr>
          <w:rFonts w:ascii="Times New Roman" w:cs="Times New Roman" w:eastAsia="Times New Roman" w:hAnsi="Times New Roman"/>
          <w:sz w:val="21"/>
          <w:szCs w:val="21"/>
          <w:color w:val="auto"/>
        </w:rPr>
        <w:t>. Executive agrees to cooperate with the Company during the term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thereafter (including following termination of Executive’s employment for any reason or for no reason). Without limiting the foregoing, Executive shall be available to testify on behalf of the Company or its affiliates, in any action, suit or proceeding, whether civil, criminal, administrative or investigative, and to assist the Company or any of its affiliates in any such action, suit or proceeding, by providing information and meeting and consulting with its counsel and representatives. Reasonable out-of-pocket expenses incurred by Executive in compliance with this Section shall be reimbursed by the Company.</w:t>
      </w:r>
    </w:p>
    <w:p>
      <w:pPr>
        <w:spacing w:after="0" w:line="219" w:lineRule="exact"/>
        <w:rPr>
          <w:rFonts w:ascii="Times New Roman" w:cs="Times New Roman" w:eastAsia="Times New Roman" w:hAnsi="Times New Roman"/>
          <w:sz w:val="21"/>
          <w:szCs w:val="21"/>
          <w:color w:val="auto"/>
        </w:rPr>
      </w:pPr>
    </w:p>
    <w:p>
      <w:pPr>
        <w:jc w:val="both"/>
        <w:ind w:firstLine="6"/>
        <w:spacing w:after="0" w:line="276" w:lineRule="auto"/>
        <w:tabs>
          <w:tab w:leader="none" w:pos="63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 This Agreement may be executed in separate counterparts, each of which is deemed to be an original and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which taken together constitute one and the same agreement. Any counterpart may be executed by facsimile or electronic signature and such facsimile or electronic signature shall be deemed an original.</w:t>
      </w:r>
    </w:p>
    <w:p>
      <w:pPr>
        <w:spacing w:after="0" w:line="200" w:lineRule="exact"/>
        <w:rPr>
          <w:rFonts w:ascii="Times New Roman" w:cs="Times New Roman" w:eastAsia="Times New Roman" w:hAnsi="Times New Roman"/>
          <w:sz w:val="21"/>
          <w:szCs w:val="21"/>
          <w:color w:val="auto"/>
        </w:rPr>
      </w:pPr>
    </w:p>
    <w:p>
      <w:pPr>
        <w:jc w:val="both"/>
        <w:ind w:firstLine="6"/>
        <w:spacing w:after="0" w:line="260" w:lineRule="auto"/>
        <w:tabs>
          <w:tab w:leader="none" w:pos="636" w:val="left"/>
        </w:tabs>
        <w:numPr>
          <w:ilvl w:val="0"/>
          <w:numId w:val="7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Compliance with Section 409A</w:t>
      </w:r>
      <w:r>
        <w:rPr>
          <w:rFonts w:ascii="Times New Roman" w:cs="Times New Roman" w:eastAsia="Times New Roman" w:hAnsi="Times New Roman"/>
          <w:sz w:val="21"/>
          <w:szCs w:val="21"/>
          <w:color w:val="auto"/>
        </w:rPr>
        <w:t>. Notwithstanding any other provision of this Agreement to the contrary, the provision, time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manner of payment or distribution of all compensation and benefits provided by this Agreement that constitute nonqualified deferred compensation subject to and not exempted from the requirements of Section 409A of the Code (“</w:t>
      </w:r>
      <w:r>
        <w:rPr>
          <w:rFonts w:ascii="Times New Roman" w:cs="Times New Roman" w:eastAsia="Times New Roman" w:hAnsi="Times New Roman"/>
          <w:sz w:val="21"/>
          <w:szCs w:val="21"/>
          <w:u w:val="single" w:color="auto"/>
          <w:color w:val="auto"/>
        </w:rPr>
        <w:t>Section 409A Deferred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shall be subject to, limited by and construed in accordance with the requirements of Section 409A and all regulations and other guidance promulgated by the Secretary of the Treasury pursuant to such Section (such Section, regulations and other guidance being referred to herein as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including the following:</w:t>
      </w:r>
    </w:p>
    <w:p>
      <w:pPr>
        <w:spacing w:after="0" w:line="166" w:lineRule="exact"/>
        <w:rPr>
          <w:rFonts w:ascii="Times New Roman" w:cs="Times New Roman" w:eastAsia="Times New Roman" w:hAnsi="Times New Roman"/>
          <w:sz w:val="21"/>
          <w:szCs w:val="21"/>
          <w:color w:val="auto"/>
        </w:rPr>
      </w:pPr>
    </w:p>
    <w:p>
      <w:pPr>
        <w:jc w:val="both"/>
        <w:ind w:firstLine="642"/>
        <w:spacing w:after="0" w:line="263" w:lineRule="auto"/>
        <w:tabs>
          <w:tab w:leader="none" w:pos="1269" w:val="left"/>
        </w:tabs>
        <w:numPr>
          <w:ilvl w:val="1"/>
          <w:numId w:val="7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Separation from Service</w:t>
      </w:r>
      <w:r>
        <w:rPr>
          <w:rFonts w:ascii="Times New Roman" w:cs="Times New Roman" w:eastAsia="Times New Roman" w:hAnsi="Times New Roman"/>
          <w:sz w:val="21"/>
          <w:szCs w:val="21"/>
          <w:color w:val="auto"/>
        </w:rPr>
        <w:t>. Payments and benefits constituting Section 409A Deferred Compensation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payable or provided pursuant to Section 4 upon Executive’s termination of employment shall be paid or provided only at the time of a termination of Executive’s employment that constitutes a Separation from Service. For the purposes of this Agreement, a “Separation from Service” is a separation from service within the meaning of Treasury Regulation Section 1.409A-1(h).</w:t>
      </w:r>
    </w:p>
    <w:p>
      <w:pPr>
        <w:spacing w:after="0" w:line="173" w:lineRule="exact"/>
        <w:rPr>
          <w:rFonts w:ascii="Times New Roman" w:cs="Times New Roman" w:eastAsia="Times New Roman" w:hAnsi="Times New Roman"/>
          <w:sz w:val="21"/>
          <w:szCs w:val="21"/>
          <w:color w:val="010000"/>
        </w:rPr>
      </w:pPr>
    </w:p>
    <w:p>
      <w:pPr>
        <w:jc w:val="both"/>
        <w:ind w:firstLine="642"/>
        <w:spacing w:after="0" w:line="257" w:lineRule="auto"/>
        <w:tabs>
          <w:tab w:leader="none" w:pos="1267" w:val="left"/>
        </w:tabs>
        <w:numPr>
          <w:ilvl w:val="1"/>
          <w:numId w:val="7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Six-Month Delay Applicable to Specified Employees</w:t>
      </w:r>
      <w:r>
        <w:rPr>
          <w:rFonts w:ascii="Times New Roman" w:cs="Times New Roman" w:eastAsia="Times New Roman" w:hAnsi="Times New Roman"/>
          <w:sz w:val="21"/>
          <w:szCs w:val="21"/>
          <w:color w:val="auto"/>
        </w:rPr>
        <w:t>. If, at the time of a Separation from Service of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is a “specified employee” within the meaning of Section 409A(a)(2)(B)(i) (a “</w:t>
      </w:r>
      <w:r>
        <w:rPr>
          <w:rFonts w:ascii="Times New Roman" w:cs="Times New Roman" w:eastAsia="Times New Roman" w:hAnsi="Times New Roman"/>
          <w:sz w:val="21"/>
          <w:szCs w:val="21"/>
          <w:u w:val="single" w:color="auto"/>
          <w:color w:val="auto"/>
        </w:rPr>
        <w:t>Specified Employee</w:t>
      </w:r>
      <w:r>
        <w:rPr>
          <w:rFonts w:ascii="Times New Roman" w:cs="Times New Roman" w:eastAsia="Times New Roman" w:hAnsi="Times New Roman"/>
          <w:sz w:val="21"/>
          <w:szCs w:val="21"/>
          <w:color w:val="auto"/>
        </w:rPr>
        <w:t>”), then any payments and benefits constituting Section 409A Deferred Compensation to be paid or provided pursuant to Section 4 upon the Separation from Service of Executive shall be paid or provided commencing on the later of (i) the date that is six months after the date of such Separation from Service or, if earlier, the date of death of Executive (in either case, the “</w:t>
      </w:r>
      <w:r>
        <w:rPr>
          <w:rFonts w:ascii="Times New Roman" w:cs="Times New Roman" w:eastAsia="Times New Roman" w:hAnsi="Times New Roman"/>
          <w:sz w:val="21"/>
          <w:szCs w:val="21"/>
          <w:u w:val="single" w:color="auto"/>
          <w:color w:val="auto"/>
        </w:rPr>
        <w:t>Delayed Payment Date</w:t>
      </w:r>
      <w:r>
        <w:rPr>
          <w:rFonts w:ascii="Times New Roman" w:cs="Times New Roman" w:eastAsia="Times New Roman" w:hAnsi="Times New Roman"/>
          <w:sz w:val="21"/>
          <w:szCs w:val="21"/>
          <w:color w:val="auto"/>
        </w:rPr>
        <w:t>”), or (ii) the date or dates on which such Section 409A Deferred Compensation would otherwise be paid or provided in accordance with Section 4. All such amounts that would, but for this Section 20(b), become payable prior to the Delayed Payment Date shall be accumulated and paid on the Delayed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93" w:right="339" w:bottom="1440" w:gutter="0" w:footer="0" w:header="0"/>
        </w:sectPr>
      </w:pPr>
    </w:p>
    <w:bookmarkStart w:id="149" w:name="page150"/>
    <w:bookmarkEnd w:id="149"/>
    <w:p>
      <w:pPr>
        <w:jc w:val="both"/>
        <w:ind w:firstLine="642"/>
        <w:spacing w:after="0" w:line="267" w:lineRule="auto"/>
        <w:tabs>
          <w:tab w:leader="none" w:pos="1269" w:val="left"/>
        </w:tabs>
        <w:numPr>
          <w:ilvl w:val="0"/>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Stock-Based Awards</w:t>
      </w:r>
      <w:r>
        <w:rPr>
          <w:rFonts w:ascii="Times New Roman" w:cs="Times New Roman" w:eastAsia="Times New Roman" w:hAnsi="Times New Roman"/>
          <w:sz w:val="21"/>
          <w:szCs w:val="21"/>
          <w:color w:val="auto"/>
        </w:rPr>
        <w:t>. The vesting of any stock-based compensation awards which constitute Section 409A Deferred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Compensation and are held by Executive, if Executive is a Specified Executive, shall be accelerated in accordance with this Agreement to the extent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payment in settlement of any such awards shall occur on the Delayed Payment Date, to the extent required pursuant to Section 20(b).</w:t>
      </w:r>
    </w:p>
    <w:p>
      <w:pPr>
        <w:spacing w:after="0" w:line="157" w:lineRule="exact"/>
        <w:rPr>
          <w:rFonts w:ascii="Times New Roman" w:cs="Times New Roman" w:eastAsia="Times New Roman" w:hAnsi="Times New Roman"/>
          <w:sz w:val="21"/>
          <w:szCs w:val="21"/>
          <w:color w:val="010000"/>
        </w:rPr>
      </w:pPr>
    </w:p>
    <w:p>
      <w:pPr>
        <w:jc w:val="both"/>
        <w:ind w:firstLine="642"/>
        <w:spacing w:after="0" w:line="269" w:lineRule="auto"/>
        <w:tabs>
          <w:tab w:leader="none" w:pos="1267" w:val="left"/>
        </w:tabs>
        <w:numPr>
          <w:ilvl w:val="0"/>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Installments</w:t>
      </w:r>
      <w:r>
        <w:rPr>
          <w:rFonts w:ascii="Times New Roman" w:cs="Times New Roman" w:eastAsia="Times New Roman" w:hAnsi="Times New Roman"/>
          <w:sz w:val="21"/>
          <w:szCs w:val="21"/>
          <w:color w:val="auto"/>
        </w:rPr>
        <w:t>. Executive’s right to receive any installment payments payable hereunder shall be treated as a right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 a series of separate payments and, accordingly, each such installment payment shall at all times be considered a separate and distinct payment for purposes of Section 409A.</w:t>
      </w:r>
    </w:p>
    <w:p>
      <w:pPr>
        <w:spacing w:after="0" w:line="155" w:lineRule="exact"/>
        <w:rPr>
          <w:rFonts w:ascii="Times New Roman" w:cs="Times New Roman" w:eastAsia="Times New Roman" w:hAnsi="Times New Roman"/>
          <w:sz w:val="21"/>
          <w:szCs w:val="21"/>
          <w:color w:val="010000"/>
        </w:rPr>
      </w:pPr>
    </w:p>
    <w:p>
      <w:pPr>
        <w:jc w:val="both"/>
        <w:ind w:firstLine="642"/>
        <w:spacing w:after="0" w:line="263" w:lineRule="auto"/>
        <w:tabs>
          <w:tab w:leader="none" w:pos="1269" w:val="left"/>
        </w:tabs>
        <w:numPr>
          <w:ilvl w:val="0"/>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Reimbursements</w:t>
      </w:r>
      <w:r>
        <w:rPr>
          <w:rFonts w:ascii="Times New Roman" w:cs="Times New Roman" w:eastAsia="Times New Roman" w:hAnsi="Times New Roman"/>
          <w:sz w:val="21"/>
          <w:szCs w:val="21"/>
          <w:color w:val="auto"/>
        </w:rPr>
        <w:t>. To the extent that any reimbursements payable to Executive pursuant to this Agreement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the provisions of Section 409A, such reimbursements shall be paid to Executive no later than December 31 of the year following the year in which the cost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60" w:lineRule="exact"/>
        <w:rPr>
          <w:rFonts w:ascii="Times New Roman" w:cs="Times New Roman" w:eastAsia="Times New Roman" w:hAnsi="Times New Roman"/>
          <w:sz w:val="21"/>
          <w:szCs w:val="21"/>
          <w:color w:val="010000"/>
        </w:rPr>
      </w:pPr>
    </w:p>
    <w:p>
      <w:pPr>
        <w:jc w:val="both"/>
        <w:ind w:firstLine="642"/>
        <w:spacing w:after="0" w:line="254" w:lineRule="auto"/>
        <w:tabs>
          <w:tab w:leader="none" w:pos="1272" w:val="left"/>
        </w:tabs>
        <w:numPr>
          <w:ilvl w:val="0"/>
          <w:numId w:val="7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Rights of the Company; Release of Liability</w:t>
      </w:r>
      <w:r>
        <w:rPr>
          <w:rFonts w:ascii="Times New Roman" w:cs="Times New Roman" w:eastAsia="Times New Roman" w:hAnsi="Times New Roman"/>
          <w:sz w:val="21"/>
          <w:szCs w:val="21"/>
          <w:color w:val="auto"/>
        </w:rPr>
        <w:t>. It is the mutual intention of Executive and the Company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provision of all payments and benefits pursuant to this Agreement be made in compliance with the requirements of Section 409A. To the extent that the provision of any such payment or benefit pursuant to the terms and conditions of this Agreement would fail to comply with the applicable requirements of Section 409A, the Company may, in its sole and absolute discretion and without the consent of Executive, make such modifications to the timing or manner of providing such payment and/or benefit to the extent it determines necessary or advisable to comply with the requirements of Section 409A;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shall not be obligated to make any such modifications. Any such modifications made by the Company shall, to the maximum extent permitted in compliance with the requirements of Section 409A, preserve the aggregate monetary face value of such payments and/or benefits provided by this Agreement in the absence of such modification;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Company shall in no event be obligated to pay any interest or other compensation in respect of any delay in the provision of such payments or benefits in order to comply with the requirements of Section 409A. Executive acknowledges that (i) the provisions of this Section 20 may result in a delay in the time which payments would otherwise be made pursuant to this Agreement and (ii) the Company is authorized to amend this Agreement, to void or amend any election made by Executive under this Agreement and/or to delay the payment of any monies and/or provision of any benefits in such manner as may be determined by the Company, in its discretion, to be necessary or appropriate to comply with Section 409A (including any transition or grandfather rules thereunder) without prior notice to or consent of Executive. Executive hereby releases and holds harmless the Company, its directors, officers and stockholders from any and all claims that may arise from or relate to any tax liability, penalties, interest, costs, fees or other liability incurred by Executive as a result of the application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93" w:right="339" w:bottom="1440" w:gutter="0" w:footer="0" w:header="0"/>
        </w:sectPr>
      </w:pPr>
    </w:p>
    <w:bookmarkStart w:id="150" w:name="page151"/>
    <w:bookmarkEnd w:id="150"/>
    <w:p>
      <w:pPr>
        <w:ind w:left="64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Employment Agreement as of the date first written above.</w:t>
      </w:r>
    </w:p>
    <w:p>
      <w:pPr>
        <w:spacing w:after="0" w:line="218"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21"/>
          <w:szCs w:val="21"/>
          <w:b w:val="1"/>
          <w:bCs w:val="1"/>
          <w:color w:val="auto"/>
        </w:rPr>
        <w:t>THE COMPANY:</w:t>
        <w:tab/>
        <w:t>EXECUTIVE: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ZoomInfo Technologies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-8890</wp:posOffset>
            </wp:positionV>
            <wp:extent cx="6731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673100" cy="8255"/>
                    </a:xfrm>
                    <a:prstGeom prst="rect">
                      <a:avLst/>
                    </a:prstGeom>
                    <a:noFill/>
                  </pic:spPr>
                </pic:pic>
              </a:graphicData>
            </a:graphic>
          </wp:anchor>
        </w:drawing>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[Employee Name]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346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-8890</wp:posOffset>
            </wp:positionV>
            <wp:extent cx="1346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i w:val="1"/>
          <w:iCs w:val="1"/>
          <w:color w:val="auto"/>
        </w:rPr>
        <w:t>Signature Page to Employment Agreement</w:t>
      </w:r>
    </w:p>
    <w:p>
      <w:pPr>
        <w:sectPr>
          <w:pgSz w:w="11900" w:h="16838" w:orient="portrait"/>
          <w:cols w:equalWidth="0" w:num="1">
            <w:col w:w="11080"/>
          </w:cols>
          <w:pgMar w:left="320" w:top="1397" w:right="499" w:bottom="1440" w:gutter="0" w:footer="0" w:header="0"/>
        </w:sectPr>
      </w:pPr>
    </w:p>
    <w:bookmarkStart w:id="151" w:name="page152"/>
    <w:bookmarkEnd w:id="151"/>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Prior 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Prior Inventions, Attached to Employment Agreement</w:t>
      </w:r>
    </w:p>
    <w:p>
      <w:pPr>
        <w:sectPr>
          <w:pgSz w:w="11900" w:h="16838" w:orient="portrait"/>
          <w:cols w:equalWidth="0" w:num="1">
            <w:col w:w="9019"/>
          </w:cols>
          <w:pgMar w:left="1440" w:top="1393" w:right="1440" w:bottom="1440" w:gutter="0" w:footer="0" w:header="0"/>
        </w:sectPr>
      </w:pPr>
    </w:p>
    <w:bookmarkStart w:id="152" w:name="page153"/>
    <w:bookmarkEnd w:id="152"/>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Release Agreement</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THIS RELEASE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______________, between ZoomInfo Technologies Inc.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ZoomInfo Technologies LLC (collectively,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[EMPLOYEE] (“</w:t>
      </w:r>
      <w:r>
        <w:rPr>
          <w:rFonts w:ascii="Times New Roman" w:cs="Times New Roman" w:eastAsia="Times New Roman" w:hAnsi="Times New Roman"/>
          <w:sz w:val="21"/>
          <w:szCs w:val="21"/>
          <w:u w:val="single" w:color="auto"/>
          <w:color w:val="auto"/>
        </w:rPr>
        <w:t>you</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WHEREAS,  the  Company  and  you  have  entered  into  that  certain  Employment  Agreement  dated  as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 2025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and</w:t>
      </w:r>
    </w:p>
    <w:p>
      <w:pPr>
        <w:spacing w:after="0" w:line="198" w:lineRule="exact"/>
        <w:rPr>
          <w:sz w:val="20"/>
          <w:szCs w:val="20"/>
          <w:color w:val="auto"/>
        </w:rPr>
      </w:pPr>
    </w:p>
    <w:p>
      <w:pPr>
        <w:jc w:val="both"/>
        <w:ind w:firstLine="1272"/>
        <w:spacing w:after="0" w:line="274" w:lineRule="auto"/>
        <w:rPr>
          <w:sz w:val="20"/>
          <w:szCs w:val="20"/>
          <w:color w:val="auto"/>
        </w:rPr>
      </w:pPr>
      <w:r>
        <w:rPr>
          <w:rFonts w:ascii="Times New Roman" w:cs="Times New Roman" w:eastAsia="Times New Roman" w:hAnsi="Times New Roman"/>
          <w:sz w:val="21"/>
          <w:szCs w:val="21"/>
          <w:color w:val="auto"/>
        </w:rPr>
        <w:t>WHEREAS, pursuant to the Employment Agreement, certain severance payments and benefits otherwise payable to you pursuant to the Employment Agreement (the “</w:t>
      </w:r>
      <w:r>
        <w:rPr>
          <w:rFonts w:ascii="Times New Roman" w:cs="Times New Roman" w:eastAsia="Times New Roman" w:hAnsi="Times New Roman"/>
          <w:sz w:val="21"/>
          <w:szCs w:val="21"/>
          <w:u w:val="single" w:color="auto"/>
          <w:color w:val="auto"/>
        </w:rPr>
        <w:t>Severance Benefits</w:t>
      </w:r>
      <w:r>
        <w:rPr>
          <w:rFonts w:ascii="Times New Roman" w:cs="Times New Roman" w:eastAsia="Times New Roman" w:hAnsi="Times New Roman"/>
          <w:sz w:val="21"/>
          <w:szCs w:val="21"/>
          <w:color w:val="auto"/>
        </w:rPr>
        <w:t>”) are subject to your execution, delivery and non-revocation of a release of claims substantially in the form of Exhibit A to the Employment Agreement.</w:t>
      </w:r>
    </w:p>
    <w:p>
      <w:pPr>
        <w:spacing w:after="0" w:line="1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NOW THEREFORE, in consideration of the Severance Benefits you hereby agree as follows:</w:t>
      </w:r>
    </w:p>
    <w:p>
      <w:pPr>
        <w:spacing w:after="0" w:line="222" w:lineRule="exact"/>
        <w:rPr>
          <w:sz w:val="20"/>
          <w:szCs w:val="20"/>
          <w:color w:val="auto"/>
        </w:rPr>
      </w:pPr>
    </w:p>
    <w:p>
      <w:pPr>
        <w:jc w:val="both"/>
        <w:ind w:firstLine="6"/>
        <w:spacing w:after="0" w:line="255" w:lineRule="auto"/>
        <w:tabs>
          <w:tab w:leader="none" w:pos="424" w:val="left"/>
        </w:tabs>
        <w:numPr>
          <w:ilvl w:val="0"/>
          <w:numId w:val="7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Release</w:t>
      </w:r>
      <w:r>
        <w:rPr>
          <w:rFonts w:ascii="Times New Roman" w:cs="Times New Roman" w:eastAsia="Times New Roman" w:hAnsi="Times New Roman"/>
          <w:sz w:val="21"/>
          <w:szCs w:val="21"/>
          <w:color w:val="auto"/>
        </w:rPr>
        <w:t>. For and in consideration of the Severance Benefits to be made to you under the Employment Agreement, you hereby agree on behalf of yourself, your agents, assignees, attorneys, successors, assigns, heirs and executors, to, and you do hereby, fully and completely forever release the Company and its affiliates, predecessors and successors and all of their respective past and/or present officers, directors, partners, members, managing members, managers, employees, agents, representatives, administrators, attorneys, insurers and fiduciaries in their individual and/or representative capacities (hereinafter collectively referred to as the “</w:t>
      </w:r>
      <w:r>
        <w:rPr>
          <w:rFonts w:ascii="Times New Roman" w:cs="Times New Roman" w:eastAsia="Times New Roman" w:hAnsi="Times New Roman"/>
          <w:sz w:val="21"/>
          <w:szCs w:val="21"/>
          <w:u w:val="single" w:color="auto"/>
          <w:color w:val="auto"/>
        </w:rPr>
        <w:t>Releasees</w:t>
      </w:r>
      <w:r>
        <w:rPr>
          <w:rFonts w:ascii="Times New Roman" w:cs="Times New Roman" w:eastAsia="Times New Roman" w:hAnsi="Times New Roman"/>
          <w:sz w:val="21"/>
          <w:szCs w:val="21"/>
          <w:color w:val="auto"/>
        </w:rPr>
        <w:t xml:space="preserve">”), from any and all causes of action, suits, agreements, promises, damages, disputes, controversies, contentions, differences, judgments, claims, debts, dues, sums of money, accounts, reckonings, bonds, bills, specialties, covenants, contracts, variances, trespasses, extents, executions and demands of any kind whatsoever, which you or your heirs, executors, administrators, successors and assigns ever had, now have or may have hereafter against the Releasees or any of them, in law, admiralty or equity, whether known or unknown to you, for, upon, or by reason of, any matter, action, omission, course or thing whatsoever occurring, including, without limitation, in connection with or in relationship to your employment or other service relationship with the Company or its affiliates, the termination of any such employment or service relationship and any applicable employment, compensatory or equity arrangement with the Company or its affiliates;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released claims shall not include any claims to enforce (a) your rights under, or with respect to, the Severance Benefits, or (b) your rights under, and with respect to, any “Accrued Amounts” (as defined in the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w:t>
      </w:r>
    </w:p>
    <w:p>
      <w:pPr>
        <w:sectPr>
          <w:pgSz w:w="11900" w:h="16838" w:orient="portrait"/>
          <w:cols w:equalWidth="0" w:num="1">
            <w:col w:w="11240"/>
          </w:cols>
          <w:pgMar w:left="320" w:top="1394" w:right="339" w:bottom="1440" w:gutter="0" w:footer="0" w:header="0"/>
        </w:sectPr>
      </w:pPr>
    </w:p>
    <w:bookmarkStart w:id="153" w:name="page154"/>
    <w:bookmarkEnd w:id="153"/>
    <w:p>
      <w:pPr>
        <w:jc w:val="both"/>
        <w:ind w:firstLine="642"/>
        <w:spacing w:after="0" w:line="254" w:lineRule="auto"/>
        <w:tabs>
          <w:tab w:leader="none" w:pos="1114" w:val="left"/>
        </w:tabs>
        <w:numPr>
          <w:ilvl w:val="0"/>
          <w:numId w:val="7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generality of paragraph 1 above, the Released Claims include, without limitation, (i) any and all claims under Title VII of the Civil Rights Act of 1964, the Age Discrimination in Employment Act of 1967, the Civil Rights Act of 1971, the Civil Rights Act of 1991, the Fair Labor Standards Act, the Employee Retirement Income Security Act of 1974, the Americans with Disabilities Act, the Family and Medical Leave Act of 1993, and any and all other federal, state or local laws, statutes, rules and regulations pertaining to employment or otherwise, and (ii) any claims for wrongful discharge, breach of contract, fraud, misrepresentation or any compensation claims, or any other claims under any statute, rule or regulation or under the common law, including compensatory damages, punitive damages, attorney’s fees, costs, expenses and all claims for any other type of damage or relief. Nothing in this Agreement shall prohibit or impede you from communicating, cooperating or filing a complaint with any U.S. federal, state or local governmental or law enforcement branch, agency or entity (collectively, a “</w:t>
      </w:r>
      <w:r>
        <w:rPr>
          <w:rFonts w:ascii="Times New Roman" w:cs="Times New Roman" w:eastAsia="Times New Roman" w:hAnsi="Times New Roman"/>
          <w:sz w:val="21"/>
          <w:szCs w:val="21"/>
          <w:u w:val="single" w:color="auto"/>
          <w:color w:val="auto"/>
        </w:rPr>
        <w:t>Governmental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Entity</w:t>
      </w:r>
      <w:r>
        <w:rPr>
          <w:rFonts w:ascii="Times New Roman" w:cs="Times New Roman" w:eastAsia="Times New Roman" w:hAnsi="Times New Roman"/>
          <w:sz w:val="21"/>
          <w:szCs w:val="21"/>
          <w:color w:val="auto"/>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Further, nothing in this Agreement shall bar or impede, in any way, your ability to seek or receive any monetary award or bounty from any governmental agency or regulatory or law enforcement agency in connection with protected activity under Securities and Exchange Commission Rule 21F-17, 17 C.F.R. §240.21F-17 (“Rule 21F-17”). You understand and acknowledge that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You understand and acknowledge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the foregoing, under no circumstance will you be authorized to disclose any information covered by attorney-client privilege or attorney work product of the Company or any of its subsidiaries without prior written consent of Company’s General Counsel or other officer designated by the Company.</w:t>
      </w:r>
    </w:p>
    <w:p>
      <w:pPr>
        <w:spacing w:after="0" w:line="182" w:lineRule="exact"/>
        <w:rPr>
          <w:rFonts w:ascii="Times New Roman" w:cs="Times New Roman" w:eastAsia="Times New Roman" w:hAnsi="Times New Roman"/>
          <w:sz w:val="21"/>
          <w:szCs w:val="21"/>
          <w:color w:val="auto"/>
        </w:rPr>
      </w:pPr>
    </w:p>
    <w:p>
      <w:pPr>
        <w:jc w:val="both"/>
        <w:ind w:firstLine="642"/>
        <w:spacing w:after="0" w:line="269" w:lineRule="auto"/>
        <w:tabs>
          <w:tab w:leader="none" w:pos="1149" w:val="left"/>
        </w:tabs>
        <w:numPr>
          <w:ilvl w:val="0"/>
          <w:numId w:val="7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THIS MEANS THAT, BY SIGNING THIS AGREEMENT, YOU WILL HAVE WAIVED ANY RIGHT YOU MAY HAVE HAD TO BRING A LAWSUIT OR MAKE ANY CLAIM AGAINST THE RELEASEES BASED ON ANY ACTS OR OMISSIONS OF THE RELEASEES.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w:t>
      </w:r>
    </w:p>
    <w:p>
      <w:pPr>
        <w:sectPr>
          <w:pgSz w:w="11900" w:h="16838" w:orient="portrait"/>
          <w:cols w:equalWidth="0" w:num="1">
            <w:col w:w="11240"/>
          </w:cols>
          <w:pgMar w:left="320" w:top="1397" w:right="339" w:bottom="1440" w:gutter="0" w:footer="0" w:header="0"/>
        </w:sectPr>
      </w:pPr>
    </w:p>
    <w:bookmarkStart w:id="154" w:name="page155"/>
    <w:bookmarkEnd w:id="154"/>
    <w:p>
      <w:pPr>
        <w:jc w:val="both"/>
        <w:ind w:firstLine="642"/>
        <w:spacing w:after="0" w:line="256" w:lineRule="auto"/>
        <w:tabs>
          <w:tab w:leader="none" w:pos="1114" w:val="left"/>
        </w:tabs>
        <w:numPr>
          <w:ilvl w:val="1"/>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You represent that you have read carefully and fully understand the terms of this Agreement, and that you have been advised to consult with an attorney and have had the opportunity to consult with an attorney prior to signing this Agreement. You acknowledge that you are executing this Agreement voluntarily and knowingly and that you have not relied on any representations, promises or agreements of any kind made to you in connection with your decision to accept the terms of this Agreement, other than those set forth in this Agreement. You acknowledge that you have been given at least twenty-one (21) days to consider whether you want to sign this Agreement and that the Age Discrimination in Employment Act gives you the right to revoke this Agreement within seven (7) days after it is signed, and you understand that you will not receive any of the Severance Benefits due to you under the Employment Agreement until such seven (7) day revocation period has passed and then, only if you have not revoked this Agreement. To the extent you have executed this Agreement within less than twenty-one (21) days after its delivery to you, you hereby acknowledge that your decision to execute this Agreement prior to the expiration of such twenty-one (21) day period was entirely voluntary.</w:t>
      </w:r>
    </w:p>
    <w:p>
      <w:pPr>
        <w:spacing w:after="0" w:line="174" w:lineRule="exact"/>
        <w:rPr>
          <w:rFonts w:ascii="Times New Roman" w:cs="Times New Roman" w:eastAsia="Times New Roman" w:hAnsi="Times New Roman"/>
          <w:sz w:val="21"/>
          <w:szCs w:val="21"/>
          <w:b w:val="1"/>
          <w:bCs w:val="1"/>
          <w:color w:val="auto"/>
        </w:rPr>
      </w:pPr>
    </w:p>
    <w:p>
      <w:pPr>
        <w:ind w:left="440" w:hanging="434"/>
        <w:spacing w:after="0"/>
        <w:tabs>
          <w:tab w:leader="none" w:pos="440"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will be governed, construed and interpreted under the laws of the State of Washington.</w:t>
      </w:r>
    </w:p>
    <w:p>
      <w:pPr>
        <w:spacing w:after="0" w:line="222" w:lineRule="exact"/>
        <w:rPr>
          <w:rFonts w:ascii="Times New Roman" w:cs="Times New Roman" w:eastAsia="Times New Roman" w:hAnsi="Times New Roman"/>
          <w:sz w:val="21"/>
          <w:szCs w:val="21"/>
          <w:color w:val="auto"/>
        </w:rPr>
      </w:pPr>
    </w:p>
    <w:p>
      <w:pPr>
        <w:jc w:val="both"/>
        <w:ind w:firstLine="6"/>
        <w:spacing w:after="0" w:line="274" w:lineRule="auto"/>
        <w:tabs>
          <w:tab w:leader="none" w:pos="464" w:val="left"/>
        </w:tabs>
        <w:numPr>
          <w:ilvl w:val="0"/>
          <w:numId w:val="7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Agreement/Counterparts</w:t>
      </w:r>
      <w:r>
        <w:rPr>
          <w:rFonts w:ascii="Times New Roman" w:cs="Times New Roman" w:eastAsia="Times New Roman" w:hAnsi="Times New Roman"/>
          <w:sz w:val="21"/>
          <w:szCs w:val="21"/>
          <w:color w:val="auto"/>
        </w:rPr>
        <w:t>. This Agreement constitutes the entire agreement between the parties. It may not be modified or changed except by written instrument executed by all parties. This Agreement may be executed in counterparts, each of which shall constitute an original and which together shall constitute a single instrument.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A-3</w:t>
      </w:r>
    </w:p>
    <w:p>
      <w:pPr>
        <w:sectPr>
          <w:pgSz w:w="11900" w:h="16838" w:orient="portrait"/>
          <w:cols w:equalWidth="0" w:num="1">
            <w:col w:w="11240"/>
          </w:cols>
          <w:pgMar w:left="320" w:top="1398" w:right="339" w:bottom="1440" w:gutter="0" w:footer="0" w:header="0"/>
        </w:sectPr>
      </w:pPr>
    </w:p>
    <w:bookmarkStart w:id="155" w:name="page156"/>
    <w:bookmarkEnd w:id="155"/>
    <w:p>
      <w:pPr>
        <w:spacing w:after="0" w:line="285" w:lineRule="auto"/>
        <w:rPr>
          <w:sz w:val="20"/>
          <w:szCs w:val="20"/>
          <w:color w:val="auto"/>
        </w:rPr>
      </w:pPr>
      <w:r>
        <w:rPr>
          <w:rFonts w:ascii="Times New Roman" w:cs="Times New Roman" w:eastAsia="Times New Roman" w:hAnsi="Times New Roman"/>
          <w:sz w:val="21"/>
          <w:szCs w:val="21"/>
          <w:color w:val="auto"/>
        </w:rPr>
        <w:t>IN WITNESS WHEREOF, this Agreement has been signed by or on behalf of each of the parties, all as of the date first written above.</w:t>
      </w:r>
    </w:p>
    <w:p>
      <w:pPr>
        <w:spacing w:after="0" w:line="200" w:lineRule="exact"/>
        <w:rPr>
          <w:sz w:val="20"/>
          <w:szCs w:val="20"/>
          <w:color w:val="auto"/>
        </w:rPr>
      </w:pPr>
    </w:p>
    <w:p>
      <w:pPr>
        <w:spacing w:after="0" w:line="26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b w:val="1"/>
          <w:bCs w:val="1"/>
          <w:color w:val="auto"/>
        </w:rPr>
        <w:t>[EMPLOYEE NAME]</w:t>
      </w:r>
    </w:p>
    <w:p>
      <w:pPr>
        <w:spacing w:after="0" w:line="34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_________________________________</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Reviewed, approved and agreed: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ectPr>
          <w:pgSz w:w="11900" w:h="16838" w:orient="portrait"/>
          <w:cols w:equalWidth="0" w:num="1">
            <w:col w:w="11240"/>
          </w:cols>
          <w:pgMar w:left="320" w:top="1397" w:right="339" w:bottom="1440" w:gutter="0" w:footer="0" w:header="0"/>
        </w:sectPr>
      </w:pPr>
    </w:p>
    <w:bookmarkStart w:id="156" w:name="page157"/>
    <w:bookmarkEnd w:id="156"/>
    <w:p>
      <w:pPr>
        <w:jc w:val="right"/>
        <w:spacing w:after="0"/>
        <w:rPr>
          <w:sz w:val="20"/>
          <w:szCs w:val="20"/>
          <w:color w:val="auto"/>
        </w:rPr>
      </w:pPr>
      <w:r>
        <w:rPr>
          <w:rFonts w:ascii="Times New Roman" w:cs="Times New Roman" w:eastAsia="Times New Roman" w:hAnsi="Times New Roman"/>
          <w:sz w:val="18"/>
          <w:szCs w:val="18"/>
          <w:b w:val="1"/>
          <w:bCs w:val="1"/>
          <w:color w:val="auto"/>
        </w:rPr>
        <w:t>Exhibit 10.40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b w:val="1"/>
          <w:bCs w:val="1"/>
          <w:color w:val="auto"/>
        </w:rPr>
        <w:t>ZOOMINFO TECHNOLOGIES</w:t>
      </w:r>
    </w:p>
    <w:p>
      <w:pPr>
        <w:spacing w:after="0" w:line="22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1"/>
          <w:szCs w:val="21"/>
          <w:b w:val="1"/>
          <w:bCs w:val="1"/>
          <w:color w:val="auto"/>
        </w:rPr>
        <w:t>EMPLOYMENT AGREEMENT</w:t>
      </w:r>
    </w:p>
    <w:p>
      <w:pPr>
        <w:spacing w:after="0" w:line="226" w:lineRule="exact"/>
        <w:rPr>
          <w:sz w:val="20"/>
          <w:szCs w:val="20"/>
          <w:color w:val="auto"/>
        </w:rPr>
      </w:pPr>
    </w:p>
    <w:p>
      <w:pPr>
        <w:jc w:val="both"/>
        <w:ind w:firstLine="636"/>
        <w:spacing w:after="0" w:line="274" w:lineRule="auto"/>
        <w:rPr>
          <w:sz w:val="20"/>
          <w:szCs w:val="20"/>
          <w:color w:val="auto"/>
        </w:rPr>
      </w:pPr>
      <w:r>
        <w:rPr>
          <w:rFonts w:ascii="Times New Roman" w:cs="Times New Roman" w:eastAsia="Times New Roman" w:hAnsi="Times New Roman"/>
          <w:sz w:val="21"/>
          <w:szCs w:val="21"/>
          <w:color w:val="auto"/>
        </w:rPr>
        <w:t>THIS EMPLOYMENT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is entered by and between ZoomInfo Technologies LLC, a Delaware limited liability company, on the one hand, and Ashley McGrane (“</w:t>
      </w:r>
      <w:r>
        <w:rPr>
          <w:rFonts w:ascii="Times New Roman" w:cs="Times New Roman" w:eastAsia="Times New Roman" w:hAnsi="Times New Roman"/>
          <w:sz w:val="21"/>
          <w:szCs w:val="21"/>
          <w:u w:val="single" w:color="auto"/>
          <w:color w:val="auto"/>
        </w:rPr>
        <w:t>Executive</w:t>
      </w:r>
      <w:r>
        <w:rPr>
          <w:rFonts w:ascii="Times New Roman" w:cs="Times New Roman" w:eastAsia="Times New Roman" w:hAnsi="Times New Roman"/>
          <w:sz w:val="21"/>
          <w:szCs w:val="21"/>
          <w:color w:val="auto"/>
        </w:rPr>
        <w:t>”), on the other, as of February 11, 2025 (the “</w:t>
      </w: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The Company and Executive are referred to herein individually as a “</w:t>
      </w:r>
      <w:r>
        <w:rPr>
          <w:rFonts w:ascii="Times New Roman" w:cs="Times New Roman" w:eastAsia="Times New Roman" w:hAnsi="Times New Roman"/>
          <w:sz w:val="21"/>
          <w:szCs w:val="21"/>
          <w:u w:val="single" w:color="auto"/>
          <w:color w:val="auto"/>
        </w:rPr>
        <w:t>Party</w:t>
      </w:r>
      <w:r>
        <w:rPr>
          <w:rFonts w:ascii="Times New Roman" w:cs="Times New Roman" w:eastAsia="Times New Roman" w:hAnsi="Times New Roman"/>
          <w:sz w:val="21"/>
          <w:szCs w:val="21"/>
          <w:color w:val="auto"/>
        </w:rPr>
        <w:t>” and, collectively, as the “</w:t>
      </w:r>
      <w:r>
        <w:rPr>
          <w:rFonts w:ascii="Times New Roman" w:cs="Times New Roman" w:eastAsia="Times New Roman" w:hAnsi="Times New Roman"/>
          <w:sz w:val="21"/>
          <w:szCs w:val="21"/>
          <w:u w:val="single" w:color="auto"/>
          <w:color w:val="auto"/>
        </w:rPr>
        <w:t>Parties</w:t>
      </w:r>
      <w:r>
        <w:rPr>
          <w:rFonts w:ascii="Times New Roman" w:cs="Times New Roman" w:eastAsia="Times New Roman" w:hAnsi="Times New Roman"/>
          <w:sz w:val="21"/>
          <w:szCs w:val="21"/>
          <w:color w:val="auto"/>
        </w:rPr>
        <w:t>.”</w:t>
      </w:r>
    </w:p>
    <w:p>
      <w:pPr>
        <w:spacing w:after="0" w:line="153"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WHEREAS, the Company would like to continue to engage the services of Executive on a full-time basis, and Executive would like to continue to be so engaged;</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WHEREAS, the Company and Executive have agreed on terms for such services and compensation therefor; and</w:t>
      </w:r>
    </w:p>
    <w:p>
      <w:pPr>
        <w:spacing w:after="0" w:line="236"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WHEREAS, the Company and Executive wish to enter into a formal written agreement to document such relationship in order to set forth, among other matters (a) Executive’s services and compensation therefor, (b) the nature of Executive’s employment by the Company, (c) the Company’s exclusive ownership of and right to designs, inventions, trade secrets, and proprietary and confidential information relating to the Company, and (d) the resolution of all disputes, claims and any other matters in question arising out of or relating to the Parties’ employment relationship.</w:t>
      </w:r>
    </w:p>
    <w:p>
      <w:pPr>
        <w:spacing w:after="0" w:line="168" w:lineRule="exact"/>
        <w:rPr>
          <w:sz w:val="20"/>
          <w:szCs w:val="20"/>
          <w:color w:val="auto"/>
        </w:rPr>
      </w:pPr>
    </w:p>
    <w:p>
      <w:pPr>
        <w:jc w:val="both"/>
        <w:ind w:firstLine="636"/>
        <w:spacing w:after="0" w:line="298" w:lineRule="auto"/>
        <w:rPr>
          <w:sz w:val="20"/>
          <w:szCs w:val="20"/>
          <w:color w:val="auto"/>
        </w:rPr>
      </w:pPr>
      <w:r>
        <w:rPr>
          <w:rFonts w:ascii="Times New Roman" w:cs="Times New Roman" w:eastAsia="Times New Roman" w:hAnsi="Times New Roman"/>
          <w:sz w:val="21"/>
          <w:szCs w:val="21"/>
          <w:color w:val="auto"/>
        </w:rPr>
        <w:t>NOW, THEREFORE, in consideration of the promises and mutual covenants set forth herein and for other good and valuable consideration, the receipt and sufficiency of which are hereby acknowledged, the Parties agree as follows:</w:t>
      </w:r>
    </w:p>
    <w:p>
      <w:pPr>
        <w:spacing w:after="0" w:line="178" w:lineRule="exact"/>
        <w:rPr>
          <w:sz w:val="20"/>
          <w:szCs w:val="20"/>
          <w:color w:val="auto"/>
        </w:rPr>
      </w:pPr>
    </w:p>
    <w:p>
      <w:pPr>
        <w:jc w:val="both"/>
        <w:ind w:firstLine="6"/>
        <w:spacing w:after="0" w:line="263" w:lineRule="auto"/>
        <w:tabs>
          <w:tab w:leader="none" w:pos="636"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Employment Term</w:t>
      </w:r>
      <w:r>
        <w:rPr>
          <w:rFonts w:ascii="Times New Roman" w:cs="Times New Roman" w:eastAsia="Times New Roman" w:hAnsi="Times New Roman"/>
          <w:sz w:val="21"/>
          <w:szCs w:val="21"/>
          <w:color w:val="auto"/>
        </w:rPr>
        <w:t>. Executive’s employment pursuant to this Agreement shall be effective as of the effective date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Effective Date and shall continue until terminated as provided in Section 4 below. The period during which Executive is employed by the Company hereunder is hereinafter referred to as the “</w:t>
      </w:r>
      <w:r>
        <w:rPr>
          <w:rFonts w:ascii="Times New Roman" w:cs="Times New Roman" w:eastAsia="Times New Roman" w:hAnsi="Times New Roman"/>
          <w:sz w:val="21"/>
          <w:szCs w:val="21"/>
          <w:u w:val="single" w:color="auto"/>
          <w:color w:val="auto"/>
        </w:rPr>
        <w:t>Employment Term</w:t>
      </w:r>
      <w:r>
        <w:rPr>
          <w:rFonts w:ascii="Times New Roman" w:cs="Times New Roman" w:eastAsia="Times New Roman" w:hAnsi="Times New Roman"/>
          <w:sz w:val="21"/>
          <w:szCs w:val="21"/>
          <w:color w:val="auto"/>
        </w:rPr>
        <w:t>.” The last day of Executive’s employment with the Company is hereinafter referred to as the “</w:t>
      </w:r>
      <w:r>
        <w:rPr>
          <w:rFonts w:ascii="Times New Roman" w:cs="Times New Roman" w:eastAsia="Times New Roman" w:hAnsi="Times New Roman"/>
          <w:sz w:val="21"/>
          <w:szCs w:val="21"/>
          <w:u w:val="single" w:color="auto"/>
          <w:color w:val="auto"/>
        </w:rPr>
        <w:t>Termination Date</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ind w:left="640" w:hanging="634"/>
        <w:spacing w:after="0"/>
        <w:tabs>
          <w:tab w:leader="none" w:pos="640"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Title; Duties; Reporting</w:t>
      </w:r>
      <w:r>
        <w:rPr>
          <w:rFonts w:ascii="Times New Roman" w:cs="Times New Roman" w:eastAsia="Times New Roman" w:hAnsi="Times New Roman"/>
          <w:sz w:val="21"/>
          <w:szCs w:val="21"/>
          <w:color w:val="auto"/>
        </w:rPr>
        <w:t>.</w:t>
      </w:r>
    </w:p>
    <w:p>
      <w:pPr>
        <w:spacing w:after="0" w:line="226" w:lineRule="exact"/>
        <w:rPr>
          <w:rFonts w:ascii="Times New Roman" w:cs="Times New Roman" w:eastAsia="Times New Roman" w:hAnsi="Times New Roman"/>
          <w:sz w:val="21"/>
          <w:szCs w:val="21"/>
          <w:color w:val="auto"/>
        </w:rPr>
      </w:pPr>
    </w:p>
    <w:p>
      <w:pPr>
        <w:jc w:val="both"/>
        <w:ind w:firstLine="642"/>
        <w:spacing w:after="0" w:line="262" w:lineRule="auto"/>
        <w:tabs>
          <w:tab w:leader="none" w:pos="1269" w:val="left"/>
        </w:tabs>
        <w:numPr>
          <w:ilvl w:val="1"/>
          <w:numId w:val="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 shall continue to be employed by the Company as Executive Vice President, General Counsel &amp; Corporate Secretary. Executive’s authority and responsibilities shall be those customary to such role. Executive’s duties shall include overseeing the Company’s legal function and performing any such other tasks as may be assigned from time to time by the Chief Executive Officer. Executive shall devote substantially all of Executive’s business time (excluding periods of vacation and other approved leaves of absence) to the performance of his duties with the Company.</w:t>
      </w:r>
    </w:p>
    <w:p>
      <w:pPr>
        <w:spacing w:after="0" w:line="165" w:lineRule="exact"/>
        <w:rPr>
          <w:rFonts w:ascii="Times New Roman" w:cs="Times New Roman" w:eastAsia="Times New Roman" w:hAnsi="Times New Roman"/>
          <w:sz w:val="21"/>
          <w:szCs w:val="21"/>
          <w:color w:val="010000"/>
        </w:rPr>
      </w:pPr>
    </w:p>
    <w:p>
      <w:pPr>
        <w:ind w:left="1280" w:hanging="638"/>
        <w:spacing w:after="0"/>
        <w:tabs>
          <w:tab w:leader="none" w:pos="1280" w:val="left"/>
        </w:tabs>
        <w:numPr>
          <w:ilvl w:val="1"/>
          <w:numId w:val="8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During the Employment Term, Executive shall report to the Company’s Chief Executive Officer.</w:t>
      </w:r>
    </w:p>
    <w:p>
      <w:pPr>
        <w:sectPr>
          <w:pgSz w:w="11900" w:h="16838" w:orient="portrait"/>
          <w:cols w:equalWidth="0" w:num="1">
            <w:col w:w="11240"/>
          </w:cols>
          <w:pgMar w:left="320" w:top="119" w:right="339" w:bottom="1440" w:gutter="0" w:footer="0" w:header="0"/>
        </w:sectPr>
      </w:pPr>
    </w:p>
    <w:bookmarkStart w:id="157" w:name="page158"/>
    <w:bookmarkEnd w:id="157"/>
    <w:p>
      <w:pPr>
        <w:jc w:val="both"/>
        <w:ind w:firstLine="642"/>
        <w:spacing w:after="0" w:line="257" w:lineRule="auto"/>
        <w:tabs>
          <w:tab w:leader="none" w:pos="1269" w:val="left"/>
        </w:tabs>
        <w:numPr>
          <w:ilvl w:val="1"/>
          <w:numId w:val="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 shall devote Executive’s best efforts to Executive’s performance of Executive’s duties hereunder and shall not engage in any other business or employment that would prevent Executive from fully and satisfactorily performing the services required by the Company or that would result in a conflict of interest. Executive shall perform Executive’s duties, responsibilities, and functions for the Company to the best of Executive’s abilities in a diligent, trustworthy, businesslike, and efficient manner. Executive’s duties will be determined by the Company and may include activities for the benefit of the Company’s subsidiaries or affiliates. Executive shall perform his duties applying Executive’s fiduciary duty to the Company in accordance with laws, the provisions of this Agreement, the Company’s organizational documents, and general directives and specific instructions given to Executive by the Company from time to time. Executive will also abide by all Company policies and procedures as may be in effect from time to time, including, without limitation, those set forth in the applicable Employee Handbook.</w:t>
      </w:r>
    </w:p>
    <w:p>
      <w:pPr>
        <w:spacing w:after="0" w:line="176" w:lineRule="exact"/>
        <w:rPr>
          <w:rFonts w:ascii="Times New Roman" w:cs="Times New Roman" w:eastAsia="Times New Roman" w:hAnsi="Times New Roman"/>
          <w:sz w:val="21"/>
          <w:szCs w:val="21"/>
          <w:color w:val="010000"/>
        </w:rPr>
      </w:pPr>
    </w:p>
    <w:p>
      <w:pPr>
        <w:jc w:val="both"/>
        <w:ind w:firstLine="642"/>
        <w:spacing w:after="0" w:line="267" w:lineRule="auto"/>
        <w:tabs>
          <w:tab w:leader="none" w:pos="1267" w:val="left"/>
        </w:tabs>
        <w:numPr>
          <w:ilvl w:val="1"/>
          <w:numId w:val="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The principal place of Executive’s employment shall be Waltham, MA, or otherwise designated as remote;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Executive may be required to travel on Company business and to work out of other of the Company’s offices from time to time. Executive may work remotely with prior approval of the Company.</w:t>
      </w:r>
    </w:p>
    <w:p>
      <w:pPr>
        <w:spacing w:after="0" w:line="161" w:lineRule="exact"/>
        <w:rPr>
          <w:rFonts w:ascii="Times New Roman" w:cs="Times New Roman" w:eastAsia="Times New Roman" w:hAnsi="Times New Roman"/>
          <w:sz w:val="21"/>
          <w:szCs w:val="21"/>
          <w:color w:val="010000"/>
        </w:rPr>
      </w:pPr>
    </w:p>
    <w:p>
      <w:pPr>
        <w:jc w:val="both"/>
        <w:ind w:firstLine="642"/>
        <w:spacing w:after="0" w:line="259" w:lineRule="auto"/>
        <w:tabs>
          <w:tab w:leader="none" w:pos="1269" w:val="left"/>
        </w:tabs>
        <w:numPr>
          <w:ilvl w:val="1"/>
          <w:numId w:val="8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 agrees that (i) Executive’s title, position, salary, responsibilities, education, professional certifications, and background, as they relate to Executive’s employment by the Company under this Agreement, classify Executive as an “Exempt” employee and “Regular Full-Time” for purposes of all state and federal laws that relate to overtime pay and other employment law and policy matters; (ii) Executive shall receive only the compensation and benefits described herein; and (iii) Executive shall not be eligible for or receive any extra overtime or other special payment or compensation under this Agreement, including, without limitation, for hours of work performed outside of regular business hours, on holidays or otherwise.</w:t>
      </w:r>
    </w:p>
    <w:p>
      <w:pPr>
        <w:spacing w:after="0" w:line="221" w:lineRule="exact"/>
        <w:rPr>
          <w:rFonts w:ascii="Times New Roman" w:cs="Times New Roman" w:eastAsia="Times New Roman" w:hAnsi="Times New Roman"/>
          <w:sz w:val="21"/>
          <w:szCs w:val="21"/>
          <w:color w:val="010000"/>
        </w:rPr>
      </w:pPr>
    </w:p>
    <w:p>
      <w:pPr>
        <w:ind w:left="640" w:hanging="634"/>
        <w:spacing w:after="0"/>
        <w:tabs>
          <w:tab w:leader="none" w:pos="640" w:val="left"/>
        </w:tabs>
        <w:numPr>
          <w:ilvl w:val="0"/>
          <w:numId w:val="8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Compensation and Benefits</w:t>
      </w:r>
      <w:r>
        <w:rPr>
          <w:rFonts w:ascii="Times New Roman" w:cs="Times New Roman" w:eastAsia="Times New Roman" w:hAnsi="Times New Roman"/>
          <w:sz w:val="21"/>
          <w:szCs w:val="21"/>
          <w:color w:val="auto"/>
        </w:rPr>
        <w:t>.</w:t>
      </w:r>
    </w:p>
    <w:p>
      <w:pPr>
        <w:spacing w:after="0" w:line="235" w:lineRule="exact"/>
        <w:rPr>
          <w:rFonts w:ascii="Times New Roman" w:cs="Times New Roman" w:eastAsia="Times New Roman" w:hAnsi="Times New Roman"/>
          <w:sz w:val="21"/>
          <w:szCs w:val="21"/>
          <w:color w:val="auto"/>
        </w:rPr>
      </w:pPr>
    </w:p>
    <w:p>
      <w:pPr>
        <w:jc w:val="both"/>
        <w:ind w:firstLine="642"/>
        <w:spacing w:after="0" w:line="263" w:lineRule="auto"/>
        <w:tabs>
          <w:tab w:leader="none" w:pos="1269" w:val="left"/>
        </w:tabs>
        <w:numPr>
          <w:ilvl w:val="1"/>
          <w:numId w:val="8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Base Salary</w:t>
      </w:r>
      <w:r>
        <w:rPr>
          <w:rFonts w:ascii="Times New Roman" w:cs="Times New Roman" w:eastAsia="Times New Roman" w:hAnsi="Times New Roman"/>
          <w:sz w:val="21"/>
          <w:szCs w:val="21"/>
          <w:color w:val="auto"/>
        </w:rPr>
        <w:t>. During the Employment Term, Executive’s base salary shall be paid at a rate of 400,000.00 US Dollars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 annum (the “</w:t>
      </w:r>
      <w:r>
        <w:rPr>
          <w:rFonts w:ascii="Times New Roman" w:cs="Times New Roman" w:eastAsia="Times New Roman" w:hAnsi="Times New Roman"/>
          <w:sz w:val="21"/>
          <w:szCs w:val="21"/>
          <w:u w:val="single" w:color="auto"/>
          <w:color w:val="auto"/>
        </w:rPr>
        <w:t>Base Salary</w:t>
      </w:r>
      <w:r>
        <w:rPr>
          <w:rFonts w:ascii="Times New Roman" w:cs="Times New Roman" w:eastAsia="Times New Roman" w:hAnsi="Times New Roman"/>
          <w:sz w:val="21"/>
          <w:szCs w:val="21"/>
          <w:color w:val="auto"/>
        </w:rPr>
        <w:t>”), payable in regular installments in accordance with the Company’s general payroll practices. Your base salary will be eligible for an annual review and adjustment as approved by the Chief Executive Officer and as approved by the Compensation Committee of Company’s Board of Directors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(the “</w:t>
      </w:r>
      <w:r>
        <w:rPr>
          <w:rFonts w:ascii="Times New Roman" w:cs="Times New Roman" w:eastAsia="Times New Roman" w:hAnsi="Times New Roman"/>
          <w:sz w:val="21"/>
          <w:szCs w:val="21"/>
          <w:u w:val="single" w:color="auto"/>
          <w:color w:val="auto"/>
        </w:rPr>
        <w:t>Compensation Committee</w:t>
      </w:r>
      <w:r>
        <w:rPr>
          <w:rFonts w:ascii="Times New Roman" w:cs="Times New Roman" w:eastAsia="Times New Roman" w:hAnsi="Times New Roman"/>
          <w:sz w:val="21"/>
          <w:szCs w:val="21"/>
          <w:color w:val="auto"/>
        </w:rPr>
        <w:t>”)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397" w:right="339" w:bottom="1440" w:gutter="0" w:footer="0" w:header="0"/>
        </w:sectPr>
      </w:pPr>
    </w:p>
    <w:bookmarkStart w:id="158" w:name="page159"/>
    <w:bookmarkEnd w:id="158"/>
    <w:p>
      <w:pPr>
        <w:jc w:val="both"/>
        <w:ind w:firstLine="642"/>
        <w:spacing w:after="0" w:line="255" w:lineRule="auto"/>
        <w:tabs>
          <w:tab w:leader="none" w:pos="1267" w:val="left"/>
        </w:tabs>
        <w:numPr>
          <w:ilvl w:val="0"/>
          <w:numId w:val="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Annual Performance Bonus</w:t>
      </w:r>
      <w:r>
        <w:rPr>
          <w:rFonts w:ascii="Times New Roman" w:cs="Times New Roman" w:eastAsia="Times New Roman" w:hAnsi="Times New Roman"/>
          <w:sz w:val="21"/>
          <w:szCs w:val="21"/>
          <w:color w:val="auto"/>
        </w:rPr>
        <w:t>. In respect of each fiscal year of the Company occurring during the Employment Term,</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shall be eligible for an annual cash incentive bonus (the “</w:t>
      </w:r>
      <w:r>
        <w:rPr>
          <w:rFonts w:ascii="Times New Roman" w:cs="Times New Roman" w:eastAsia="Times New Roman" w:hAnsi="Times New Roman"/>
          <w:sz w:val="21"/>
          <w:szCs w:val="21"/>
          <w:u w:val="single" w:color="auto"/>
          <w:color w:val="auto"/>
        </w:rPr>
        <w:t>Annual Bonus</w:t>
      </w:r>
      <w:r>
        <w:rPr>
          <w:rFonts w:ascii="Times New Roman" w:cs="Times New Roman" w:eastAsia="Times New Roman" w:hAnsi="Times New Roman"/>
          <w:sz w:val="21"/>
          <w:szCs w:val="21"/>
          <w:color w:val="auto"/>
        </w:rPr>
        <w:t>”) with a target bonus amount of 50% of the Base Salary (the “Target Bonus Amount”). The actual Annual Bonus amount paid will be based upon the achievement of specific performance targets for such fiscal year, as approved by the Compensation Committee, subject to the Committee’s discretion. The Annual Bonus shall otherwise be subject to the terms and conditions of the annual bonus plan adopted by the Board or the Compensation Committee, under which bonuses are generally payable to senior executives of the Company, as in effect for the relevant fiscal year. The Annual Bonus shall be paid to Executive at the same time as annual bonuses are generally payable to other senior executives of the Company, but in no event later than March 15th of the calendar year immediately following the calendar year to which such Annual Bonus relates. The Company may modify or eliminate the Annual Bonus, including approving increases of the Target Bonus Amount, at any time, subject to approval by the Compensation Committee or the Board. Modification or elimination of the Annual Performance Bonus shall not constitute “Good Reason” as defined in Section 4(h), provided that the Company provides additional compensation in the form of an adjustment to base salary, stock-based compensation, or other performance-based award where the sum of the components of the adjustments is economically equivalent, if achieved, to the Annual Bonus amount.</w:t>
      </w:r>
    </w:p>
    <w:p>
      <w:pPr>
        <w:spacing w:after="0" w:line="184" w:lineRule="exact"/>
        <w:rPr>
          <w:rFonts w:ascii="Times New Roman" w:cs="Times New Roman" w:eastAsia="Times New Roman" w:hAnsi="Times New Roman"/>
          <w:sz w:val="21"/>
          <w:szCs w:val="21"/>
          <w:color w:val="010000"/>
        </w:rPr>
      </w:pPr>
    </w:p>
    <w:p>
      <w:pPr>
        <w:jc w:val="both"/>
        <w:ind w:firstLine="642"/>
        <w:spacing w:after="0" w:line="260" w:lineRule="auto"/>
        <w:tabs>
          <w:tab w:leader="none" w:pos="1269" w:val="left"/>
        </w:tabs>
        <w:numPr>
          <w:ilvl w:val="0"/>
          <w:numId w:val="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Other Benefits</w:t>
      </w:r>
      <w:r>
        <w:rPr>
          <w:rFonts w:ascii="Times New Roman" w:cs="Times New Roman" w:eastAsia="Times New Roman" w:hAnsi="Times New Roman"/>
          <w:sz w:val="21"/>
          <w:szCs w:val="21"/>
          <w:color w:val="auto"/>
        </w:rPr>
        <w:t>. During the Employment Term, Executive shall be entitled to participate in all employee benefit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plans, practices, programs and perquisite arrangements provided generally to the most senior executives of the Company, as in effect from time to time (collectively, “</w:t>
      </w:r>
      <w:r>
        <w:rPr>
          <w:rFonts w:ascii="Times New Roman" w:cs="Times New Roman" w:eastAsia="Times New Roman" w:hAnsi="Times New Roman"/>
          <w:sz w:val="21"/>
          <w:szCs w:val="21"/>
          <w:u w:val="single" w:color="auto"/>
          <w:color w:val="auto"/>
        </w:rPr>
        <w:t>Employee Benefit Plans</w:t>
      </w:r>
      <w:r>
        <w:rPr>
          <w:rFonts w:ascii="Times New Roman" w:cs="Times New Roman" w:eastAsia="Times New Roman" w:hAnsi="Times New Roman"/>
          <w:sz w:val="21"/>
          <w:szCs w:val="21"/>
          <w:color w:val="auto"/>
        </w:rPr>
        <w:t>”), on a basis which is no less favorable than is provided to other similarly situated employees of the Company, to the extent consistent with applicable law and the terms of applicable Employee Benefit Plans. The Company reserves the right to amend or cancel any Employee Benefit Plans at any time in its sole discretion, subject to the terms of such Employee Benefit Plan and applicable law.</w:t>
      </w:r>
    </w:p>
    <w:p>
      <w:pPr>
        <w:spacing w:after="0" w:line="166" w:lineRule="exact"/>
        <w:rPr>
          <w:rFonts w:ascii="Times New Roman" w:cs="Times New Roman" w:eastAsia="Times New Roman" w:hAnsi="Times New Roman"/>
          <w:sz w:val="21"/>
          <w:szCs w:val="21"/>
          <w:color w:val="010000"/>
        </w:rPr>
      </w:pPr>
    </w:p>
    <w:p>
      <w:pPr>
        <w:jc w:val="both"/>
        <w:ind w:firstLine="642"/>
        <w:spacing w:after="0" w:line="260" w:lineRule="auto"/>
        <w:tabs>
          <w:tab w:leader="none" w:pos="1267" w:val="left"/>
        </w:tabs>
        <w:numPr>
          <w:ilvl w:val="0"/>
          <w:numId w:val="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Vacation</w:t>
      </w:r>
      <w:r>
        <w:rPr>
          <w:rFonts w:ascii="Times New Roman" w:cs="Times New Roman" w:eastAsia="Times New Roman" w:hAnsi="Times New Roman"/>
          <w:sz w:val="21"/>
          <w:szCs w:val="21"/>
          <w:color w:val="auto"/>
        </w:rPr>
        <w:t>. During the Employment Term, Executive shall be entitled to paid vacation in accordance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Company’s vacation policies applicable to Exempt employees, as in effect from time to time. Executive’s vacation days shall be taken at such time or times during the applicable year as may be mutually agreed upon by Executive and the Company, thereby taking into consideration the needs of the Company and the personal wishes of Executive. The Company reserves the right to grant additional vacation time or to deny any request for vacation or time-off at its sole discretion, unless the leave is for illness or other exigent circumstances or is otherwise authorized by law.</w:t>
      </w:r>
    </w:p>
    <w:p>
      <w:pPr>
        <w:spacing w:after="0" w:line="166" w:lineRule="exact"/>
        <w:rPr>
          <w:rFonts w:ascii="Times New Roman" w:cs="Times New Roman" w:eastAsia="Times New Roman" w:hAnsi="Times New Roman"/>
          <w:sz w:val="21"/>
          <w:szCs w:val="21"/>
          <w:color w:val="010000"/>
        </w:rPr>
      </w:pPr>
    </w:p>
    <w:p>
      <w:pPr>
        <w:jc w:val="both"/>
        <w:ind w:firstLine="642"/>
        <w:spacing w:after="0" w:line="269" w:lineRule="auto"/>
        <w:tabs>
          <w:tab w:leader="none" w:pos="1269" w:val="left"/>
        </w:tabs>
        <w:numPr>
          <w:ilvl w:val="0"/>
          <w:numId w:val="8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Withholding Taxes</w:t>
      </w:r>
      <w:r>
        <w:rPr>
          <w:rFonts w:ascii="Times New Roman" w:cs="Times New Roman" w:eastAsia="Times New Roman" w:hAnsi="Times New Roman"/>
          <w:sz w:val="21"/>
          <w:szCs w:val="21"/>
          <w:color w:val="auto"/>
        </w:rPr>
        <w:t>. All amounts payable to Executive as compensation hereunder, including any bonuses or other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monetary incentives, shall be subject to such federal, state and local taxes as may be required to be withheld pursuant to any applicable law or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394" w:right="339" w:bottom="1440" w:gutter="0" w:footer="0" w:header="0"/>
        </w:sectPr>
      </w:pPr>
    </w:p>
    <w:bookmarkStart w:id="159" w:name="page160"/>
    <w:bookmarkEnd w:id="159"/>
    <w:p>
      <w:pPr>
        <w:jc w:val="both"/>
        <w:ind w:firstLine="642"/>
        <w:spacing w:after="0" w:line="269" w:lineRule="auto"/>
        <w:tabs>
          <w:tab w:leader="none" w:pos="1272" w:val="left"/>
        </w:tabs>
        <w:numPr>
          <w:ilvl w:val="1"/>
          <w:numId w:val="8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Expense Reimbursement</w:t>
      </w:r>
      <w:r>
        <w:rPr>
          <w:rFonts w:ascii="Times New Roman" w:cs="Times New Roman" w:eastAsia="Times New Roman" w:hAnsi="Times New Roman"/>
          <w:sz w:val="21"/>
          <w:szCs w:val="21"/>
          <w:color w:val="auto"/>
        </w:rPr>
        <w:t>. Executive shall be reimbursed for reasonable out-of-pocket expenses incurred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in the furtherance of the Company’s business, provided Executive obtains all required approvals and submits all required verification as provided by Company policy.</w:t>
      </w:r>
    </w:p>
    <w:p>
      <w:pPr>
        <w:spacing w:after="0" w:line="168" w:lineRule="exact"/>
        <w:rPr>
          <w:rFonts w:ascii="Times New Roman" w:cs="Times New Roman" w:eastAsia="Times New Roman" w:hAnsi="Times New Roman"/>
          <w:sz w:val="21"/>
          <w:szCs w:val="21"/>
          <w:color w:val="010000"/>
        </w:rPr>
      </w:pPr>
    </w:p>
    <w:p>
      <w:pPr>
        <w:jc w:val="both"/>
        <w:ind w:firstLine="642"/>
        <w:spacing w:after="0" w:line="269" w:lineRule="auto"/>
        <w:tabs>
          <w:tab w:leader="none" w:pos="1267" w:val="left"/>
        </w:tabs>
        <w:numPr>
          <w:ilvl w:val="1"/>
          <w:numId w:val="8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Equity Compensation</w:t>
      </w:r>
      <w:r>
        <w:rPr>
          <w:rFonts w:ascii="Times New Roman" w:cs="Times New Roman" w:eastAsia="Times New Roman" w:hAnsi="Times New Roman"/>
          <w:sz w:val="21"/>
          <w:szCs w:val="21"/>
          <w:color w:val="auto"/>
        </w:rPr>
        <w:t>. Executive will be eligible to receive equity awards under the Company’s 2020 Omnibus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Incentive Plan (the “</w:t>
      </w:r>
      <w:r>
        <w:rPr>
          <w:rFonts w:ascii="Times New Roman" w:cs="Times New Roman" w:eastAsia="Times New Roman" w:hAnsi="Times New Roman"/>
          <w:sz w:val="21"/>
          <w:szCs w:val="21"/>
          <w:u w:val="single" w:color="auto"/>
          <w:color w:val="auto"/>
        </w:rPr>
        <w:t>OIP</w:t>
      </w:r>
      <w:r>
        <w:rPr>
          <w:rFonts w:ascii="Times New Roman" w:cs="Times New Roman" w:eastAsia="Times New Roman" w:hAnsi="Times New Roman"/>
          <w:sz w:val="21"/>
          <w:szCs w:val="21"/>
          <w:color w:val="auto"/>
        </w:rPr>
        <w:t>”) and to participate in any future long-term incentive programs made generally available to the Company’s senior executives as determined by the Board.</w:t>
      </w:r>
    </w:p>
    <w:p>
      <w:pPr>
        <w:spacing w:after="0" w:line="208" w:lineRule="exact"/>
        <w:rPr>
          <w:rFonts w:ascii="Times New Roman" w:cs="Times New Roman" w:eastAsia="Times New Roman" w:hAnsi="Times New Roman"/>
          <w:sz w:val="21"/>
          <w:szCs w:val="21"/>
          <w:color w:val="010000"/>
        </w:rPr>
      </w:pPr>
    </w:p>
    <w:p>
      <w:pPr>
        <w:ind w:left="640" w:hanging="634"/>
        <w:spacing w:after="0"/>
        <w:tabs>
          <w:tab w:leader="none" w:pos="64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Termination of Employment</w:t>
      </w:r>
      <w:r>
        <w:rPr>
          <w:rFonts w:ascii="Times New Roman" w:cs="Times New Roman" w:eastAsia="Times New Roman" w:hAnsi="Times New Roman"/>
          <w:sz w:val="21"/>
          <w:szCs w:val="21"/>
          <w:color w:val="auto"/>
        </w:rPr>
        <w:t>.</w:t>
      </w:r>
    </w:p>
    <w:p>
      <w:pPr>
        <w:spacing w:after="0" w:line="235" w:lineRule="exact"/>
        <w:rPr>
          <w:rFonts w:ascii="Times New Roman" w:cs="Times New Roman" w:eastAsia="Times New Roman" w:hAnsi="Times New Roman"/>
          <w:sz w:val="21"/>
          <w:szCs w:val="21"/>
          <w:color w:val="auto"/>
        </w:rPr>
      </w:pPr>
    </w:p>
    <w:p>
      <w:pPr>
        <w:jc w:val="both"/>
        <w:ind w:firstLine="642"/>
        <w:spacing w:after="0" w:line="287" w:lineRule="auto"/>
        <w:tabs>
          <w:tab w:leader="none" w:pos="1269" w:val="left"/>
        </w:tabs>
        <w:numPr>
          <w:ilvl w:val="1"/>
          <w:numId w:val="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Termination of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Employment Term and Executive’s employment hereunder may be terminated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either the Company or Executive at any time and for any reason; provided, that, unless otherwise provided herein, either Party shall be required to give the other at least thirty (30) days’ advance written notice of any termination (and the Company shall be entitled to pay Executive Base Salary for such notice period in lieu of actual notice). Upon termination of Executive’s employment during the Employment Term, Executive shall have no further rights to any compensation or benefits from the Company or any of its affiliates, except as set forth in this Section 4 or as provided under the OIP or any other documents pursuant to which equity awards have been granted.</w:t>
      </w:r>
    </w:p>
    <w:p>
      <w:pPr>
        <w:spacing w:after="0" w:line="164" w:lineRule="exact"/>
        <w:rPr>
          <w:rFonts w:ascii="Times New Roman" w:cs="Times New Roman" w:eastAsia="Times New Roman" w:hAnsi="Times New Roman"/>
          <w:sz w:val="21"/>
          <w:szCs w:val="21"/>
          <w:color w:val="010000"/>
        </w:rPr>
      </w:pPr>
    </w:p>
    <w:p>
      <w:pPr>
        <w:jc w:val="both"/>
        <w:ind w:firstLine="642"/>
        <w:spacing w:after="0" w:line="289" w:lineRule="auto"/>
        <w:tabs>
          <w:tab w:leader="none" w:pos="1267" w:val="left"/>
        </w:tabs>
        <w:numPr>
          <w:ilvl w:val="1"/>
          <w:numId w:val="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 xml:space="preserve">Termination by the Company for Cause or by Executive Without Good Reason. </w:t>
      </w:r>
      <w:r>
        <w:rPr>
          <w:rFonts w:ascii="Times New Roman" w:cs="Times New Roman" w:eastAsia="Times New Roman" w:hAnsi="Times New Roman"/>
          <w:sz w:val="21"/>
          <w:szCs w:val="21"/>
          <w:color w:val="auto"/>
        </w:rPr>
        <w:t>If Executive’s employment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terminated by the Company for “Cause,” or by Executive without “Good Reason,” Executive shall be entitled to receive: (i) any accrued but unpaid Base Salary through the Termination Date; and (ii) reimbursement for unreimbursed business expenses properly incurred prior to the Termination Date ((i) and (ii) collectively, the “Accrued Amounts”). No additional payments or benefits shall be due under this Agreement in such circumstances.</w:t>
      </w:r>
    </w:p>
    <w:p>
      <w:pPr>
        <w:spacing w:after="0" w:line="175" w:lineRule="exact"/>
        <w:rPr>
          <w:rFonts w:ascii="Times New Roman" w:cs="Times New Roman" w:eastAsia="Times New Roman" w:hAnsi="Times New Roman"/>
          <w:sz w:val="21"/>
          <w:szCs w:val="21"/>
          <w:color w:val="010000"/>
        </w:rPr>
      </w:pPr>
    </w:p>
    <w:p>
      <w:pPr>
        <w:jc w:val="both"/>
        <w:ind w:firstLine="642"/>
        <w:spacing w:after="0" w:line="285" w:lineRule="auto"/>
        <w:tabs>
          <w:tab w:leader="none" w:pos="1269" w:val="left"/>
        </w:tabs>
        <w:numPr>
          <w:ilvl w:val="1"/>
          <w:numId w:val="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 xml:space="preserve">Termination by the Company Without Cause or by Executive for Good Reason (Not Connected to a Change in Control). </w:t>
      </w:r>
      <w:r>
        <w:rPr>
          <w:rFonts w:ascii="Times New Roman" w:cs="Times New Roman" w:eastAsia="Times New Roman" w:hAnsi="Times New Roman"/>
          <w:sz w:val="21"/>
          <w:szCs w:val="21"/>
          <w:color w:val="auto"/>
        </w:rPr>
        <w:t>The Employment Term and Executive’s employment hereunder may be terminated either by the Company without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Cause or by Executive for Good Reason, in each case not in connection with a Change in Control (subject to Section 4(d)). In the event of such a termination, Executive shall be entitled to receive: (1) Accrued Amounts; and (2) The “Severance Amount,” but only if (A) Executive has materially complied with and remains in material compliance with Sections 5, 6, and 7 of this Agreement, and (B) Executive executes and does not revoke a general release of claims in a form substantially similar to Exhibit A (the “Release”) within forty-five (45) days following the Termination Date, The Severance Amount shall consist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393" w:right="339" w:bottom="1440" w:gutter="0" w:footer="0" w:header="0"/>
        </w:sectPr>
      </w:pPr>
    </w:p>
    <w:bookmarkStart w:id="160" w:name="page161"/>
    <w:bookmarkEnd w:id="160"/>
    <w:p>
      <w:pPr>
        <w:jc w:val="both"/>
        <w:ind w:firstLine="1278"/>
        <w:spacing w:after="0" w:line="300" w:lineRule="auto"/>
        <w:tabs>
          <w:tab w:leader="none" w:pos="1896" w:val="left"/>
        </w:tabs>
        <w:numPr>
          <w:ilvl w:val="1"/>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Cash Severance: A single lump sum payment equal to fifty percent (50%) of Executive’s then-current Base Salary, payable within sixty (60) days following the Termination Date (subject to any timing rules if the Release period straddles two calendar years).</w:t>
      </w:r>
    </w:p>
    <w:p>
      <w:pPr>
        <w:spacing w:after="0" w:line="154" w:lineRule="exact"/>
        <w:rPr>
          <w:rFonts w:ascii="Times New Roman" w:cs="Times New Roman" w:eastAsia="Times New Roman" w:hAnsi="Times New Roman"/>
          <w:sz w:val="21"/>
          <w:szCs w:val="21"/>
          <w:color w:val="010000"/>
        </w:rPr>
      </w:pPr>
    </w:p>
    <w:p>
      <w:pPr>
        <w:jc w:val="both"/>
        <w:ind w:firstLine="1278"/>
        <w:spacing w:after="0" w:line="312" w:lineRule="auto"/>
        <w:tabs>
          <w:tab w:leader="none" w:pos="1902" w:val="left"/>
        </w:tabs>
        <w:numPr>
          <w:ilvl w:val="1"/>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Healthcare Coverage: Reimbursement or payment of Executive’s health insurance premiums for nine (9) months under COBRA (or an equivalent arrangement), provided Executive timely elects continuation coverage and remains eligible.</w:t>
      </w:r>
    </w:p>
    <w:p>
      <w:pPr>
        <w:spacing w:after="0" w:line="200" w:lineRule="exact"/>
        <w:rPr>
          <w:rFonts w:ascii="Times New Roman" w:cs="Times New Roman" w:eastAsia="Times New Roman" w:hAnsi="Times New Roman"/>
          <w:sz w:val="21"/>
          <w:szCs w:val="21"/>
          <w:color w:val="010000"/>
        </w:rPr>
      </w:pPr>
    </w:p>
    <w:p>
      <w:pPr>
        <w:spacing w:after="0" w:line="232" w:lineRule="exact"/>
        <w:rPr>
          <w:rFonts w:ascii="Times New Roman" w:cs="Times New Roman" w:eastAsia="Times New Roman" w:hAnsi="Times New Roman"/>
          <w:sz w:val="21"/>
          <w:szCs w:val="21"/>
          <w:color w:val="010000"/>
        </w:rPr>
      </w:pPr>
    </w:p>
    <w:p>
      <w:pPr>
        <w:jc w:val="both"/>
        <w:ind w:firstLine="1278"/>
        <w:spacing w:after="0" w:line="294" w:lineRule="auto"/>
        <w:tabs>
          <w:tab w:leader="none" w:pos="1970" w:val="left"/>
        </w:tabs>
        <w:numPr>
          <w:ilvl w:val="1"/>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Pro-Rata Annual Bonus: Payment of a pro-rated portion of Executive’s annual cash-based Annual Bonus, if such a plan exists for the year of termination, based on actual performance and prorated for the portion of the year in which Executive remained employed.</w:t>
      </w:r>
    </w:p>
    <w:p>
      <w:pPr>
        <w:spacing w:after="0" w:line="159" w:lineRule="exact"/>
        <w:rPr>
          <w:rFonts w:ascii="Times New Roman" w:cs="Times New Roman" w:eastAsia="Times New Roman" w:hAnsi="Times New Roman"/>
          <w:sz w:val="21"/>
          <w:szCs w:val="21"/>
          <w:color w:val="010000"/>
        </w:rPr>
      </w:pPr>
    </w:p>
    <w:p>
      <w:pPr>
        <w:jc w:val="both"/>
        <w:ind w:firstLine="1278"/>
        <w:spacing w:after="0" w:line="300" w:lineRule="auto"/>
        <w:tabs>
          <w:tab w:leader="none" w:pos="1896" w:val="left"/>
        </w:tabs>
        <w:numPr>
          <w:ilvl w:val="1"/>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Acceleration of Time-Based Equity: Accelerated vesting of any time-based restricted stock units (RSUs) or comparable time-based equity awards that would otherwise have vested in the twelve (12) months immediately following the Termination Date, subject to specified Fair Market Value (FMV) caps determined as of the termination date:</w:t>
      </w:r>
    </w:p>
    <w:p>
      <w:pPr>
        <w:spacing w:after="0" w:line="154" w:lineRule="exact"/>
        <w:rPr>
          <w:rFonts w:ascii="Times New Roman" w:cs="Times New Roman" w:eastAsia="Times New Roman" w:hAnsi="Times New Roman"/>
          <w:sz w:val="21"/>
          <w:szCs w:val="21"/>
          <w:color w:val="010000"/>
        </w:rPr>
      </w:pPr>
    </w:p>
    <w:p>
      <w:pPr>
        <w:ind w:left="2540" w:hanging="626"/>
        <w:spacing w:after="0"/>
        <w:tabs>
          <w:tab w:leader="none" w:pos="2540" w:val="left"/>
        </w:tabs>
        <w:numPr>
          <w:ilvl w:val="2"/>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 to $2,000,000 for 3 years of service;</w:t>
      </w:r>
    </w:p>
    <w:p>
      <w:pPr>
        <w:spacing w:after="0" w:line="248" w:lineRule="exact"/>
        <w:rPr>
          <w:rFonts w:ascii="Times New Roman" w:cs="Times New Roman" w:eastAsia="Times New Roman" w:hAnsi="Times New Roman"/>
          <w:sz w:val="21"/>
          <w:szCs w:val="21"/>
          <w:color w:val="010000"/>
        </w:rPr>
      </w:pPr>
    </w:p>
    <w:p>
      <w:pPr>
        <w:ind w:left="2560" w:hanging="646"/>
        <w:spacing w:after="0"/>
        <w:tabs>
          <w:tab w:leader="none" w:pos="2560" w:val="left"/>
        </w:tabs>
        <w:numPr>
          <w:ilvl w:val="2"/>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 to $2,750,000 for 4 years;</w:t>
      </w:r>
    </w:p>
    <w:p>
      <w:pPr>
        <w:spacing w:after="0" w:line="262" w:lineRule="exact"/>
        <w:rPr>
          <w:rFonts w:ascii="Times New Roman" w:cs="Times New Roman" w:eastAsia="Times New Roman" w:hAnsi="Times New Roman"/>
          <w:sz w:val="21"/>
          <w:szCs w:val="21"/>
          <w:color w:val="010000"/>
        </w:rPr>
      </w:pPr>
    </w:p>
    <w:p>
      <w:pPr>
        <w:ind w:left="2540" w:hanging="626"/>
        <w:spacing w:after="0"/>
        <w:tabs>
          <w:tab w:leader="none" w:pos="2540" w:val="left"/>
        </w:tabs>
        <w:numPr>
          <w:ilvl w:val="2"/>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 to $3,500,000 for 5 years;</w:t>
      </w:r>
    </w:p>
    <w:p>
      <w:pPr>
        <w:spacing w:after="0" w:line="248" w:lineRule="exact"/>
        <w:rPr>
          <w:rFonts w:ascii="Times New Roman" w:cs="Times New Roman" w:eastAsia="Times New Roman" w:hAnsi="Times New Roman"/>
          <w:sz w:val="21"/>
          <w:szCs w:val="21"/>
          <w:color w:val="010000"/>
        </w:rPr>
      </w:pPr>
    </w:p>
    <w:p>
      <w:pPr>
        <w:ind w:left="2560" w:hanging="646"/>
        <w:spacing w:after="0"/>
        <w:tabs>
          <w:tab w:leader="none" w:pos="2560" w:val="left"/>
        </w:tabs>
        <w:numPr>
          <w:ilvl w:val="2"/>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and up to $4,250,000 for 6+ years.</w:t>
      </w:r>
    </w:p>
    <w:p>
      <w:pPr>
        <w:spacing w:after="0" w:line="248" w:lineRule="exact"/>
        <w:rPr>
          <w:rFonts w:ascii="Times New Roman" w:cs="Times New Roman" w:eastAsia="Times New Roman" w:hAnsi="Times New Roman"/>
          <w:sz w:val="21"/>
          <w:szCs w:val="21"/>
          <w:color w:val="010000"/>
        </w:rPr>
      </w:pPr>
    </w:p>
    <w:p>
      <w:pPr>
        <w:ind w:left="2560" w:hanging="646"/>
        <w:spacing w:after="0" w:line="324" w:lineRule="auto"/>
        <w:tabs>
          <w:tab w:leader="none" w:pos="2548" w:val="left"/>
        </w:tabs>
        <w:numPr>
          <w:ilvl w:val="2"/>
          <w:numId w:val="8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clarity, years of service will be calculated from the date the executive commenced employment, in any role, at the Company.</w:t>
      </w:r>
    </w:p>
    <w:p>
      <w:pPr>
        <w:spacing w:after="0" w:line="125" w:lineRule="exact"/>
        <w:rPr>
          <w:rFonts w:ascii="Times New Roman" w:cs="Times New Roman" w:eastAsia="Times New Roman" w:hAnsi="Times New Roman"/>
          <w:sz w:val="21"/>
          <w:szCs w:val="21"/>
          <w:color w:val="010000"/>
        </w:rPr>
      </w:pPr>
    </w:p>
    <w:p>
      <w:pPr>
        <w:jc w:val="both"/>
        <w:ind w:firstLine="642"/>
        <w:spacing w:after="0" w:line="289" w:lineRule="auto"/>
        <w:tabs>
          <w:tab w:leader="none" w:pos="1267" w:val="left"/>
        </w:tabs>
        <w:numPr>
          <w:ilvl w:val="0"/>
          <w:numId w:val="8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 xml:space="preserve">Termination by the Company Without Cause or by Executive for Good Reason Within Twelve (12) Months Following a Change in Control. </w:t>
      </w:r>
      <w:r>
        <w:rPr>
          <w:rFonts w:ascii="Times New Roman" w:cs="Times New Roman" w:eastAsia="Times New Roman" w:hAnsi="Times New Roman"/>
          <w:sz w:val="21"/>
          <w:szCs w:val="21"/>
          <w:color w:val="auto"/>
        </w:rPr>
        <w:t>If Executive’s employment is terminated by the Company without Cause or by Executive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Good Reason within twelve (12) months after a “Change in Control” (as defined in the OIP or the relevant award agreement), then in lieu of the severance benefits described above, Executive shall be entitled to receive: (1) Accrued Amounts; and (2) Enhanced Severance Benefits, subject to the same compliance conditions and Release requirements referenced above:</w:t>
      </w:r>
    </w:p>
    <w:p>
      <w:pPr>
        <w:spacing w:after="0" w:line="166" w:lineRule="exact"/>
        <w:rPr>
          <w:rFonts w:ascii="Times New Roman" w:cs="Times New Roman" w:eastAsia="Times New Roman" w:hAnsi="Times New Roman"/>
          <w:sz w:val="21"/>
          <w:szCs w:val="21"/>
          <w:color w:val="010000"/>
        </w:rPr>
      </w:pPr>
    </w:p>
    <w:p>
      <w:pPr>
        <w:jc w:val="both"/>
        <w:ind w:firstLine="1278"/>
        <w:spacing w:after="0" w:line="300" w:lineRule="auto"/>
        <w:tabs>
          <w:tab w:leader="none" w:pos="1896" w:val="left"/>
        </w:tabs>
        <w:numPr>
          <w:ilvl w:val="1"/>
          <w:numId w:val="8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Cash Severance: A single lump sum payment equal to seventy-five percent (75%) of Executive’s then-current Base Salary, payable within sixty (60) days following the Termination Date (subject to the Release timing rules if it straddles two calendar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11" w:right="339" w:bottom="1440" w:gutter="0" w:footer="0" w:header="0"/>
        </w:sectPr>
      </w:pPr>
    </w:p>
    <w:bookmarkStart w:id="161" w:name="page162"/>
    <w:bookmarkEnd w:id="161"/>
    <w:p>
      <w:pPr>
        <w:ind w:firstLine="1278"/>
        <w:spacing w:after="0" w:line="311" w:lineRule="auto"/>
        <w:tabs>
          <w:tab w:leader="none" w:pos="1902" w:val="left"/>
        </w:tabs>
        <w:numPr>
          <w:ilvl w:val="1"/>
          <w:numId w:val="8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Healthcare Coverage: Reimbursement or payment of Executive’s health insurance premiums for twelve (12) months, provided Executive timely elects COBRA (or equivalent) and remains eligible.</w:t>
      </w:r>
    </w:p>
    <w:p>
      <w:pPr>
        <w:spacing w:after="0" w:line="155" w:lineRule="exact"/>
        <w:rPr>
          <w:rFonts w:ascii="Times New Roman" w:cs="Times New Roman" w:eastAsia="Times New Roman" w:hAnsi="Times New Roman"/>
          <w:sz w:val="21"/>
          <w:szCs w:val="21"/>
          <w:color w:val="010000"/>
        </w:rPr>
      </w:pPr>
    </w:p>
    <w:p>
      <w:pPr>
        <w:ind w:firstLine="1278"/>
        <w:spacing w:after="0" w:line="311" w:lineRule="auto"/>
        <w:tabs>
          <w:tab w:leader="none" w:pos="1908" w:val="left"/>
        </w:tabs>
        <w:numPr>
          <w:ilvl w:val="1"/>
          <w:numId w:val="8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Annual Bonus: Payment of one hundred percent (100%) of Executive’s cash-based Annual Bonus for the year of termination (if applicable), at target (or prorated per the plan, if so required).</w:t>
      </w:r>
    </w:p>
    <w:p>
      <w:pPr>
        <w:spacing w:after="0" w:line="142" w:lineRule="exact"/>
        <w:rPr>
          <w:rFonts w:ascii="Times New Roman" w:cs="Times New Roman" w:eastAsia="Times New Roman" w:hAnsi="Times New Roman"/>
          <w:sz w:val="21"/>
          <w:szCs w:val="21"/>
          <w:color w:val="010000"/>
        </w:rPr>
      </w:pPr>
    </w:p>
    <w:p>
      <w:pPr>
        <w:ind w:left="1900" w:hanging="622"/>
        <w:spacing w:after="0"/>
        <w:tabs>
          <w:tab w:leader="none" w:pos="1900" w:val="left"/>
        </w:tabs>
        <w:numPr>
          <w:ilvl w:val="1"/>
          <w:numId w:val="8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Full Acceleration of Time-Based Equity: All outstanding time-based equity awards vest in full (100%).</w:t>
      </w:r>
    </w:p>
    <w:p>
      <w:pPr>
        <w:spacing w:after="0" w:line="248" w:lineRule="exact"/>
        <w:rPr>
          <w:rFonts w:ascii="Times New Roman" w:cs="Times New Roman" w:eastAsia="Times New Roman" w:hAnsi="Times New Roman"/>
          <w:sz w:val="21"/>
          <w:szCs w:val="21"/>
          <w:color w:val="010000"/>
        </w:rPr>
      </w:pPr>
    </w:p>
    <w:p>
      <w:pPr>
        <w:jc w:val="both"/>
        <w:ind w:firstLine="1278"/>
        <w:spacing w:after="0" w:line="300" w:lineRule="auto"/>
        <w:tabs>
          <w:tab w:leader="none" w:pos="1903" w:val="left"/>
        </w:tabs>
        <w:numPr>
          <w:ilvl w:val="1"/>
          <w:numId w:val="8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Performance-Based Equity: Any outstanding performance-based equity awards vest at the greater of (i) at target, or (ii) the actual attainment level determined in good faith by the Board (or its authorized committee). If that attainment is determined after the Termination Date, shares in excess of target shall vest as soon as practicable thereafter.</w:t>
      </w:r>
    </w:p>
    <w:p>
      <w:pPr>
        <w:spacing w:after="0" w:line="190" w:lineRule="exact"/>
        <w:rPr>
          <w:rFonts w:ascii="Times New Roman" w:cs="Times New Roman" w:eastAsia="Times New Roman" w:hAnsi="Times New Roman"/>
          <w:sz w:val="21"/>
          <w:szCs w:val="21"/>
          <w:color w:val="010000"/>
        </w:rPr>
      </w:pPr>
    </w:p>
    <w:p>
      <w:pPr>
        <w:ind w:left="1280" w:hanging="638"/>
        <w:spacing w:after="0"/>
        <w:tabs>
          <w:tab w:leader="none" w:pos="1280" w:val="left"/>
        </w:tabs>
        <w:numPr>
          <w:ilvl w:val="0"/>
          <w:numId w:val="8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Death or Disability</w:t>
      </w:r>
      <w:r>
        <w:rPr>
          <w:rFonts w:ascii="Times New Roman" w:cs="Times New Roman" w:eastAsia="Times New Roman" w:hAnsi="Times New Roman"/>
          <w:sz w:val="21"/>
          <w:szCs w:val="21"/>
          <w:color w:val="auto"/>
        </w:rPr>
        <w:t>.</w:t>
      </w:r>
    </w:p>
    <w:p>
      <w:pPr>
        <w:spacing w:after="0" w:line="199" w:lineRule="exact"/>
        <w:rPr>
          <w:rFonts w:ascii="Times New Roman" w:cs="Times New Roman" w:eastAsia="Times New Roman" w:hAnsi="Times New Roman"/>
          <w:sz w:val="21"/>
          <w:szCs w:val="21"/>
          <w:color w:val="010000"/>
        </w:rPr>
      </w:pPr>
    </w:p>
    <w:p>
      <w:pPr>
        <w:ind w:firstLine="1278"/>
        <w:spacing w:after="0" w:line="285" w:lineRule="auto"/>
        <w:tabs>
          <w:tab w:leader="none" w:pos="1896" w:val="left"/>
        </w:tabs>
        <w:numPr>
          <w:ilvl w:val="1"/>
          <w:numId w:val="8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Executive’s employment hereunder shall terminate automatically upon Executive’s death during the Employment Term, and the Company may terminate Executive’s employment on account of Executive’s Disability.</w:t>
      </w:r>
    </w:p>
    <w:p>
      <w:pPr>
        <w:spacing w:after="0" w:line="141" w:lineRule="exact"/>
        <w:rPr>
          <w:rFonts w:ascii="Times New Roman" w:cs="Times New Roman" w:eastAsia="Times New Roman" w:hAnsi="Times New Roman"/>
          <w:sz w:val="21"/>
          <w:szCs w:val="21"/>
          <w:color w:val="010000"/>
        </w:rPr>
      </w:pPr>
    </w:p>
    <w:p>
      <w:pPr>
        <w:jc w:val="both"/>
        <w:ind w:firstLine="1278"/>
        <w:spacing w:after="0" w:line="257" w:lineRule="auto"/>
        <w:tabs>
          <w:tab w:leader="none" w:pos="1902" w:val="left"/>
        </w:tabs>
        <w:numPr>
          <w:ilvl w:val="1"/>
          <w:numId w:val="8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If Executive’s employment is terminated during the Employment Term on account of Executive’s death or Disability, Executive (or Executive’s estate and/or beneficiaries, as the case may be) shall be entitled to receive the Accrued Amounts plus the expected amount of Executive’s Annual Performance Bonus for the year in which such termination occurs, pro-rated through the Termination Date. Additionally, the Company will cause to accelerate any time-based restricted stock units or other form of time-based equity that would have otherwise become vested in the twelve (12) months immediately following the death or Disability of the Executive. The accelerated equity shall be transferred or delivered to the Executive’s estate and/or beneficiaries in accordance with the terms of the applicable award agreement, ZoomInfo’s Omnibus Incentive Plan, or as otherwise approved by the Company’s Board of Directors.</w:t>
      </w:r>
    </w:p>
    <w:p>
      <w:pPr>
        <w:spacing w:after="0" w:line="179" w:lineRule="exact"/>
        <w:rPr>
          <w:rFonts w:ascii="Times New Roman" w:cs="Times New Roman" w:eastAsia="Times New Roman" w:hAnsi="Times New Roman"/>
          <w:sz w:val="21"/>
          <w:szCs w:val="21"/>
          <w:color w:val="010000"/>
        </w:rPr>
      </w:pPr>
    </w:p>
    <w:p>
      <w:pPr>
        <w:jc w:val="both"/>
        <w:ind w:firstLine="642"/>
        <w:spacing w:after="0" w:line="269" w:lineRule="auto"/>
        <w:tabs>
          <w:tab w:leader="none" w:pos="1272" w:val="left"/>
        </w:tabs>
        <w:numPr>
          <w:ilvl w:val="0"/>
          <w:numId w:val="8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 xml:space="preserve">Resignation of All Other Positions. </w:t>
      </w:r>
      <w:r>
        <w:rPr>
          <w:rFonts w:ascii="Times New Roman" w:cs="Times New Roman" w:eastAsia="Times New Roman" w:hAnsi="Times New Roman"/>
          <w:sz w:val="21"/>
          <w:szCs w:val="21"/>
          <w:color w:val="auto"/>
        </w:rPr>
        <w:t>Upon termination of Executive’s employment hereunder for any reason,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agrees to resign from all positions that Executive holds as an officer or member of a board (or a committee thereof) of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11" w:right="339" w:bottom="1440" w:gutter="0" w:footer="0" w:header="0"/>
        </w:sectPr>
      </w:pPr>
    </w:p>
    <w:bookmarkStart w:id="162" w:name="page163"/>
    <w:bookmarkEnd w:id="162"/>
    <w:p>
      <w:pPr>
        <w:jc w:val="both"/>
        <w:ind w:firstLine="642"/>
        <w:spacing w:after="0" w:line="255" w:lineRule="auto"/>
        <w:tabs>
          <w:tab w:leader="none" w:pos="1267" w:val="left"/>
        </w:tabs>
        <w:numPr>
          <w:ilvl w:val="0"/>
          <w:numId w:val="9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Section 280G</w:t>
      </w:r>
      <w:r>
        <w:rPr>
          <w:rFonts w:ascii="Times New Roman" w:cs="Times New Roman" w:eastAsia="Times New Roman" w:hAnsi="Times New Roman"/>
          <w:sz w:val="21"/>
          <w:szCs w:val="21"/>
          <w:color w:val="auto"/>
        </w:rPr>
        <w:t>. Notwithstanding anything in this Agreement to the contrary, if the payments and benefits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afforded to Executive under Section 4 hereof (the “</w:t>
      </w:r>
      <w:r>
        <w:rPr>
          <w:rFonts w:ascii="Times New Roman" w:cs="Times New Roman" w:eastAsia="Times New Roman" w:hAnsi="Times New Roman"/>
          <w:sz w:val="21"/>
          <w:szCs w:val="21"/>
          <w:u w:val="single" w:color="auto"/>
          <w:color w:val="auto"/>
        </w:rPr>
        <w:t>Severance Benefits</w:t>
      </w:r>
      <w:r>
        <w:rPr>
          <w:rFonts w:ascii="Times New Roman" w:cs="Times New Roman" w:eastAsia="Times New Roman" w:hAnsi="Times New Roman"/>
          <w:sz w:val="21"/>
          <w:szCs w:val="21"/>
          <w:color w:val="auto"/>
        </w:rPr>
        <w:t>”) either alone or together with other payments and benefits which Executive has the right receive from the Company (or any affiliate) would constitute a “parachute payment” under Section 280G of the Internal Revenue Code of 1986, as amended (the “</w:t>
      </w:r>
      <w:r>
        <w:rPr>
          <w:rFonts w:ascii="Times New Roman" w:cs="Times New Roman" w:eastAsia="Times New Roman" w:hAnsi="Times New Roman"/>
          <w:sz w:val="21"/>
          <w:szCs w:val="21"/>
          <w:u w:val="single" w:color="auto"/>
          <w:color w:val="auto"/>
        </w:rPr>
        <w:t>Code</w:t>
      </w:r>
      <w:r>
        <w:rPr>
          <w:rFonts w:ascii="Times New Roman" w:cs="Times New Roman" w:eastAsia="Times New Roman" w:hAnsi="Times New Roman"/>
          <w:sz w:val="21"/>
          <w:szCs w:val="21"/>
          <w:color w:val="auto"/>
        </w:rPr>
        <w:t>”), and but for this Section 4(f), would be subject to the excise tax imposed by Section 4999 of the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then the Severance Benefits shall be reduced (the “</w:t>
      </w:r>
      <w:r>
        <w:rPr>
          <w:rFonts w:ascii="Times New Roman" w:cs="Times New Roman" w:eastAsia="Times New Roman" w:hAnsi="Times New Roman"/>
          <w:sz w:val="21"/>
          <w:szCs w:val="21"/>
          <w:u w:val="single" w:color="auto"/>
          <w:color w:val="auto"/>
        </w:rPr>
        <w:t>Benefit Reduction</w:t>
      </w:r>
      <w:r>
        <w:rPr>
          <w:rFonts w:ascii="Times New Roman" w:cs="Times New Roman" w:eastAsia="Times New Roman" w:hAnsi="Times New Roman"/>
          <w:sz w:val="21"/>
          <w:szCs w:val="21"/>
          <w:color w:val="auto"/>
        </w:rPr>
        <w:t xml:space="preserve">”) by the minimum amount necessary to result in no portion of the Severance Benefits being subject to the Excise Tax,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Benefit Reduction shall only occur if such reduction would result in Executive’s “Net After-Tax Amount” attributable to the Severance Benefits being greater than it would be if no Benefit Reduction was effected. For this purpose, “Net After-Tax Amount” shall mean the net amount of Severance Benefits Executive is entitled under this Agreement after giving effect to all federal, state and local taxes which would be applicable to such payments and benefits, including but not limited to, the Excise Tax. Nothing contained herein shall result in the reduction of any payments or benefits to which Executive may be entitled upon termination of employment and/or a change in control other than as specified in this Section 4(f), or a reduction in the Severance Benefits below zero.</w:t>
      </w:r>
    </w:p>
    <w:p>
      <w:pPr>
        <w:spacing w:after="0" w:line="175" w:lineRule="exact"/>
        <w:rPr>
          <w:rFonts w:ascii="Times New Roman" w:cs="Times New Roman" w:eastAsia="Times New Roman" w:hAnsi="Times New Roman"/>
          <w:sz w:val="21"/>
          <w:szCs w:val="21"/>
          <w:color w:val="010000"/>
        </w:rPr>
      </w:pPr>
    </w:p>
    <w:p>
      <w:pPr>
        <w:ind w:left="1280" w:hanging="638"/>
        <w:spacing w:after="0"/>
        <w:tabs>
          <w:tab w:leader="none" w:pos="1280" w:val="left"/>
        </w:tabs>
        <w:numPr>
          <w:ilvl w:val="0"/>
          <w:numId w:val="9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u w:val="single" w:color="auto"/>
          <w:color w:val="auto"/>
        </w:rPr>
        <w:t>Definitions</w:t>
      </w:r>
      <w:r>
        <w:rPr>
          <w:rFonts w:ascii="Times New Roman" w:cs="Times New Roman" w:eastAsia="Times New Roman" w:hAnsi="Times New Roman"/>
          <w:sz w:val="21"/>
          <w:szCs w:val="21"/>
          <w:color w:val="auto"/>
        </w:rPr>
        <w:t>.</w:t>
      </w:r>
    </w:p>
    <w:p>
      <w:pPr>
        <w:spacing w:after="0" w:line="240" w:lineRule="exact"/>
        <w:rPr>
          <w:sz w:val="20"/>
          <w:szCs w:val="20"/>
          <w:color w:val="auto"/>
        </w:rPr>
      </w:pPr>
    </w:p>
    <w:p>
      <w:pPr>
        <w:jc w:val="both"/>
        <w:ind w:firstLine="1272"/>
        <w:spacing w:after="0" w:line="254" w:lineRule="auto"/>
        <w:rPr>
          <w:sz w:val="20"/>
          <w:szCs w:val="20"/>
          <w:color w:val="auto"/>
        </w:rPr>
      </w:pPr>
      <w:r>
        <w:rPr>
          <w:rFonts w:ascii="Times New Roman" w:cs="Times New Roman" w:eastAsia="Times New Roman" w:hAnsi="Times New Roman"/>
          <w:sz w:val="21"/>
          <w:szCs w:val="21"/>
          <w:color w:val="010000"/>
        </w:rPr>
        <w:t xml:space="preserve">(i) </w:t>
      </w:r>
      <w:r>
        <w:rPr>
          <w:rFonts w:ascii="Times New Roman" w:cs="Times New Roman" w:eastAsia="Times New Roman" w:hAnsi="Times New Roman"/>
          <w:sz w:val="21"/>
          <w:szCs w:val="21"/>
          <w:color w:val="000000"/>
        </w:rPr>
        <w:t>For purposes of this Agreement, “</w:t>
      </w:r>
      <w:r>
        <w:rPr>
          <w:rFonts w:ascii="Times New Roman" w:cs="Times New Roman" w:eastAsia="Times New Roman" w:hAnsi="Times New Roman"/>
          <w:sz w:val="21"/>
          <w:szCs w:val="21"/>
          <w:u w:val="single" w:color="auto"/>
          <w:color w:val="000000"/>
        </w:rPr>
        <w:t>Cause</w:t>
      </w:r>
      <w:r>
        <w:rPr>
          <w:rFonts w:ascii="Times New Roman" w:cs="Times New Roman" w:eastAsia="Times New Roman" w:hAnsi="Times New Roman"/>
          <w:sz w:val="21"/>
          <w:szCs w:val="21"/>
          <w:color w:val="000000"/>
        </w:rPr>
        <w:t>” shall mean: (1) The Executive’s (i) willful and continued failure</w:t>
      </w:r>
      <w:r>
        <w:rPr>
          <w:rFonts w:ascii="Times New Roman" w:cs="Times New Roman" w:eastAsia="Times New Roman" w:hAnsi="Times New Roman"/>
          <w:sz w:val="21"/>
          <w:szCs w:val="21"/>
          <w:color w:val="010000"/>
        </w:rPr>
        <w:t xml:space="preserve"> </w:t>
      </w:r>
      <w:r>
        <w:rPr>
          <w:rFonts w:ascii="Times New Roman" w:cs="Times New Roman" w:eastAsia="Times New Roman" w:hAnsi="Times New Roman"/>
          <w:sz w:val="21"/>
          <w:szCs w:val="21"/>
          <w:color w:val="000000"/>
        </w:rPr>
        <w:t xml:space="preserve">to perform Executive’s duties (other than any such failure resulting from incapacity due to physical or mental illness), or (ii) continued failure to meet reasonable performance standards or objectives, in each case after the Chief Executive Officer has provided written notice and a reasonable opportunity (not less than sixty (60) days) to cure such deficiency to the satisfaction of the Chief Executive Officer; (2) Executive’s willful and continued failure to comply with any valid and legal directive of the Board; (3) Executive’s engagement in fraud, embezzlement, or other illegal or gross misconduct, which is, in each case, materially injurious to the Company or its affiliates; (4) Executive’s conviction of or plea of guilty or no contest to a crime that constitutes a felony or a crime that constitutes a misdemeanor involving moral turpitude; (5) Executive’s willful and continued violation of a material policy of the Company; or (6) Executive’s willful and material breach of any material obligation under this Agreement or any other written agreement between Executive and the Company. Except (a) where a cure period is specifically defined above, or (b) for a failure, breach, or refusal which, by its nature, cannot reasonably be expected to be cured, Executive shall have 20 business days from the delivery of written notice by the Company within which to cure any acts constituting Cause; </w:t>
      </w:r>
      <w:r>
        <w:rPr>
          <w:rFonts w:ascii="Times New Roman" w:cs="Times New Roman" w:eastAsia="Times New Roman" w:hAnsi="Times New Roman"/>
          <w:sz w:val="21"/>
          <w:szCs w:val="21"/>
          <w:u w:val="single" w:color="auto"/>
          <w:color w:val="000000"/>
        </w:rPr>
        <w:t>provided</w:t>
      </w:r>
      <w:r>
        <w:rPr>
          <w:rFonts w:ascii="Times New Roman" w:cs="Times New Roman" w:eastAsia="Times New Roman" w:hAnsi="Times New Roman"/>
          <w:sz w:val="21"/>
          <w:szCs w:val="21"/>
          <w:color w:val="000000"/>
        </w:rPr>
        <w:t>, that if the Company reasonably expects irreparable injury from a delay of 20 business days, the Company may give Executive notice of such shorter period within which to cure as is reasonable under the circumstances, which may include the termination of Executive’s employment without notice and with immediate effect. For purposes of the definition, no act, or failure to act, by Executive shall be considered “willful” unless done, or omitted, by him in bad faith, or without a reasonable belief that such act or omission was in the best interests of the Company and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394" w:right="339" w:bottom="1440" w:gutter="0" w:footer="0" w:header="0"/>
        </w:sectPr>
      </w:pPr>
    </w:p>
    <w:bookmarkStart w:id="163" w:name="page164"/>
    <w:bookmarkEnd w:id="163"/>
    <w:p>
      <w:pPr>
        <w:jc w:val="both"/>
        <w:ind w:firstLine="1278"/>
        <w:spacing w:after="0" w:line="262" w:lineRule="auto"/>
        <w:tabs>
          <w:tab w:leader="none" w:pos="1902" w:val="left"/>
        </w:tabs>
        <w:numPr>
          <w:ilvl w:val="2"/>
          <w:numId w:val="9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Disability</w:t>
      </w:r>
      <w:r>
        <w:rPr>
          <w:rFonts w:ascii="Times New Roman" w:cs="Times New Roman" w:eastAsia="Times New Roman" w:hAnsi="Times New Roman"/>
          <w:sz w:val="21"/>
          <w:szCs w:val="21"/>
          <w:color w:val="auto"/>
        </w:rPr>
        <w:t>” shall mean Executive’s inability, due to physical or mental incapacity, to perform the essential functions of his job for 180 consecutive days. Any question as to the existence of Executive’s Disability as to which Executive and the Company cannot agree shall be determined by a qualified, mutually agreed upon independent physician. The determination of Disability made in writing to the Company and Executive shall be final and conclusive for all purposes of this Agreement.</w:t>
      </w:r>
    </w:p>
    <w:p>
      <w:pPr>
        <w:spacing w:after="0" w:line="165" w:lineRule="exact"/>
        <w:rPr>
          <w:rFonts w:ascii="Times New Roman" w:cs="Times New Roman" w:eastAsia="Times New Roman" w:hAnsi="Times New Roman"/>
          <w:sz w:val="21"/>
          <w:szCs w:val="21"/>
          <w:color w:val="010000"/>
        </w:rPr>
      </w:pPr>
    </w:p>
    <w:p>
      <w:pPr>
        <w:jc w:val="both"/>
        <w:ind w:firstLine="1278"/>
        <w:spacing w:after="0" w:line="255" w:lineRule="auto"/>
        <w:tabs>
          <w:tab w:leader="none" w:pos="1908" w:val="left"/>
        </w:tabs>
        <w:numPr>
          <w:ilvl w:val="2"/>
          <w:numId w:val="9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For purposes of this Agreement, “</w:t>
      </w: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shall mean any of the following: (1) any material breach by the Company of any material provision of this Agreement during the employment term without Executive’s written consent; (2) any change in Executive’s title, or any material diminution of Executive’s duties, responsibilities, or status in a manner not consistent with this Agreement, without Executive’s consent; (3) reduction of Executive’s Base Salary, without Executive’s consent; (4) relocation of Executive’s principal place of business that will require Executive to travel a materially greater distance on a regular basis (as compared with Executive’s prior practice) without Executive’s consent; or (5) the failure of a successor in interest to the Company (whether by merger, stock purchase, or acquisition of all or substantially all of the Company’s assets) to assume this Agreement within 15 days of such transaction. Executive cannot terminate Executive’s employment for Good Reason unless Executive has provided written notice to the Company of the existence of the circumstances providing grounds for termination for Good Reason within 30 days of the first occurrence of applicable grounds, and the Company has had a least 30 days from the date on which such notice is provided to cure such circumstances. If the Company fails to cure, and Executive does not resign for Good Reason within 20 days following the expiration of the Company’s cure period, then Executive will be deemed to have waived his right to terminate for Good Reason with respect to the grounds asserted.</w:t>
      </w:r>
    </w:p>
    <w:p>
      <w:pPr>
        <w:spacing w:after="0" w:line="224" w:lineRule="exact"/>
        <w:rPr>
          <w:rFonts w:ascii="Times New Roman" w:cs="Times New Roman" w:eastAsia="Times New Roman" w:hAnsi="Times New Roman"/>
          <w:sz w:val="21"/>
          <w:szCs w:val="21"/>
          <w:color w:val="010000"/>
        </w:rPr>
      </w:pPr>
    </w:p>
    <w:p>
      <w:pPr>
        <w:ind w:left="640" w:hanging="634"/>
        <w:spacing w:after="0"/>
        <w:tabs>
          <w:tab w:leader="none" w:pos="64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Trade Secrets and Confidential Information; Confidentiality of Employment Terms</w:t>
      </w:r>
      <w:r>
        <w:rPr>
          <w:rFonts w:ascii="Times New Roman" w:cs="Times New Roman" w:eastAsia="Times New Roman" w:hAnsi="Times New Roman"/>
          <w:sz w:val="21"/>
          <w:szCs w:val="21"/>
          <w:color w:val="auto"/>
        </w:rPr>
        <w:t>.</w:t>
      </w:r>
    </w:p>
    <w:p>
      <w:pPr>
        <w:spacing w:after="0" w:line="239" w:lineRule="exact"/>
        <w:rPr>
          <w:rFonts w:ascii="Times New Roman" w:cs="Times New Roman" w:eastAsia="Times New Roman" w:hAnsi="Times New Roman"/>
          <w:sz w:val="21"/>
          <w:szCs w:val="21"/>
          <w:color w:val="auto"/>
        </w:rPr>
      </w:pPr>
    </w:p>
    <w:p>
      <w:pPr>
        <w:jc w:val="both"/>
        <w:ind w:firstLine="642"/>
        <w:spacing w:after="0" w:line="255" w:lineRule="auto"/>
        <w:tabs>
          <w:tab w:leader="none" w:pos="1269" w:val="left"/>
        </w:tabs>
        <w:numPr>
          <w:ilvl w:val="1"/>
          <w:numId w:val="9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 acknowledges and agrees that, as a result of Executive’s employment, Executive will have access to trade secrets and other confidential and/or proprietary information of the Company, its customers, clients and vendors (“</w:t>
      </w:r>
      <w:r>
        <w:rPr>
          <w:rFonts w:ascii="Times New Roman" w:cs="Times New Roman" w:eastAsia="Times New Roman" w:hAnsi="Times New Roman"/>
          <w:sz w:val="21"/>
          <w:szCs w:val="21"/>
          <w:u w:val="single" w:color="auto"/>
          <w:color w:val="auto"/>
        </w:rPr>
        <w:t>Trade Secrets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Confidential Information</w:t>
      </w:r>
      <w:r>
        <w:rPr>
          <w:rFonts w:ascii="Times New Roman" w:cs="Times New Roman" w:eastAsia="Times New Roman" w:hAnsi="Times New Roman"/>
          <w:sz w:val="21"/>
          <w:szCs w:val="21"/>
          <w:color w:val="auto"/>
        </w:rPr>
        <w:t>”). Such Trade Secrets and Confidential Information and other such information includes, but is not limited to, any and all: (i) customers, clients and vendors, and client, customer, supplier and vendor lists; (ii) accounting and business methods; (iii) services or products and the marketing of such services and products; (iv) fees, costs and pricing structures; (v) designs; (vi) analyses; (vii) drawings, photographs and reports; (viii) computer software, including operating systems, applications and program listings; (ix) flow charts, manuals and documentation; databases and database access and manipulation methods, tools and software; (xi) inventions, devices, new developments, methods, tools and processes, whether patentable or unpatentable and whether or not reduced to practice; (xii) copyrightable works; (xiii) technology and trade secrets; (xiv) templates, forms and formatting tools; (xv) specifications; (xvi) analysis reporting and analysis methods and processes; and (xvii) all similar and related information, in whatever form. The Company acknowledges that this protection only extends to confidential information and not publicly available and generally known or available information or information not protectable from non-disclosure under the applicable law. Executive agrees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397" w:right="339" w:bottom="1440" w:gutter="0" w:footer="0" w:header="0"/>
        </w:sectPr>
      </w:pPr>
    </w:p>
    <w:bookmarkStart w:id="164" w:name="page165"/>
    <w:bookmarkEnd w:id="164"/>
    <w:p>
      <w:pPr>
        <w:jc w:val="both"/>
        <w:spacing w:after="0" w:line="254" w:lineRule="auto"/>
        <w:rPr>
          <w:sz w:val="20"/>
          <w:szCs w:val="20"/>
          <w:color w:val="auto"/>
        </w:rPr>
      </w:pPr>
      <w:r>
        <w:rPr>
          <w:rFonts w:ascii="Times New Roman" w:cs="Times New Roman" w:eastAsia="Times New Roman" w:hAnsi="Times New Roman"/>
          <w:sz w:val="21"/>
          <w:szCs w:val="21"/>
          <w:color w:val="auto"/>
        </w:rPr>
        <w:t xml:space="preserve">Executive shall not, either directly or indirectly, disclose or use at any time, whether during Executive’s employment with the Company or for a period of three years thereafter, any Trade Secrets and Confidential Information, except to the extent that such disclosure or use is necessary for Executive to perform Executive’s duties pursuant to this Agreement or otherwise with respect to the Company’s business;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the event of a disclosure of any Trade Secrets and Confidential Information that Executive is requested or demanded to make under the guise of law, Executive must give the Company prompt written notice of any order, subpoena or other notice or information that relates to such a request or demand for disclosure compelled by law such that the Company will have sufficient opportunity to challenge the requested disclosure in advance of disclosure by Executive, and further provided that Executive shall (1) not disclose any more information than the minimum disclosure that is in fact required by law, and</w:t>
      </w:r>
    </w:p>
    <w:p>
      <w:pPr>
        <w:spacing w:after="0" w:line="8" w:lineRule="exact"/>
        <w:rPr>
          <w:sz w:val="20"/>
          <w:szCs w:val="20"/>
          <w:color w:val="auto"/>
        </w:rPr>
      </w:pPr>
    </w:p>
    <w:p>
      <w:pPr>
        <w:ind w:firstLine="6"/>
        <w:spacing w:after="0" w:line="273" w:lineRule="auto"/>
        <w:tabs>
          <w:tab w:leader="none" w:pos="327"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cooperate fully with all efforts by the Company to obtain a protective order or similar confidentiality treatment for all such information prior to making any such disclosure.</w:t>
      </w:r>
    </w:p>
    <w:p>
      <w:pPr>
        <w:spacing w:after="0" w:line="154" w:lineRule="exact"/>
        <w:rPr>
          <w:rFonts w:ascii="Times New Roman" w:cs="Times New Roman" w:eastAsia="Times New Roman" w:hAnsi="Times New Roman"/>
          <w:sz w:val="21"/>
          <w:szCs w:val="21"/>
          <w:color w:val="auto"/>
        </w:rPr>
      </w:pPr>
    </w:p>
    <w:p>
      <w:pPr>
        <w:jc w:val="both"/>
        <w:ind w:firstLine="642"/>
        <w:spacing w:after="0" w:line="261" w:lineRule="auto"/>
        <w:tabs>
          <w:tab w:leader="none" w:pos="1267" w:val="left"/>
        </w:tabs>
        <w:numPr>
          <w:ilvl w:val="1"/>
          <w:numId w:val="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 covenants and agrees that, other than acknowledging the existence of an employer-employee relationship between the Company and Executive and as otherwise required by law (subject to the terms of Section 5(a) above), Executive shall not at any time divulge, directly or indirectly, any of the terms of this Agreement to any person or entity other than Executive’s legal counsel and Certified Public Accountant.</w:t>
      </w:r>
    </w:p>
    <w:p>
      <w:pPr>
        <w:spacing w:after="0" w:line="181" w:lineRule="exact"/>
        <w:rPr>
          <w:rFonts w:ascii="Times New Roman" w:cs="Times New Roman" w:eastAsia="Times New Roman" w:hAnsi="Times New Roman"/>
          <w:sz w:val="21"/>
          <w:szCs w:val="21"/>
          <w:color w:val="010000"/>
        </w:rPr>
      </w:pPr>
    </w:p>
    <w:p>
      <w:pPr>
        <w:jc w:val="both"/>
        <w:ind w:firstLine="642"/>
        <w:spacing w:after="0" w:line="261" w:lineRule="auto"/>
        <w:tabs>
          <w:tab w:leader="none" w:pos="1269" w:val="left"/>
        </w:tabs>
        <w:numPr>
          <w:ilvl w:val="1"/>
          <w:numId w:val="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Upon the Company’s request at any time, or upon the Company’s termination of Executive’s employment with the Company, Executive will return to the Company all originals and copies of Trade Secrets and Confidential Information. Executive’s obligations under this Agreement supplement, but do not supersede, cancel, or limit, other obligations Executive has to the Company or rights or remedies of the Company, including those under the Defend Trade Secrets Act (“</w:t>
      </w:r>
      <w:r>
        <w:rPr>
          <w:rFonts w:ascii="Times New Roman" w:cs="Times New Roman" w:eastAsia="Times New Roman" w:hAnsi="Times New Roman"/>
          <w:sz w:val="21"/>
          <w:szCs w:val="21"/>
          <w:u w:val="single" w:color="auto"/>
          <w:color w:val="auto"/>
        </w:rPr>
        <w:t>DTSA</w:t>
      </w:r>
      <w:r>
        <w:rPr>
          <w:rFonts w:ascii="Times New Roman" w:cs="Times New Roman" w:eastAsia="Times New Roman" w:hAnsi="Times New Roman"/>
          <w:sz w:val="21"/>
          <w:szCs w:val="21"/>
          <w:color w:val="auto"/>
        </w:rPr>
        <w:t>”).</w:t>
      </w:r>
    </w:p>
    <w:p>
      <w:pPr>
        <w:spacing w:after="0" w:line="168" w:lineRule="exact"/>
        <w:rPr>
          <w:rFonts w:ascii="Times New Roman" w:cs="Times New Roman" w:eastAsia="Times New Roman" w:hAnsi="Times New Roman"/>
          <w:sz w:val="21"/>
          <w:szCs w:val="21"/>
          <w:color w:val="010000"/>
        </w:rPr>
      </w:pPr>
    </w:p>
    <w:p>
      <w:pPr>
        <w:jc w:val="both"/>
        <w:ind w:firstLine="642"/>
        <w:spacing w:after="0" w:line="266" w:lineRule="auto"/>
        <w:tabs>
          <w:tab w:leader="none" w:pos="1267" w:val="left"/>
        </w:tabs>
        <w:numPr>
          <w:ilvl w:val="1"/>
          <w:numId w:val="9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 acknowledges that the DTSA provides civil and criminal immunity for any disclosure of Trade Secrets and Confidential Information to his attorney, the government, or in a court filing under seal, so long as the purpose is for reporting or investigating a suspected violation of law. Executive further acknowledges that if she files a lawsuit for retaliation by virtue of reporting a suspected violation of the law, she may use Trade Secrets and Confidential Information in that anti-retaliation lawsuit.</w:t>
      </w:r>
    </w:p>
    <w:p>
      <w:pPr>
        <w:spacing w:after="0" w:line="211" w:lineRule="exact"/>
        <w:rPr>
          <w:sz w:val="20"/>
          <w:szCs w:val="20"/>
          <w:color w:val="auto"/>
        </w:rPr>
      </w:pPr>
    </w:p>
    <w:p>
      <w:pPr>
        <w:ind w:left="640" w:hanging="634"/>
        <w:spacing w:after="0"/>
        <w:tabs>
          <w:tab w:leader="none" w:pos="64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Restricted Activities</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firstLine="642"/>
        <w:spacing w:after="0" w:line="260" w:lineRule="auto"/>
        <w:tabs>
          <w:tab w:leader="none" w:pos="1269" w:val="left"/>
        </w:tabs>
        <w:numPr>
          <w:ilvl w:val="1"/>
          <w:numId w:val="9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Non-Solicitation of Customers</w:t>
      </w:r>
      <w:r>
        <w:rPr>
          <w:rFonts w:ascii="Times New Roman" w:cs="Times New Roman" w:eastAsia="Times New Roman" w:hAnsi="Times New Roman"/>
          <w:sz w:val="21"/>
          <w:szCs w:val="21"/>
          <w:color w:val="auto"/>
        </w:rPr>
        <w:t>. During the Employment Term, without limiting Executive’s obligations and duties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an employee under applicable law, and for a period of 24 months running consecutively from the Termination Date (whether Executive’s employment is terminated for any reason or no reason), Executive shall not directly or indirectly: (i) solicit or divert any business or any customer (actual or potential) from the Company or assist any person, group or entity in doing so or attempting to do so; or (ii) cause or seek to cause any person, group or entity to refrain from dealing or doing business with the Company or assist any person, group or entity in doing so or attempting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398" w:right="339" w:bottom="1440" w:gutter="0" w:footer="0" w:header="0"/>
        </w:sectPr>
      </w:pPr>
    </w:p>
    <w:bookmarkStart w:id="165" w:name="page166"/>
    <w:bookmarkEnd w:id="165"/>
    <w:p>
      <w:pPr>
        <w:jc w:val="both"/>
        <w:ind w:firstLine="642"/>
        <w:spacing w:after="0" w:line="257" w:lineRule="auto"/>
        <w:tabs>
          <w:tab w:leader="none" w:pos="1267" w:val="left"/>
        </w:tabs>
        <w:numPr>
          <w:ilvl w:val="0"/>
          <w:numId w:val="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Non-Solicitation of Executives</w:t>
      </w:r>
      <w:r>
        <w:rPr>
          <w:rFonts w:ascii="Times New Roman" w:cs="Times New Roman" w:eastAsia="Times New Roman" w:hAnsi="Times New Roman"/>
          <w:sz w:val="21"/>
          <w:szCs w:val="21"/>
          <w:color w:val="auto"/>
        </w:rPr>
        <w:t>. During the Employment Term, without limiting Executive’s obligations and duties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an employee under applicable law, and for a period of 24 months running consecutively from the Termination Date (whether Executive’s employment is terminated for any reason or no reason), Executive shall not, directly or indirectly, for Executive’s own account or on behalf of any other person or entity, solicit, encourage, entice, or cause, or attempt to solicit, encourage, entice or cause, any employee or contractor of the Company or any Company Party to: (i) breach or modify any provision of such employee’s employment agreement with the Company or any Company Party; (ii) reduce or change the quality or quantity or availability of such employee’s services to the Company or any Company Party; or (iii) terminate such employee’s employment with the Company or any Company Party.</w:t>
      </w:r>
    </w:p>
    <w:p>
      <w:pPr>
        <w:spacing w:after="0" w:line="183" w:lineRule="exact"/>
        <w:rPr>
          <w:rFonts w:ascii="Times New Roman" w:cs="Times New Roman" w:eastAsia="Times New Roman" w:hAnsi="Times New Roman"/>
          <w:sz w:val="21"/>
          <w:szCs w:val="21"/>
          <w:color w:val="010000"/>
        </w:rPr>
      </w:pPr>
    </w:p>
    <w:p>
      <w:pPr>
        <w:jc w:val="both"/>
        <w:ind w:firstLine="642"/>
        <w:spacing w:after="0" w:line="256" w:lineRule="auto"/>
        <w:tabs>
          <w:tab w:leader="none" w:pos="1269" w:val="left"/>
        </w:tabs>
        <w:numPr>
          <w:ilvl w:val="0"/>
          <w:numId w:val="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Non-Competition</w:t>
      </w:r>
      <w:r>
        <w:rPr>
          <w:rFonts w:ascii="Times New Roman" w:cs="Times New Roman" w:eastAsia="Times New Roman" w:hAnsi="Times New Roman"/>
          <w:sz w:val="21"/>
          <w:szCs w:val="21"/>
          <w:color w:val="auto"/>
        </w:rPr>
        <w:t>. Executive acknowledges and agrees that due to his position and responsibilities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Executive will have access to Trade Secrets and Confidential Information. Because of the Company’s protectable interest, and the good and valuable consideration offered to Executive during the Employment Term, Executive agrees and covenants that during the Employment Term and until the later of 12 months following the Termination Date, she will not, directly or indirectly, engage in any “</w:t>
      </w:r>
      <w:r>
        <w:rPr>
          <w:rFonts w:ascii="Times New Roman" w:cs="Times New Roman" w:eastAsia="Times New Roman" w:hAnsi="Times New Roman"/>
          <w:sz w:val="21"/>
          <w:szCs w:val="21"/>
          <w:u w:val="single" w:color="auto"/>
          <w:color w:val="auto"/>
        </w:rPr>
        <w:t>Prohibited Activity</w:t>
      </w:r>
      <w:r>
        <w:rPr>
          <w:rFonts w:ascii="Times New Roman" w:cs="Times New Roman" w:eastAsia="Times New Roman" w:hAnsi="Times New Roman"/>
          <w:sz w:val="21"/>
          <w:szCs w:val="21"/>
          <w:color w:val="auto"/>
        </w:rPr>
        <w:t>” anywhere that the Company does business. Prohibited Activity is defined as any activity Executive engages in that is the same or similar to the business of the Company, including, without limitation, the business of gathering, cataloging, cleansing, filtering, organizing, or providing business contact information, firmographic or technographic information on business organizations, or predictive purchase intent data for use in sales, marketing, or recruiting, or any activity in which Executive contributes Executive’s knowledge, directly or indirectly, in whole or in part, as an employee, employer, operator, manager, advisor, consultant, contractor, agent, partner, director, stockholder, officer, volunteer, intern, or any other similar capacity to an entity engaged in the same or similar business of the Company. Prohibited Activity also includes activity that may require or inevitably require disclosure of trade secrets, proprietary information or Trade Secrets and Confidential Information.</w:t>
      </w:r>
    </w:p>
    <w:p>
      <w:pPr>
        <w:spacing w:after="0" w:line="168" w:lineRule="exact"/>
        <w:rPr>
          <w:rFonts w:ascii="Times New Roman" w:cs="Times New Roman" w:eastAsia="Times New Roman" w:hAnsi="Times New Roman"/>
          <w:sz w:val="21"/>
          <w:szCs w:val="21"/>
          <w:color w:val="010000"/>
        </w:rPr>
      </w:pPr>
    </w:p>
    <w:p>
      <w:pPr>
        <w:jc w:val="both"/>
        <w:ind w:firstLine="642"/>
        <w:spacing w:after="0" w:line="263" w:lineRule="auto"/>
        <w:tabs>
          <w:tab w:leader="none" w:pos="1267" w:val="left"/>
        </w:tabs>
        <w:numPr>
          <w:ilvl w:val="0"/>
          <w:numId w:val="9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Non-Disparagement</w:t>
      </w:r>
      <w:r>
        <w:rPr>
          <w:rFonts w:ascii="Times New Roman" w:cs="Times New Roman" w:eastAsia="Times New Roman" w:hAnsi="Times New Roman"/>
          <w:sz w:val="21"/>
          <w:szCs w:val="21"/>
          <w:color w:val="auto"/>
        </w:rPr>
        <w:t>. Executive covenants and agrees that for the longest period legally enforceable, she shall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disparage the image or reputation of the Company or any of its subsidiaries or affiliates and their officers, senior management employees and professional employees. The Company covenants and agrees that it (i) shall not, in any official or Company-sanctioned statement, disparage the image or reputation of Executive; and (ii) shall instruct its officers, directors and senior management employees not to disparage the image or reputation of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393" w:right="339" w:bottom="1440" w:gutter="0" w:footer="0" w:header="0"/>
        </w:sectPr>
      </w:pPr>
    </w:p>
    <w:bookmarkStart w:id="166" w:name="page167"/>
    <w:bookmarkEnd w:id="166"/>
    <w:p>
      <w:pPr>
        <w:jc w:val="both"/>
        <w:ind w:firstLine="642"/>
        <w:spacing w:after="0" w:line="255" w:lineRule="auto"/>
        <w:tabs>
          <w:tab w:leader="none" w:pos="1269" w:val="left"/>
        </w:tabs>
        <w:numPr>
          <w:ilvl w:val="0"/>
          <w:numId w:val="9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Permitted Activities</w:t>
      </w:r>
      <w:r>
        <w:rPr>
          <w:rFonts w:ascii="Times New Roman" w:cs="Times New Roman" w:eastAsia="Times New Roman" w:hAnsi="Times New Roman"/>
          <w:sz w:val="21"/>
          <w:szCs w:val="21"/>
          <w:color w:val="auto"/>
        </w:rPr>
        <w:t>. Notwithstanding any language in this Agreement to the contrary, nothing in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prohibits or impedes Executive from reporting possible violations of federal law or regulation to any governmental agency or entity, including but not limited to the Department of Justice, the Securities and Exchange Commission, the Congress, and any agency Inspector General, otherwise communicating, cooperating, or filing a complaint with or making other disclosures or complaints to any such agency or entity that are protected under the whistleblower provisions of federal law or regulation;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in each case such communications and disclosures are consistent with applicable law. Executive does not need the prior authorization of the Company to make any such reports or disclosures and Executive is not required to notify the Company that Executive has made such reports or disclosures. Notwithstanding the foregoing, under no circumstance is Executive authorized to disclose any information covered by the Company’s attorney-client privilege or attorney work product or the Company’s trade secrets without prior written consent of the Company. An individual shall not be held criminally or civilly liable under any U.S. federal or state trade secret law for the disclosure of a trade secret that is made (i) in confidence to a U.S. federal, state, or local government official or to an attorney solely for the purpose of reporting or investigating a suspected violation of law, or (ii)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w:t>
      </w:r>
    </w:p>
    <w:p>
      <w:pPr>
        <w:spacing w:after="0" w:line="178" w:lineRule="exact"/>
        <w:rPr>
          <w:rFonts w:ascii="Times New Roman" w:cs="Times New Roman" w:eastAsia="Times New Roman" w:hAnsi="Times New Roman"/>
          <w:sz w:val="21"/>
          <w:szCs w:val="21"/>
          <w:color w:val="010000"/>
        </w:rPr>
      </w:pPr>
    </w:p>
    <w:p>
      <w:pPr>
        <w:jc w:val="both"/>
        <w:ind w:firstLine="642"/>
        <w:spacing w:after="0" w:line="258" w:lineRule="auto"/>
        <w:tabs>
          <w:tab w:leader="none" w:pos="1272" w:val="left"/>
        </w:tabs>
        <w:numPr>
          <w:ilvl w:val="0"/>
          <w:numId w:val="9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In the event that Executive shall breach any of the provisions of Section 6(a)-(d), or in the event that any such breach is threatened by Executive, in addition to and without limiting or waiving any other of the Company’s rights under this Agreement or any remedies available to the Company at law or in equity, the Company shall be entitled to immediate injunctive relief in any court, domestic or foreign, having the capacity to grant such relief, without the necessity of posting a bond, to restrain any such breach or threatened breach and to enforce the provisions of these Sections. Executive acknowledges and agrees that there is no adequate remedy at law for any such breach or threatened breach and, in the event that any action or proceeding is brought seeking injunctive relief, Executive shall be estopped from asserting as a defense thereto that there is an adequate remedy at law.</w:t>
      </w:r>
    </w:p>
    <w:p>
      <w:pPr>
        <w:spacing w:after="0" w:line="170" w:lineRule="exact"/>
        <w:rPr>
          <w:rFonts w:ascii="Times New Roman" w:cs="Times New Roman" w:eastAsia="Times New Roman" w:hAnsi="Times New Roman"/>
          <w:sz w:val="21"/>
          <w:szCs w:val="21"/>
          <w:color w:val="010000"/>
        </w:rPr>
      </w:pPr>
    </w:p>
    <w:p>
      <w:pPr>
        <w:jc w:val="both"/>
        <w:ind w:firstLine="642"/>
        <w:spacing w:after="0" w:line="258" w:lineRule="auto"/>
        <w:tabs>
          <w:tab w:leader="none" w:pos="1267" w:val="left"/>
        </w:tabs>
        <w:numPr>
          <w:ilvl w:val="0"/>
          <w:numId w:val="9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Executive acknowledges and agrees that (i) the foregoing restrictions and the duration and scope thereof as set forth in Section 6(a)-(d) (collectively, the “</w:t>
      </w:r>
      <w:r>
        <w:rPr>
          <w:rFonts w:ascii="Times New Roman" w:cs="Times New Roman" w:eastAsia="Times New Roman" w:hAnsi="Times New Roman"/>
          <w:sz w:val="21"/>
          <w:szCs w:val="21"/>
          <w:u w:val="single" w:color="auto"/>
          <w:color w:val="auto"/>
        </w:rPr>
        <w:t>Restrictions</w:t>
      </w:r>
      <w:r>
        <w:rPr>
          <w:rFonts w:ascii="Times New Roman" w:cs="Times New Roman" w:eastAsia="Times New Roman" w:hAnsi="Times New Roman"/>
          <w:sz w:val="21"/>
          <w:szCs w:val="21"/>
          <w:color w:val="auto"/>
        </w:rPr>
        <w:t>”) are agreed with respect to all of the circumstances reasonable and necessary for the protection of the Company and its business, and the Restrictions do not preclude Executive from earning a livelihood, nor do the Restrictions unreasonably impose limitations on Executive’s ability to earn a living, (ii) the potential harm to the Company of the non-enforcement of the Restrictions outweighs any harm to Executive of the enforcement of the Restrictions by injunction or otherwise, and (iii) that none of the rights, damages or other consideration set forth in Section 6(c), or any specific enforcement or injunction rights that the Company may have under this Agreement, shall limit, restrict or affect any other rights the Company may have, or any recovery the Company may be entitled to obtain, from any party, under any theory, or with respect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394" w:right="339" w:bottom="1440" w:gutter="0" w:footer="0" w:header="0"/>
        </w:sectPr>
      </w:pPr>
    </w:p>
    <w:bookmarkStart w:id="167" w:name="page168"/>
    <w:bookmarkEnd w:id="167"/>
    <w:p>
      <w:pPr>
        <w:spacing w:after="0" w:line="285" w:lineRule="auto"/>
        <w:rPr>
          <w:sz w:val="20"/>
          <w:szCs w:val="20"/>
          <w:color w:val="auto"/>
        </w:rPr>
      </w:pPr>
      <w:r>
        <w:rPr>
          <w:rFonts w:ascii="Times New Roman" w:cs="Times New Roman" w:eastAsia="Times New Roman" w:hAnsi="Times New Roman"/>
          <w:sz w:val="21"/>
          <w:szCs w:val="21"/>
          <w:color w:val="auto"/>
        </w:rPr>
        <w:t>agreement or relationship, including any such rights or potential recovery the Company may have pursuant to the other provisions of this Agreement.</w:t>
      </w:r>
    </w:p>
    <w:p>
      <w:pPr>
        <w:spacing w:after="0" w:line="142" w:lineRule="exact"/>
        <w:rPr>
          <w:sz w:val="20"/>
          <w:szCs w:val="20"/>
          <w:color w:val="auto"/>
        </w:rPr>
      </w:pPr>
    </w:p>
    <w:p>
      <w:pPr>
        <w:jc w:val="both"/>
        <w:ind w:firstLine="642"/>
        <w:spacing w:after="0" w:line="259" w:lineRule="auto"/>
        <w:tabs>
          <w:tab w:leader="none" w:pos="1267" w:val="left"/>
        </w:tabs>
        <w:numPr>
          <w:ilvl w:val="1"/>
          <w:numId w:val="9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Restrictions will be construed as a series of separate covenants, one for each country, city, state, or similar subdivision in any part of the world where the Company does business. If in any judicial proceeding or arbitration, a court or arbitrator refuses to enforce any of these separate covenants (or any part of a covenant), then the unenforceable covenant (or part) will be eliminated from this Agreement to the extent necessary to permit the remaining separate covenants (or portions) to be enforced. In the event that the provisions of this section are deemed to exceed the time, geographic, or scope limitations permitted by law, then the provisions will be reformed to the maximum time, geographic, or scope limitations permitted by law.</w:t>
      </w:r>
    </w:p>
    <w:p>
      <w:pPr>
        <w:spacing w:after="0" w:line="200" w:lineRule="exact"/>
        <w:rPr>
          <w:rFonts w:ascii="Times New Roman" w:cs="Times New Roman" w:eastAsia="Times New Roman" w:hAnsi="Times New Roman"/>
          <w:sz w:val="21"/>
          <w:szCs w:val="21"/>
          <w:color w:val="010000"/>
        </w:rPr>
      </w:pPr>
    </w:p>
    <w:p>
      <w:pPr>
        <w:spacing w:after="0" w:line="272" w:lineRule="exact"/>
        <w:rPr>
          <w:rFonts w:ascii="Times New Roman" w:cs="Times New Roman" w:eastAsia="Times New Roman" w:hAnsi="Times New Roman"/>
          <w:sz w:val="21"/>
          <w:szCs w:val="21"/>
          <w:color w:val="010000"/>
        </w:rPr>
      </w:pPr>
    </w:p>
    <w:p>
      <w:pPr>
        <w:ind w:left="640" w:hanging="634"/>
        <w:spacing w:after="0"/>
        <w:tabs>
          <w:tab w:leader="none" w:pos="640"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Inventions and Patents</w:t>
      </w:r>
      <w:r>
        <w:rPr>
          <w:rFonts w:ascii="Times New Roman" w:cs="Times New Roman" w:eastAsia="Times New Roman" w:hAnsi="Times New Roman"/>
          <w:sz w:val="21"/>
          <w:szCs w:val="21"/>
          <w:color w:val="auto"/>
        </w:rPr>
        <w:t>.</w:t>
      </w:r>
    </w:p>
    <w:p>
      <w:pPr>
        <w:spacing w:after="0" w:line="222" w:lineRule="exact"/>
        <w:rPr>
          <w:rFonts w:ascii="Times New Roman" w:cs="Times New Roman" w:eastAsia="Times New Roman" w:hAnsi="Times New Roman"/>
          <w:sz w:val="21"/>
          <w:szCs w:val="21"/>
          <w:color w:val="auto"/>
        </w:rPr>
      </w:pPr>
    </w:p>
    <w:p>
      <w:pPr>
        <w:jc w:val="both"/>
        <w:ind w:firstLine="642"/>
        <w:spacing w:after="0" w:line="269" w:lineRule="auto"/>
        <w:tabs>
          <w:tab w:leader="none" w:pos="1269" w:val="left"/>
        </w:tabs>
        <w:numPr>
          <w:ilvl w:val="1"/>
          <w:numId w:val="9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Inventions Defined</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Inventions</w:t>
      </w:r>
      <w:r>
        <w:rPr>
          <w:rFonts w:ascii="Times New Roman" w:cs="Times New Roman" w:eastAsia="Times New Roman" w:hAnsi="Times New Roman"/>
          <w:sz w:val="21"/>
          <w:szCs w:val="21"/>
          <w:color w:val="auto"/>
        </w:rPr>
        <w:t>” means inventions, original works of authorship, developments, concepts,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improvements, designs, discoveries, ideas, know-how, trademarks, and trade secrets, whether or not patentable or registrable under copyright or similar laws, that Executive may solely or jointly author, conceive, develop, or reduce to practice.</w:t>
      </w:r>
    </w:p>
    <w:p>
      <w:pPr>
        <w:spacing w:after="0" w:line="155" w:lineRule="exact"/>
        <w:rPr>
          <w:rFonts w:ascii="Times New Roman" w:cs="Times New Roman" w:eastAsia="Times New Roman" w:hAnsi="Times New Roman"/>
          <w:sz w:val="21"/>
          <w:szCs w:val="21"/>
          <w:color w:val="010000"/>
        </w:rPr>
      </w:pPr>
    </w:p>
    <w:p>
      <w:pPr>
        <w:jc w:val="both"/>
        <w:ind w:firstLine="642"/>
        <w:spacing w:after="0" w:line="259" w:lineRule="auto"/>
        <w:tabs>
          <w:tab w:leader="none" w:pos="1267" w:val="left"/>
        </w:tabs>
        <w:numPr>
          <w:ilvl w:val="1"/>
          <w:numId w:val="9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Assignment of Inventions and Works Made for Hire</w:t>
      </w:r>
      <w:r>
        <w:rPr>
          <w:rFonts w:ascii="Times New Roman" w:cs="Times New Roman" w:eastAsia="Times New Roman" w:hAnsi="Times New Roman"/>
          <w:sz w:val="21"/>
          <w:szCs w:val="21"/>
          <w:color w:val="auto"/>
        </w:rPr>
        <w:t>. Executive will promptly make a full written disclosure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will hold in trust for the sole right and benefit of the Company, and will assign to the Company, or its designee, all of Executive’s right, title and interest (including all related intellectual property rights and the right to sue and collect payment for past, present and future infringement) in all Inventions that Executive creates during the Employment Term (the “</w:t>
      </w:r>
      <w:r>
        <w:rPr>
          <w:rFonts w:ascii="Times New Roman" w:cs="Times New Roman" w:eastAsia="Times New Roman" w:hAnsi="Times New Roman"/>
          <w:sz w:val="21"/>
          <w:szCs w:val="21"/>
          <w:u w:val="single" w:color="auto"/>
          <w:color w:val="auto"/>
        </w:rPr>
        <w:t>Company Inventions</w:t>
      </w:r>
      <w:r>
        <w:rPr>
          <w:rFonts w:ascii="Times New Roman" w:cs="Times New Roman" w:eastAsia="Times New Roman" w:hAnsi="Times New Roman"/>
          <w:sz w:val="21"/>
          <w:szCs w:val="21"/>
          <w:color w:val="auto"/>
        </w:rPr>
        <w:t>”). In addition, all original works of authorship that are made by Executive (solely or jointly with others) within the scope of and during the period of the Employment Term and that are protectable by copyright are “works made for hire,” as that term is defined in the United States Copyright Act, and, in accordance, the Company will be considered the author of these works. Executive agrees that this assignment includes the present conveyance to the Company of ownership of Inventions that are not yet in existence.</w:t>
      </w:r>
    </w:p>
    <w:p>
      <w:pPr>
        <w:spacing w:after="0" w:line="167" w:lineRule="exact"/>
        <w:rPr>
          <w:rFonts w:ascii="Times New Roman" w:cs="Times New Roman" w:eastAsia="Times New Roman" w:hAnsi="Times New Roman"/>
          <w:sz w:val="21"/>
          <w:szCs w:val="21"/>
          <w:color w:val="010000"/>
        </w:rPr>
      </w:pPr>
    </w:p>
    <w:p>
      <w:pPr>
        <w:jc w:val="both"/>
        <w:ind w:firstLine="642"/>
        <w:spacing w:after="0" w:line="258" w:lineRule="auto"/>
        <w:tabs>
          <w:tab w:leader="none" w:pos="1269" w:val="left"/>
        </w:tabs>
        <w:numPr>
          <w:ilvl w:val="1"/>
          <w:numId w:val="9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Exception to Assignments</w:t>
      </w:r>
      <w:r>
        <w:rPr>
          <w:rFonts w:ascii="Times New Roman" w:cs="Times New Roman" w:eastAsia="Times New Roman" w:hAnsi="Times New Roman"/>
          <w:sz w:val="21"/>
          <w:szCs w:val="21"/>
          <w:color w:val="auto"/>
        </w:rPr>
        <w:t>. Notwithstanding any other provision in this Section to the contrary, Executive is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obligated to assign or offer to assign to the Company any of Executive’s rights, title or interest in an Invention for which no equipment, supplies, facilities or trade secret information of the Company was used and that was developed entirely on Executive’s own time, unless (i) the Invention relates (A) at the time of conception or reduction to practice of the Invention, to the business of the Company, or (B) to the Company’s actual or demonstrably anticipated research or development, or (ii) the Invention results from any work performed by Executive for the Company. This notice is intended to satisfy any applicable requirements of the Revised Code of Washington Section 49.44.140.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397" w:right="339" w:bottom="1440" w:gutter="0" w:footer="0" w:header="0"/>
        </w:sectPr>
      </w:pPr>
    </w:p>
    <w:bookmarkStart w:id="168" w:name="page169"/>
    <w:bookmarkEnd w:id="168"/>
    <w:p>
      <w:pPr>
        <w:jc w:val="both"/>
        <w:ind w:firstLine="642"/>
        <w:spacing w:after="0" w:line="257" w:lineRule="auto"/>
        <w:tabs>
          <w:tab w:leader="none" w:pos="1267" w:val="left"/>
        </w:tabs>
        <w:numPr>
          <w:ilvl w:val="0"/>
          <w:numId w:val="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Inventions Retained and Licensed</w:t>
      </w:r>
      <w:r>
        <w:rPr>
          <w:rFonts w:ascii="Times New Roman" w:cs="Times New Roman" w:eastAsia="Times New Roman" w:hAnsi="Times New Roman"/>
          <w:sz w:val="21"/>
          <w:szCs w:val="21"/>
          <w:color w:val="auto"/>
        </w:rPr>
        <w:t>. Executive has attached to this Agreement a list describing all Inventions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were made by Executive prior to the Employment Term, that relate to the Company’s proposed business, products, or research and development, and that are not assigned to the Company under this Agreement (collectively, “</w:t>
      </w:r>
      <w:r>
        <w:rPr>
          <w:rFonts w:ascii="Times New Roman" w:cs="Times New Roman" w:eastAsia="Times New Roman" w:hAnsi="Times New Roman"/>
          <w:sz w:val="21"/>
          <w:szCs w:val="21"/>
          <w:u w:val="single" w:color="auto"/>
          <w:color w:val="auto"/>
        </w:rPr>
        <w:t>Prior Inventions</w:t>
      </w:r>
      <w:r>
        <w:rPr>
          <w:rFonts w:ascii="Times New Roman" w:cs="Times New Roman" w:eastAsia="Times New Roman" w:hAnsi="Times New Roman"/>
          <w:sz w:val="21"/>
          <w:szCs w:val="21"/>
          <w:color w:val="auto"/>
        </w:rPr>
        <w:t>”). If no list is attached or if no Prior Inventions are listed, Executive represents that there are no Prior Inventions. Furthermore, Executive represents and warrants that the inclusion of any Prior Inventions will not materially affect Executive’s ability to perform all obligations under this Agreement. If, in the course of the Employment Term, Executive incorporates into a the Company product, process or machine an Invention owned by Executive or in which Executive has an interest, the Company is granted a nonexclusive, royalty-free, irrevocable, perpetual, transferrable, worldwide license (with right to sublicense) to make, have modify, use, import, offer for sale, sell, reproduce, distribute, modify, adapt, prepare derivative works of, display, perform and otherwise exploit the Invention without restriction of any kind.</w:t>
      </w:r>
    </w:p>
    <w:p>
      <w:pPr>
        <w:spacing w:after="0" w:line="170" w:lineRule="exact"/>
        <w:rPr>
          <w:rFonts w:ascii="Times New Roman" w:cs="Times New Roman" w:eastAsia="Times New Roman" w:hAnsi="Times New Roman"/>
          <w:sz w:val="21"/>
          <w:szCs w:val="21"/>
          <w:color w:val="010000"/>
        </w:rPr>
      </w:pPr>
    </w:p>
    <w:p>
      <w:pPr>
        <w:jc w:val="both"/>
        <w:ind w:firstLine="642"/>
        <w:spacing w:after="0" w:line="269" w:lineRule="auto"/>
        <w:tabs>
          <w:tab w:leader="none" w:pos="1269" w:val="left"/>
        </w:tabs>
        <w:numPr>
          <w:ilvl w:val="0"/>
          <w:numId w:val="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Third-Party Inventions</w:t>
      </w:r>
      <w:r>
        <w:rPr>
          <w:rFonts w:ascii="Times New Roman" w:cs="Times New Roman" w:eastAsia="Times New Roman" w:hAnsi="Times New Roman"/>
          <w:sz w:val="21"/>
          <w:szCs w:val="21"/>
          <w:color w:val="auto"/>
        </w:rPr>
        <w:t>. Executive will not incorporate any original work of authorship, development, concept,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improvement or trade secret owned, in whole or in part, by any third party, into any Company Invention without the Company’s prior written permission.</w:t>
      </w:r>
    </w:p>
    <w:p>
      <w:pPr>
        <w:spacing w:after="0" w:line="155" w:lineRule="exact"/>
        <w:rPr>
          <w:rFonts w:ascii="Times New Roman" w:cs="Times New Roman" w:eastAsia="Times New Roman" w:hAnsi="Times New Roman"/>
          <w:sz w:val="21"/>
          <w:szCs w:val="21"/>
          <w:color w:val="010000"/>
        </w:rPr>
      </w:pPr>
    </w:p>
    <w:p>
      <w:pPr>
        <w:jc w:val="both"/>
        <w:ind w:firstLine="642"/>
        <w:spacing w:after="0" w:line="263" w:lineRule="auto"/>
        <w:tabs>
          <w:tab w:leader="none" w:pos="1272" w:val="left"/>
        </w:tabs>
        <w:numPr>
          <w:ilvl w:val="0"/>
          <w:numId w:val="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Moral Rights</w:t>
      </w:r>
      <w:r>
        <w:rPr>
          <w:rFonts w:ascii="Times New Roman" w:cs="Times New Roman" w:eastAsia="Times New Roman" w:hAnsi="Times New Roman"/>
          <w:sz w:val="21"/>
          <w:szCs w:val="21"/>
          <w:color w:val="auto"/>
        </w:rPr>
        <w:t>. Any assignment to the Company of the Company Inventions includes all rights of attribution,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paternity, integrity, modification, disclosure and withdrawal and any other rights throughout the world that may be known as or referred to as “moral rights,” “artist’s rights,” or the like (collectively, “</w:t>
      </w:r>
      <w:r>
        <w:rPr>
          <w:rFonts w:ascii="Times New Roman" w:cs="Times New Roman" w:eastAsia="Times New Roman" w:hAnsi="Times New Roman"/>
          <w:sz w:val="21"/>
          <w:szCs w:val="21"/>
          <w:u w:val="single" w:color="auto"/>
          <w:color w:val="auto"/>
        </w:rPr>
        <w:t>Moral Rights</w:t>
      </w:r>
      <w:r>
        <w:rPr>
          <w:rFonts w:ascii="Times New Roman" w:cs="Times New Roman" w:eastAsia="Times New Roman" w:hAnsi="Times New Roman"/>
          <w:sz w:val="21"/>
          <w:szCs w:val="21"/>
          <w:color w:val="auto"/>
        </w:rPr>
        <w:t>”). To the extent that Moral Rights cannot be assigned under applicable law, Executive hereby waives and agrees not to enforce any and all Moral Rights, including any limitation on subsequent modification, to the extent permitted under applicable law.</w:t>
      </w:r>
    </w:p>
    <w:p>
      <w:pPr>
        <w:spacing w:after="0" w:line="160" w:lineRule="exact"/>
        <w:rPr>
          <w:rFonts w:ascii="Times New Roman" w:cs="Times New Roman" w:eastAsia="Times New Roman" w:hAnsi="Times New Roman"/>
          <w:sz w:val="21"/>
          <w:szCs w:val="21"/>
          <w:color w:val="010000"/>
        </w:rPr>
      </w:pPr>
    </w:p>
    <w:p>
      <w:pPr>
        <w:jc w:val="both"/>
        <w:ind w:firstLine="642"/>
        <w:spacing w:after="0" w:line="267" w:lineRule="auto"/>
        <w:tabs>
          <w:tab w:leader="none" w:pos="1267" w:val="left"/>
        </w:tabs>
        <w:numPr>
          <w:ilvl w:val="0"/>
          <w:numId w:val="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Marketing of the Company Inventions</w:t>
      </w:r>
      <w:r>
        <w:rPr>
          <w:rFonts w:ascii="Times New Roman" w:cs="Times New Roman" w:eastAsia="Times New Roman" w:hAnsi="Times New Roman"/>
          <w:sz w:val="21"/>
          <w:szCs w:val="21"/>
          <w:color w:val="auto"/>
        </w:rPr>
        <w:t>. The decision whether or not to commercialize or market any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Invention developed by Executive solely or jointly with others is within the Company’s sole discretion and for the Company’s sole benefit. Neither the Company nor any other entity will pay Executive a royalty as a result of the Company’s efforts to commercialize or market any Company Invention.</w:t>
      </w:r>
    </w:p>
    <w:p>
      <w:pPr>
        <w:spacing w:after="0" w:line="157" w:lineRule="exact"/>
        <w:rPr>
          <w:rFonts w:ascii="Times New Roman" w:cs="Times New Roman" w:eastAsia="Times New Roman" w:hAnsi="Times New Roman"/>
          <w:sz w:val="21"/>
          <w:szCs w:val="21"/>
          <w:color w:val="010000"/>
        </w:rPr>
      </w:pPr>
    </w:p>
    <w:p>
      <w:pPr>
        <w:jc w:val="both"/>
        <w:ind w:firstLine="642"/>
        <w:spacing w:after="0" w:line="267" w:lineRule="auto"/>
        <w:tabs>
          <w:tab w:leader="none" w:pos="1267" w:val="left"/>
        </w:tabs>
        <w:numPr>
          <w:ilvl w:val="0"/>
          <w:numId w:val="9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Maintenance of Records</w:t>
      </w:r>
      <w:r>
        <w:rPr>
          <w:rFonts w:ascii="Times New Roman" w:cs="Times New Roman" w:eastAsia="Times New Roman" w:hAnsi="Times New Roman"/>
          <w:sz w:val="21"/>
          <w:szCs w:val="21"/>
          <w:color w:val="auto"/>
        </w:rPr>
        <w:t>. Executive will keep and maintain adequate and current written records of all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Company Inventions. These records will be in the form of notes, sketches, drawings, electronic files, laboratory notebooks, and any other format that may be specified by the Company. At all times, the records will be available to the Company, and remain the sole property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394" w:right="339" w:bottom="1440" w:gutter="0" w:footer="0" w:header="0"/>
        </w:sectPr>
      </w:pPr>
    </w:p>
    <w:bookmarkStart w:id="169" w:name="page170"/>
    <w:bookmarkEnd w:id="169"/>
    <w:p>
      <w:pPr>
        <w:jc w:val="both"/>
        <w:ind w:firstLine="642"/>
        <w:spacing w:after="0" w:line="258" w:lineRule="auto"/>
        <w:tabs>
          <w:tab w:leader="none" w:pos="1260" w:val="left"/>
        </w:tabs>
        <w:numPr>
          <w:ilvl w:val="1"/>
          <w:numId w:val="10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Further Assurances</w:t>
      </w:r>
      <w:r>
        <w:rPr>
          <w:rFonts w:ascii="Times New Roman" w:cs="Times New Roman" w:eastAsia="Times New Roman" w:hAnsi="Times New Roman"/>
          <w:sz w:val="21"/>
          <w:szCs w:val="21"/>
          <w:color w:val="auto"/>
        </w:rPr>
        <w:t>. Executive will assist the Company, or its designee, at the Company’s expense, in every proper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way to secure and protect the Company’s rights in the Company Inventions and any related copyrights, patents, mask work rights, or other intellectual property rights in any and all countries. Executive will disclose to the Company all pertinent information and data. Executive will execute all applications, specifications, oaths, assignments, and all other instruments that the Company deems necessary in order to apply for and obtain these rights and in order to deliver, assign and convey to the Company, its successors, assigns and nominees the sole and exclusive rights, title and interest in and to the Company Inventions, and any related copyrights, patents, mask work rights or other intellectual property rights. The Company will testify in a suit or other proceeding relating to such the Company Inventions and any rights relating thereto. Executive’s obligation to execute or cause to be executed, when it is in Executive’s power to do so, any instrument or papers will continue after the termination of this Agreement.</w:t>
      </w:r>
    </w:p>
    <w:p>
      <w:pPr>
        <w:spacing w:after="0" w:line="220" w:lineRule="exact"/>
        <w:rPr>
          <w:rFonts w:ascii="Times New Roman" w:cs="Times New Roman" w:eastAsia="Times New Roman" w:hAnsi="Times New Roman"/>
          <w:sz w:val="21"/>
          <w:szCs w:val="21"/>
          <w:color w:val="010000"/>
        </w:rPr>
      </w:pPr>
    </w:p>
    <w:p>
      <w:pPr>
        <w:jc w:val="both"/>
        <w:ind w:firstLine="6"/>
        <w:spacing w:after="0" w:line="269" w:lineRule="auto"/>
        <w:tabs>
          <w:tab w:leader="none" w:pos="63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Notices</w:t>
      </w:r>
      <w:r>
        <w:rPr>
          <w:rFonts w:ascii="Times New Roman" w:cs="Times New Roman" w:eastAsia="Times New Roman" w:hAnsi="Times New Roman"/>
          <w:sz w:val="21"/>
          <w:szCs w:val="21"/>
          <w:color w:val="auto"/>
        </w:rPr>
        <w:t>. Any notice provided for herein shall be in writing and shall be deemed to have been given or made when personally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delivered or delivered by reputable overnight courier service and deemed delivered in the case of courier service upon confirmation of receipt of the delivery or affirmative rejection thereof.</w:t>
      </w:r>
    </w:p>
    <w:p>
      <w:pPr>
        <w:spacing w:after="0" w:line="208" w:lineRule="exact"/>
        <w:rPr>
          <w:rFonts w:ascii="Times New Roman" w:cs="Times New Roman" w:eastAsia="Times New Roman" w:hAnsi="Times New Roman"/>
          <w:sz w:val="21"/>
          <w:szCs w:val="21"/>
          <w:color w:val="auto"/>
        </w:rPr>
      </w:pPr>
    </w:p>
    <w:p>
      <w:pPr>
        <w:jc w:val="both"/>
        <w:ind w:firstLine="6"/>
        <w:spacing w:after="0" w:line="259" w:lineRule="auto"/>
        <w:tabs>
          <w:tab w:leader="none" w:pos="63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Severability</w:t>
      </w:r>
      <w:r>
        <w:rPr>
          <w:rFonts w:ascii="Times New Roman" w:cs="Times New Roman" w:eastAsia="Times New Roman" w:hAnsi="Times New Roman"/>
          <w:sz w:val="21"/>
          <w:szCs w:val="21"/>
          <w:color w:val="auto"/>
        </w:rPr>
        <w:t>. In case any one or more of the provisions contained in this Agreement for any reason shall be held to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invalid, illegal or unenforceable in any respect under any applicable law or rule in any jurisdiction, any such provision(s) shall be severed, but only to the minimum extent necessary to comply with applicable laws and rules. Such invalidity, illegality or unenforceability shall not affect any other portion of the same provision or of any other provision of this Agreement or any action in any other jurisdiction. In addition to the foregoing, if one or more of the provisions contained in this Agreement shall for any reason be held to be excessively broad or unreasonable as to the period, scope or geographical area so as to be unenforceable at law, such provision or provisions shall be modified or substituted by the appropriate judicial or governing body so as to cover the maximum period, scope or geographical area permitted by applicable law.</w:t>
      </w:r>
    </w:p>
    <w:p>
      <w:pPr>
        <w:spacing w:after="0" w:line="220" w:lineRule="exact"/>
        <w:rPr>
          <w:rFonts w:ascii="Times New Roman" w:cs="Times New Roman" w:eastAsia="Times New Roman" w:hAnsi="Times New Roman"/>
          <w:sz w:val="21"/>
          <w:szCs w:val="21"/>
          <w:color w:val="auto"/>
        </w:rPr>
      </w:pPr>
    </w:p>
    <w:p>
      <w:pPr>
        <w:jc w:val="both"/>
        <w:ind w:firstLine="6"/>
        <w:spacing w:after="0" w:line="260" w:lineRule="auto"/>
        <w:tabs>
          <w:tab w:leader="none" w:pos="636"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Complete Agreement</w:t>
      </w:r>
      <w:r>
        <w:rPr>
          <w:rFonts w:ascii="Times New Roman" w:cs="Times New Roman" w:eastAsia="Times New Roman" w:hAnsi="Times New Roman"/>
          <w:sz w:val="21"/>
          <w:szCs w:val="21"/>
          <w:color w:val="auto"/>
        </w:rPr>
        <w:t>. This Agreement is fully integrated and embodies the complete agreement and understanding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between the Parties regarding Executive’s employment with the Company and supersedes and preempts any prior understandings, offers, agreements or representations by or between the Parties, written or oral, which may have related to the subject matter hereof in any way. No modification or amendment to this Agreement, nor any waiver of any rights under this Agreement, will be effective unless in writing signed by both Parties. Any subsequent change or changes in Executive’s duties, obligations, rights or compensation will not affect the validity or scope of this Agreement.</w:t>
      </w:r>
    </w:p>
    <w:p>
      <w:pPr>
        <w:spacing w:after="0" w:line="219" w:lineRule="exact"/>
        <w:rPr>
          <w:rFonts w:ascii="Times New Roman" w:cs="Times New Roman" w:eastAsia="Times New Roman" w:hAnsi="Times New Roman"/>
          <w:sz w:val="21"/>
          <w:szCs w:val="21"/>
          <w:color w:val="auto"/>
        </w:rPr>
      </w:pPr>
    </w:p>
    <w:p>
      <w:pPr>
        <w:ind w:firstLine="6"/>
        <w:spacing w:after="0" w:line="289" w:lineRule="auto"/>
        <w:tabs>
          <w:tab w:leader="none" w:pos="628"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 Strict Construction</w:t>
      </w:r>
      <w:r>
        <w:rPr>
          <w:rFonts w:ascii="Times New Roman" w:cs="Times New Roman" w:eastAsia="Times New Roman" w:hAnsi="Times New Roman"/>
          <w:sz w:val="21"/>
          <w:szCs w:val="21"/>
          <w:color w:val="auto"/>
        </w:rPr>
        <w:t>. The language used in this Agreement shall be deemed to be the language chosen by the Parties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express their mutual intent, and no rule of strict construction shall be applied against any party hereto, including the drafter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393" w:right="339" w:bottom="1440" w:gutter="0" w:footer="0" w:header="0"/>
        </w:sectPr>
      </w:pPr>
    </w:p>
    <w:bookmarkStart w:id="170" w:name="page171"/>
    <w:bookmarkEnd w:id="170"/>
    <w:p>
      <w:pPr>
        <w:jc w:val="both"/>
        <w:ind w:firstLine="6"/>
        <w:spacing w:after="0" w:line="269" w:lineRule="auto"/>
        <w:tabs>
          <w:tab w:leader="none" w:pos="63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Construction</w:t>
      </w:r>
      <w:r>
        <w:rPr>
          <w:rFonts w:ascii="Times New Roman" w:cs="Times New Roman" w:eastAsia="Times New Roman" w:hAnsi="Times New Roman"/>
          <w:sz w:val="21"/>
          <w:szCs w:val="21"/>
          <w:color w:val="auto"/>
        </w:rPr>
        <w:t>. The headings and enumeration used in this Agreement are for ease of reference only and shall not affect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interpretation of any provision. References to the singular shall include the plural and vice-versa, except when the context requires otherwise. All uses of the word “or” herein are as a logical disjunction unless otherwise specified.</w:t>
      </w:r>
    </w:p>
    <w:p>
      <w:pPr>
        <w:spacing w:after="0" w:line="221" w:lineRule="exact"/>
        <w:rPr>
          <w:rFonts w:ascii="Times New Roman" w:cs="Times New Roman" w:eastAsia="Times New Roman" w:hAnsi="Times New Roman"/>
          <w:sz w:val="21"/>
          <w:szCs w:val="21"/>
          <w:color w:val="auto"/>
        </w:rPr>
      </w:pPr>
    </w:p>
    <w:p>
      <w:pPr>
        <w:jc w:val="both"/>
        <w:ind w:firstLine="6"/>
        <w:spacing w:after="0" w:line="260" w:lineRule="auto"/>
        <w:tabs>
          <w:tab w:leader="none" w:pos="63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Not a Partnership; Successors and Assigns</w:t>
      </w:r>
      <w:r>
        <w:rPr>
          <w:rFonts w:ascii="Times New Roman" w:cs="Times New Roman" w:eastAsia="Times New Roman" w:hAnsi="Times New Roman"/>
          <w:sz w:val="21"/>
          <w:szCs w:val="21"/>
          <w:color w:val="auto"/>
        </w:rPr>
        <w:t>. This Agreement forms an employer-employee relationship between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as such, and the Company, as employer, and shall not form or be deemed to form a partnership or joint venture or any other relationship. Executive may not assign Executive’s rights or delegate Executive’s duties or obligations hereunder without the prior written consent of the Company. This Agreement and the benefit of each agreement and obligations of Executive hereunder may be freely assigned to and enforced by all successors and assigns of the Company, in its sole discretion, and such agreements and obligations shall operate and remain binding notwithstanding the termination of this Agreement.</w:t>
      </w:r>
    </w:p>
    <w:p>
      <w:pPr>
        <w:spacing w:after="0" w:line="219" w:lineRule="exact"/>
        <w:rPr>
          <w:rFonts w:ascii="Times New Roman" w:cs="Times New Roman" w:eastAsia="Times New Roman" w:hAnsi="Times New Roman"/>
          <w:sz w:val="21"/>
          <w:szCs w:val="21"/>
          <w:color w:val="auto"/>
        </w:rPr>
      </w:pPr>
    </w:p>
    <w:p>
      <w:pPr>
        <w:jc w:val="both"/>
        <w:ind w:firstLine="6"/>
        <w:spacing w:after="0" w:line="260" w:lineRule="auto"/>
        <w:tabs>
          <w:tab w:leader="none" w:pos="63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Company Party Defined</w:t>
      </w:r>
      <w:r>
        <w:rPr>
          <w:rFonts w:ascii="Times New Roman" w:cs="Times New Roman" w:eastAsia="Times New Roman" w:hAnsi="Times New Roman"/>
          <w:sz w:val="21"/>
          <w:szCs w:val="21"/>
          <w:color w:val="auto"/>
        </w:rPr>
        <w:t>. For purposes of this Agreement, the “Company Parties” collectively (and, individually,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 Party</w:t>
      </w:r>
      <w:r>
        <w:rPr>
          <w:rFonts w:ascii="Times New Roman" w:cs="Times New Roman" w:eastAsia="Times New Roman" w:hAnsi="Times New Roman"/>
          <w:sz w:val="21"/>
          <w:szCs w:val="21"/>
          <w:color w:val="auto"/>
        </w:rPr>
        <w:t>”) means the Company, and its subsidiaries and affiliates, and each and every other entity which is in control of, controlled by or directly or indirectly under common control with the Company. Any and all such entities and individuals is an intended third-party beneficiary of this Agreement. Should Executive be employed by or transferred to a successor, or to a member, subsidiary, affiliate or other related entity, this Agreement shall continue in full force and effect as part of the terms of Executive’s employment.</w:t>
      </w:r>
    </w:p>
    <w:p>
      <w:pPr>
        <w:spacing w:after="0" w:line="219" w:lineRule="exact"/>
        <w:rPr>
          <w:rFonts w:ascii="Times New Roman" w:cs="Times New Roman" w:eastAsia="Times New Roman" w:hAnsi="Times New Roman"/>
          <w:sz w:val="21"/>
          <w:szCs w:val="21"/>
          <w:color w:val="auto"/>
        </w:rPr>
      </w:pPr>
    </w:p>
    <w:p>
      <w:pPr>
        <w:jc w:val="both"/>
        <w:ind w:firstLine="6"/>
        <w:spacing w:after="0" w:line="269" w:lineRule="auto"/>
        <w:tabs>
          <w:tab w:leader="none" w:pos="63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Choice of Law</w:t>
      </w:r>
      <w:r>
        <w:rPr>
          <w:rFonts w:ascii="Times New Roman" w:cs="Times New Roman" w:eastAsia="Times New Roman" w:hAnsi="Times New Roman"/>
          <w:sz w:val="21"/>
          <w:szCs w:val="21"/>
          <w:color w:val="auto"/>
        </w:rPr>
        <w:t>. This Agreement, and all of the rights and obligations of the parties hereto in connection with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relationship established hereby, shall be governed by and construed in accordance with the substantive laws of the State of Washington, without giving effect to principles relating to conflicts of law.</w:t>
      </w:r>
    </w:p>
    <w:p>
      <w:pPr>
        <w:spacing w:after="0" w:line="208" w:lineRule="exact"/>
        <w:rPr>
          <w:rFonts w:ascii="Times New Roman" w:cs="Times New Roman" w:eastAsia="Times New Roman" w:hAnsi="Times New Roman"/>
          <w:sz w:val="21"/>
          <w:szCs w:val="21"/>
          <w:color w:val="auto"/>
        </w:rPr>
      </w:pPr>
    </w:p>
    <w:p>
      <w:pPr>
        <w:jc w:val="both"/>
        <w:ind w:firstLine="6"/>
        <w:spacing w:after="0" w:line="259" w:lineRule="auto"/>
        <w:tabs>
          <w:tab w:leader="none" w:pos="636"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Amendment and Waiver</w:t>
      </w:r>
      <w:r>
        <w:rPr>
          <w:rFonts w:ascii="Times New Roman" w:cs="Times New Roman" w:eastAsia="Times New Roman" w:hAnsi="Times New Roman"/>
          <w:sz w:val="21"/>
          <w:szCs w:val="21"/>
          <w:color w:val="auto"/>
        </w:rPr>
        <w:t>. The provisions of this Agreement may be amended or waived only with the written consent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both the Company and Executive, and no course of conduct or course of dealing or failure or delay by any party hereto in enforcing or exercising any of the provisions of this Agreement shall affect the validity, binding effect or enforceability of this Agreement or be deemed to be an implied waiver of any provision of this Agreement. No waiver or indulgence by the Company or any Company Party of any failure by Executive to keep or perform any promise or condition of this Agreement shall be a waiver of any preceding or succeeding breach of the same or any other promise or condition. No waiver by the Company or any Company Party of any right shall be construed as a waiver of any other right. No Company Party shall be required to give notice to enforce strict adherence to all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15</w:t>
      </w:r>
    </w:p>
    <w:p>
      <w:pPr>
        <w:sectPr>
          <w:pgSz w:w="11900" w:h="16838" w:orient="portrait"/>
          <w:cols w:equalWidth="0" w:num="1">
            <w:col w:w="11240"/>
          </w:cols>
          <w:pgMar w:left="320" w:top="1394" w:right="339" w:bottom="1440" w:gutter="0" w:footer="0" w:header="0"/>
        </w:sectPr>
      </w:pPr>
    </w:p>
    <w:bookmarkStart w:id="171" w:name="page172"/>
    <w:bookmarkEnd w:id="171"/>
    <w:p>
      <w:pPr>
        <w:jc w:val="both"/>
        <w:ind w:firstLine="6"/>
        <w:spacing w:after="0" w:line="253" w:lineRule="auto"/>
        <w:tabs>
          <w:tab w:leader="none" w:pos="636"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Dispute Resolution</w:t>
      </w:r>
      <w:r>
        <w:rPr>
          <w:rFonts w:ascii="Times New Roman" w:cs="Times New Roman" w:eastAsia="Times New Roman" w:hAnsi="Times New Roman"/>
          <w:sz w:val="21"/>
          <w:szCs w:val="21"/>
          <w:color w:val="auto"/>
        </w:rPr>
        <w:t>. The parties agree to solely arbitrate all grievances, disputes, claims, or causes of action arising out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this Agreement or Executive’s employment with the Company, including claims Executive may have against the Company or against its officers, directors, supervisors, managers, employees or agents, unless arbitration is otherwise prohibited by law. Claims for violation of any federal, state or local statute, including, but not limited to, Title VII of the Civil Rights Act of 1964, the Civil Rights Act of 1991, the Age Discrimination in Employment Act of 1967, the Americans with Disabilities Act of 1990, the Family Medical Leave Act, and the Fair Labor Standards Act, and alleged wage and hour violations, including, but not limited to, claims for overtime, unpaid wages, and claims involving meal and rest breaks shall all be subject to this arbitration clause;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this arbitration clause does not cover claims for sexual harassment or sexual assault brought under federal, state or local law. All claims subject to arbitration shall be settled by final and binding arbitration in accordance with the employment dispute resolution rules of the American Arbitration Association (“</w:t>
      </w:r>
      <w:r>
        <w:rPr>
          <w:rFonts w:ascii="Times New Roman" w:cs="Times New Roman" w:eastAsia="Times New Roman" w:hAnsi="Times New Roman"/>
          <w:sz w:val="21"/>
          <w:szCs w:val="21"/>
          <w:u w:val="single" w:color="auto"/>
          <w:color w:val="auto"/>
        </w:rPr>
        <w:t>AAA</w:t>
      </w:r>
      <w:r>
        <w:rPr>
          <w:rFonts w:ascii="Times New Roman" w:cs="Times New Roman" w:eastAsia="Times New Roman" w:hAnsi="Times New Roman"/>
          <w:sz w:val="21"/>
          <w:szCs w:val="21"/>
          <w:color w:val="auto"/>
        </w:rPr>
        <w:t xml:space="preserve">”) in effect at the time the demand for arbitration is made. Accordingly, the parties are not permitted to pursue court action regarding claims that are subject to arbitration. Such arbitration shall be filed with the AAA and shall be heard before a single neutral arbitrator, who shall be selected as provided in AAA’s Rules and Procedures. Any arbitration filed by Executive shall be heard in Vancouver, Washington;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if arbitration in Vancouver, Washington is impractical because Executive’s employment for the Company is located more than 100 miles from Vancouver, Washington, the arbitration may be held in the County and State where Executive last resided during Executive’s employment for the Company. The Company shall be responsible for the arbitrator’s fees and expenses in excess of any reasonable filing fee with the AAA;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each party shall pay its own costs and attorneys’ fees, if any;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further, that if Executive prevails in any dispute regarding Executive’s rights under this Agreement, then the Company will reimburse his reasonable legal fees and expenses. The arbitrator shall issue a written decision that contains the essential findings and conclusions on which the decision is based. The arbitrator’s remedial authority shall be no greater than that which is available under the statutory or common law theory asserted. Judgment upon any award rendered by the arbitrator may be entered in any court with appropriate jurisdiction. Neither this agreement to arbitrate nor any demand for arbitration shall waive or otherwise affect the Company’s right to obtain any provisional remedy, including, without limitation, injunctive relief for unfair competition, the use or unauthorized disclosure or misappropriation of trade secrets, the disclosure of any other confidential information or the violation of the confidentiality or other provisions of Section 6(a)-(d) or Section 7 of this Agreement. Executive and the Company intend and agree that class action and representative action procedures are hereby waived and shall not be asserted, nor will they apply, in any arbitration pursuant to this agreement.</w:t>
      </w:r>
    </w:p>
    <w:p>
      <w:pPr>
        <w:spacing w:after="0" w:line="21" w:lineRule="exact"/>
        <w:rPr>
          <w:rFonts w:ascii="Times New Roman" w:cs="Times New Roman" w:eastAsia="Times New Roman" w:hAnsi="Times New Roman"/>
          <w:sz w:val="21"/>
          <w:szCs w:val="21"/>
          <w:color w:val="auto"/>
        </w:rPr>
      </w:pPr>
    </w:p>
    <w:p>
      <w:pPr>
        <w:spacing w:after="0" w:line="261" w:lineRule="auto"/>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AND THE COMPANY UNDERSTAND AND ACKNOWLEDGE THAT BY SIGNING THIS AGREEMENT, THE PARTIES ARE GIVING UP THE RIGHT TO A JURY TRIAL AND TO A TRIAL IN A COURT OF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16</w:t>
      </w:r>
    </w:p>
    <w:p>
      <w:pPr>
        <w:sectPr>
          <w:pgSz w:w="11900" w:h="16838" w:orient="portrait"/>
          <w:cols w:equalWidth="0" w:num="1">
            <w:col w:w="11240"/>
          </w:cols>
          <w:pgMar w:left="320" w:top="1393" w:right="339" w:bottom="1440" w:gutter="0" w:footer="0" w:header="0"/>
        </w:sectPr>
      </w:pPr>
    </w:p>
    <w:bookmarkStart w:id="172" w:name="page173"/>
    <w:bookmarkEnd w:id="172"/>
    <w:p>
      <w:pPr>
        <w:jc w:val="both"/>
        <w:ind w:firstLine="6"/>
        <w:spacing w:after="0" w:line="260" w:lineRule="auto"/>
        <w:tabs>
          <w:tab w:leader="none" w:pos="636"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Cooperation with Regard to Litigation</w:t>
      </w:r>
      <w:r>
        <w:rPr>
          <w:rFonts w:ascii="Times New Roman" w:cs="Times New Roman" w:eastAsia="Times New Roman" w:hAnsi="Times New Roman"/>
          <w:sz w:val="21"/>
          <w:szCs w:val="21"/>
          <w:color w:val="auto"/>
        </w:rPr>
        <w:t>. Executive agrees to cooperate with the Company during the term of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thereafter (including following termination of Executive’s employment for any reason or for no reason). Without limiting the foregoing, Executive shall be available to testify on behalf of the Company or its affiliates, in any action, suit or proceeding, whether civil, criminal, administrative or investigative, and to assist the Company or any of its affiliates in any such action, suit or proceeding, by providing information and meeting and consulting with its counsel and representatives. Reasonable out-of-pocket expenses incurred by Executive in compliance with this Section shall be reimbursed by the Company.</w:t>
      </w:r>
    </w:p>
    <w:p>
      <w:pPr>
        <w:spacing w:after="0" w:line="219" w:lineRule="exact"/>
        <w:rPr>
          <w:rFonts w:ascii="Times New Roman" w:cs="Times New Roman" w:eastAsia="Times New Roman" w:hAnsi="Times New Roman"/>
          <w:sz w:val="21"/>
          <w:szCs w:val="21"/>
          <w:color w:val="auto"/>
        </w:rPr>
      </w:pPr>
    </w:p>
    <w:p>
      <w:pPr>
        <w:jc w:val="both"/>
        <w:ind w:firstLine="6"/>
        <w:spacing w:after="0" w:line="276" w:lineRule="auto"/>
        <w:tabs>
          <w:tab w:leader="none" w:pos="636"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color w:val="auto"/>
        </w:rPr>
        <w:t>. This Agreement may be executed in separate counterparts, each of which is deemed to be an original and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which taken together constitute one and the same agreement. Any counterpart may be executed by facsimile or electronic signature and such facsimile or electronic signature shall be deemed an original.</w:t>
      </w:r>
    </w:p>
    <w:p>
      <w:pPr>
        <w:spacing w:after="0" w:line="200" w:lineRule="exact"/>
        <w:rPr>
          <w:rFonts w:ascii="Times New Roman" w:cs="Times New Roman" w:eastAsia="Times New Roman" w:hAnsi="Times New Roman"/>
          <w:sz w:val="21"/>
          <w:szCs w:val="21"/>
          <w:color w:val="auto"/>
        </w:rPr>
      </w:pPr>
    </w:p>
    <w:p>
      <w:pPr>
        <w:jc w:val="both"/>
        <w:ind w:firstLine="6"/>
        <w:spacing w:after="0" w:line="260" w:lineRule="auto"/>
        <w:tabs>
          <w:tab w:leader="none" w:pos="636"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Compliance with Section 409A</w:t>
      </w:r>
      <w:r>
        <w:rPr>
          <w:rFonts w:ascii="Times New Roman" w:cs="Times New Roman" w:eastAsia="Times New Roman" w:hAnsi="Times New Roman"/>
          <w:sz w:val="21"/>
          <w:szCs w:val="21"/>
          <w:color w:val="auto"/>
        </w:rPr>
        <w:t>. Notwithstanding any other provision of this Agreement to the contrary, the provision, time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manner of payment or distribution of all compensation and benefits provided by this Agreement that constitute nonqualified deferred compensation subject to and not exempted from the requirements of Section 409A of the Code (“</w:t>
      </w:r>
      <w:r>
        <w:rPr>
          <w:rFonts w:ascii="Times New Roman" w:cs="Times New Roman" w:eastAsia="Times New Roman" w:hAnsi="Times New Roman"/>
          <w:sz w:val="21"/>
          <w:szCs w:val="21"/>
          <w:u w:val="single" w:color="auto"/>
          <w:color w:val="auto"/>
        </w:rPr>
        <w:t>Section 409A Deferred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Compensation</w:t>
      </w:r>
      <w:r>
        <w:rPr>
          <w:rFonts w:ascii="Times New Roman" w:cs="Times New Roman" w:eastAsia="Times New Roman" w:hAnsi="Times New Roman"/>
          <w:sz w:val="21"/>
          <w:szCs w:val="21"/>
          <w:color w:val="auto"/>
        </w:rPr>
        <w:t>”) shall be subject to, limited by and construed in accordance with the requirements of Section 409A and all regulations and other guidance promulgated by the Secretary of the Treasury pursuant to such Section (such Section, regulations and other guidance being referred to herein as “</w:t>
      </w:r>
      <w:r>
        <w:rPr>
          <w:rFonts w:ascii="Times New Roman" w:cs="Times New Roman" w:eastAsia="Times New Roman" w:hAnsi="Times New Roman"/>
          <w:sz w:val="21"/>
          <w:szCs w:val="21"/>
          <w:u w:val="single" w:color="auto"/>
          <w:color w:val="auto"/>
        </w:rPr>
        <w:t>Section 409A</w:t>
      </w:r>
      <w:r>
        <w:rPr>
          <w:rFonts w:ascii="Times New Roman" w:cs="Times New Roman" w:eastAsia="Times New Roman" w:hAnsi="Times New Roman"/>
          <w:sz w:val="21"/>
          <w:szCs w:val="21"/>
          <w:color w:val="auto"/>
        </w:rPr>
        <w:t>”), including the following:</w:t>
      </w:r>
    </w:p>
    <w:p>
      <w:pPr>
        <w:spacing w:after="0" w:line="166" w:lineRule="exact"/>
        <w:rPr>
          <w:rFonts w:ascii="Times New Roman" w:cs="Times New Roman" w:eastAsia="Times New Roman" w:hAnsi="Times New Roman"/>
          <w:sz w:val="21"/>
          <w:szCs w:val="21"/>
          <w:color w:val="auto"/>
        </w:rPr>
      </w:pPr>
    </w:p>
    <w:p>
      <w:pPr>
        <w:jc w:val="both"/>
        <w:ind w:firstLine="642"/>
        <w:spacing w:after="0" w:line="263" w:lineRule="auto"/>
        <w:tabs>
          <w:tab w:leader="none" w:pos="1269" w:val="left"/>
        </w:tabs>
        <w:numPr>
          <w:ilvl w:val="1"/>
          <w:numId w:val="10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Separation from Service</w:t>
      </w:r>
      <w:r>
        <w:rPr>
          <w:rFonts w:ascii="Times New Roman" w:cs="Times New Roman" w:eastAsia="Times New Roman" w:hAnsi="Times New Roman"/>
          <w:sz w:val="21"/>
          <w:szCs w:val="21"/>
          <w:color w:val="auto"/>
        </w:rPr>
        <w:t>. Payments and benefits constituting Section 409A Deferred Compensation otherwise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payable or provided pursuant to Section 4 upon Executive’s termination of employment shall be paid or provided only at the time of a termination of Executive’s employment that constitutes a Separation from Service. For the purposes of this Agreement, a “Separation from Service” is a separation from service within the meaning of Treasury Regulation Section 1.409A-1(h).</w:t>
      </w:r>
    </w:p>
    <w:p>
      <w:pPr>
        <w:spacing w:after="0" w:line="173" w:lineRule="exact"/>
        <w:rPr>
          <w:rFonts w:ascii="Times New Roman" w:cs="Times New Roman" w:eastAsia="Times New Roman" w:hAnsi="Times New Roman"/>
          <w:sz w:val="21"/>
          <w:szCs w:val="21"/>
          <w:color w:val="010000"/>
        </w:rPr>
      </w:pPr>
    </w:p>
    <w:p>
      <w:pPr>
        <w:jc w:val="both"/>
        <w:ind w:firstLine="642"/>
        <w:spacing w:after="0" w:line="257" w:lineRule="auto"/>
        <w:tabs>
          <w:tab w:leader="none" w:pos="1267" w:val="left"/>
        </w:tabs>
        <w:numPr>
          <w:ilvl w:val="1"/>
          <w:numId w:val="10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Six-Month Delay Applicable to Specified Employees</w:t>
      </w:r>
      <w:r>
        <w:rPr>
          <w:rFonts w:ascii="Times New Roman" w:cs="Times New Roman" w:eastAsia="Times New Roman" w:hAnsi="Times New Roman"/>
          <w:sz w:val="21"/>
          <w:szCs w:val="21"/>
          <w:color w:val="auto"/>
        </w:rPr>
        <w:t>. If, at the time of a Separation from Service of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is a “specified employee” within the meaning of Section 409A(a)(2)(B)(i) (a “</w:t>
      </w:r>
      <w:r>
        <w:rPr>
          <w:rFonts w:ascii="Times New Roman" w:cs="Times New Roman" w:eastAsia="Times New Roman" w:hAnsi="Times New Roman"/>
          <w:sz w:val="21"/>
          <w:szCs w:val="21"/>
          <w:u w:val="single" w:color="auto"/>
          <w:color w:val="auto"/>
        </w:rPr>
        <w:t>Specified Employee</w:t>
      </w:r>
      <w:r>
        <w:rPr>
          <w:rFonts w:ascii="Times New Roman" w:cs="Times New Roman" w:eastAsia="Times New Roman" w:hAnsi="Times New Roman"/>
          <w:sz w:val="21"/>
          <w:szCs w:val="21"/>
          <w:color w:val="auto"/>
        </w:rPr>
        <w:t>”), then any payments and benefits constituting Section 409A Deferred Compensation to be paid or provided pursuant to Section 4 upon the Separation from Service of Executive shall be paid or provided commencing on the later of (i) the date that is six months after the date of such Separation from Service or, if earlier, the date of death of Executive (in either case, the “</w:t>
      </w:r>
      <w:r>
        <w:rPr>
          <w:rFonts w:ascii="Times New Roman" w:cs="Times New Roman" w:eastAsia="Times New Roman" w:hAnsi="Times New Roman"/>
          <w:sz w:val="21"/>
          <w:szCs w:val="21"/>
          <w:u w:val="single" w:color="auto"/>
          <w:color w:val="auto"/>
        </w:rPr>
        <w:t>Delayed Payment Date</w:t>
      </w:r>
      <w:r>
        <w:rPr>
          <w:rFonts w:ascii="Times New Roman" w:cs="Times New Roman" w:eastAsia="Times New Roman" w:hAnsi="Times New Roman"/>
          <w:sz w:val="21"/>
          <w:szCs w:val="21"/>
          <w:color w:val="auto"/>
        </w:rPr>
        <w:t>”), or (ii) the date or dates on which such Section 409A Deferred Compensation would otherwise be paid or provided in accordance with Section 4. All such amounts that would, but for this Section 20(b), become payable prior to the Delayed Payment Date shall be accumulated and paid on the Delayed Payment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17</w:t>
      </w:r>
    </w:p>
    <w:p>
      <w:pPr>
        <w:sectPr>
          <w:pgSz w:w="11900" w:h="16838" w:orient="portrait"/>
          <w:cols w:equalWidth="0" w:num="1">
            <w:col w:w="11240"/>
          </w:cols>
          <w:pgMar w:left="320" w:top="1394" w:right="339" w:bottom="1440" w:gutter="0" w:footer="0" w:header="0"/>
        </w:sectPr>
      </w:pPr>
    </w:p>
    <w:bookmarkStart w:id="173" w:name="page174"/>
    <w:bookmarkEnd w:id="173"/>
    <w:p>
      <w:pPr>
        <w:jc w:val="both"/>
        <w:ind w:firstLine="642"/>
        <w:spacing w:after="0" w:line="267" w:lineRule="auto"/>
        <w:tabs>
          <w:tab w:leader="none" w:pos="1269" w:val="left"/>
        </w:tabs>
        <w:numPr>
          <w:ilvl w:val="0"/>
          <w:numId w:val="10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Stock-Based Awards</w:t>
      </w:r>
      <w:r>
        <w:rPr>
          <w:rFonts w:ascii="Times New Roman" w:cs="Times New Roman" w:eastAsia="Times New Roman" w:hAnsi="Times New Roman"/>
          <w:sz w:val="21"/>
          <w:szCs w:val="21"/>
          <w:color w:val="auto"/>
        </w:rPr>
        <w:t>. The vesting of any stock-based compensation awards which constitute Section 409A Deferred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Compensation and are held by Executive, if Executive is a Specified Executive, shall be accelerated in accordance with this Agreement to the extent applicable;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payment in settlement of any such awards shall occur on the Delayed Payment Date, to the extent required pursuant to Section 20(b).</w:t>
      </w:r>
    </w:p>
    <w:p>
      <w:pPr>
        <w:spacing w:after="0" w:line="157" w:lineRule="exact"/>
        <w:rPr>
          <w:rFonts w:ascii="Times New Roman" w:cs="Times New Roman" w:eastAsia="Times New Roman" w:hAnsi="Times New Roman"/>
          <w:sz w:val="21"/>
          <w:szCs w:val="21"/>
          <w:color w:val="010000"/>
        </w:rPr>
      </w:pPr>
    </w:p>
    <w:p>
      <w:pPr>
        <w:jc w:val="both"/>
        <w:ind w:firstLine="642"/>
        <w:spacing w:after="0" w:line="269" w:lineRule="auto"/>
        <w:tabs>
          <w:tab w:leader="none" w:pos="1267" w:val="left"/>
        </w:tabs>
        <w:numPr>
          <w:ilvl w:val="0"/>
          <w:numId w:val="10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Installments</w:t>
      </w:r>
      <w:r>
        <w:rPr>
          <w:rFonts w:ascii="Times New Roman" w:cs="Times New Roman" w:eastAsia="Times New Roman" w:hAnsi="Times New Roman"/>
          <w:sz w:val="21"/>
          <w:szCs w:val="21"/>
          <w:color w:val="auto"/>
        </w:rPr>
        <w:t>. Executive’s right to receive any installment payments payable hereunder shall be treated as a right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 a series of separate payments and, accordingly, each such installment payment shall at all times be considered a separate and distinct payment for purposes of Section 409A.</w:t>
      </w:r>
    </w:p>
    <w:p>
      <w:pPr>
        <w:spacing w:after="0" w:line="155" w:lineRule="exact"/>
        <w:rPr>
          <w:rFonts w:ascii="Times New Roman" w:cs="Times New Roman" w:eastAsia="Times New Roman" w:hAnsi="Times New Roman"/>
          <w:sz w:val="21"/>
          <w:szCs w:val="21"/>
          <w:color w:val="010000"/>
        </w:rPr>
      </w:pPr>
    </w:p>
    <w:p>
      <w:pPr>
        <w:jc w:val="both"/>
        <w:ind w:firstLine="642"/>
        <w:spacing w:after="0" w:line="263" w:lineRule="auto"/>
        <w:tabs>
          <w:tab w:leader="none" w:pos="1269" w:val="left"/>
        </w:tabs>
        <w:numPr>
          <w:ilvl w:val="0"/>
          <w:numId w:val="10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Reimbursements</w:t>
      </w:r>
      <w:r>
        <w:rPr>
          <w:rFonts w:ascii="Times New Roman" w:cs="Times New Roman" w:eastAsia="Times New Roman" w:hAnsi="Times New Roman"/>
          <w:sz w:val="21"/>
          <w:szCs w:val="21"/>
          <w:color w:val="auto"/>
        </w:rPr>
        <w:t>. To the extent that any reimbursements payable to Executive pursuant to this Agreement are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subject to the provisions of Section 409A, such reimbursements shall be paid to Executive no later than December 31 of the year following the year in which the cost was incurred; the amount of expenses reimbursed in one year shall not affect the amount eligible for reimbursement in any subsequent year; and executive’s right to reimbursement under this Agreement will not be subject to liquidation or exchange for another benefit.</w:t>
      </w:r>
    </w:p>
    <w:p>
      <w:pPr>
        <w:spacing w:after="0" w:line="160" w:lineRule="exact"/>
        <w:rPr>
          <w:rFonts w:ascii="Times New Roman" w:cs="Times New Roman" w:eastAsia="Times New Roman" w:hAnsi="Times New Roman"/>
          <w:sz w:val="21"/>
          <w:szCs w:val="21"/>
          <w:color w:val="010000"/>
        </w:rPr>
      </w:pPr>
    </w:p>
    <w:p>
      <w:pPr>
        <w:jc w:val="both"/>
        <w:ind w:firstLine="642"/>
        <w:spacing w:after="0" w:line="254" w:lineRule="auto"/>
        <w:tabs>
          <w:tab w:leader="none" w:pos="1272" w:val="left"/>
        </w:tabs>
        <w:numPr>
          <w:ilvl w:val="0"/>
          <w:numId w:val="10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b w:val="1"/>
          <w:bCs w:val="1"/>
          <w:color w:val="auto"/>
        </w:rPr>
        <w:t>Rights of the Company; Release of Liability</w:t>
      </w:r>
      <w:r>
        <w:rPr>
          <w:rFonts w:ascii="Times New Roman" w:cs="Times New Roman" w:eastAsia="Times New Roman" w:hAnsi="Times New Roman"/>
          <w:sz w:val="21"/>
          <w:szCs w:val="21"/>
          <w:color w:val="auto"/>
        </w:rPr>
        <w:t>. It is the mutual intention of Executive and the Company that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provision of all payments and benefits pursuant to this Agreement be made in compliance with the requirements of Section 409A. To the extent that the provision of any such payment or benefit pursuant to the terms and conditions of this Agreement would fail to comply with the applicable requirements of Section 409A, the Company may, in its sole and absolute discretion and without the consent of Executive, make such modifications to the timing or manner of providing such payment and/or benefit to the extent it determines necessary or advisable to comply with the requirements of Section 409A;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the Company shall not be obligated to make any such modifications. Any such modifications made by the Company shall, to the maximum extent permitted in compliance with the requirements of Section 409A, preserve the aggregate monetary face value of such payments and/or benefits provided by this Agreement in the absence of such modification;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the Company shall in no event be obligated to pay any interest or other compensation in respect of any delay in the provision of such payments or benefits in order to comply with the requirements of Section 409A. Executive acknowledges that (i) the provisions of this Section 20 may result in a delay in the time which payments would otherwise be made pursuant to this Agreement and (ii) the Company is authorized to amend this Agreement, to void or amend any election made by Executive under this Agreement and/or to delay the payment of any monies and/or provision of any benefits in such manner as may be determined by the Company, in its discretion, to be necessary or appropriate to comply with Section 409A (including any transition or grandfather rules thereunder) without prior notice to or consent of Executive. Executive hereby releases and holds harmless the Company, its directors, officers and stockholders from any and all claims that may arise from or relate to any tax liability, penalties, interest, costs, fees or other liability incurred by Executive as a result of the application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18</w:t>
      </w:r>
    </w:p>
    <w:p>
      <w:pPr>
        <w:sectPr>
          <w:pgSz w:w="11900" w:h="16838" w:orient="portrait"/>
          <w:cols w:equalWidth="0" w:num="1">
            <w:col w:w="11240"/>
          </w:cols>
          <w:pgMar w:left="320" w:top="1393" w:right="339" w:bottom="1440" w:gutter="0" w:footer="0" w:header="0"/>
        </w:sectPr>
      </w:pPr>
    </w:p>
    <w:bookmarkStart w:id="174" w:name="page175"/>
    <w:bookmarkEnd w:id="174"/>
    <w:p>
      <w:pPr>
        <w:ind w:left="640"/>
        <w:spacing w:after="0"/>
        <w:rPr>
          <w:sz w:val="20"/>
          <w:szCs w:val="20"/>
          <w:color w:val="auto"/>
        </w:rPr>
      </w:pPr>
      <w:r>
        <w:rPr>
          <w:rFonts w:ascii="Times New Roman" w:cs="Times New Roman" w:eastAsia="Times New Roman" w:hAnsi="Times New Roman"/>
          <w:sz w:val="21"/>
          <w:szCs w:val="21"/>
          <w:color w:val="auto"/>
        </w:rPr>
        <w:t>IN WITNESS WHEREOF, the Parties hereto have executed this Employment Agreement as of the date first written above.</w:t>
      </w:r>
    </w:p>
    <w:p>
      <w:pPr>
        <w:spacing w:after="0" w:line="218" w:lineRule="exact"/>
        <w:rPr>
          <w:sz w:val="20"/>
          <w:szCs w:val="20"/>
          <w:color w:val="auto"/>
        </w:rPr>
      </w:pPr>
    </w:p>
    <w:p>
      <w:pPr>
        <w:spacing w:after="0"/>
        <w:tabs>
          <w:tab w:leader="none" w:pos="1840" w:val="left"/>
        </w:tabs>
        <w:rPr>
          <w:sz w:val="20"/>
          <w:szCs w:val="20"/>
          <w:color w:val="auto"/>
        </w:rPr>
      </w:pPr>
      <w:r>
        <w:rPr>
          <w:rFonts w:ascii="Times New Roman" w:cs="Times New Roman" w:eastAsia="Times New Roman" w:hAnsi="Times New Roman"/>
          <w:sz w:val="21"/>
          <w:szCs w:val="21"/>
          <w:b w:val="1"/>
          <w:bCs w:val="1"/>
          <w:color w:val="auto"/>
        </w:rPr>
        <w:t>THE COMPANY:</w:t>
        <w:tab/>
        <w:t>EXECUTIVE: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ZoomInfo Technologies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1721485</wp:posOffset>
            </wp:positionH>
            <wp:positionV relativeFrom="paragraph">
              <wp:posOffset>-8890</wp:posOffset>
            </wp:positionV>
            <wp:extent cx="6731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673100" cy="8255"/>
                    </a:xfrm>
                    <a:prstGeom prst="rect">
                      <a:avLst/>
                    </a:prstGeom>
                    <a:noFill/>
                  </pic:spPr>
                </pic:pic>
              </a:graphicData>
            </a:graphic>
          </wp:anchor>
        </w:drawing>
      </w:r>
    </w:p>
    <w:p>
      <w:pPr>
        <w:spacing w:after="0" w:line="1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1"/>
          <w:szCs w:val="21"/>
          <w:color w:val="auto"/>
        </w:rPr>
        <w:t>[Employee Name]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231775</wp:posOffset>
            </wp:positionH>
            <wp:positionV relativeFrom="paragraph">
              <wp:posOffset>-8890</wp:posOffset>
            </wp:positionV>
            <wp:extent cx="1346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-8890</wp:posOffset>
            </wp:positionV>
            <wp:extent cx="1346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1346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1"/>
          <w:szCs w:val="21"/>
          <w:i w:val="1"/>
          <w:iCs w:val="1"/>
          <w:color w:val="auto"/>
        </w:rPr>
        <w:t>Signature Page to Employment Agreement</w:t>
      </w:r>
    </w:p>
    <w:p>
      <w:pPr>
        <w:sectPr>
          <w:pgSz w:w="11900" w:h="16838" w:orient="portrait"/>
          <w:cols w:equalWidth="0" w:num="1">
            <w:col w:w="11080"/>
          </w:cols>
          <w:pgMar w:left="320" w:top="1398" w:right="499" w:bottom="1440" w:gutter="0" w:footer="0" w:header="0"/>
        </w:sectPr>
      </w:pPr>
    </w:p>
    <w:bookmarkStart w:id="175" w:name="page176"/>
    <w:bookmarkEnd w:id="175"/>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Prior Inventions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Prior Inventions, Attached to Employment Agreement</w:t>
      </w:r>
    </w:p>
    <w:p>
      <w:pPr>
        <w:sectPr>
          <w:pgSz w:w="11900" w:h="16838" w:orient="portrait"/>
          <w:cols w:equalWidth="0" w:num="1">
            <w:col w:w="9019"/>
          </w:cols>
          <w:pgMar w:left="1440" w:top="1393" w:right="1440" w:bottom="1440" w:gutter="0" w:footer="0" w:header="0"/>
        </w:sectPr>
      </w:pPr>
    </w:p>
    <w:bookmarkStart w:id="176" w:name="page177"/>
    <w:bookmarkEnd w:id="176"/>
    <w:p>
      <w:pPr>
        <w:jc w:val="center"/>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Release Agreement</w:t>
      </w:r>
    </w:p>
    <w:p>
      <w:pPr>
        <w:spacing w:after="0" w:line="22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THIS RELEASE AGREEMENT (this “</w:t>
      </w:r>
      <w:r>
        <w:rPr>
          <w:rFonts w:ascii="Times New Roman" w:cs="Times New Roman" w:eastAsia="Times New Roman" w:hAnsi="Times New Roman"/>
          <w:sz w:val="21"/>
          <w:szCs w:val="21"/>
          <w:u w:val="single" w:color="auto"/>
          <w:color w:val="auto"/>
        </w:rPr>
        <w:t>Agreement</w:t>
      </w:r>
      <w:r>
        <w:rPr>
          <w:rFonts w:ascii="Times New Roman" w:cs="Times New Roman" w:eastAsia="Times New Roman" w:hAnsi="Times New Roman"/>
          <w:sz w:val="21"/>
          <w:szCs w:val="21"/>
          <w:color w:val="auto"/>
        </w:rPr>
        <w:t>”) dated ______________, between ZoomInfo Technologies Inc.</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and ZoomInfo Technologies LLC (collectively,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[EMPLOYEE] (“</w:t>
      </w:r>
      <w:r>
        <w:rPr>
          <w:rFonts w:ascii="Times New Roman" w:cs="Times New Roman" w:eastAsia="Times New Roman" w:hAnsi="Times New Roman"/>
          <w:sz w:val="21"/>
          <w:szCs w:val="21"/>
          <w:u w:val="single" w:color="auto"/>
          <w:color w:val="auto"/>
        </w:rPr>
        <w:t>you</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WHEREAS,  the  Company  and  you  have  entered  into  that  certain  Employment  Agreement  dated  as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 2025 (the “</w:t>
      </w:r>
      <w:r>
        <w:rPr>
          <w:rFonts w:ascii="Times New Roman" w:cs="Times New Roman" w:eastAsia="Times New Roman" w:hAnsi="Times New Roman"/>
          <w:sz w:val="21"/>
          <w:szCs w:val="21"/>
          <w:u w:val="single" w:color="auto"/>
          <w:color w:val="auto"/>
        </w:rPr>
        <w:t>Employment Agreement</w:t>
      </w:r>
      <w:r>
        <w:rPr>
          <w:rFonts w:ascii="Times New Roman" w:cs="Times New Roman" w:eastAsia="Times New Roman" w:hAnsi="Times New Roman"/>
          <w:sz w:val="21"/>
          <w:szCs w:val="21"/>
          <w:color w:val="auto"/>
        </w:rPr>
        <w:t>”); and</w:t>
      </w:r>
    </w:p>
    <w:p>
      <w:pPr>
        <w:spacing w:after="0" w:line="198" w:lineRule="exact"/>
        <w:rPr>
          <w:sz w:val="20"/>
          <w:szCs w:val="20"/>
          <w:color w:val="auto"/>
        </w:rPr>
      </w:pPr>
    </w:p>
    <w:p>
      <w:pPr>
        <w:jc w:val="both"/>
        <w:ind w:firstLine="1272"/>
        <w:spacing w:after="0" w:line="274" w:lineRule="auto"/>
        <w:rPr>
          <w:sz w:val="20"/>
          <w:szCs w:val="20"/>
          <w:color w:val="auto"/>
        </w:rPr>
      </w:pPr>
      <w:r>
        <w:rPr>
          <w:rFonts w:ascii="Times New Roman" w:cs="Times New Roman" w:eastAsia="Times New Roman" w:hAnsi="Times New Roman"/>
          <w:sz w:val="21"/>
          <w:szCs w:val="21"/>
          <w:color w:val="auto"/>
        </w:rPr>
        <w:t>WHEREAS, pursuant to the Employment Agreement, certain severance payments and benefits otherwise payable to you pursuant to the Employment Agreement (the “</w:t>
      </w:r>
      <w:r>
        <w:rPr>
          <w:rFonts w:ascii="Times New Roman" w:cs="Times New Roman" w:eastAsia="Times New Roman" w:hAnsi="Times New Roman"/>
          <w:sz w:val="21"/>
          <w:szCs w:val="21"/>
          <w:u w:val="single" w:color="auto"/>
          <w:color w:val="auto"/>
        </w:rPr>
        <w:t>Severance Benefits</w:t>
      </w:r>
      <w:r>
        <w:rPr>
          <w:rFonts w:ascii="Times New Roman" w:cs="Times New Roman" w:eastAsia="Times New Roman" w:hAnsi="Times New Roman"/>
          <w:sz w:val="21"/>
          <w:szCs w:val="21"/>
          <w:color w:val="auto"/>
        </w:rPr>
        <w:t>”) are subject to your execution, delivery and non-revocation of a release of claims substantially in the form of Exhibit A to the Employment Agreement.</w:t>
      </w:r>
    </w:p>
    <w:p>
      <w:pPr>
        <w:spacing w:after="0" w:line="153"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NOW THEREFORE, in consideration of the Severance Benefits you hereby agree as follows:</w:t>
      </w:r>
    </w:p>
    <w:p>
      <w:pPr>
        <w:spacing w:after="0" w:line="222" w:lineRule="exact"/>
        <w:rPr>
          <w:sz w:val="20"/>
          <w:szCs w:val="20"/>
          <w:color w:val="auto"/>
        </w:rPr>
      </w:pPr>
    </w:p>
    <w:p>
      <w:pPr>
        <w:jc w:val="both"/>
        <w:ind w:firstLine="6"/>
        <w:spacing w:after="0" w:line="255" w:lineRule="auto"/>
        <w:tabs>
          <w:tab w:leader="none" w:pos="424" w:val="left"/>
        </w:tabs>
        <w:numPr>
          <w:ilvl w:val="0"/>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General Release</w:t>
      </w:r>
      <w:r>
        <w:rPr>
          <w:rFonts w:ascii="Times New Roman" w:cs="Times New Roman" w:eastAsia="Times New Roman" w:hAnsi="Times New Roman"/>
          <w:sz w:val="21"/>
          <w:szCs w:val="21"/>
          <w:color w:val="auto"/>
        </w:rPr>
        <w:t>. For and in consideration of the Severance Benefits to be made to you under the Employment Agreement, you hereby agree on behalf of yourself, your agents, assignees, attorneys, successors, assigns, heirs and executors, to, and you do hereby, fully and completely forever release the Company and its affiliates, predecessors and successors and all of their respective past and/or present officers, directors, partners, members, managing members, managers, employees, agents, representatives, administrators, attorneys, insurers and fiduciaries in their individual and/or representative capacities (hereinafter collectively referred to as the “</w:t>
      </w:r>
      <w:r>
        <w:rPr>
          <w:rFonts w:ascii="Times New Roman" w:cs="Times New Roman" w:eastAsia="Times New Roman" w:hAnsi="Times New Roman"/>
          <w:sz w:val="21"/>
          <w:szCs w:val="21"/>
          <w:u w:val="single" w:color="auto"/>
          <w:color w:val="auto"/>
        </w:rPr>
        <w:t>Releasees</w:t>
      </w:r>
      <w:r>
        <w:rPr>
          <w:rFonts w:ascii="Times New Roman" w:cs="Times New Roman" w:eastAsia="Times New Roman" w:hAnsi="Times New Roman"/>
          <w:sz w:val="21"/>
          <w:szCs w:val="21"/>
          <w:color w:val="auto"/>
        </w:rPr>
        <w:t xml:space="preserve">”), from any and all causes of action, suits, agreements, promises, damages, disputes, controversies, contentions, differences, judgments, claims, debts, dues, sums of money, accounts, reckonings, bonds, bills, specialties, covenants, contracts, variances, trespasses, extents, executions and demands of any kind whatsoever, which you or your heirs, executors, administrators, successors and assigns ever had, now have or may have hereafter against the Releasees or any of them, in law, admiralty or equity, whether known or unknown to you, for, upon, or by reason of, any matter, action, omission, course or thing whatsoever occurring, including, without limitation, in connection with or in relationship to your employment or other service relationship with the Company or its affiliates, the termination of any such employment or service relationship and any applicable employment, compensatory or equity arrangement with the Company or its affiliates;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that such released claims shall not include any claims to enforce (a) your rights under, or with respect to, the Severance Benefits, or (b) your rights under, and with respect to, any “Accrued Amounts” (as defined in the Employment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A-1</w:t>
      </w:r>
    </w:p>
    <w:p>
      <w:pPr>
        <w:sectPr>
          <w:pgSz w:w="11900" w:h="16838" w:orient="portrait"/>
          <w:cols w:equalWidth="0" w:num="1">
            <w:col w:w="11240"/>
          </w:cols>
          <w:pgMar w:left="320" w:top="1394" w:right="339" w:bottom="1440" w:gutter="0" w:footer="0" w:header="0"/>
        </w:sectPr>
      </w:pPr>
    </w:p>
    <w:bookmarkStart w:id="177" w:name="page178"/>
    <w:bookmarkEnd w:id="177"/>
    <w:p>
      <w:pPr>
        <w:jc w:val="both"/>
        <w:ind w:firstLine="642"/>
        <w:spacing w:after="0" w:line="254" w:lineRule="auto"/>
        <w:tabs>
          <w:tab w:leader="none" w:pos="1114" w:val="left"/>
        </w:tabs>
        <w:numPr>
          <w:ilvl w:val="0"/>
          <w:numId w:val="10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generality of paragraph 1 above, the Released Claims include, without limitation, (i) any and all claims under Title VII of the Civil Rights Act of 1964, the Age Discrimination in Employment Act of 1967, the Civil Rights Act of 1971, the Civil Rights Act of 1991, the Fair Labor Standards Act, the Employee Retirement Income Security Act of 1974, the Americans with Disabilities Act, the Family and Medical Leave Act of 1993, and any and all other federal, state or local laws, statutes, rules and regulations pertaining to employment or otherwise, and (ii) any claims for wrongful discharge, breach of contract, fraud, misrepresentation or any compensation claims, or any other claims under any statute, rule or regulation or under the common law, including compensatory damages, punitive damages, attorney’s fees, costs, expenses and all claims for any other type of damage or relief. Nothing in this Agreement shall prohibit or impede you from communicating, cooperating or filing a complaint with any U.S. federal, state or local governmental or law enforcement branch, agency or entity (collectively, a “</w:t>
      </w:r>
      <w:r>
        <w:rPr>
          <w:rFonts w:ascii="Times New Roman" w:cs="Times New Roman" w:eastAsia="Times New Roman" w:hAnsi="Times New Roman"/>
          <w:sz w:val="21"/>
          <w:szCs w:val="21"/>
          <w:u w:val="single" w:color="auto"/>
          <w:color w:val="auto"/>
        </w:rPr>
        <w:t>Governmental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Entity</w:t>
      </w:r>
      <w:r>
        <w:rPr>
          <w:rFonts w:ascii="Times New Roman" w:cs="Times New Roman" w:eastAsia="Times New Roman" w:hAnsi="Times New Roman"/>
          <w:sz w:val="21"/>
          <w:szCs w:val="21"/>
          <w:color w:val="auto"/>
        </w:rPr>
        <w:t>”) with respect to possible violations of any U.S. federal, state or local law or regulation, or otherwise making disclosures to any Governmental Entity, in each case, that are protected under the whistleblower provisions of any such law or regulation, provided that in each case such communications and disclosures are consistent with applicable law. Further, nothing in this Agreement shall bar or impede, in any way, your ability to seek or receive any monetary award or bounty from any governmental agency or regulatory or law enforcement agency in connection with protected activity under Securities and Exchange Commission Rule 21F-17, 17 C.F.R. §240.21F-17 (“Rule 21F-17”). You understand and acknowledge that an individual shall not be held criminally or civilly liable under any federal or state trade secret law for the disclosure of a trade secret that is made (i) in confidence to a federal, state, or local government official or to an attorney solely for the purpose of reporting or investigating a suspected violation of law, or (ii) in a complaint or other document filed in a lawsuit or other proceeding, if such filing is made under seal. You understand and acknowledge further that an individual who files a lawsuit for retaliation by an employer for reporting a suspected violation of law may disclose the trade secret to the attorney of the individual and use the trade secret information in the court proceeding, if the individual files any document containing the trade secret under seal; and does not disclose the trade secret, except pursuant to court order. Notwithstanding the foregoing, under no circumstance will you be authorized to disclose any information covered by attorney-client privilege or attorney work product of the Company or any of its subsidiaries without prior written consent of Company’s General Counsel or other officer designated by the Company.</w:t>
      </w:r>
    </w:p>
    <w:p>
      <w:pPr>
        <w:spacing w:after="0" w:line="182" w:lineRule="exact"/>
        <w:rPr>
          <w:rFonts w:ascii="Times New Roman" w:cs="Times New Roman" w:eastAsia="Times New Roman" w:hAnsi="Times New Roman"/>
          <w:sz w:val="21"/>
          <w:szCs w:val="21"/>
          <w:color w:val="auto"/>
        </w:rPr>
      </w:pPr>
    </w:p>
    <w:p>
      <w:pPr>
        <w:jc w:val="both"/>
        <w:ind w:firstLine="642"/>
        <w:spacing w:after="0" w:line="269" w:lineRule="auto"/>
        <w:tabs>
          <w:tab w:leader="none" w:pos="1149" w:val="left"/>
        </w:tabs>
        <w:numPr>
          <w:ilvl w:val="0"/>
          <w:numId w:val="1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THIS MEANS THAT, BY SIGNING THIS AGREEMENT, YOU WILL HAVE WAIVED ANY RIGHT YOU MAY HAVE HAD TO BRING A LAWSUIT OR MAKE ANY CLAIM AGAINST THE RELEASEES BASED ON ANY ACTS OR OMISSIONS OF THE RELEASEES.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A-2</w:t>
      </w:r>
    </w:p>
    <w:p>
      <w:pPr>
        <w:sectPr>
          <w:pgSz w:w="11900" w:h="16838" w:orient="portrait"/>
          <w:cols w:equalWidth="0" w:num="1">
            <w:col w:w="11240"/>
          </w:cols>
          <w:pgMar w:left="320" w:top="1397" w:right="339" w:bottom="1440" w:gutter="0" w:footer="0" w:header="0"/>
        </w:sectPr>
      </w:pPr>
    </w:p>
    <w:bookmarkStart w:id="178" w:name="page179"/>
    <w:bookmarkEnd w:id="178"/>
    <w:p>
      <w:pPr>
        <w:jc w:val="both"/>
        <w:ind w:firstLine="642"/>
        <w:spacing w:after="0" w:line="256" w:lineRule="auto"/>
        <w:tabs>
          <w:tab w:leader="none" w:pos="1114" w:val="left"/>
        </w:tabs>
        <w:numPr>
          <w:ilvl w:val="1"/>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You represent that you have read carefully and fully understand the terms of this Agreement, and that you have been advised to consult with an attorney and have had the opportunity to consult with an attorney prior to signing this Agreement. You acknowledge that you are executing this Agreement voluntarily and knowingly and that you have not relied on any representations, promises or agreements of any kind made to you in connection with your decision to accept the terms of this Agreement, other than those set forth in this Agreement. You acknowledge that you have been given at least twenty-one (21) days to consider whether you want to sign this Agreement and that the Age Discrimination in Employment Act gives you the right to revoke this Agreement within seven (7) days after it is signed, and you understand that you will not receive any of the Severance Benefits due to you under the Employment Agreement until such seven (7) day revocation period has passed and then, only if you have not revoked this Agreement. To the extent you have executed this Agreement within less than twenty-one (21) days after its delivery to you, you hereby acknowledge that your decision to execute this Agreement prior to the expiration of such twenty-one (21) day period was entirely voluntary.</w:t>
      </w:r>
    </w:p>
    <w:p>
      <w:pPr>
        <w:spacing w:after="0" w:line="174" w:lineRule="exact"/>
        <w:rPr>
          <w:rFonts w:ascii="Times New Roman" w:cs="Times New Roman" w:eastAsia="Times New Roman" w:hAnsi="Times New Roman"/>
          <w:sz w:val="21"/>
          <w:szCs w:val="21"/>
          <w:b w:val="1"/>
          <w:bCs w:val="1"/>
          <w:color w:val="auto"/>
        </w:rPr>
      </w:pPr>
    </w:p>
    <w:p>
      <w:pPr>
        <w:ind w:left="440" w:hanging="434"/>
        <w:spacing w:after="0"/>
        <w:tabs>
          <w:tab w:leader="none" w:pos="440"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Governing Law</w:t>
      </w:r>
      <w:r>
        <w:rPr>
          <w:rFonts w:ascii="Times New Roman" w:cs="Times New Roman" w:eastAsia="Times New Roman" w:hAnsi="Times New Roman"/>
          <w:sz w:val="21"/>
          <w:szCs w:val="21"/>
          <w:color w:val="auto"/>
        </w:rPr>
        <w:t>. This Agreement will be governed, construed and interpreted under the laws of the State of Washington.</w:t>
      </w:r>
    </w:p>
    <w:p>
      <w:pPr>
        <w:spacing w:after="0" w:line="222" w:lineRule="exact"/>
        <w:rPr>
          <w:rFonts w:ascii="Times New Roman" w:cs="Times New Roman" w:eastAsia="Times New Roman" w:hAnsi="Times New Roman"/>
          <w:sz w:val="21"/>
          <w:szCs w:val="21"/>
          <w:color w:val="auto"/>
        </w:rPr>
      </w:pPr>
    </w:p>
    <w:p>
      <w:pPr>
        <w:jc w:val="both"/>
        <w:ind w:firstLine="6"/>
        <w:spacing w:after="0" w:line="274" w:lineRule="auto"/>
        <w:tabs>
          <w:tab w:leader="none" w:pos="464" w:val="left"/>
        </w:tabs>
        <w:numPr>
          <w:ilvl w:val="0"/>
          <w:numId w:val="10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Entire Agreement/Counterparts</w:t>
      </w:r>
      <w:r>
        <w:rPr>
          <w:rFonts w:ascii="Times New Roman" w:cs="Times New Roman" w:eastAsia="Times New Roman" w:hAnsi="Times New Roman"/>
          <w:sz w:val="21"/>
          <w:szCs w:val="21"/>
          <w:color w:val="auto"/>
        </w:rPr>
        <w:t>. This Agreement constitutes the entire agreement between the parties. It may not be modified or changed except by written instrument executed by all parties. This Agreement may be executed in counterparts, each of which shall constitute an original and which together shall constitute a single instrument.</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A-3</w:t>
      </w:r>
    </w:p>
    <w:p>
      <w:pPr>
        <w:sectPr>
          <w:pgSz w:w="11900" w:h="16838" w:orient="portrait"/>
          <w:cols w:equalWidth="0" w:num="1">
            <w:col w:w="11240"/>
          </w:cols>
          <w:pgMar w:left="320" w:top="1398" w:right="339" w:bottom="1440" w:gutter="0" w:footer="0" w:header="0"/>
        </w:sectPr>
      </w:pPr>
    </w:p>
    <w:bookmarkStart w:id="179" w:name="page180"/>
    <w:bookmarkEnd w:id="179"/>
    <w:p>
      <w:pPr>
        <w:spacing w:after="0" w:line="285" w:lineRule="auto"/>
        <w:rPr>
          <w:sz w:val="20"/>
          <w:szCs w:val="20"/>
          <w:color w:val="auto"/>
        </w:rPr>
      </w:pPr>
      <w:r>
        <w:rPr>
          <w:rFonts w:ascii="Times New Roman" w:cs="Times New Roman" w:eastAsia="Times New Roman" w:hAnsi="Times New Roman"/>
          <w:sz w:val="21"/>
          <w:szCs w:val="21"/>
          <w:color w:val="auto"/>
        </w:rPr>
        <w:t>IN WITNESS WHEREOF, this Agreement has been signed by or on behalf of each of the parties, all as of the date first written above.</w:t>
      </w:r>
    </w:p>
    <w:p>
      <w:pPr>
        <w:spacing w:after="0" w:line="200" w:lineRule="exact"/>
        <w:rPr>
          <w:sz w:val="20"/>
          <w:szCs w:val="20"/>
          <w:color w:val="auto"/>
        </w:rPr>
      </w:pPr>
    </w:p>
    <w:p>
      <w:pPr>
        <w:spacing w:after="0" w:line="269"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b w:val="1"/>
          <w:bCs w:val="1"/>
          <w:color w:val="auto"/>
        </w:rPr>
        <w:t>[EMPLOYEE NAME]</w:t>
      </w:r>
    </w:p>
    <w:p>
      <w:pPr>
        <w:spacing w:after="0" w:line="34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_________________________________</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Reviewed, approved and agreed:</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THE COMPANY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By: _____________________________</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w:t>
      </w:r>
    </w:p>
    <w:p>
      <w:pPr>
        <w:sectPr>
          <w:pgSz w:w="11900" w:h="16838" w:orient="portrait"/>
          <w:cols w:equalWidth="0" w:num="1">
            <w:col w:w="11240"/>
          </w:cols>
          <w:pgMar w:left="320" w:top="1397" w:right="339" w:bottom="1440" w:gutter="0" w:footer="0" w:header="0"/>
        </w:sectPr>
      </w:pPr>
    </w:p>
    <w:bookmarkStart w:id="180" w:name="page181"/>
    <w:bookmarkEnd w:id="180"/>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21"/>
          <w:szCs w:val="21"/>
          <w:b w:val="1"/>
          <w:bCs w:val="1"/>
          <w:color w:val="auto"/>
        </w:rPr>
        <w:t xml:space="preserve">ZOOMINFO TECHNOLOGIES INC. </w:t>
      </w:r>
      <w:r>
        <w:rPr>
          <w:rFonts w:ascii="Times New Roman" w:cs="Times New Roman" w:eastAsia="Times New Roman" w:hAnsi="Times New Roman"/>
          <w:sz w:val="21"/>
          <w:szCs w:val="21"/>
          <w:b w:val="1"/>
          <w:bCs w:val="1"/>
          <w:u w:val="single" w:color="auto"/>
          <w:color w:val="auto"/>
        </w:rPr>
        <w:t>SECURITIES TRADING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144145</wp:posOffset>
            </wp:positionV>
            <wp:extent cx="69494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6949440" cy="8255"/>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Securities Trading Policy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contains the following sections:</w:t>
      </w:r>
    </w:p>
    <w:p>
      <w:pPr>
        <w:spacing w:after="0" w:line="22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1.0</w:t>
      </w:r>
      <w:r>
        <w:rPr>
          <w:sz w:val="20"/>
          <w:szCs w:val="20"/>
          <w:color w:val="auto"/>
        </w:rPr>
        <w:tab/>
      </w:r>
      <w:r>
        <w:rPr>
          <w:rFonts w:ascii="Times New Roman" w:cs="Times New Roman" w:eastAsia="Times New Roman" w:hAnsi="Times New Roman"/>
          <w:sz w:val="20"/>
          <w:szCs w:val="20"/>
          <w:color w:val="auto"/>
        </w:rPr>
        <w:t>General</w:t>
      </w:r>
    </w:p>
    <w:p>
      <w:pPr>
        <w:spacing w:after="0" w:line="3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2.0</w:t>
      </w:r>
      <w:r>
        <w:rPr>
          <w:sz w:val="20"/>
          <w:szCs w:val="20"/>
          <w:color w:val="auto"/>
        </w:rPr>
        <w:tab/>
      </w:r>
      <w:r>
        <w:rPr>
          <w:rFonts w:ascii="Times New Roman" w:cs="Times New Roman" w:eastAsia="Times New Roman" w:hAnsi="Times New Roman"/>
          <w:sz w:val="20"/>
          <w:szCs w:val="20"/>
          <w:color w:val="auto"/>
        </w:rPr>
        <w:t>Definitions</w:t>
      </w:r>
    </w:p>
    <w:p>
      <w:pPr>
        <w:spacing w:after="0" w:line="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3.0</w:t>
      </w:r>
      <w:r>
        <w:rPr>
          <w:sz w:val="20"/>
          <w:szCs w:val="20"/>
          <w:color w:val="auto"/>
        </w:rPr>
        <w:tab/>
      </w:r>
      <w:r>
        <w:rPr>
          <w:rFonts w:ascii="Times New Roman" w:cs="Times New Roman" w:eastAsia="Times New Roman" w:hAnsi="Times New Roman"/>
          <w:sz w:val="21"/>
          <w:szCs w:val="21"/>
          <w:color w:val="auto"/>
        </w:rPr>
        <w:t>Statement of Policy</w:t>
      </w:r>
    </w:p>
    <w:p>
      <w:pPr>
        <w:spacing w:after="0" w:line="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4.0</w:t>
      </w:r>
      <w:r>
        <w:rPr>
          <w:sz w:val="20"/>
          <w:szCs w:val="20"/>
          <w:color w:val="auto"/>
        </w:rPr>
        <w:tab/>
      </w:r>
      <w:r>
        <w:rPr>
          <w:rFonts w:ascii="Times New Roman" w:cs="Times New Roman" w:eastAsia="Times New Roman" w:hAnsi="Times New Roman"/>
          <w:sz w:val="21"/>
          <w:szCs w:val="21"/>
          <w:color w:val="auto"/>
        </w:rPr>
        <w:t>Certain Exceptions and Exemptions</w:t>
      </w:r>
    </w:p>
    <w:p>
      <w:pPr>
        <w:spacing w:after="0" w:line="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5.0</w:t>
      </w:r>
      <w:r>
        <w:rPr>
          <w:sz w:val="20"/>
          <w:szCs w:val="20"/>
          <w:color w:val="auto"/>
        </w:rPr>
        <w:tab/>
      </w:r>
      <w:r>
        <w:rPr>
          <w:rFonts w:ascii="Times New Roman" w:cs="Times New Roman" w:eastAsia="Times New Roman" w:hAnsi="Times New Roman"/>
          <w:sz w:val="21"/>
          <w:szCs w:val="21"/>
          <w:color w:val="auto"/>
        </w:rPr>
        <w:t>Pre-clearance of Trades and Other Procedures</w:t>
      </w:r>
    </w:p>
    <w:p>
      <w:pPr>
        <w:spacing w:after="0" w:line="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6.0</w:t>
      </w:r>
      <w:r>
        <w:rPr>
          <w:sz w:val="20"/>
          <w:szCs w:val="20"/>
          <w:color w:val="auto"/>
        </w:rPr>
        <w:tab/>
      </w:r>
      <w:r>
        <w:rPr>
          <w:rFonts w:ascii="Times New Roman" w:cs="Times New Roman" w:eastAsia="Times New Roman" w:hAnsi="Times New Roman"/>
          <w:sz w:val="21"/>
          <w:szCs w:val="21"/>
          <w:color w:val="auto"/>
        </w:rPr>
        <w:t>10b5-1 Plans/Margin Accounts and Pledges</w:t>
      </w:r>
    </w:p>
    <w:p>
      <w:pPr>
        <w:spacing w:after="0" w:line="1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7.0</w:t>
      </w:r>
      <w:r>
        <w:rPr>
          <w:sz w:val="20"/>
          <w:szCs w:val="20"/>
          <w:color w:val="auto"/>
        </w:rPr>
        <w:tab/>
      </w:r>
      <w:r>
        <w:rPr>
          <w:rFonts w:ascii="Times New Roman" w:cs="Times New Roman" w:eastAsia="Times New Roman" w:hAnsi="Times New Roman"/>
          <w:sz w:val="21"/>
          <w:szCs w:val="21"/>
          <w:color w:val="auto"/>
        </w:rPr>
        <w:t>Potential Criminal and Civil Liability and/or Disciplinary Action</w:t>
      </w:r>
    </w:p>
    <w:p>
      <w:pPr>
        <w:spacing w:after="0" w:line="2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8.0</w:t>
      </w:r>
      <w:r>
        <w:rPr>
          <w:sz w:val="20"/>
          <w:szCs w:val="20"/>
          <w:color w:val="auto"/>
        </w:rPr>
        <w:tab/>
      </w:r>
      <w:r>
        <w:rPr>
          <w:rFonts w:ascii="Times New Roman" w:cs="Times New Roman" w:eastAsia="Times New Roman" w:hAnsi="Times New Roman"/>
          <w:sz w:val="21"/>
          <w:szCs w:val="21"/>
          <w:color w:val="auto"/>
        </w:rPr>
        <w:t>Broker Requirements for Section 16 Persons</w:t>
      </w:r>
    </w:p>
    <w:p>
      <w:pPr>
        <w:spacing w:after="0" w:line="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9.0</w:t>
      </w:r>
      <w:r>
        <w:rPr>
          <w:sz w:val="20"/>
          <w:szCs w:val="20"/>
          <w:color w:val="auto"/>
        </w:rPr>
        <w:tab/>
      </w:r>
      <w:r>
        <w:rPr>
          <w:rFonts w:ascii="Times New Roman" w:cs="Times New Roman" w:eastAsia="Times New Roman" w:hAnsi="Times New Roman"/>
          <w:sz w:val="21"/>
          <w:szCs w:val="21"/>
          <w:color w:val="auto"/>
        </w:rPr>
        <w:t>Confidentiality</w:t>
      </w:r>
    </w:p>
    <w:p>
      <w:pPr>
        <w:spacing w:after="0" w:line="1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10.0</w:t>
        <w:tab/>
        <w:t>Legal Effect of this Policy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Ex. A Individual Rule 10b5-1 Trading Plan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193675</wp:posOffset>
            </wp:positionV>
            <wp:extent cx="69494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69494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1.0</w:t>
      </w:r>
      <w:r>
        <w:rPr>
          <w:sz w:val="20"/>
          <w:szCs w:val="20"/>
          <w:color w:val="auto"/>
        </w:rPr>
        <w:tab/>
      </w:r>
      <w:r>
        <w:rPr>
          <w:rFonts w:ascii="Times New Roman" w:cs="Times New Roman" w:eastAsia="Times New Roman" w:hAnsi="Times New Roman"/>
          <w:sz w:val="20"/>
          <w:szCs w:val="20"/>
          <w:b w:val="1"/>
          <w:bCs w:val="1"/>
          <w:color w:val="auto"/>
        </w:rPr>
        <w:t>General</w:t>
      </w:r>
    </w:p>
    <w:p>
      <w:pPr>
        <w:spacing w:after="0" w:line="169" w:lineRule="exact"/>
        <w:rPr>
          <w:sz w:val="20"/>
          <w:szCs w:val="20"/>
          <w:color w:val="auto"/>
        </w:rPr>
      </w:pPr>
    </w:p>
    <w:p>
      <w:pPr>
        <w:jc w:val="both"/>
        <w:ind w:left="640" w:right="320" w:hanging="635"/>
        <w:spacing w:after="0" w:line="267" w:lineRule="auto"/>
        <w:tabs>
          <w:tab w:leader="none" w:pos="620" w:val="left"/>
        </w:tabs>
        <w:rPr>
          <w:sz w:val="20"/>
          <w:szCs w:val="20"/>
          <w:color w:val="auto"/>
        </w:rPr>
      </w:pPr>
      <w:r>
        <w:rPr>
          <w:rFonts w:ascii="Times New Roman" w:cs="Times New Roman" w:eastAsia="Times New Roman" w:hAnsi="Times New Roman"/>
          <w:sz w:val="21"/>
          <w:szCs w:val="21"/>
          <w:color w:val="auto"/>
        </w:rPr>
        <w:t>1.1</w:t>
      </w:r>
      <w:r>
        <w:rPr>
          <w:sz w:val="20"/>
          <w:szCs w:val="20"/>
          <w:color w:val="auto"/>
        </w:rPr>
        <w:tab/>
      </w:r>
      <w:r>
        <w:rPr>
          <w:rFonts w:ascii="Times New Roman" w:cs="Times New Roman" w:eastAsia="Times New Roman" w:hAnsi="Times New Roman"/>
          <w:sz w:val="21"/>
          <w:szCs w:val="21"/>
          <w:color w:val="auto"/>
        </w:rPr>
        <w:t>ZoomInfo Technologies Inc. and its subsidiaries (collectively,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their directors, officers, and employees (collectively, “</w:t>
      </w:r>
      <w:r>
        <w:rPr>
          <w:rFonts w:ascii="Times New Roman" w:cs="Times New Roman" w:eastAsia="Times New Roman" w:hAnsi="Times New Roman"/>
          <w:sz w:val="21"/>
          <w:szCs w:val="21"/>
          <w:b w:val="1"/>
          <w:bCs w:val="1"/>
          <w:i w:val="1"/>
          <w:iCs w:val="1"/>
          <w:color w:val="auto"/>
        </w:rPr>
        <w:t>ZoomInfo Personnel</w:t>
      </w:r>
      <w:r>
        <w:rPr>
          <w:rFonts w:ascii="Times New Roman" w:cs="Times New Roman" w:eastAsia="Times New Roman" w:hAnsi="Times New Roman"/>
          <w:sz w:val="21"/>
          <w:szCs w:val="21"/>
          <w:color w:val="auto"/>
        </w:rPr>
        <w:t>”), family members of ZoomInfo Personnel and trusts, corporations and other entities controlled by any of such persons (collectively, “</w:t>
      </w:r>
      <w:r>
        <w:rPr>
          <w:rFonts w:ascii="Times New Roman" w:cs="Times New Roman" w:eastAsia="Times New Roman" w:hAnsi="Times New Roman"/>
          <w:sz w:val="21"/>
          <w:szCs w:val="21"/>
          <w:b w:val="1"/>
          <w:bCs w:val="1"/>
          <w:i w:val="1"/>
          <w:iCs w:val="1"/>
          <w:color w:val="auto"/>
        </w:rPr>
        <w:t>Insiders</w:t>
      </w:r>
      <w:r>
        <w:rPr>
          <w:rFonts w:ascii="Times New Roman" w:cs="Times New Roman" w:eastAsia="Times New Roman" w:hAnsi="Times New Roman"/>
          <w:sz w:val="21"/>
          <w:szCs w:val="21"/>
          <w:color w:val="auto"/>
        </w:rPr>
        <w:t>”) must, at all times, comply with the securities laws of the United States and all applicable jurisdictions.</w:t>
      </w:r>
    </w:p>
    <w:p>
      <w:pPr>
        <w:spacing w:after="0" w:line="109" w:lineRule="exact"/>
        <w:rPr>
          <w:sz w:val="20"/>
          <w:szCs w:val="20"/>
          <w:color w:val="auto"/>
        </w:rPr>
      </w:pPr>
    </w:p>
    <w:p>
      <w:pPr>
        <w:jc w:val="both"/>
        <w:ind w:left="640" w:right="320" w:hanging="635"/>
        <w:spacing w:after="0" w:line="257" w:lineRule="auto"/>
        <w:tabs>
          <w:tab w:leader="none" w:pos="620" w:val="left"/>
        </w:tabs>
        <w:rPr>
          <w:sz w:val="20"/>
          <w:szCs w:val="20"/>
          <w:color w:val="auto"/>
        </w:rPr>
      </w:pPr>
      <w:r>
        <w:rPr>
          <w:rFonts w:ascii="Times New Roman" w:cs="Times New Roman" w:eastAsia="Times New Roman" w:hAnsi="Times New Roman"/>
          <w:sz w:val="21"/>
          <w:szCs w:val="21"/>
          <w:color w:val="auto"/>
        </w:rPr>
        <w:t>1.2</w:t>
      </w:r>
      <w:r>
        <w:rPr>
          <w:sz w:val="20"/>
          <w:szCs w:val="20"/>
          <w:color w:val="auto"/>
        </w:rPr>
        <w:tab/>
      </w:r>
      <w:r>
        <w:rPr>
          <w:rFonts w:ascii="Times New Roman" w:cs="Times New Roman" w:eastAsia="Times New Roman" w:hAnsi="Times New Roman"/>
          <w:sz w:val="21"/>
          <w:szCs w:val="21"/>
          <w:color w:val="auto"/>
        </w:rPr>
        <w:t>Federal securities laws prohibit trading in the securities of a company on the basis of “inside” information. These transactions are commonly known as “insider trading”. It is also illegal to recommend to others (commonly called “tipping”) that they buy, sell, or retain the securities of a company to which such inside information relates. Anyone violating these laws is subject to personal liability and could face significant fines and criminal penalties, including imprisonment. Federal securities laws also create a strong incentive for the Company to deter insider trading by its employees. In the normal course of business, ZoomInfo Personnel may come into possession of inside information concerning the Company, transactions in which the Company proposes to engage, or other entities with which the Company does business. Therefore, the Company has established this Policy with respect to trading in its securities or securities of another company. Any violation of this Policy could subject you to disciplinary action, up to and including termination. See Section 7.0.</w:t>
      </w:r>
    </w:p>
    <w:p>
      <w:pPr>
        <w:sectPr>
          <w:pgSz w:w="11900" w:h="16838" w:orient="portrait"/>
          <w:cols w:equalWidth="0" w:num="1">
            <w:col w:w="11120"/>
          </w:cols>
          <w:pgMar w:left="440" w:top="119" w:right="339" w:bottom="1440" w:gutter="0" w:footer="0" w:header="0"/>
        </w:sectPr>
      </w:pPr>
    </w:p>
    <w:bookmarkStart w:id="181" w:name="page182"/>
    <w:bookmarkEnd w:id="181"/>
    <w:p>
      <w:pPr>
        <w:spacing w:after="0" w:line="37" w:lineRule="exact"/>
        <w:rPr>
          <w:sz w:val="20"/>
          <w:szCs w:val="20"/>
          <w:color w:val="auto"/>
        </w:rPr>
      </w:pPr>
    </w:p>
    <w:p>
      <w:pPr>
        <w:jc w:val="both"/>
        <w:ind w:left="640" w:hanging="635"/>
        <w:spacing w:after="0" w:line="266" w:lineRule="auto"/>
        <w:tabs>
          <w:tab w:leader="none" w:pos="620" w:val="left"/>
        </w:tabs>
        <w:rPr>
          <w:sz w:val="20"/>
          <w:szCs w:val="20"/>
          <w:color w:val="auto"/>
        </w:rPr>
      </w:pPr>
      <w:r>
        <w:rPr>
          <w:rFonts w:ascii="Times New Roman" w:cs="Times New Roman" w:eastAsia="Times New Roman" w:hAnsi="Times New Roman"/>
          <w:sz w:val="21"/>
          <w:szCs w:val="21"/>
          <w:color w:val="auto"/>
        </w:rPr>
        <w:t>1.3</w:t>
      </w:r>
      <w:r>
        <w:rPr>
          <w:sz w:val="20"/>
          <w:szCs w:val="20"/>
          <w:color w:val="auto"/>
        </w:rPr>
        <w:tab/>
      </w:r>
      <w:r>
        <w:rPr>
          <w:rFonts w:ascii="Times New Roman" w:cs="Times New Roman" w:eastAsia="Times New Roman" w:hAnsi="Times New Roman"/>
          <w:sz w:val="21"/>
          <w:szCs w:val="21"/>
          <w:color w:val="auto"/>
        </w:rPr>
        <w:t>This Policy concerns compliance as it pertains to the disclosure of inside information regarding the Company or another company and to trading in securities while in possession of such inside information. In addition to requiring that Insiders comply with the letter of the law, it is the Company’s policy that Insiders exercise judgment so as to also comply with the spirit of the law and avoid even the appearance of impropriety.</w:t>
      </w:r>
    </w:p>
    <w:p>
      <w:pPr>
        <w:spacing w:after="0" w:line="109" w:lineRule="exact"/>
        <w:rPr>
          <w:sz w:val="20"/>
          <w:szCs w:val="20"/>
          <w:color w:val="auto"/>
        </w:rPr>
      </w:pPr>
    </w:p>
    <w:p>
      <w:pPr>
        <w:jc w:val="both"/>
        <w:ind w:left="640" w:hanging="635"/>
        <w:spacing w:after="0" w:line="259" w:lineRule="auto"/>
        <w:tabs>
          <w:tab w:leader="none" w:pos="620" w:val="left"/>
        </w:tabs>
        <w:rPr>
          <w:sz w:val="20"/>
          <w:szCs w:val="20"/>
          <w:color w:val="auto"/>
        </w:rPr>
      </w:pPr>
      <w:r>
        <w:rPr>
          <w:rFonts w:ascii="Times New Roman" w:cs="Times New Roman" w:eastAsia="Times New Roman" w:hAnsi="Times New Roman"/>
          <w:sz w:val="21"/>
          <w:szCs w:val="21"/>
          <w:color w:val="auto"/>
        </w:rPr>
        <w:t>1.4</w:t>
      </w:r>
      <w:r>
        <w:rPr>
          <w:sz w:val="20"/>
          <w:szCs w:val="20"/>
          <w:color w:val="auto"/>
        </w:rPr>
        <w:tab/>
      </w:r>
      <w:r>
        <w:rPr>
          <w:rFonts w:ascii="Times New Roman" w:cs="Times New Roman" w:eastAsia="Times New Roman" w:hAnsi="Times New Roman"/>
          <w:sz w:val="21"/>
          <w:szCs w:val="21"/>
          <w:color w:val="auto"/>
        </w:rPr>
        <w:t>This Policy is intended to help Insiders and the Company avoid insider trading violations. However, the matters set forth in this Policy are guidelines only and do not replace your responsibility to understand and comply with the legal prohibition on insider trading. Appropriate judgment should be exercised in connection with all securities trading. If you have specific questions regarding this Policy or applicable law, please contact the office of the General Counsel, including the General Counsel, the Deputy General Counsel, or any Associate General Counsel (the “</w:t>
      </w:r>
      <w:r>
        <w:rPr>
          <w:rFonts w:ascii="Times New Roman" w:cs="Times New Roman" w:eastAsia="Times New Roman" w:hAnsi="Times New Roman"/>
          <w:sz w:val="21"/>
          <w:szCs w:val="21"/>
          <w:b w:val="1"/>
          <w:bCs w:val="1"/>
          <w:i w:val="1"/>
          <w:iCs w:val="1"/>
          <w:color w:val="auto"/>
        </w:rPr>
        <w:t>Office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General Counsel</w:t>
      </w:r>
      <w:r>
        <w:rPr>
          <w:rFonts w:ascii="Times New Roman" w:cs="Times New Roman" w:eastAsia="Times New Roman" w:hAnsi="Times New Roman"/>
          <w:sz w:val="21"/>
          <w:szCs w:val="21"/>
          <w:color w:val="auto"/>
        </w:rPr>
        <w:t>”).</w:t>
      </w:r>
    </w:p>
    <w:p>
      <w:pPr>
        <w:spacing w:after="0" w:line="221"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2.0</w:t>
      </w:r>
      <w:r>
        <w:rPr>
          <w:sz w:val="20"/>
          <w:szCs w:val="20"/>
          <w:color w:val="auto"/>
        </w:rPr>
        <w:tab/>
      </w:r>
      <w:r>
        <w:rPr>
          <w:rFonts w:ascii="Times New Roman" w:cs="Times New Roman" w:eastAsia="Times New Roman" w:hAnsi="Times New Roman"/>
          <w:sz w:val="20"/>
          <w:szCs w:val="20"/>
          <w:b w:val="1"/>
          <w:bCs w:val="1"/>
          <w:color w:val="auto"/>
        </w:rPr>
        <w:t>Definitions</w:t>
      </w:r>
    </w:p>
    <w:p>
      <w:pPr>
        <w:spacing w:after="0" w:line="222" w:lineRule="exact"/>
        <w:rPr>
          <w:sz w:val="20"/>
          <w:szCs w:val="20"/>
          <w:color w:val="auto"/>
        </w:rPr>
      </w:pPr>
    </w:p>
    <w:p>
      <w:pPr>
        <w:jc w:val="both"/>
        <w:ind w:left="640" w:hanging="635"/>
        <w:spacing w:after="0" w:line="263" w:lineRule="auto"/>
        <w:tabs>
          <w:tab w:leader="none" w:pos="620" w:val="left"/>
        </w:tabs>
        <w:rPr>
          <w:sz w:val="20"/>
          <w:szCs w:val="20"/>
          <w:color w:val="auto"/>
        </w:rPr>
      </w:pPr>
      <w:r>
        <w:rPr>
          <w:rFonts w:ascii="Times New Roman" w:cs="Times New Roman" w:eastAsia="Times New Roman" w:hAnsi="Times New Roman"/>
          <w:sz w:val="21"/>
          <w:szCs w:val="21"/>
          <w:color w:val="auto"/>
        </w:rPr>
        <w:t>2.1</w:t>
      </w:r>
      <w:r>
        <w:rPr>
          <w:sz w:val="20"/>
          <w:szCs w:val="20"/>
          <w:color w:val="auto"/>
        </w:rPr>
        <w:tab/>
      </w:r>
      <w:r>
        <w:rPr>
          <w:rFonts w:ascii="Times New Roman" w:cs="Times New Roman" w:eastAsia="Times New Roman" w:hAnsi="Times New Roman"/>
          <w:sz w:val="21"/>
          <w:szCs w:val="21"/>
          <w:u w:val="single" w:color="auto"/>
          <w:color w:val="auto"/>
        </w:rPr>
        <w:t>Family Members</w:t>
      </w:r>
      <w:r>
        <w:rPr>
          <w:rFonts w:ascii="Times New Roman" w:cs="Times New Roman" w:eastAsia="Times New Roman" w:hAnsi="Times New Roman"/>
          <w:sz w:val="21"/>
          <w:szCs w:val="21"/>
          <w:color w:val="auto"/>
        </w:rPr>
        <w:t>. For purposes of this Policy, the term “</w:t>
      </w:r>
      <w:r>
        <w:rPr>
          <w:rFonts w:ascii="Times New Roman" w:cs="Times New Roman" w:eastAsia="Times New Roman" w:hAnsi="Times New Roman"/>
          <w:sz w:val="21"/>
          <w:szCs w:val="21"/>
          <w:b w:val="1"/>
          <w:bCs w:val="1"/>
          <w:i w:val="1"/>
          <w:iCs w:val="1"/>
          <w:color w:val="auto"/>
        </w:rPr>
        <w:t>family members</w:t>
      </w:r>
      <w:r>
        <w:rPr>
          <w:rFonts w:ascii="Times New Roman" w:cs="Times New Roman" w:eastAsia="Times New Roman" w:hAnsi="Times New Roman"/>
          <w:sz w:val="21"/>
          <w:szCs w:val="21"/>
          <w:color w:val="auto"/>
        </w:rPr>
        <w:t>” includes family members who reside with</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you, anyone else who lives in your household, and any family members who do not live in your household but whose transactions in the Company’s securities are directed by you or are subject to your influence or control. ZoomInfo Personnel are responsible for the transactions of their family members and therefore should make them aware of the need to confer with them before they trade in the Company’s securities.</w:t>
      </w:r>
    </w:p>
    <w:p>
      <w:pPr>
        <w:spacing w:after="0" w:line="165" w:lineRule="exact"/>
        <w:rPr>
          <w:sz w:val="20"/>
          <w:szCs w:val="20"/>
          <w:color w:val="auto"/>
        </w:rPr>
      </w:pPr>
    </w:p>
    <w:p>
      <w:pPr>
        <w:jc w:val="both"/>
        <w:ind w:left="640" w:hanging="635"/>
        <w:spacing w:after="0" w:line="259" w:lineRule="auto"/>
        <w:tabs>
          <w:tab w:leader="none" w:pos="620" w:val="left"/>
        </w:tabs>
        <w:rPr>
          <w:sz w:val="20"/>
          <w:szCs w:val="20"/>
          <w:color w:val="auto"/>
        </w:rPr>
      </w:pPr>
      <w:r>
        <w:rPr>
          <w:rFonts w:ascii="Times New Roman" w:cs="Times New Roman" w:eastAsia="Times New Roman" w:hAnsi="Times New Roman"/>
          <w:sz w:val="21"/>
          <w:szCs w:val="21"/>
          <w:color w:val="auto"/>
        </w:rPr>
        <w:t>2.2</w:t>
      </w:r>
      <w:r>
        <w:rPr>
          <w:sz w:val="20"/>
          <w:szCs w:val="20"/>
          <w:color w:val="auto"/>
        </w:rPr>
        <w:tab/>
      </w:r>
      <w:r>
        <w:rPr>
          <w:rFonts w:ascii="Times New Roman" w:cs="Times New Roman" w:eastAsia="Times New Roman" w:hAnsi="Times New Roman"/>
          <w:sz w:val="21"/>
          <w:szCs w:val="21"/>
          <w:u w:val="single" w:color="auto"/>
          <w:color w:val="auto"/>
        </w:rPr>
        <w:t>Material Information</w:t>
      </w:r>
      <w:r>
        <w:rPr>
          <w:rFonts w:ascii="Times New Roman" w:cs="Times New Roman" w:eastAsia="Times New Roman" w:hAnsi="Times New Roman"/>
          <w:sz w:val="21"/>
          <w:szCs w:val="21"/>
          <w:color w:val="auto"/>
        </w:rPr>
        <w:t>. Information is “material” if a reasonable investor would consider it important in deciding</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whether to buy, sell, or hold a security. The information may concern the Company or another company and may be positive or negative. Material information does not have to relate to a company’s business; information about the contents of a forthcoming publication in the financial press that is expected to affect the market price of a security could be material. Insiders should assume that information that would affect their consideration of whether to trade, or which might tend to influence the price of the security, is material.</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Examples of material information may include, but are not limited to:</w:t>
      </w:r>
    </w:p>
    <w:p>
      <w:pPr>
        <w:spacing w:after="0" w:line="183" w:lineRule="exact"/>
        <w:rPr>
          <w:sz w:val="20"/>
          <w:szCs w:val="20"/>
          <w:color w:val="auto"/>
        </w:rPr>
      </w:pPr>
    </w:p>
    <w:p>
      <w:pPr>
        <w:ind w:left="960" w:hanging="314"/>
        <w:spacing w:after="0"/>
        <w:tabs>
          <w:tab w:leader="none" w:pos="96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quarterly or annual results;</w:t>
      </w:r>
    </w:p>
    <w:p>
      <w:pPr>
        <w:spacing w:after="0" w:line="169" w:lineRule="exact"/>
        <w:rPr>
          <w:rFonts w:ascii="Times New Roman" w:cs="Times New Roman" w:eastAsia="Times New Roman" w:hAnsi="Times New Roman"/>
          <w:sz w:val="21"/>
          <w:szCs w:val="21"/>
          <w:color w:val="auto"/>
        </w:rPr>
      </w:pPr>
    </w:p>
    <w:p>
      <w:pPr>
        <w:ind w:left="960" w:hanging="314"/>
        <w:spacing w:after="0" w:line="285" w:lineRule="auto"/>
        <w:tabs>
          <w:tab w:leader="none" w:pos="955"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guidance on earnings estimates and changing or confirming such guidance on a later date or other projections of future financial performance;</w:t>
      </w:r>
    </w:p>
    <w:p>
      <w:pPr>
        <w:spacing w:after="0" w:line="88" w:lineRule="exact"/>
        <w:rPr>
          <w:rFonts w:ascii="Times New Roman" w:cs="Times New Roman" w:eastAsia="Times New Roman" w:hAnsi="Times New Roman"/>
          <w:sz w:val="21"/>
          <w:szCs w:val="21"/>
          <w:color w:val="auto"/>
        </w:rPr>
      </w:pPr>
    </w:p>
    <w:p>
      <w:pPr>
        <w:ind w:left="960" w:hanging="314"/>
        <w:spacing w:after="0"/>
        <w:tabs>
          <w:tab w:leader="none" w:pos="96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mergers, acquisitions, tender offers, joint ventures, or changes in assets;</w:t>
      </w:r>
    </w:p>
    <w:p>
      <w:pPr>
        <w:spacing w:after="0" w:line="169" w:lineRule="exact"/>
        <w:rPr>
          <w:rFonts w:ascii="Times New Roman" w:cs="Times New Roman" w:eastAsia="Times New Roman" w:hAnsi="Times New Roman"/>
          <w:sz w:val="21"/>
          <w:szCs w:val="21"/>
          <w:color w:val="auto"/>
        </w:rPr>
      </w:pPr>
    </w:p>
    <w:p>
      <w:pPr>
        <w:ind w:left="960" w:hanging="314"/>
        <w:spacing w:after="0"/>
        <w:tabs>
          <w:tab w:leader="none" w:pos="96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developments with respect to products or technologies;</w:t>
      </w:r>
    </w:p>
    <w:p>
      <w:pPr>
        <w:spacing w:after="0" w:line="182" w:lineRule="exact"/>
        <w:rPr>
          <w:rFonts w:ascii="Times New Roman" w:cs="Times New Roman" w:eastAsia="Times New Roman" w:hAnsi="Times New Roman"/>
          <w:sz w:val="21"/>
          <w:szCs w:val="21"/>
          <w:color w:val="auto"/>
        </w:rPr>
      </w:pPr>
    </w:p>
    <w:p>
      <w:pPr>
        <w:ind w:left="960" w:hanging="314"/>
        <w:spacing w:after="0"/>
        <w:tabs>
          <w:tab w:leader="none" w:pos="960" w:val="left"/>
        </w:tabs>
        <w:numPr>
          <w:ilvl w:val="0"/>
          <w:numId w:val="1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developments regarding the Company’s material intellectual property;</w:t>
      </w:r>
    </w:p>
    <w:p>
      <w:pPr>
        <w:sectPr>
          <w:pgSz w:w="11900" w:h="16838" w:orient="portrait"/>
          <w:cols w:equalWidth="0" w:num="1">
            <w:col w:w="10800"/>
          </w:cols>
          <w:pgMar w:left="440" w:top="1440" w:right="659" w:bottom="1440" w:gutter="0" w:footer="0" w:header="0"/>
        </w:sectPr>
      </w:pPr>
    </w:p>
    <w:bookmarkStart w:id="182" w:name="page183"/>
    <w:bookmarkEnd w:id="182"/>
    <w:p>
      <w:pPr>
        <w:spacing w:after="0" w:line="38" w:lineRule="exact"/>
        <w:rPr>
          <w:sz w:val="20"/>
          <w:szCs w:val="20"/>
          <w:color w:val="auto"/>
        </w:rPr>
      </w:pPr>
    </w:p>
    <w:p>
      <w:pPr>
        <w:ind w:left="320" w:hanging="314"/>
        <w:spacing w:after="0"/>
        <w:tabs>
          <w:tab w:leader="none" w:pos="32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developments regarding customers or suppliers, including the acquisition or loss of an important contract;</w:t>
      </w:r>
    </w:p>
    <w:p>
      <w:pPr>
        <w:spacing w:after="0" w:line="169"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control or in senior management;</w:t>
      </w:r>
    </w:p>
    <w:p>
      <w:pPr>
        <w:spacing w:after="0" w:line="182"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compensation policy;</w:t>
      </w:r>
    </w:p>
    <w:p>
      <w:pPr>
        <w:spacing w:after="0" w:line="169" w:lineRule="exact"/>
        <w:rPr>
          <w:rFonts w:ascii="Times New Roman" w:cs="Times New Roman" w:eastAsia="Times New Roman" w:hAnsi="Times New Roman"/>
          <w:sz w:val="21"/>
          <w:szCs w:val="21"/>
          <w:color w:val="auto"/>
        </w:rPr>
      </w:pPr>
    </w:p>
    <w:p>
      <w:pPr>
        <w:ind w:left="320" w:hanging="314"/>
        <w:spacing w:after="0" w:line="285" w:lineRule="auto"/>
        <w:tabs>
          <w:tab w:leader="none" w:pos="315"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 in or dispute with the Company’s independent registered public accounting firm or notification that the Company may no longer rely on such firm’s report;</w:t>
      </w:r>
    </w:p>
    <w:p>
      <w:pPr>
        <w:spacing w:after="0" w:line="86" w:lineRule="exact"/>
        <w:rPr>
          <w:rFonts w:ascii="Times New Roman" w:cs="Times New Roman" w:eastAsia="Times New Roman" w:hAnsi="Times New Roman"/>
          <w:sz w:val="21"/>
          <w:szCs w:val="21"/>
          <w:color w:val="auto"/>
        </w:rPr>
      </w:pPr>
    </w:p>
    <w:p>
      <w:pPr>
        <w:jc w:val="both"/>
        <w:ind w:left="320" w:hanging="314"/>
        <w:spacing w:after="0" w:line="275" w:lineRule="auto"/>
        <w:tabs>
          <w:tab w:leader="none" w:pos="315"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financings and other events regarding the Company’s securities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defaults on securities, calls of securities for redemption, share repurchase plans, stock splits, public or private sales of securities, changes in dividends and changes to the rights of securityholders);</w:t>
      </w:r>
    </w:p>
    <w:p>
      <w:pPr>
        <w:spacing w:after="0" w:line="99" w:lineRule="exact"/>
        <w:rPr>
          <w:rFonts w:ascii="Times New Roman" w:cs="Times New Roman" w:eastAsia="Times New Roman" w:hAnsi="Times New Roman"/>
          <w:sz w:val="21"/>
          <w:szCs w:val="21"/>
          <w:color w:val="auto"/>
        </w:rPr>
      </w:pPr>
    </w:p>
    <w:p>
      <w:pPr>
        <w:ind w:left="320" w:hanging="314"/>
        <w:spacing w:after="0"/>
        <w:tabs>
          <w:tab w:leader="none" w:pos="32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write-offs;</w:t>
      </w:r>
    </w:p>
    <w:p>
      <w:pPr>
        <w:spacing w:after="0" w:line="169" w:lineRule="exact"/>
        <w:rPr>
          <w:rFonts w:ascii="Times New Roman" w:cs="Times New Roman" w:eastAsia="Times New Roman" w:hAnsi="Times New Roman"/>
          <w:sz w:val="21"/>
          <w:szCs w:val="21"/>
          <w:color w:val="auto"/>
        </w:rPr>
      </w:pPr>
    </w:p>
    <w:p>
      <w:pPr>
        <w:ind w:left="320" w:hanging="314"/>
        <w:spacing w:after="0" w:line="285" w:lineRule="auto"/>
        <w:tabs>
          <w:tab w:leader="none" w:pos="316"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significant pending or threatened litigation or governmental investigations or significant developments with respect to litigation or governmental investigations;</w:t>
      </w:r>
    </w:p>
    <w:p>
      <w:pPr>
        <w:spacing w:after="0" w:line="88" w:lineRule="exact"/>
        <w:rPr>
          <w:rFonts w:ascii="Times New Roman" w:cs="Times New Roman" w:eastAsia="Times New Roman" w:hAnsi="Times New Roman"/>
          <w:sz w:val="21"/>
          <w:szCs w:val="21"/>
          <w:color w:val="auto"/>
        </w:rPr>
      </w:pPr>
    </w:p>
    <w:p>
      <w:pPr>
        <w:ind w:left="320" w:hanging="315"/>
        <w:spacing w:after="0"/>
        <w:tabs>
          <w:tab w:leader="none" w:pos="32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cybersecurity incidents or events; and</w:t>
      </w:r>
    </w:p>
    <w:p>
      <w:pPr>
        <w:spacing w:after="0" w:line="169" w:lineRule="exact"/>
        <w:rPr>
          <w:rFonts w:ascii="Times New Roman" w:cs="Times New Roman" w:eastAsia="Times New Roman" w:hAnsi="Times New Roman"/>
          <w:sz w:val="21"/>
          <w:szCs w:val="21"/>
          <w:color w:val="auto"/>
        </w:rPr>
      </w:pPr>
    </w:p>
    <w:p>
      <w:pPr>
        <w:ind w:left="320" w:hanging="315"/>
        <w:spacing w:after="0"/>
        <w:tabs>
          <w:tab w:leader="none" w:pos="320"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impending bankruptcy, corporate restructuring, or receivership.</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Information that something is likely to happen or even just that it may happen can be material. Courts often resolve close cases in favor of finding the information material. Therefore, Insiders should err on the side of caution. The mere fact that a person is aware of the information is a bar to trading: it is no excuse that such person’s reasons for trading were not based on the information.</w:t>
      </w:r>
    </w:p>
    <w:p>
      <w:pPr>
        <w:spacing w:after="0" w:line="138" w:lineRule="exact"/>
        <w:rPr>
          <w:sz w:val="20"/>
          <w:szCs w:val="20"/>
          <w:color w:val="auto"/>
        </w:rPr>
      </w:pPr>
    </w:p>
    <w:p>
      <w:pPr>
        <w:ind w:right="480" w:hanging="635"/>
        <w:spacing w:after="0" w:line="249" w:lineRule="auto"/>
        <w:rPr>
          <w:sz w:val="20"/>
          <w:szCs w:val="20"/>
          <w:color w:val="auto"/>
        </w:rPr>
      </w:pPr>
      <w:r>
        <w:rPr>
          <w:rFonts w:ascii="Times New Roman" w:cs="Times New Roman" w:eastAsia="Times New Roman" w:hAnsi="Times New Roman"/>
          <w:sz w:val="21"/>
          <w:szCs w:val="21"/>
          <w:color w:val="auto"/>
        </w:rPr>
        <w:t>2.3</w:t>
      </w:r>
      <w:r>
        <w:rPr>
          <w:sz w:val="20"/>
          <w:szCs w:val="20"/>
          <w:color w:val="auto"/>
        </w:rPr>
        <w:t xml:space="preserve"> </w:t>
      </w:r>
      <w:r>
        <w:rPr>
          <w:rFonts w:ascii="Times New Roman" w:cs="Times New Roman" w:eastAsia="Times New Roman" w:hAnsi="Times New Roman"/>
          <w:sz w:val="21"/>
          <w:szCs w:val="21"/>
          <w:u w:val="single" w:color="auto"/>
          <w:color w:val="auto"/>
        </w:rPr>
        <w:t>Non-Public Information</w:t>
      </w:r>
      <w:r>
        <w:rPr>
          <w:rFonts w:ascii="Times New Roman" w:cs="Times New Roman" w:eastAsia="Times New Roman" w:hAnsi="Times New Roman"/>
          <w:sz w:val="21"/>
          <w:szCs w:val="21"/>
          <w:color w:val="auto"/>
        </w:rPr>
        <w:t>. For the purpose of this Policy, information is “</w:t>
      </w:r>
      <w:r>
        <w:rPr>
          <w:rFonts w:ascii="Times New Roman" w:cs="Times New Roman" w:eastAsia="Times New Roman" w:hAnsi="Times New Roman"/>
          <w:sz w:val="21"/>
          <w:szCs w:val="21"/>
          <w:b w:val="1"/>
          <w:bCs w:val="1"/>
          <w:i w:val="1"/>
          <w:iCs w:val="1"/>
          <w:color w:val="auto"/>
        </w:rPr>
        <w:t>Non-Public</w:t>
      </w:r>
      <w:r>
        <w:rPr>
          <w:rFonts w:ascii="Times New Roman" w:cs="Times New Roman" w:eastAsia="Times New Roman" w:hAnsi="Times New Roman"/>
          <w:sz w:val="21"/>
          <w:szCs w:val="21"/>
          <w:color w:val="auto"/>
        </w:rPr>
        <w:t>” until three criteria have been</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satisfied: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First, the information must have been widely disseminated. Generally, Insiders should assume that information has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NOT been widely disseminated unless </w:t>
      </w:r>
      <w:r>
        <w:rPr>
          <w:rFonts w:ascii="Times New Roman" w:cs="Times New Roman" w:eastAsia="Times New Roman" w:hAnsi="Times New Roman"/>
          <w:sz w:val="21"/>
          <w:szCs w:val="21"/>
          <w:i w:val="1"/>
          <w:iCs w:val="1"/>
          <w:color w:val="auto"/>
        </w:rPr>
        <w:t>one or more</w:t>
      </w:r>
      <w:r>
        <w:rPr>
          <w:rFonts w:ascii="Times New Roman" w:cs="Times New Roman" w:eastAsia="Times New Roman" w:hAnsi="Times New Roman"/>
          <w:sz w:val="21"/>
          <w:szCs w:val="21"/>
          <w:color w:val="auto"/>
        </w:rPr>
        <w:t xml:space="preserve"> of the following has occurred:</w:t>
      </w:r>
    </w:p>
    <w:p>
      <w:pPr>
        <w:spacing w:after="0" w:line="157" w:lineRule="exact"/>
        <w:rPr>
          <w:sz w:val="20"/>
          <w:szCs w:val="20"/>
          <w:color w:val="auto"/>
        </w:rPr>
      </w:pPr>
    </w:p>
    <w:p>
      <w:pPr>
        <w:ind w:left="320" w:hanging="315"/>
        <w:spacing w:after="0"/>
        <w:tabs>
          <w:tab w:leader="none" w:pos="32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been carried in a national “financial” news service such as the Dow Jones Broad Tape;</w:t>
      </w:r>
    </w:p>
    <w:p>
      <w:pPr>
        <w:spacing w:after="0" w:line="169" w:lineRule="exact"/>
        <w:rPr>
          <w:rFonts w:ascii="Times New Roman" w:cs="Times New Roman" w:eastAsia="Times New Roman" w:hAnsi="Times New Roman"/>
          <w:sz w:val="21"/>
          <w:szCs w:val="21"/>
          <w:color w:val="auto"/>
        </w:rPr>
      </w:pPr>
    </w:p>
    <w:p>
      <w:pPr>
        <w:ind w:left="320" w:hanging="315"/>
        <w:spacing w:after="0"/>
        <w:tabs>
          <w:tab w:leader="none" w:pos="32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been carried in a national “general” news service such as the Associated Press;</w:t>
      </w:r>
    </w:p>
    <w:p>
      <w:pPr>
        <w:spacing w:after="0" w:line="169" w:lineRule="exact"/>
        <w:rPr>
          <w:rFonts w:ascii="Times New Roman" w:cs="Times New Roman" w:eastAsia="Times New Roman" w:hAnsi="Times New Roman"/>
          <w:sz w:val="21"/>
          <w:szCs w:val="21"/>
          <w:color w:val="auto"/>
        </w:rPr>
      </w:pPr>
    </w:p>
    <w:p>
      <w:pPr>
        <w:ind w:left="320" w:hanging="315"/>
        <w:spacing w:after="0"/>
        <w:tabs>
          <w:tab w:leader="none" w:pos="32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been carried by a national television news service; and/or</w:t>
      </w:r>
    </w:p>
    <w:p>
      <w:pPr>
        <w:spacing w:after="0" w:line="169" w:lineRule="exact"/>
        <w:rPr>
          <w:rFonts w:ascii="Times New Roman" w:cs="Times New Roman" w:eastAsia="Times New Roman" w:hAnsi="Times New Roman"/>
          <w:sz w:val="21"/>
          <w:szCs w:val="21"/>
          <w:color w:val="auto"/>
        </w:rPr>
      </w:pPr>
    </w:p>
    <w:p>
      <w:pPr>
        <w:ind w:left="320" w:hanging="315"/>
        <w:spacing w:after="0"/>
        <w:tabs>
          <w:tab w:leader="none" w:pos="320"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has appeared in a publicly available filing made with the SEC.</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Second, the information disseminated must be some form of “official” announcement or disclosure. The fact that rumors, speculation, or statements attributed to unidentified sources are public is insufficient to be considered widely disseminated even when the information is accurate.</w:t>
      </w:r>
    </w:p>
    <w:p>
      <w:pPr>
        <w:sectPr>
          <w:pgSz w:w="11900" w:h="16838" w:orient="portrait"/>
          <w:cols w:equalWidth="0" w:num="1">
            <w:col w:w="10160"/>
          </w:cols>
          <w:pgMar w:left="1080" w:top="1440" w:right="659" w:bottom="1440" w:gutter="0" w:footer="0" w:header="0"/>
        </w:sectPr>
      </w:pPr>
    </w:p>
    <w:bookmarkStart w:id="183" w:name="page184"/>
    <w:bookmarkEnd w:id="183"/>
    <w:p>
      <w:pPr>
        <w:spacing w:after="0" w:line="37"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21"/>
          <w:szCs w:val="21"/>
          <w:color w:val="auto"/>
        </w:rPr>
        <w:t>Third, after the information has been disseminated, a period of time must pass sufficient for the information to be absorbed by the general public. Information should not be considered fully absorbed until after at least one full trading session has elapsed on the Nasdaq Stock Market (“</w:t>
      </w:r>
      <w:r>
        <w:rPr>
          <w:rFonts w:ascii="Times New Roman" w:cs="Times New Roman" w:eastAsia="Times New Roman" w:hAnsi="Times New Roman"/>
          <w:sz w:val="21"/>
          <w:szCs w:val="21"/>
          <w:b w:val="1"/>
          <w:bCs w:val="1"/>
          <w:i w:val="1"/>
          <w:iCs w:val="1"/>
          <w:color w:val="auto"/>
        </w:rPr>
        <w:t>Nasdaq</w:t>
      </w:r>
      <w:r>
        <w:rPr>
          <w:rFonts w:ascii="Times New Roman" w:cs="Times New Roman" w:eastAsia="Times New Roman" w:hAnsi="Times New Roman"/>
          <w:sz w:val="21"/>
          <w:szCs w:val="21"/>
          <w:color w:val="auto"/>
        </w:rPr>
        <w:t>”) after the information is disseminated in a national news medium or disclosed in a filing with the SEC.</w:t>
      </w:r>
    </w:p>
    <w:p>
      <w:pPr>
        <w:spacing w:after="0" w:line="105" w:lineRule="exact"/>
        <w:rPr>
          <w:sz w:val="20"/>
          <w:szCs w:val="20"/>
          <w:color w:val="auto"/>
        </w:rPr>
      </w:pPr>
    </w:p>
    <w:p>
      <w:pPr>
        <w:jc w:val="both"/>
        <w:ind w:left="640" w:hanging="635"/>
        <w:spacing w:after="0" w:line="289" w:lineRule="auto"/>
        <w:tabs>
          <w:tab w:leader="none" w:pos="620" w:val="left"/>
        </w:tabs>
        <w:rPr>
          <w:sz w:val="20"/>
          <w:szCs w:val="20"/>
          <w:color w:val="auto"/>
        </w:rPr>
      </w:pPr>
      <w:r>
        <w:rPr>
          <w:rFonts w:ascii="Times New Roman" w:cs="Times New Roman" w:eastAsia="Times New Roman" w:hAnsi="Times New Roman"/>
          <w:sz w:val="21"/>
          <w:szCs w:val="21"/>
          <w:color w:val="auto"/>
        </w:rPr>
        <w:t>2.4</w:t>
      </w:r>
      <w:r>
        <w:rPr>
          <w:sz w:val="20"/>
          <w:szCs w:val="20"/>
          <w:color w:val="auto"/>
        </w:rPr>
        <w:tab/>
      </w:r>
      <w:r>
        <w:rPr>
          <w:rFonts w:ascii="Times New Roman" w:cs="Times New Roman" w:eastAsia="Times New Roman" w:hAnsi="Times New Roman"/>
          <w:sz w:val="21"/>
          <w:szCs w:val="21"/>
          <w:u w:val="single" w:color="auto"/>
          <w:color w:val="auto"/>
        </w:rPr>
        <w:t xml:space="preserve">Section 16 Persons: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Section 16 Persons</w:t>
      </w:r>
      <w:r>
        <w:rPr>
          <w:rFonts w:ascii="Times New Roman" w:cs="Times New Roman" w:eastAsia="Times New Roman" w:hAnsi="Times New Roman"/>
          <w:sz w:val="21"/>
          <w:szCs w:val="21"/>
          <w:color w:val="auto"/>
        </w:rPr>
        <w:t>” means the Company’s directors and officers (as defined in Rule 16a-1 under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the Securities Exchange Act of 1934, as amended, (the “</w:t>
      </w:r>
      <w:r>
        <w:rPr>
          <w:rFonts w:ascii="Times New Roman" w:cs="Times New Roman" w:eastAsia="Times New Roman" w:hAnsi="Times New Roman"/>
          <w:sz w:val="21"/>
          <w:szCs w:val="21"/>
          <w:b w:val="1"/>
          <w:bCs w:val="1"/>
          <w:i w:val="1"/>
          <w:iCs w:val="1"/>
          <w:color w:val="auto"/>
        </w:rPr>
        <w:t>Exchange Act</w:t>
      </w:r>
      <w:r>
        <w:rPr>
          <w:rFonts w:ascii="Times New Roman" w:cs="Times New Roman" w:eastAsia="Times New Roman" w:hAnsi="Times New Roman"/>
          <w:sz w:val="21"/>
          <w:szCs w:val="21"/>
          <w:color w:val="auto"/>
        </w:rPr>
        <w:t>”)).</w:t>
      </w:r>
    </w:p>
    <w:p>
      <w:pPr>
        <w:spacing w:after="0" w:line="81" w:lineRule="exact"/>
        <w:rPr>
          <w:sz w:val="20"/>
          <w:szCs w:val="20"/>
          <w:color w:val="auto"/>
        </w:rPr>
      </w:pPr>
    </w:p>
    <w:p>
      <w:pPr>
        <w:jc w:val="both"/>
        <w:ind w:left="640" w:hanging="635"/>
        <w:spacing w:after="0" w:line="302" w:lineRule="auto"/>
        <w:tabs>
          <w:tab w:leader="none" w:pos="620" w:val="left"/>
        </w:tabs>
        <w:rPr>
          <w:sz w:val="20"/>
          <w:szCs w:val="20"/>
          <w:color w:val="auto"/>
        </w:rPr>
      </w:pPr>
      <w:r>
        <w:rPr>
          <w:rFonts w:ascii="Times New Roman" w:cs="Times New Roman" w:eastAsia="Times New Roman" w:hAnsi="Times New Roman"/>
          <w:sz w:val="21"/>
          <w:szCs w:val="21"/>
          <w:color w:val="auto"/>
        </w:rPr>
        <w:t>2.5</w:t>
      </w:r>
      <w:r>
        <w:rPr>
          <w:sz w:val="20"/>
          <w:szCs w:val="20"/>
          <w:color w:val="auto"/>
        </w:rPr>
        <w:tab/>
      </w:r>
      <w:r>
        <w:rPr>
          <w:rFonts w:ascii="Times New Roman" w:cs="Times New Roman" w:eastAsia="Times New Roman" w:hAnsi="Times New Roman"/>
          <w:sz w:val="21"/>
          <w:szCs w:val="21"/>
          <w:u w:val="single" w:color="auto"/>
          <w:color w:val="auto"/>
        </w:rPr>
        <w:t>Security or Securities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Securities</w:t>
      </w:r>
      <w:r>
        <w:rPr>
          <w:rFonts w:ascii="Times New Roman" w:cs="Times New Roman" w:eastAsia="Times New Roman" w:hAnsi="Times New Roman"/>
          <w:sz w:val="21"/>
          <w:szCs w:val="21"/>
          <w:color w:val="auto"/>
        </w:rPr>
        <w:t>” include stock (common and preferred), stock options, warrants, bonds, notes,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debentures, convertible instruments, put or call options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exchange-traded options), or other similar instruments.</w:t>
      </w:r>
    </w:p>
    <w:p>
      <w:pPr>
        <w:spacing w:after="0" w:line="68" w:lineRule="exact"/>
        <w:rPr>
          <w:sz w:val="20"/>
          <w:szCs w:val="20"/>
          <w:color w:val="auto"/>
        </w:rPr>
      </w:pPr>
    </w:p>
    <w:p>
      <w:pPr>
        <w:jc w:val="both"/>
        <w:ind w:left="640" w:hanging="635"/>
        <w:spacing w:after="0" w:line="263" w:lineRule="auto"/>
        <w:tabs>
          <w:tab w:leader="none" w:pos="620" w:val="left"/>
        </w:tabs>
        <w:rPr>
          <w:sz w:val="20"/>
          <w:szCs w:val="20"/>
          <w:color w:val="auto"/>
        </w:rPr>
      </w:pPr>
      <w:r>
        <w:rPr>
          <w:rFonts w:ascii="Times New Roman" w:cs="Times New Roman" w:eastAsia="Times New Roman" w:hAnsi="Times New Roman"/>
          <w:sz w:val="21"/>
          <w:szCs w:val="21"/>
          <w:color w:val="auto"/>
        </w:rPr>
        <w:t>2.6</w:t>
      </w:r>
      <w:r>
        <w:rPr>
          <w:sz w:val="20"/>
          <w:szCs w:val="20"/>
          <w:color w:val="auto"/>
        </w:rPr>
        <w:tab/>
      </w:r>
      <w:r>
        <w:rPr>
          <w:rFonts w:ascii="Times New Roman" w:cs="Times New Roman" w:eastAsia="Times New Roman" w:hAnsi="Times New Roman"/>
          <w:sz w:val="21"/>
          <w:szCs w:val="21"/>
          <w:u w:val="single" w:color="auto"/>
          <w:color w:val="auto"/>
        </w:rPr>
        <w:t>Trade or Trading</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Trading</w:t>
      </w:r>
      <w:r>
        <w:rPr>
          <w:rFonts w:ascii="Times New Roman" w:cs="Times New Roman" w:eastAsia="Times New Roman" w:hAnsi="Times New Roman"/>
          <w:sz w:val="21"/>
          <w:szCs w:val="21"/>
          <w:color w:val="auto"/>
        </w:rPr>
        <w:t>” means any purchase, sale, or other transaction to acquire, transfer or dispose of securities,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including derivative exercises, gifts or other contributions, pledges, exercises of stock options granted under the Company’s stock plans, sales of stock acquired upon the exercise of options and trades made under an employee benefit plan such as a 401(k) plan.</w:t>
      </w:r>
    </w:p>
    <w:p>
      <w:pPr>
        <w:spacing w:after="0" w:line="214"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3.0</w:t>
        <w:tab/>
        <w:t>Statement of Policy</w:t>
      </w:r>
    </w:p>
    <w:p>
      <w:pPr>
        <w:spacing w:after="0" w:line="187" w:lineRule="exact"/>
        <w:rPr>
          <w:sz w:val="20"/>
          <w:szCs w:val="20"/>
          <w:color w:val="auto"/>
        </w:rPr>
      </w:pPr>
    </w:p>
    <w:p>
      <w:pPr>
        <w:jc w:val="both"/>
        <w:ind w:left="640" w:hanging="635"/>
        <w:spacing w:after="0" w:line="285" w:lineRule="auto"/>
        <w:tabs>
          <w:tab w:leader="none" w:pos="620" w:val="left"/>
        </w:tabs>
        <w:rPr>
          <w:sz w:val="20"/>
          <w:szCs w:val="20"/>
          <w:color w:val="auto"/>
        </w:rPr>
      </w:pPr>
      <w:r>
        <w:rPr>
          <w:rFonts w:ascii="Times New Roman" w:cs="Times New Roman" w:eastAsia="Times New Roman" w:hAnsi="Times New Roman"/>
          <w:sz w:val="21"/>
          <w:szCs w:val="21"/>
          <w:color w:val="auto"/>
        </w:rPr>
        <w:t>3.1</w:t>
      </w:r>
      <w:r>
        <w:rPr>
          <w:sz w:val="20"/>
          <w:szCs w:val="20"/>
          <w:color w:val="auto"/>
        </w:rPr>
        <w:tab/>
      </w:r>
      <w:r>
        <w:rPr>
          <w:rFonts w:ascii="Times New Roman" w:cs="Times New Roman" w:eastAsia="Times New Roman" w:hAnsi="Times New Roman"/>
          <w:sz w:val="19"/>
          <w:szCs w:val="19"/>
          <w:color w:val="auto"/>
        </w:rPr>
        <w:t>No Insider may trade the Company’s securities at any time when the Inside</w:t>
      </w:r>
      <w:r>
        <w:rPr>
          <w:rFonts w:ascii="Times New Roman" w:cs="Times New Roman" w:eastAsia="Times New Roman" w:hAnsi="Times New Roman"/>
          <w:sz w:val="21"/>
          <w:szCs w:val="21"/>
          <w:color w:val="auto"/>
        </w:rPr>
        <w:t>r has Material Non-Public Information concerning</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the Company.</w:t>
      </w:r>
    </w:p>
    <w:p>
      <w:pPr>
        <w:spacing w:after="0" w:line="89" w:lineRule="exact"/>
        <w:rPr>
          <w:sz w:val="20"/>
          <w:szCs w:val="20"/>
          <w:color w:val="auto"/>
        </w:rPr>
      </w:pPr>
    </w:p>
    <w:p>
      <w:pPr>
        <w:jc w:val="both"/>
        <w:ind w:left="640" w:hanging="635"/>
        <w:spacing w:after="0" w:line="274" w:lineRule="auto"/>
        <w:tabs>
          <w:tab w:leader="none" w:pos="620" w:val="left"/>
        </w:tabs>
        <w:rPr>
          <w:sz w:val="20"/>
          <w:szCs w:val="20"/>
          <w:color w:val="auto"/>
        </w:rPr>
      </w:pPr>
      <w:r>
        <w:rPr>
          <w:rFonts w:ascii="Times New Roman" w:cs="Times New Roman" w:eastAsia="Times New Roman" w:hAnsi="Times New Roman"/>
          <w:sz w:val="21"/>
          <w:szCs w:val="21"/>
          <w:color w:val="auto"/>
        </w:rPr>
        <w:t>3.2</w:t>
      </w:r>
      <w:r>
        <w:rPr>
          <w:sz w:val="20"/>
          <w:szCs w:val="20"/>
          <w:color w:val="auto"/>
        </w:rPr>
        <w:tab/>
      </w:r>
      <w:r>
        <w:rPr>
          <w:rFonts w:ascii="Times New Roman" w:cs="Times New Roman" w:eastAsia="Times New Roman" w:hAnsi="Times New Roman"/>
          <w:sz w:val="21"/>
          <w:szCs w:val="21"/>
          <w:color w:val="auto"/>
        </w:rPr>
        <w:t>No Insider may trade securities of another company at any time when the Insider has Material Non-Public Information about that company, including, without limitation, any of our customers, vendors, or suppliers, when that information was obtained as a result of the Insider’s employment or relationship to the Company.</w:t>
      </w:r>
    </w:p>
    <w:p>
      <w:pPr>
        <w:spacing w:after="0" w:line="96" w:lineRule="exact"/>
        <w:rPr>
          <w:sz w:val="20"/>
          <w:szCs w:val="20"/>
          <w:color w:val="auto"/>
        </w:rPr>
      </w:pPr>
    </w:p>
    <w:p>
      <w:pPr>
        <w:jc w:val="both"/>
        <w:ind w:left="640" w:hanging="635"/>
        <w:spacing w:after="0" w:line="267" w:lineRule="auto"/>
        <w:tabs>
          <w:tab w:leader="none" w:pos="620" w:val="left"/>
        </w:tabs>
        <w:rPr>
          <w:sz w:val="20"/>
          <w:szCs w:val="20"/>
          <w:color w:val="auto"/>
        </w:rPr>
      </w:pPr>
      <w:r>
        <w:rPr>
          <w:rFonts w:ascii="Times New Roman" w:cs="Times New Roman" w:eastAsia="Times New Roman" w:hAnsi="Times New Roman"/>
          <w:sz w:val="21"/>
          <w:szCs w:val="21"/>
          <w:color w:val="auto"/>
        </w:rPr>
        <w:t>3.3</w:t>
      </w:r>
      <w:r>
        <w:rPr>
          <w:sz w:val="20"/>
          <w:szCs w:val="20"/>
          <w:color w:val="auto"/>
        </w:rPr>
        <w:tab/>
      </w:r>
      <w:r>
        <w:rPr>
          <w:rFonts w:ascii="Times New Roman" w:cs="Times New Roman" w:eastAsia="Times New Roman" w:hAnsi="Times New Roman"/>
          <w:sz w:val="21"/>
          <w:szCs w:val="21"/>
          <w:color w:val="auto"/>
        </w:rPr>
        <w:t>No Insider may disclose (“</w:t>
      </w:r>
      <w:r>
        <w:rPr>
          <w:rFonts w:ascii="Times New Roman" w:cs="Times New Roman" w:eastAsia="Times New Roman" w:hAnsi="Times New Roman"/>
          <w:sz w:val="21"/>
          <w:szCs w:val="21"/>
          <w:b w:val="1"/>
          <w:bCs w:val="1"/>
          <w:i w:val="1"/>
          <w:iCs w:val="1"/>
          <w:color w:val="auto"/>
        </w:rPr>
        <w:t>tip</w:t>
      </w:r>
      <w:r>
        <w:rPr>
          <w:rFonts w:ascii="Times New Roman" w:cs="Times New Roman" w:eastAsia="Times New Roman" w:hAnsi="Times New Roman"/>
          <w:sz w:val="21"/>
          <w:szCs w:val="21"/>
          <w:color w:val="auto"/>
        </w:rPr>
        <w:t>”) Material Non-Public Information to any other person (including family members), and no Insider may make trading recommendations on the basis of Material Non-Public Information. In addition, Insiders should take care before trading on the recommendation of others to ensure that the recommendation is not the result of an illegal “tip.”</w:t>
      </w:r>
    </w:p>
    <w:p>
      <w:pPr>
        <w:spacing w:after="0" w:line="109" w:lineRule="exact"/>
        <w:rPr>
          <w:sz w:val="20"/>
          <w:szCs w:val="20"/>
          <w:color w:val="auto"/>
        </w:rPr>
      </w:pPr>
    </w:p>
    <w:p>
      <w:pPr>
        <w:jc w:val="both"/>
        <w:ind w:left="640" w:hanging="635"/>
        <w:spacing w:after="0" w:line="259" w:lineRule="auto"/>
        <w:tabs>
          <w:tab w:leader="none" w:pos="620" w:val="left"/>
        </w:tabs>
        <w:rPr>
          <w:sz w:val="20"/>
          <w:szCs w:val="20"/>
          <w:color w:val="auto"/>
        </w:rPr>
      </w:pPr>
      <w:r>
        <w:rPr>
          <w:rFonts w:ascii="Times New Roman" w:cs="Times New Roman" w:eastAsia="Times New Roman" w:hAnsi="Times New Roman"/>
          <w:sz w:val="21"/>
          <w:szCs w:val="21"/>
          <w:color w:val="auto"/>
        </w:rPr>
        <w:t>3.4</w:t>
      </w:r>
      <w:r>
        <w:rPr>
          <w:sz w:val="20"/>
          <w:szCs w:val="20"/>
          <w:color w:val="auto"/>
        </w:rPr>
        <w:tab/>
      </w:r>
      <w:r>
        <w:rPr>
          <w:rFonts w:ascii="Times New Roman" w:cs="Times New Roman" w:eastAsia="Times New Roman" w:hAnsi="Times New Roman"/>
          <w:sz w:val="21"/>
          <w:szCs w:val="21"/>
          <w:color w:val="auto"/>
        </w:rPr>
        <w:t>No Insider may comment on stock price movements or rumors of other corporate developments (including discussions in Internet “chat rooms” or on social media platforms) that are of possible significance to the investing public unless it is part of the Insider’s job (such as Investor Relations) or the Insider has been specifically authorized in accordance with the Company’s Policy and Procedures for Compliance with Regulation FD. If you comment on corporate developments, stock price movements or rumors, or disclose Material Non-Public Information to a third party you must contact the Office of the General Counsel immediately.</w:t>
      </w:r>
    </w:p>
    <w:p>
      <w:pPr>
        <w:sectPr>
          <w:pgSz w:w="11900" w:h="16838" w:orient="portrait"/>
          <w:cols w:equalWidth="0" w:num="1">
            <w:col w:w="10800"/>
          </w:cols>
          <w:pgMar w:left="440" w:top="1440" w:right="659" w:bottom="1440" w:gutter="0" w:footer="0" w:header="0"/>
        </w:sectPr>
      </w:pPr>
    </w:p>
    <w:bookmarkStart w:id="184" w:name="page185"/>
    <w:bookmarkEnd w:id="184"/>
    <w:p>
      <w:pPr>
        <w:spacing w:after="0" w:line="38" w:lineRule="exact"/>
        <w:rPr>
          <w:sz w:val="20"/>
          <w:szCs w:val="20"/>
          <w:color w:val="auto"/>
        </w:rPr>
      </w:pPr>
    </w:p>
    <w:p>
      <w:pPr>
        <w:jc w:val="both"/>
        <w:ind w:left="640" w:hanging="635"/>
        <w:spacing w:after="0" w:line="266" w:lineRule="auto"/>
        <w:tabs>
          <w:tab w:leader="none" w:pos="620" w:val="left"/>
        </w:tabs>
        <w:rPr>
          <w:sz w:val="20"/>
          <w:szCs w:val="20"/>
          <w:color w:val="auto"/>
        </w:rPr>
      </w:pPr>
      <w:r>
        <w:rPr>
          <w:rFonts w:ascii="Times New Roman" w:cs="Times New Roman" w:eastAsia="Times New Roman" w:hAnsi="Times New Roman"/>
          <w:sz w:val="21"/>
          <w:szCs w:val="21"/>
          <w:color w:val="auto"/>
        </w:rPr>
        <w:t>3.5</w:t>
      </w:r>
      <w:r>
        <w:rPr>
          <w:sz w:val="20"/>
          <w:szCs w:val="20"/>
          <w:color w:val="auto"/>
        </w:rPr>
        <w:tab/>
      </w:r>
      <w:r>
        <w:rPr>
          <w:rFonts w:ascii="Times New Roman" w:cs="Times New Roman" w:eastAsia="Times New Roman" w:hAnsi="Times New Roman"/>
          <w:sz w:val="21"/>
          <w:szCs w:val="21"/>
          <w:color w:val="auto"/>
        </w:rPr>
        <w:t>It is generally the practice of the Company not to respond to inquiries or rumors concerning the Company’s affairs. If you receive inquiries concerning the Company from the media or inquiries from securities analysts or other members of the financial community, you should refer such inquiries, without comment, to the Company’s Chief Financial Officer, VP of Investor Relations, or the Office of the General Counsel, or their respective designees.</w:t>
      </w:r>
    </w:p>
    <w:p>
      <w:pPr>
        <w:spacing w:after="0" w:line="109" w:lineRule="exact"/>
        <w:rPr>
          <w:sz w:val="20"/>
          <w:szCs w:val="20"/>
          <w:color w:val="auto"/>
        </w:rPr>
      </w:pPr>
    </w:p>
    <w:p>
      <w:pPr>
        <w:jc w:val="both"/>
        <w:ind w:left="640" w:hanging="635"/>
        <w:spacing w:after="0" w:line="271" w:lineRule="auto"/>
        <w:tabs>
          <w:tab w:leader="none" w:pos="620" w:val="left"/>
        </w:tabs>
        <w:rPr>
          <w:sz w:val="20"/>
          <w:szCs w:val="20"/>
          <w:color w:val="auto"/>
        </w:rPr>
      </w:pPr>
      <w:r>
        <w:rPr>
          <w:rFonts w:ascii="Times New Roman" w:cs="Times New Roman" w:eastAsia="Times New Roman" w:hAnsi="Times New Roman"/>
          <w:sz w:val="21"/>
          <w:szCs w:val="21"/>
          <w:color w:val="auto"/>
        </w:rPr>
        <w:t>3.6</w:t>
      </w:r>
      <w:r>
        <w:rPr>
          <w:sz w:val="20"/>
          <w:szCs w:val="20"/>
          <w:color w:val="auto"/>
        </w:rPr>
        <w:tab/>
      </w:r>
      <w:r>
        <w:rPr>
          <w:rFonts w:ascii="Times New Roman" w:cs="Times New Roman" w:eastAsia="Times New Roman" w:hAnsi="Times New Roman"/>
          <w:sz w:val="21"/>
          <w:szCs w:val="21"/>
          <w:color w:val="auto"/>
        </w:rPr>
        <w:t xml:space="preserve">Insiders may only trade in the Company’s securities during the four “Window Periods” that occur each fiscal year or in connection with an SEC registered secondary </w:t>
      </w:r>
      <w:r>
        <w:rPr>
          <w:rFonts w:ascii="Times New Roman" w:cs="Times New Roman" w:eastAsia="Times New Roman" w:hAnsi="Times New Roman"/>
          <w:sz w:val="19"/>
          <w:szCs w:val="19"/>
          <w:color w:val="auto"/>
        </w:rPr>
        <w:t>underwritten offering of the Company. Certain of these persons must also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receive pre- approval prior to any transaction. See Section 5.0.</w:t>
      </w:r>
    </w:p>
    <w:p>
      <w:pPr>
        <w:spacing w:after="0" w:line="109" w:lineRule="exact"/>
        <w:rPr>
          <w:sz w:val="20"/>
          <w:szCs w:val="20"/>
          <w:color w:val="auto"/>
        </w:rPr>
      </w:pPr>
    </w:p>
    <w:p>
      <w:pPr>
        <w:jc w:val="both"/>
        <w:ind w:left="640" w:hanging="635"/>
        <w:spacing w:after="0" w:line="257" w:lineRule="auto"/>
        <w:tabs>
          <w:tab w:leader="none" w:pos="620" w:val="left"/>
        </w:tabs>
        <w:rPr>
          <w:sz w:val="20"/>
          <w:szCs w:val="20"/>
          <w:color w:val="auto"/>
        </w:rPr>
      </w:pPr>
      <w:r>
        <w:rPr>
          <w:rFonts w:ascii="Times New Roman" w:cs="Times New Roman" w:eastAsia="Times New Roman" w:hAnsi="Times New Roman"/>
          <w:sz w:val="21"/>
          <w:szCs w:val="21"/>
          <w:color w:val="auto"/>
        </w:rPr>
        <w:t>3.7</w:t>
      </w:r>
      <w:r>
        <w:rPr>
          <w:sz w:val="20"/>
          <w:szCs w:val="20"/>
          <w:color w:val="auto"/>
        </w:rPr>
        <w:tab/>
      </w:r>
      <w:r>
        <w:rPr>
          <w:rFonts w:ascii="Times New Roman" w:cs="Times New Roman" w:eastAsia="Times New Roman" w:hAnsi="Times New Roman"/>
          <w:sz w:val="21"/>
          <w:szCs w:val="21"/>
          <w:u w:val="single" w:color="auto"/>
          <w:color w:val="auto"/>
        </w:rPr>
        <w:t>No Short Sales, Pledges, or Speculative Transactions</w:t>
      </w:r>
      <w:r>
        <w:rPr>
          <w:rFonts w:ascii="Times New Roman" w:cs="Times New Roman" w:eastAsia="Times New Roman" w:hAnsi="Times New Roman"/>
          <w:sz w:val="21"/>
          <w:szCs w:val="21"/>
          <w:color w:val="auto"/>
        </w:rPr>
        <w:t>. No Insider, whether or not he or she possesses Material Non-Public Information, may trade in options, warrants, puts and calls or similar instruments on the Company’s securities or sell such securities “short”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selling stock that is not owned and borrowing the shares to make delivery) (the foregoing does not apply to options to purchase Company stock that may be issued to the Insider by the Company). Such activities may put the personal gain of the Insider in conflict with the best interests of the Company and its securityholders or otherwise give the appearance of impropriety. No ZoomInfo Personnel may engage in any transactions (including variable forward contracts, equity swaps, collars and exchange funds) that are designed to hedge or offset any decrease in the market value of the Company’s equity securities, or pledge the Company’s securities as collateral for a loan.</w:t>
      </w:r>
    </w:p>
    <w:p>
      <w:pPr>
        <w:spacing w:after="0" w:line="124" w:lineRule="exact"/>
        <w:rPr>
          <w:sz w:val="20"/>
          <w:szCs w:val="20"/>
          <w:color w:val="auto"/>
        </w:rPr>
      </w:pPr>
    </w:p>
    <w:p>
      <w:pPr>
        <w:jc w:val="both"/>
        <w:ind w:left="640" w:hanging="634"/>
        <w:spacing w:after="0" w:line="257" w:lineRule="auto"/>
        <w:tabs>
          <w:tab w:leader="none" w:pos="620" w:val="left"/>
        </w:tabs>
        <w:rPr>
          <w:sz w:val="20"/>
          <w:szCs w:val="20"/>
          <w:color w:val="auto"/>
        </w:rPr>
      </w:pPr>
      <w:r>
        <w:rPr>
          <w:rFonts w:ascii="Times New Roman" w:cs="Times New Roman" w:eastAsia="Times New Roman" w:hAnsi="Times New Roman"/>
          <w:sz w:val="21"/>
          <w:szCs w:val="21"/>
          <w:color w:val="auto"/>
        </w:rPr>
        <w:t>3.8</w:t>
      </w:r>
      <w:r>
        <w:rPr>
          <w:sz w:val="20"/>
          <w:szCs w:val="20"/>
          <w:color w:val="auto"/>
        </w:rPr>
        <w:tab/>
      </w:r>
      <w:r>
        <w:rPr>
          <w:rFonts w:ascii="Times New Roman" w:cs="Times New Roman" w:eastAsia="Times New Roman" w:hAnsi="Times New Roman"/>
          <w:sz w:val="21"/>
          <w:szCs w:val="21"/>
          <w:color w:val="auto"/>
        </w:rPr>
        <w:t>An Insider who is aware of Material Non-Public Information when he or she ceases to be an Insider, may not trade in the Company’s securities until that information has become public or is no longer material. This Policy continues in effect for all Permanent Restricted Persons and Other Restricted Persons (each as defined below) until the opening of the first Window Period after termination of employment or other relationship with the Company, except that, unless notified otherwise by the Company, the pre- clearance requirements set forth in Section 5.0 continue to apply to Permanent Restricted Persons for six months after the termination of their status as a Permanent Restricted Person. See Section 5.3. If you have specific questions regarding this Policy, what may constitute Material Non-Public Information or applicable law, please contact the Office of the General Counsel.</w:t>
      </w:r>
    </w:p>
    <w:p>
      <w:pPr>
        <w:spacing w:after="0" w:line="233"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4.0</w:t>
        <w:tab/>
        <w:t>Certain Exceptions and Exemptions</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4.1.</w:t>
      </w:r>
      <w:r>
        <w:rPr>
          <w:sz w:val="20"/>
          <w:szCs w:val="20"/>
          <w:color w:val="auto"/>
        </w:rPr>
        <w:tab/>
      </w:r>
      <w:r>
        <w:rPr>
          <w:rFonts w:ascii="Times New Roman" w:cs="Times New Roman" w:eastAsia="Times New Roman" w:hAnsi="Times New Roman"/>
          <w:sz w:val="21"/>
          <w:szCs w:val="21"/>
          <w:u w:val="single" w:color="auto"/>
          <w:color w:val="auto"/>
        </w:rPr>
        <w:t>Exceptions</w:t>
      </w:r>
      <w:r>
        <w:rPr>
          <w:rFonts w:ascii="Times New Roman" w:cs="Times New Roman" w:eastAsia="Times New Roman" w:hAnsi="Times New Roman"/>
          <w:sz w:val="21"/>
          <w:szCs w:val="21"/>
          <w:color w:val="auto"/>
        </w:rPr>
        <w:t>. The prohibition on trading in the Company’s securities set forth in Section 3.0 above does not apply to:</w:t>
      </w:r>
    </w:p>
    <w:p>
      <w:pPr>
        <w:spacing w:after="0" w:line="169" w:lineRule="exact"/>
        <w:rPr>
          <w:sz w:val="20"/>
          <w:szCs w:val="20"/>
          <w:color w:val="auto"/>
        </w:rPr>
      </w:pPr>
    </w:p>
    <w:p>
      <w:pPr>
        <w:ind w:left="960" w:hanging="314"/>
        <w:spacing w:after="0" w:line="285" w:lineRule="auto"/>
        <w:tabs>
          <w:tab w:leader="none" w:pos="955" w:val="left"/>
        </w:tabs>
        <w:numPr>
          <w:ilvl w:val="0"/>
          <w:numId w:val="1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Transferring shares to an entity that does not involve a change in the beneficial ownership of the shares (for example, to an inter vivos trust of which you are the sole beneficiary during your lifetime).</w:t>
      </w:r>
    </w:p>
    <w:p>
      <w:pPr>
        <w:sectPr>
          <w:pgSz w:w="11900" w:h="16838" w:orient="portrait"/>
          <w:cols w:equalWidth="0" w:num="1">
            <w:col w:w="10800"/>
          </w:cols>
          <w:pgMar w:left="440" w:top="1440" w:right="659" w:bottom="1440" w:gutter="0" w:footer="0" w:header="0"/>
        </w:sectPr>
      </w:pPr>
    </w:p>
    <w:bookmarkStart w:id="185" w:name="page186"/>
    <w:bookmarkEnd w:id="185"/>
    <w:p>
      <w:pPr>
        <w:spacing w:after="0" w:line="35" w:lineRule="exact"/>
        <w:rPr>
          <w:sz w:val="20"/>
          <w:szCs w:val="20"/>
          <w:color w:val="auto"/>
        </w:rPr>
      </w:pPr>
    </w:p>
    <w:p>
      <w:pPr>
        <w:jc w:val="both"/>
        <w:ind w:left="314" w:hanging="314"/>
        <w:spacing w:after="0" w:line="266" w:lineRule="auto"/>
        <w:tabs>
          <w:tab w:leader="none" w:pos="309"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exercise of stock options (including any net-settled stock option exercise) pursuant to our stock plans;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the sale of any stock acquired upon such exercise, including as part of a broker-assisted cashless exercise of an option or any other market sale for the purpose of generating the cash needed to pay the exercise price of an option or to satisfy tax withholding requirements, is subject to this Policy</w:t>
      </w:r>
      <w:r>
        <w:rPr>
          <w:rFonts w:ascii="Times New Roman" w:cs="Times New Roman" w:eastAsia="Times New Roman" w:hAnsi="Times New Roman"/>
          <w:sz w:val="21"/>
          <w:szCs w:val="21"/>
          <w:color w:val="auto"/>
        </w:rPr>
        <w:t>.</w:t>
      </w:r>
    </w:p>
    <w:p>
      <w:pPr>
        <w:spacing w:after="0" w:line="110" w:lineRule="exact"/>
        <w:rPr>
          <w:rFonts w:ascii="Times New Roman" w:cs="Times New Roman" w:eastAsia="Times New Roman" w:hAnsi="Times New Roman"/>
          <w:sz w:val="21"/>
          <w:szCs w:val="21"/>
          <w:color w:val="auto"/>
        </w:rPr>
      </w:pPr>
    </w:p>
    <w:p>
      <w:pPr>
        <w:jc w:val="both"/>
        <w:ind w:left="314" w:hanging="314"/>
        <w:spacing w:after="0" w:line="267" w:lineRule="auto"/>
        <w:tabs>
          <w:tab w:leader="none" w:pos="309"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withholding (whether mandated by the Company (including a mandatory “sell to cover” on Participant’s behalf (without further authorization)) or pursuant to a tax withholding right) of shares of restricted stock, shares underlying restricted stock units or shares subject to an option to satisfy tax withholding requirements.</w:t>
      </w:r>
    </w:p>
    <w:p>
      <w:pPr>
        <w:spacing w:after="0" w:line="121" w:lineRule="exact"/>
        <w:rPr>
          <w:rFonts w:ascii="Times New Roman" w:cs="Times New Roman" w:eastAsia="Times New Roman" w:hAnsi="Times New Roman"/>
          <w:sz w:val="21"/>
          <w:szCs w:val="21"/>
          <w:color w:val="auto"/>
        </w:rPr>
      </w:pPr>
    </w:p>
    <w:p>
      <w:pPr>
        <w:ind w:left="314" w:hanging="314"/>
        <w:spacing w:after="0" w:line="285" w:lineRule="auto"/>
        <w:tabs>
          <w:tab w:leader="none" w:pos="309"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execution of transactions pursuant to a trading plan that complies with SEC Rule 10b5-1 and which has been approved by the Company. See Section 6.1.</w:t>
      </w:r>
    </w:p>
    <w:p>
      <w:pPr>
        <w:spacing w:after="0" w:line="88" w:lineRule="exact"/>
        <w:rPr>
          <w:rFonts w:ascii="Times New Roman" w:cs="Times New Roman" w:eastAsia="Times New Roman" w:hAnsi="Times New Roman"/>
          <w:sz w:val="21"/>
          <w:szCs w:val="21"/>
          <w:color w:val="auto"/>
        </w:rPr>
      </w:pPr>
    </w:p>
    <w:p>
      <w:pPr>
        <w:ind w:left="314" w:hanging="314"/>
        <w:spacing w:after="0" w:line="285" w:lineRule="auto"/>
        <w:tabs>
          <w:tab w:leader="none" w:pos="309"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Sales of the Company’s securities as a selling stockholder in a registered public offering in accordance with applicable securities laws.</w:t>
      </w:r>
    </w:p>
    <w:p>
      <w:pPr>
        <w:spacing w:after="0" w:line="88" w:lineRule="exact"/>
        <w:rPr>
          <w:rFonts w:ascii="Times New Roman" w:cs="Times New Roman" w:eastAsia="Times New Roman" w:hAnsi="Times New Roman"/>
          <w:sz w:val="21"/>
          <w:szCs w:val="21"/>
          <w:color w:val="auto"/>
        </w:rPr>
      </w:pPr>
    </w:p>
    <w:p>
      <w:pPr>
        <w:jc w:val="both"/>
        <w:ind w:left="314" w:hanging="314"/>
        <w:spacing w:after="0" w:line="266" w:lineRule="auto"/>
        <w:tabs>
          <w:tab w:leader="none" w:pos="309"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To the extent the Company offers its securities as an investment option in the Company’s 401(k) plan, the purchase of stock through the Company’s 401(k) plan through regular payroll deductions; </w:t>
      </w:r>
      <w:r>
        <w:rPr>
          <w:rFonts w:ascii="Times New Roman" w:cs="Times New Roman" w:eastAsia="Times New Roman" w:hAnsi="Times New Roman"/>
          <w:sz w:val="21"/>
          <w:szCs w:val="21"/>
          <w:i w:val="1"/>
          <w:iCs w:val="1"/>
          <w:color w:val="auto"/>
        </w:rPr>
        <w:t>however, the sale of any such stock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and the election to transfer funds into or out of, or a loan with respect to amounts invested in, the stock fund is subject to this Policy.</w:t>
      </w:r>
    </w:p>
    <w:p>
      <w:pPr>
        <w:spacing w:after="0" w:line="108" w:lineRule="exact"/>
        <w:rPr>
          <w:rFonts w:ascii="Times New Roman" w:cs="Times New Roman" w:eastAsia="Times New Roman" w:hAnsi="Times New Roman"/>
          <w:sz w:val="21"/>
          <w:szCs w:val="21"/>
          <w:color w:val="auto"/>
        </w:rPr>
      </w:pPr>
    </w:p>
    <w:p>
      <w:pPr>
        <w:jc w:val="both"/>
        <w:ind w:left="314" w:hanging="314"/>
        <w:spacing w:after="0" w:line="266" w:lineRule="auto"/>
        <w:tabs>
          <w:tab w:leader="none" w:pos="309"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Company offers its securities as an investment option in an employee stock purchase plan, the purchase of stock through the Company’s employee stock purchase plan</w:t>
      </w:r>
      <w:r>
        <w:rPr>
          <w:rFonts w:ascii="Times New Roman" w:cs="Times New Roman" w:eastAsia="Times New Roman" w:hAnsi="Times New Roman"/>
          <w:sz w:val="21"/>
          <w:szCs w:val="21"/>
          <w:i w:val="1"/>
          <w:iCs w:val="1"/>
          <w:color w:val="auto"/>
        </w:rPr>
        <w:t>; however, elections to participate in such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plan, the sale of any such stock and changing instructions regarding the level of withholding contributions which are used to purchase stock is subject to this Policy</w:t>
      </w:r>
      <w:r>
        <w:rPr>
          <w:rFonts w:ascii="Times New Roman" w:cs="Times New Roman" w:eastAsia="Times New Roman" w:hAnsi="Times New Roman"/>
          <w:sz w:val="21"/>
          <w:szCs w:val="21"/>
          <w:color w:val="auto"/>
        </w:rPr>
        <w:t>.</w:t>
      </w:r>
    </w:p>
    <w:p>
      <w:pPr>
        <w:spacing w:after="0" w:line="104" w:lineRule="exact"/>
        <w:rPr>
          <w:rFonts w:ascii="Times New Roman" w:cs="Times New Roman" w:eastAsia="Times New Roman" w:hAnsi="Times New Roman"/>
          <w:sz w:val="21"/>
          <w:szCs w:val="21"/>
          <w:color w:val="auto"/>
        </w:rPr>
      </w:pPr>
    </w:p>
    <w:p>
      <w:pPr>
        <w:jc w:val="both"/>
        <w:ind w:left="314" w:hanging="314"/>
        <w:spacing w:after="0" w:line="263" w:lineRule="auto"/>
        <w:tabs>
          <w:tab w:leader="none" w:pos="309" w:val="left"/>
        </w:tabs>
        <w:numPr>
          <w:ilvl w:val="0"/>
          <w:numId w:val="1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extent the Company offers a dividend reinvestment plan (“</w:t>
      </w:r>
      <w:r>
        <w:rPr>
          <w:rFonts w:ascii="Times New Roman" w:cs="Times New Roman" w:eastAsia="Times New Roman" w:hAnsi="Times New Roman"/>
          <w:sz w:val="21"/>
          <w:szCs w:val="21"/>
          <w:b w:val="1"/>
          <w:bCs w:val="1"/>
          <w:i w:val="1"/>
          <w:iCs w:val="1"/>
          <w:color w:val="auto"/>
        </w:rPr>
        <w:t>DRIP</w:t>
      </w:r>
      <w:r>
        <w:rPr>
          <w:rFonts w:ascii="Times New Roman" w:cs="Times New Roman" w:eastAsia="Times New Roman" w:hAnsi="Times New Roman"/>
          <w:sz w:val="21"/>
          <w:szCs w:val="21"/>
          <w:color w:val="auto"/>
        </w:rPr>
        <w:t xml:space="preserve">”), the purchase of stock through the DRIP resulting from reinvestment of dividends paid on the Company’s securities; </w:t>
      </w:r>
      <w:r>
        <w:rPr>
          <w:rFonts w:ascii="Times New Roman" w:cs="Times New Roman" w:eastAsia="Times New Roman" w:hAnsi="Times New Roman"/>
          <w:sz w:val="21"/>
          <w:szCs w:val="21"/>
          <w:i w:val="1"/>
          <w:iCs w:val="1"/>
          <w:color w:val="auto"/>
        </w:rPr>
        <w:t>however, (i) a voluntary purchase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Company’s securities that results from additional contributions a participant chooses to make to the DRIP, and to a participant’s election to participate, cease participation or otherwise alter a participation in the DRIP, and (ii) a participant’s sale of any of the Company’s securities purchased pursuant to the DRIP, are subject to this Policy.</w:t>
      </w:r>
    </w:p>
    <w:p>
      <w:pPr>
        <w:sectPr>
          <w:pgSz w:w="11900" w:h="16838" w:orient="portrait"/>
          <w:cols w:equalWidth="0" w:num="1">
            <w:col w:w="10154"/>
          </w:cols>
          <w:pgMar w:left="1086" w:top="1440" w:right="659" w:bottom="1440" w:gutter="0" w:footer="0" w:header="0"/>
        </w:sectPr>
      </w:pPr>
    </w:p>
    <w:bookmarkStart w:id="186" w:name="page187"/>
    <w:bookmarkEnd w:id="186"/>
    <w:p>
      <w:pPr>
        <w:spacing w:after="0" w:line="38" w:lineRule="exact"/>
        <w:rPr>
          <w:sz w:val="20"/>
          <w:szCs w:val="20"/>
          <w:color w:val="auto"/>
        </w:rPr>
      </w:pPr>
    </w:p>
    <w:p>
      <w:pPr>
        <w:jc w:val="both"/>
        <w:ind w:left="680" w:hanging="671"/>
        <w:spacing w:after="0" w:line="257" w:lineRule="auto"/>
        <w:tabs>
          <w:tab w:leader="none" w:pos="660" w:val="left"/>
        </w:tabs>
        <w:rPr>
          <w:sz w:val="20"/>
          <w:szCs w:val="20"/>
          <w:color w:val="auto"/>
        </w:rPr>
      </w:pPr>
      <w:r>
        <w:rPr>
          <w:rFonts w:ascii="Times New Roman" w:cs="Times New Roman" w:eastAsia="Times New Roman" w:hAnsi="Times New Roman"/>
          <w:sz w:val="21"/>
          <w:szCs w:val="21"/>
          <w:color w:val="auto"/>
        </w:rPr>
        <w:t>4.2.</w:t>
      </w:r>
      <w:r>
        <w:rPr>
          <w:sz w:val="20"/>
          <w:szCs w:val="20"/>
          <w:color w:val="auto"/>
        </w:rPr>
        <w:tab/>
      </w:r>
      <w:r>
        <w:rPr>
          <w:rFonts w:ascii="Times New Roman" w:cs="Times New Roman" w:eastAsia="Times New Roman" w:hAnsi="Times New Roman"/>
          <w:sz w:val="21"/>
          <w:szCs w:val="21"/>
          <w:u w:val="single" w:color="auto"/>
          <w:color w:val="auto"/>
        </w:rPr>
        <w:t>Certain Exemptions</w:t>
      </w:r>
      <w:r>
        <w:rPr>
          <w:rFonts w:ascii="Times New Roman" w:cs="Times New Roman" w:eastAsia="Times New Roman" w:hAnsi="Times New Roman"/>
          <w:sz w:val="21"/>
          <w:szCs w:val="21"/>
          <w:color w:val="auto"/>
        </w:rPr>
        <w:t>. Those subject to the Window Periods or a blackout pursuant to Section 5.0 may request a</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hardship exemption for periods outside the Window Periods or during a blackout, as applicable, if they are not in possession of Material Non-Public Information and are not otherwise prohibited from trading pursuant to this Policy. Hardship exemptions are granted infrequently and only in exceptional circumstances. Any request for a hardship exemption should be made to the Office of the General Counsel. In addition, the Office of the General Counsel (or, in the case of an exception for a member the Office of the General Counsel or persons or entities subject to this policy as a result of their relationship with the General Counsel, the Chief Financial Officer), may request an exemption for gifts outside of Window Periods or during a blackout, as applicable, if they are not in possession of Material Non-Public Information and are not otherwise prohibited from trading pursuant to this Policy.</w:t>
      </w:r>
    </w:p>
    <w:p>
      <w:pPr>
        <w:spacing w:after="0" w:line="22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5.0</w:t>
        <w:tab/>
        <w:t>Trading Windows and Pre-Clearance</w:t>
      </w:r>
    </w:p>
    <w:p>
      <w:pPr>
        <w:spacing w:after="0" w:line="173" w:lineRule="exact"/>
        <w:rPr>
          <w:sz w:val="20"/>
          <w:szCs w:val="20"/>
          <w:color w:val="auto"/>
        </w:rPr>
      </w:pPr>
    </w:p>
    <w:p>
      <w:pPr>
        <w:jc w:val="both"/>
        <w:ind w:left="640" w:hanging="635"/>
        <w:spacing w:after="0" w:line="259" w:lineRule="auto"/>
        <w:tabs>
          <w:tab w:leader="none" w:pos="620" w:val="left"/>
        </w:tabs>
        <w:rPr>
          <w:sz w:val="20"/>
          <w:szCs w:val="20"/>
          <w:color w:val="auto"/>
        </w:rPr>
      </w:pPr>
      <w:r>
        <w:rPr>
          <w:rFonts w:ascii="Times New Roman" w:cs="Times New Roman" w:eastAsia="Times New Roman" w:hAnsi="Times New Roman"/>
          <w:sz w:val="21"/>
          <w:szCs w:val="21"/>
          <w:color w:val="auto"/>
        </w:rPr>
        <w:t>5.1.</w:t>
      </w:r>
      <w:r>
        <w:rPr>
          <w:sz w:val="20"/>
          <w:szCs w:val="20"/>
          <w:color w:val="auto"/>
        </w:rPr>
        <w:tab/>
      </w:r>
      <w:r>
        <w:rPr>
          <w:rFonts w:ascii="Times New Roman" w:cs="Times New Roman" w:eastAsia="Times New Roman" w:hAnsi="Times New Roman"/>
          <w:sz w:val="21"/>
          <w:szCs w:val="21"/>
          <w:u w:val="single" w:color="auto"/>
          <w:color w:val="auto"/>
        </w:rPr>
        <w:t>Window Periods</w:t>
      </w:r>
      <w:r>
        <w:rPr>
          <w:rFonts w:ascii="Times New Roman" w:cs="Times New Roman" w:eastAsia="Times New Roman" w:hAnsi="Times New Roman"/>
          <w:sz w:val="21"/>
          <w:szCs w:val="21"/>
          <w:color w:val="auto"/>
        </w:rPr>
        <w:t>. The Company has established four “windows” of time during the fiscal year during which Insiders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are permitted to trade in the Company’s securities (“</w:t>
      </w:r>
      <w:r>
        <w:rPr>
          <w:rFonts w:ascii="Times New Roman" w:cs="Times New Roman" w:eastAsia="Times New Roman" w:hAnsi="Times New Roman"/>
          <w:sz w:val="21"/>
          <w:szCs w:val="21"/>
          <w:b w:val="1"/>
          <w:bCs w:val="1"/>
          <w:i w:val="1"/>
          <w:iCs w:val="1"/>
          <w:color w:val="auto"/>
        </w:rPr>
        <w:t>Window Periods</w:t>
      </w:r>
      <w:r>
        <w:rPr>
          <w:rFonts w:ascii="Times New Roman" w:cs="Times New Roman" w:eastAsia="Times New Roman" w:hAnsi="Times New Roman"/>
          <w:sz w:val="21"/>
          <w:szCs w:val="21"/>
          <w:color w:val="auto"/>
        </w:rPr>
        <w:t>”). Each Window Period begins after at least one full trading session on the Nasdaq after the date on which the Company makes a public news release of its quarterly or annual earnings for the prior fiscal quarter or year. Assuming the Nasdaq is open each day, the following illustrates when Insiders may trade after the Company’s public news release of its quarterly or annual earnings fiscal quarter for the prior fiscal quarter or year:</w:t>
      </w:r>
    </w:p>
    <w:p>
      <w:pPr>
        <w:spacing w:after="0" w:line="119" w:lineRule="exact"/>
        <w:rPr>
          <w:sz w:val="20"/>
          <w:szCs w:val="20"/>
          <w:color w:val="auto"/>
        </w:rPr>
      </w:pPr>
    </w:p>
    <w:p>
      <w:pPr>
        <w:ind w:left="1280"/>
        <w:spacing w:after="0"/>
        <w:tabs>
          <w:tab w:leader="none" w:pos="3800" w:val="left"/>
        </w:tabs>
        <w:rPr>
          <w:sz w:val="20"/>
          <w:szCs w:val="20"/>
          <w:color w:val="auto"/>
        </w:rPr>
      </w:pPr>
      <w:r>
        <w:rPr>
          <w:rFonts w:ascii="Times New Roman" w:cs="Times New Roman" w:eastAsia="Times New Roman" w:hAnsi="Times New Roman"/>
          <w:sz w:val="21"/>
          <w:szCs w:val="21"/>
          <w:u w:val="single" w:color="auto"/>
          <w:color w:val="auto"/>
        </w:rPr>
        <w:t>Announcement on Tuesday</w:t>
        <w:tab/>
        <w:t>First Day of Trading</w:t>
      </w:r>
    </w:p>
    <w:p>
      <w:pPr>
        <w:sectPr>
          <w:pgSz w:w="11900" w:h="16838" w:orient="portrait"/>
          <w:cols w:equalWidth="0" w:num="1">
            <w:col w:w="10800"/>
          </w:cols>
          <w:pgMar w:left="440" w:top="1440" w:right="659" w:bottom="1440" w:gutter="0" w:footer="0" w:header="0"/>
        </w:sectPr>
      </w:pPr>
    </w:p>
    <w:p>
      <w:pPr>
        <w:spacing w:after="0" w:line="169"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Before market opens</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Wednesday</w:t>
      </w:r>
    </w:p>
    <w:p>
      <w:pPr>
        <w:spacing w:after="0" w:line="194" w:lineRule="exact"/>
        <w:rPr>
          <w:sz w:val="20"/>
          <w:szCs w:val="20"/>
          <w:color w:val="auto"/>
        </w:rPr>
      </w:pPr>
    </w:p>
    <w:p>
      <w:pPr>
        <w:sectPr>
          <w:pgSz w:w="11900" w:h="16838" w:orient="portrait"/>
          <w:cols w:equalWidth="0" w:num="2">
            <w:col w:w="3040" w:space="220"/>
            <w:col w:w="7540"/>
          </w:cols>
          <w:pgMar w:left="440" w:top="1440" w:right="65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21"/>
          <w:szCs w:val="21"/>
          <w:color w:val="auto"/>
        </w:rPr>
        <w:t>While market is open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Thursday</w:t>
      </w:r>
    </w:p>
    <w:p>
      <w:pPr>
        <w:spacing w:after="0" w:line="169" w:lineRule="exact"/>
        <w:rPr>
          <w:sz w:val="20"/>
          <w:szCs w:val="20"/>
          <w:color w:val="auto"/>
        </w:rPr>
      </w:pPr>
    </w:p>
    <w:p>
      <w:pPr>
        <w:sectPr>
          <w:pgSz w:w="11900" w:h="16838" w:orient="portrait"/>
          <w:cols w:equalWidth="0" w:num="2">
            <w:col w:w="3100" w:space="200"/>
            <w:col w:w="7500"/>
          </w:cols>
          <w:pgMar w:left="440" w:top="1440" w:right="659" w:bottom="1440" w:gutter="0" w:footer="0" w:header="0"/>
          <w:type w:val="continuous"/>
        </w:sectPr>
      </w:pPr>
    </w:p>
    <w:p>
      <w:pPr>
        <w:ind w:left="1280"/>
        <w:spacing w:after="0"/>
        <w:rPr>
          <w:sz w:val="20"/>
          <w:szCs w:val="20"/>
          <w:color w:val="auto"/>
        </w:rPr>
      </w:pPr>
      <w:r>
        <w:rPr>
          <w:rFonts w:ascii="Times New Roman" w:cs="Times New Roman" w:eastAsia="Times New Roman" w:hAnsi="Times New Roman"/>
          <w:sz w:val="21"/>
          <w:szCs w:val="21"/>
          <w:color w:val="auto"/>
        </w:rPr>
        <w:t>After market closes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Thursday</w:t>
      </w:r>
    </w:p>
    <w:p>
      <w:pPr>
        <w:spacing w:after="0" w:line="169" w:lineRule="exact"/>
        <w:rPr>
          <w:sz w:val="20"/>
          <w:szCs w:val="20"/>
          <w:color w:val="auto"/>
        </w:rPr>
      </w:pPr>
    </w:p>
    <w:p>
      <w:pPr>
        <w:sectPr>
          <w:pgSz w:w="11900" w:h="16838" w:orient="portrait"/>
          <w:cols w:equalWidth="0" w:num="2">
            <w:col w:w="2940" w:space="200"/>
            <w:col w:w="7660"/>
          </w:cols>
          <w:pgMar w:left="440" w:top="1440" w:right="659" w:bottom="1440" w:gutter="0" w:footer="0" w:header="0"/>
          <w:type w:val="continuous"/>
        </w:sectPr>
      </w:pPr>
    </w:p>
    <w:p>
      <w:pPr>
        <w:jc w:val="both"/>
        <w:ind w:left="640"/>
        <w:spacing w:after="0" w:line="266" w:lineRule="auto"/>
        <w:rPr>
          <w:sz w:val="20"/>
          <w:szCs w:val="20"/>
          <w:color w:val="auto"/>
        </w:rPr>
      </w:pPr>
      <w:r>
        <w:rPr>
          <w:rFonts w:ascii="Times New Roman" w:cs="Times New Roman" w:eastAsia="Times New Roman" w:hAnsi="Times New Roman"/>
          <w:sz w:val="21"/>
          <w:szCs w:val="21"/>
          <w:color w:val="auto"/>
        </w:rPr>
        <w:t>The last day of each Window Period is the 15th day of the last month of the then current fiscal quarter. After the close of the Window Period, except as set forth in Section 4.0 above or 6.1 below, Insiders may not trade in any of the Company’s securities at least until the start of the next Window Period. The prohibition against trading while aware of, or tipping of, Material Non-Public Information applies even during a Window Period.</w:t>
      </w:r>
    </w:p>
    <w:p>
      <w:pPr>
        <w:spacing w:after="0" w:line="109" w:lineRule="exact"/>
        <w:rPr>
          <w:sz w:val="20"/>
          <w:szCs w:val="20"/>
          <w:color w:val="auto"/>
        </w:rPr>
      </w:pPr>
    </w:p>
    <w:p>
      <w:pPr>
        <w:jc w:val="both"/>
        <w:ind w:left="640"/>
        <w:spacing w:after="0" w:line="267" w:lineRule="auto"/>
        <w:rPr>
          <w:sz w:val="20"/>
          <w:szCs w:val="20"/>
          <w:color w:val="auto"/>
        </w:rPr>
      </w:pPr>
      <w:r>
        <w:rPr>
          <w:rFonts w:ascii="Times New Roman" w:cs="Times New Roman" w:eastAsia="Times New Roman" w:hAnsi="Times New Roman"/>
          <w:sz w:val="21"/>
          <w:szCs w:val="21"/>
          <w:color w:val="auto"/>
        </w:rPr>
        <w:t>For example, if during a Window Period, a material acquisition or divestiture is pending or a forthcoming publication in the financial press may affect the relevant securities market, you may not trade in the Company’s securities. You must consult the Office of the General Counsel whenever you are in doubt.</w:t>
      </w:r>
    </w:p>
    <w:p>
      <w:pPr>
        <w:sectPr>
          <w:pgSz w:w="11900" w:h="16838" w:orient="portrait"/>
          <w:cols w:equalWidth="0" w:num="1">
            <w:col w:w="10800"/>
          </w:cols>
          <w:pgMar w:left="440" w:top="1440" w:right="659" w:bottom="1440" w:gutter="0" w:footer="0" w:header="0"/>
          <w:type w:val="continuous"/>
        </w:sectPr>
      </w:pPr>
    </w:p>
    <w:bookmarkStart w:id="187" w:name="page188"/>
    <w:bookmarkEnd w:id="187"/>
    <w:p>
      <w:pPr>
        <w:spacing w:after="0" w:line="37" w:lineRule="exact"/>
        <w:rPr>
          <w:sz w:val="20"/>
          <w:szCs w:val="20"/>
          <w:color w:val="auto"/>
        </w:rPr>
      </w:pPr>
    </w:p>
    <w:p>
      <w:pPr>
        <w:jc w:val="both"/>
        <w:ind w:hanging="635"/>
        <w:spacing w:after="0" w:line="266" w:lineRule="auto"/>
        <w:rPr>
          <w:sz w:val="20"/>
          <w:szCs w:val="20"/>
          <w:color w:val="auto"/>
        </w:rPr>
      </w:pPr>
      <w:r>
        <w:rPr>
          <w:rFonts w:ascii="Times New Roman" w:cs="Times New Roman" w:eastAsia="Times New Roman" w:hAnsi="Times New Roman"/>
          <w:sz w:val="21"/>
          <w:szCs w:val="21"/>
          <w:color w:val="auto"/>
        </w:rPr>
        <w:t>5.2.</w:t>
      </w:r>
      <w:r>
        <w:rPr>
          <w:sz w:val="20"/>
          <w:szCs w:val="20"/>
          <w:color w:val="auto"/>
        </w:rPr>
        <w:t xml:space="preserve"> </w:t>
      </w:r>
      <w:r>
        <w:rPr>
          <w:rFonts w:ascii="Times New Roman" w:cs="Times New Roman" w:eastAsia="Times New Roman" w:hAnsi="Times New Roman"/>
          <w:sz w:val="21"/>
          <w:szCs w:val="21"/>
          <w:u w:val="single" w:color="auto"/>
          <w:color w:val="auto"/>
        </w:rPr>
        <w:t>Notification of Window Periods</w:t>
      </w:r>
      <w:r>
        <w:rPr>
          <w:rFonts w:ascii="Times New Roman" w:cs="Times New Roman" w:eastAsia="Times New Roman" w:hAnsi="Times New Roman"/>
          <w:sz w:val="21"/>
          <w:szCs w:val="21"/>
          <w:color w:val="auto"/>
        </w:rPr>
        <w:t>. In order to assist you in complying with this Policy, the Company will endeavor to</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deliver an e-mail (or other communication) notifying all ZoomInfo Personnel when the Window Period has opened and when the Window Period closes. The Company’s delivery or non-delivery of these e-mails (or other communication) does not relieve you of your obligation to only trade in the Company’s securities in full compliance with this Policy.</w:t>
      </w:r>
    </w:p>
    <w:p>
      <w:pPr>
        <w:spacing w:after="0" w:line="109" w:lineRule="exact"/>
        <w:rPr>
          <w:sz w:val="20"/>
          <w:szCs w:val="20"/>
          <w:color w:val="auto"/>
        </w:rPr>
      </w:pPr>
    </w:p>
    <w:p>
      <w:pPr>
        <w:jc w:val="both"/>
        <w:ind w:hanging="635"/>
        <w:spacing w:after="0" w:line="255" w:lineRule="auto"/>
        <w:rPr>
          <w:sz w:val="20"/>
          <w:szCs w:val="20"/>
          <w:color w:val="auto"/>
        </w:rPr>
      </w:pPr>
      <w:r>
        <w:rPr>
          <w:rFonts w:ascii="Times New Roman" w:cs="Times New Roman" w:eastAsia="Times New Roman" w:hAnsi="Times New Roman"/>
          <w:sz w:val="21"/>
          <w:szCs w:val="21"/>
          <w:color w:val="auto"/>
        </w:rPr>
        <w:t>5.3.</w:t>
      </w:r>
      <w:r>
        <w:rPr>
          <w:sz w:val="20"/>
          <w:szCs w:val="20"/>
          <w:color w:val="auto"/>
        </w:rPr>
        <w:t xml:space="preserve"> </w:t>
      </w:r>
      <w:r>
        <w:rPr>
          <w:rFonts w:ascii="Times New Roman" w:cs="Times New Roman" w:eastAsia="Times New Roman" w:hAnsi="Times New Roman"/>
          <w:sz w:val="21"/>
          <w:szCs w:val="21"/>
          <w:u w:val="single" w:color="auto"/>
          <w:color w:val="auto"/>
        </w:rPr>
        <w:t>Pre-Clearance Procedures</w:t>
      </w:r>
      <w:r>
        <w:rPr>
          <w:rFonts w:ascii="Times New Roman" w:cs="Times New Roman" w:eastAsia="Times New Roman" w:hAnsi="Times New Roman"/>
          <w:sz w:val="21"/>
          <w:szCs w:val="21"/>
          <w:color w:val="auto"/>
        </w:rPr>
        <w:t>. Subject to Section 6.1, Permanent Restricted Persons and Other Restricted Persons (defined</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 xml:space="preserve">below) must obtain the advance approval of the Office </w:t>
      </w:r>
      <w:r>
        <w:rPr>
          <w:rFonts w:ascii="Times New Roman" w:cs="Times New Roman" w:eastAsia="Times New Roman" w:hAnsi="Times New Roman"/>
          <w:sz w:val="21"/>
          <w:szCs w:val="21"/>
          <w:u w:val="single" w:color="auto"/>
          <w:color w:val="auto"/>
        </w:rPr>
        <w:t>Pre-Clearance Procedures</w:t>
      </w:r>
      <w:r>
        <w:rPr>
          <w:rFonts w:ascii="Times New Roman" w:cs="Times New Roman" w:eastAsia="Times New Roman" w:hAnsi="Times New Roman"/>
          <w:sz w:val="21"/>
          <w:szCs w:val="21"/>
          <w:color w:val="auto"/>
        </w:rPr>
        <w:t xml:space="preserve">. Subject to Section 6.1, Permanent Restricted Persons and Other Restricted Persons (defined below) must obtain the advance approval of the Office of the General Counsel in accordance with this Section 5.3 before effecting transactions in the Company’s securities, including any exercise of an option (whether cashless or otherwise), gifts, loans, rights or warrant to purchase or sell such securities, contribution to a trust or other transfers, whether the transaction is for the individual’s own account, one over which he or she exercises control, or one in which he or she has a beneficial interest. Permanent Restricted Persons and Other Restricted Persons must submit a request for pre-clearance at least two business days in advance of the proposed transaction (two weeks in the case of using shares as collateral for a loan (see Section 6.2)) by completing the attached “Request for Approval” form. Approval must be in writing, specifying the securities involved. </w:t>
      </w:r>
      <w:r>
        <w:rPr>
          <w:rFonts w:ascii="Times New Roman" w:cs="Times New Roman" w:eastAsia="Times New Roman" w:hAnsi="Times New Roman"/>
          <w:sz w:val="21"/>
          <w:szCs w:val="21"/>
          <w:b w:val="1"/>
          <w:bCs w:val="1"/>
          <w:color w:val="auto"/>
        </w:rPr>
        <w:t>Approval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for transactions of the Company’s securities will generally be granted only during a Window Period (described in Section 5.1 above) and the transaction may only be performed during the Window Period in which the approval was granted and in any event within two business days from the date of approval. </w:t>
      </w:r>
      <w:r>
        <w:rPr>
          <w:rFonts w:ascii="Times New Roman" w:cs="Times New Roman" w:eastAsia="Times New Roman" w:hAnsi="Times New Roman"/>
          <w:sz w:val="21"/>
          <w:szCs w:val="21"/>
          <w:color w:val="auto"/>
        </w:rPr>
        <w:t>Unless notified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otherwise by the Company, Permanent Restricted Persons must comply with these pre-clearance requirements for six months after the termination of their status as a Permanent Restricted Person.</w:t>
      </w:r>
    </w:p>
    <w:p>
      <w:pPr>
        <w:spacing w:after="0" w:line="122" w:lineRule="exact"/>
        <w:rPr>
          <w:sz w:val="20"/>
          <w:szCs w:val="20"/>
          <w:color w:val="auto"/>
        </w:rPr>
      </w:pPr>
    </w:p>
    <w:p>
      <w:pPr>
        <w:jc w:val="both"/>
        <w:ind w:left="1280" w:hanging="638"/>
        <w:spacing w:after="0" w:line="269" w:lineRule="auto"/>
        <w:tabs>
          <w:tab w:leader="none" w:pos="1268"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Permanent Restricted Persons</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b w:val="1"/>
          <w:bCs w:val="1"/>
          <w:i w:val="1"/>
          <w:iCs w:val="1"/>
          <w:color w:val="auto"/>
        </w:rPr>
        <w:t>Permanent Restricted Persons</w:t>
      </w:r>
      <w:r>
        <w:rPr>
          <w:rFonts w:ascii="Times New Roman" w:cs="Times New Roman" w:eastAsia="Times New Roman" w:hAnsi="Times New Roman"/>
          <w:sz w:val="21"/>
          <w:szCs w:val="21"/>
          <w:color w:val="auto"/>
        </w:rPr>
        <w:t>” means Section 16 Persons, family members of Section 16 Persons and trusts, corporations and other entities controlled by Section 16 Persons.</w:t>
      </w:r>
    </w:p>
    <w:p>
      <w:pPr>
        <w:spacing w:after="0" w:line="106" w:lineRule="exact"/>
        <w:rPr>
          <w:rFonts w:ascii="Times New Roman" w:cs="Times New Roman" w:eastAsia="Times New Roman" w:hAnsi="Times New Roman"/>
          <w:sz w:val="21"/>
          <w:szCs w:val="21"/>
          <w:color w:val="auto"/>
        </w:rPr>
      </w:pPr>
    </w:p>
    <w:p>
      <w:pPr>
        <w:jc w:val="both"/>
        <w:ind w:left="1280" w:hanging="638"/>
        <w:spacing w:after="0" w:line="257" w:lineRule="auto"/>
        <w:tabs>
          <w:tab w:leader="none" w:pos="1274" w:val="left"/>
        </w:tabs>
        <w:numPr>
          <w:ilvl w:val="0"/>
          <w:numId w:val="1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Other Restricted Persons</w:t>
      </w:r>
      <w:r>
        <w:rPr>
          <w:rFonts w:ascii="Times New Roman" w:cs="Times New Roman" w:eastAsia="Times New Roman" w:hAnsi="Times New Roman"/>
          <w:sz w:val="21"/>
          <w:szCs w:val="21"/>
          <w:color w:val="auto"/>
        </w:rPr>
        <w:t>. From time to time, the Company will notify persons other than Permanent Restricted Persons that they are subject to the pre-clearance requirements set forth in this Section 5.3 if the Company believes that, in the normal course of their duties, they are likely to have regular access to Material Non-Public Information (“</w:t>
      </w:r>
      <w:r>
        <w:rPr>
          <w:rFonts w:ascii="Times New Roman" w:cs="Times New Roman" w:eastAsia="Times New Roman" w:hAnsi="Times New Roman"/>
          <w:sz w:val="21"/>
          <w:szCs w:val="21"/>
          <w:b w:val="1"/>
          <w:bCs w:val="1"/>
          <w:i w:val="1"/>
          <w:iCs w:val="1"/>
          <w:color w:val="auto"/>
        </w:rPr>
        <w:t>Other Restricted Persons</w:t>
      </w:r>
      <w:r>
        <w:rPr>
          <w:rFonts w:ascii="Times New Roman" w:cs="Times New Roman" w:eastAsia="Times New Roman" w:hAnsi="Times New Roman"/>
          <w:sz w:val="21"/>
          <w:szCs w:val="21"/>
          <w:color w:val="auto"/>
        </w:rPr>
        <w:t>”). Examples of such persons include other corporate officers and employees such as those working in Sales and Marketing, Legal, Finance, Information Technology and Corporate Development Departments, family members of any of such persons and trusts, corporations and other entities influenced or controlled by any of such persons, and certain key support employees. Occasionally, certain individuals may have access to Material Non-Public Information for a limited period of time. During such a period, such persons may be</w:t>
      </w:r>
    </w:p>
    <w:p>
      <w:pPr>
        <w:sectPr>
          <w:pgSz w:w="11900" w:h="16838" w:orient="portrait"/>
          <w:cols w:equalWidth="0" w:num="1">
            <w:col w:w="10160"/>
          </w:cols>
          <w:pgMar w:left="1080" w:top="1440" w:right="659" w:bottom="1440" w:gutter="0" w:footer="0" w:header="0"/>
        </w:sectPr>
      </w:pPr>
    </w:p>
    <w:bookmarkStart w:id="188" w:name="page189"/>
    <w:bookmarkEnd w:id="188"/>
    <w:p>
      <w:pPr>
        <w:spacing w:after="0" w:line="38" w:lineRule="exact"/>
        <w:rPr>
          <w:sz w:val="20"/>
          <w:szCs w:val="20"/>
          <w:color w:val="auto"/>
        </w:rPr>
      </w:pPr>
    </w:p>
    <w:p>
      <w:pPr>
        <w:ind w:left="1920"/>
        <w:spacing w:after="0" w:line="285" w:lineRule="auto"/>
        <w:rPr>
          <w:sz w:val="20"/>
          <w:szCs w:val="20"/>
          <w:color w:val="auto"/>
        </w:rPr>
      </w:pPr>
      <w:r>
        <w:rPr>
          <w:rFonts w:ascii="Times New Roman" w:cs="Times New Roman" w:eastAsia="Times New Roman" w:hAnsi="Times New Roman"/>
          <w:sz w:val="21"/>
          <w:szCs w:val="21"/>
          <w:color w:val="auto"/>
        </w:rPr>
        <w:t>notified that they are also Other Restricted Persons who will be subject to the pre-clearance requirements set forth in this Section 5.3.</w:t>
      </w:r>
    </w:p>
    <w:p>
      <w:pPr>
        <w:spacing w:after="0" w:line="102" w:lineRule="exact"/>
        <w:rPr>
          <w:sz w:val="20"/>
          <w:szCs w:val="20"/>
          <w:color w:val="auto"/>
        </w:rPr>
      </w:pPr>
    </w:p>
    <w:p>
      <w:pPr>
        <w:jc w:val="both"/>
        <w:ind w:left="640" w:hanging="635"/>
        <w:spacing w:after="0" w:line="258" w:lineRule="auto"/>
        <w:tabs>
          <w:tab w:leader="none" w:pos="620" w:val="left"/>
        </w:tabs>
        <w:rPr>
          <w:sz w:val="20"/>
          <w:szCs w:val="20"/>
          <w:color w:val="auto"/>
        </w:rPr>
      </w:pPr>
      <w:r>
        <w:rPr>
          <w:rFonts w:ascii="Times New Roman" w:cs="Times New Roman" w:eastAsia="Times New Roman" w:hAnsi="Times New Roman"/>
          <w:sz w:val="21"/>
          <w:szCs w:val="21"/>
          <w:color w:val="auto"/>
        </w:rPr>
        <w:t>5.4.</w:t>
      </w:r>
      <w:r>
        <w:rPr>
          <w:sz w:val="20"/>
          <w:szCs w:val="20"/>
          <w:color w:val="auto"/>
        </w:rPr>
        <w:tab/>
      </w:r>
      <w:r>
        <w:rPr>
          <w:rFonts w:ascii="Times New Roman" w:cs="Times New Roman" w:eastAsia="Times New Roman" w:hAnsi="Times New Roman"/>
          <w:sz w:val="21"/>
          <w:szCs w:val="21"/>
          <w:u w:val="single" w:color="auto"/>
          <w:color w:val="auto"/>
        </w:rPr>
        <w:t>Suspension of Trading</w:t>
      </w:r>
      <w:r>
        <w:rPr>
          <w:rFonts w:ascii="Times New Roman" w:cs="Times New Roman" w:eastAsia="Times New Roman" w:hAnsi="Times New Roman"/>
          <w:sz w:val="21"/>
          <w:szCs w:val="21"/>
          <w:color w:val="auto"/>
        </w:rPr>
        <w:t>. From time to time, the Company may require that directors, officers, selected employees and/or</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 xml:space="preserve">others suspend trading in the Company’s securities because of developments that have not yet been disclosed to the public. </w:t>
      </w:r>
      <w:r>
        <w:rPr>
          <w:rFonts w:ascii="Times New Roman" w:cs="Times New Roman" w:eastAsia="Times New Roman" w:hAnsi="Times New Roman"/>
          <w:sz w:val="21"/>
          <w:szCs w:val="21"/>
          <w:i w:val="1"/>
          <w:iCs w:val="1"/>
          <w:color w:val="auto"/>
        </w:rPr>
        <w:t>All those affected shall not trade in the Company’s securities while the suspension is in effect and shall not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disclose to others that we have suspended trading for certain individuals</w:t>
      </w:r>
      <w:r>
        <w:rPr>
          <w:rFonts w:ascii="Times New Roman" w:cs="Times New Roman" w:eastAsia="Times New Roman" w:hAnsi="Times New Roman"/>
          <w:sz w:val="21"/>
          <w:szCs w:val="21"/>
          <w:color w:val="auto"/>
        </w:rPr>
        <w:t>. Though these blackouts generally will arise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because the Company is involved in a highly sensitive transaction, they may be declared for any reason. If the Company declares a blackout to which you are subject, a member of the legal department will notify you when the blackout begins and when it ends.</w:t>
      </w:r>
    </w:p>
    <w:p>
      <w:pPr>
        <w:spacing w:after="0" w:line="21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9"/>
          <w:szCs w:val="19"/>
          <w:b w:val="1"/>
          <w:bCs w:val="1"/>
          <w:color w:val="auto"/>
        </w:rPr>
        <w:t>6.0</w:t>
      </w:r>
      <w:r>
        <w:rPr>
          <w:sz w:val="20"/>
          <w:szCs w:val="20"/>
          <w:color w:val="auto"/>
        </w:rPr>
        <w:tab/>
      </w:r>
      <w:r>
        <w:rPr>
          <w:rFonts w:ascii="Times New Roman" w:cs="Times New Roman" w:eastAsia="Times New Roman" w:hAnsi="Times New Roman"/>
          <w:sz w:val="21"/>
          <w:szCs w:val="21"/>
          <w:b w:val="1"/>
          <w:bCs w:val="1"/>
          <w:color w:val="auto"/>
        </w:rPr>
        <w:t>10b5-1 Plan/Margin Accounts and Pledges</w:t>
      </w:r>
    </w:p>
    <w:p>
      <w:pPr>
        <w:spacing w:after="0" w:line="187" w:lineRule="exact"/>
        <w:rPr>
          <w:sz w:val="20"/>
          <w:szCs w:val="20"/>
          <w:color w:val="auto"/>
        </w:rPr>
      </w:pPr>
    </w:p>
    <w:p>
      <w:pPr>
        <w:jc w:val="both"/>
        <w:ind w:left="640" w:hanging="635"/>
        <w:spacing w:after="0" w:line="257" w:lineRule="auto"/>
        <w:tabs>
          <w:tab w:leader="none" w:pos="620" w:val="left"/>
        </w:tabs>
        <w:rPr>
          <w:sz w:val="20"/>
          <w:szCs w:val="20"/>
          <w:color w:val="auto"/>
        </w:rPr>
      </w:pPr>
      <w:r>
        <w:rPr>
          <w:rFonts w:ascii="Times New Roman" w:cs="Times New Roman" w:eastAsia="Times New Roman" w:hAnsi="Times New Roman"/>
          <w:sz w:val="19"/>
          <w:szCs w:val="19"/>
          <w:color w:val="auto"/>
        </w:rPr>
        <w:t>6.1</w:t>
      </w:r>
      <w:r>
        <w:rPr>
          <w:sz w:val="20"/>
          <w:szCs w:val="20"/>
          <w:color w:val="auto"/>
        </w:rPr>
        <w:tab/>
      </w:r>
      <w:r>
        <w:rPr>
          <w:rFonts w:ascii="Times New Roman" w:cs="Times New Roman" w:eastAsia="Times New Roman" w:hAnsi="Times New Roman"/>
          <w:sz w:val="21"/>
          <w:szCs w:val="21"/>
          <w:u w:val="single" w:color="auto"/>
          <w:color w:val="auto"/>
        </w:rPr>
        <w:t>10b5-1 Trading Plans</w:t>
      </w:r>
      <w:r>
        <w:rPr>
          <w:rFonts w:ascii="Times New Roman" w:cs="Times New Roman" w:eastAsia="Times New Roman" w:hAnsi="Times New Roman"/>
          <w:sz w:val="21"/>
          <w:szCs w:val="21"/>
          <w:color w:val="auto"/>
        </w:rPr>
        <w:t>. A 10b5-1 trading plan is a binding, written contract between you and your broker that specifies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 xml:space="preserve">the price, amount, and date of trades to be executed in your account in the future, or provides a formula or mechanism that your broker will follow. A 10b5-1 trading plan can only be established when you do not possess Material Non-Public Information. Insiders cannot enter into these plans at any time when in possession of Material Non-Public Information and cannot enter into these plans outside Window Periods. In addition, a 10b5-1 trading plan must not permit you to exercise any subsequent influence over how, when, or whether the purchases or sales are made. All 10b5-1 trading plans adopted by Insiders must comply with the Company’s Individual Rule 10b5-1 Trading Plan Guidelines, which are attached hereto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118" w:lineRule="exact"/>
        <w:rPr>
          <w:sz w:val="20"/>
          <w:szCs w:val="20"/>
          <w:color w:val="auto"/>
        </w:rPr>
      </w:pPr>
    </w:p>
    <w:p>
      <w:pPr>
        <w:jc w:val="both"/>
        <w:ind w:left="640" w:hanging="635"/>
        <w:spacing w:after="0" w:line="258" w:lineRule="auto"/>
        <w:tabs>
          <w:tab w:leader="none" w:pos="620" w:val="left"/>
        </w:tabs>
        <w:rPr>
          <w:sz w:val="20"/>
          <w:szCs w:val="20"/>
          <w:color w:val="auto"/>
        </w:rPr>
      </w:pPr>
      <w:r>
        <w:rPr>
          <w:rFonts w:ascii="Times New Roman" w:cs="Times New Roman" w:eastAsia="Times New Roman" w:hAnsi="Times New Roman"/>
          <w:sz w:val="19"/>
          <w:szCs w:val="19"/>
          <w:color w:val="auto"/>
        </w:rPr>
        <w:t>6.2</w:t>
      </w:r>
      <w:r>
        <w:rPr>
          <w:sz w:val="20"/>
          <w:szCs w:val="20"/>
          <w:color w:val="auto"/>
        </w:rPr>
        <w:tab/>
      </w:r>
      <w:r>
        <w:rPr>
          <w:rFonts w:ascii="Times New Roman" w:cs="Times New Roman" w:eastAsia="Times New Roman" w:hAnsi="Times New Roman"/>
          <w:sz w:val="21"/>
          <w:szCs w:val="21"/>
          <w:u w:val="single" w:color="auto"/>
          <w:color w:val="auto"/>
        </w:rPr>
        <w:t>No Margin Accounts or Pledges</w:t>
      </w:r>
      <w:r>
        <w:rPr>
          <w:rFonts w:ascii="Times New Roman" w:cs="Times New Roman" w:eastAsia="Times New Roman" w:hAnsi="Times New Roman"/>
          <w:sz w:val="21"/>
          <w:szCs w:val="21"/>
          <w:color w:val="auto"/>
        </w:rPr>
        <w:t>. Securities purchased on margin may be sold by the broker without the customer’s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consent if the customer fails to meet a margin call. Similarly, securities held in an account which may be borrowed against or are otherwise pledged (or hypothecated) as collateral for a loan may be sold in foreclosure if the borrower defaults on the loan. Accordingly, if you purchase securities on margin or pledge them as collateral for a loan, a margin sale or foreclosure sale may occur at a time when you are aware of Material Non-Public Information or otherwise are not permitted to trade in our securities. The sale, even though not initiated at your request, is still a sale for your benefit and may subject you to liability under the insider trading rules if made at a time when you are aware of Material Non-Public Information. Similar cautions apply to a bank or other loans for which you have pledged stock as collateral.</w:t>
      </w:r>
    </w:p>
    <w:p>
      <w:pPr>
        <w:spacing w:after="0" w:line="123"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21"/>
          <w:szCs w:val="21"/>
          <w:color w:val="auto"/>
        </w:rPr>
        <w:t>Therefore, no ZoomInfo Personnel, whether or not in possession of Material Non-Public Information, may purchase the Company’s securities on margin, or borrow against any account in which the Company’s securities are held, or pledge the Company’s securities as collateral for a loan.</w:t>
      </w:r>
    </w:p>
    <w:p>
      <w:pPr>
        <w:sectPr>
          <w:pgSz w:w="11900" w:h="16838" w:orient="portrait"/>
          <w:cols w:equalWidth="0" w:num="1">
            <w:col w:w="10800"/>
          </w:cols>
          <w:pgMar w:left="440" w:top="1440" w:right="659" w:bottom="1440" w:gutter="0" w:footer="0" w:header="0"/>
        </w:sectPr>
      </w:pPr>
    </w:p>
    <w:bookmarkStart w:id="189" w:name="page190"/>
    <w:bookmarkEnd w:id="189"/>
    <w:p>
      <w:pPr>
        <w:spacing w:after="0" w:line="13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7.0</w:t>
        <w:tab/>
        <w:t>Potential Criminal and Civil Liability and/or Disciplinary Action</w:t>
      </w:r>
    </w:p>
    <w:p>
      <w:pPr>
        <w:spacing w:after="0" w:line="226" w:lineRule="exact"/>
        <w:rPr>
          <w:sz w:val="20"/>
          <w:szCs w:val="20"/>
          <w:color w:val="auto"/>
        </w:rPr>
      </w:pPr>
    </w:p>
    <w:p>
      <w:pPr>
        <w:jc w:val="both"/>
        <w:ind w:left="640" w:hanging="635"/>
        <w:spacing w:after="0" w:line="266" w:lineRule="auto"/>
        <w:tabs>
          <w:tab w:leader="none" w:pos="620" w:val="left"/>
        </w:tabs>
        <w:rPr>
          <w:sz w:val="20"/>
          <w:szCs w:val="20"/>
          <w:color w:val="auto"/>
        </w:rPr>
      </w:pPr>
      <w:r>
        <w:rPr>
          <w:rFonts w:ascii="Times New Roman" w:cs="Times New Roman" w:eastAsia="Times New Roman" w:hAnsi="Times New Roman"/>
          <w:sz w:val="21"/>
          <w:szCs w:val="21"/>
          <w:color w:val="auto"/>
        </w:rPr>
        <w:t>7.1</w:t>
      </w:r>
      <w:r>
        <w:rPr>
          <w:sz w:val="20"/>
          <w:szCs w:val="20"/>
          <w:color w:val="auto"/>
        </w:rPr>
        <w:tab/>
      </w:r>
      <w:r>
        <w:rPr>
          <w:rFonts w:ascii="Times New Roman" w:cs="Times New Roman" w:eastAsia="Times New Roman" w:hAnsi="Times New Roman"/>
          <w:sz w:val="21"/>
          <w:szCs w:val="21"/>
          <w:u w:val="single" w:color="auto"/>
          <w:color w:val="auto"/>
        </w:rPr>
        <w:t>Individual Responsibility</w:t>
      </w:r>
      <w:r>
        <w:rPr>
          <w:rFonts w:ascii="Times New Roman" w:cs="Times New Roman" w:eastAsia="Times New Roman" w:hAnsi="Times New Roman"/>
          <w:sz w:val="21"/>
          <w:szCs w:val="21"/>
          <w:color w:val="auto"/>
        </w:rPr>
        <w:t>. Each Insider is individually responsible for complying with the securities laws and this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Policy, regardless of whether the Company has prohibited trading by that Insider or any other Insiders. A Window Period is not a “safe harbor.” Whether or not during a Window Period, you may not trade securities on the basis of Material Non-Public Information.</w:t>
      </w:r>
    </w:p>
    <w:p>
      <w:pPr>
        <w:spacing w:after="0" w:line="162" w:lineRule="exact"/>
        <w:rPr>
          <w:sz w:val="20"/>
          <w:szCs w:val="20"/>
          <w:color w:val="auto"/>
        </w:rPr>
      </w:pPr>
    </w:p>
    <w:p>
      <w:pPr>
        <w:jc w:val="both"/>
        <w:ind w:left="640"/>
        <w:spacing w:after="0" w:line="258" w:lineRule="auto"/>
        <w:rPr>
          <w:sz w:val="20"/>
          <w:szCs w:val="20"/>
          <w:color w:val="auto"/>
        </w:rPr>
      </w:pPr>
      <w:r>
        <w:rPr>
          <w:rFonts w:ascii="Times New Roman" w:cs="Times New Roman" w:eastAsia="Times New Roman" w:hAnsi="Times New Roman"/>
          <w:sz w:val="21"/>
          <w:szCs w:val="21"/>
          <w:color w:val="auto"/>
        </w:rPr>
        <w:t>Any proceeding alleging improper trading will have the benefit of hindsight. Therefore, as a practical matter, before engaging in any transaction you should carefully consider how enforcement authorities and others might view the transaction. Whether or not you possess Material Non-Public Information, it is advisable that you treat any investment in the Company’s securities or the securities of any company that has a substantial relationship with the Company from the perspective of a long term investor who would like to participate over time in the Company’s or such company’s earnings growth. As an Insider, attempting to achieve short term gains trading in Company securities would be extremely risky.</w:t>
      </w:r>
    </w:p>
    <w:p>
      <w:pPr>
        <w:spacing w:after="0" w:line="170" w:lineRule="exact"/>
        <w:rPr>
          <w:sz w:val="20"/>
          <w:szCs w:val="20"/>
          <w:color w:val="auto"/>
        </w:rPr>
      </w:pPr>
    </w:p>
    <w:p>
      <w:pPr>
        <w:jc w:val="both"/>
        <w:ind w:left="640" w:hanging="635"/>
        <w:spacing w:after="0" w:line="257" w:lineRule="auto"/>
        <w:tabs>
          <w:tab w:leader="none" w:pos="620" w:val="left"/>
        </w:tabs>
        <w:rPr>
          <w:sz w:val="20"/>
          <w:szCs w:val="20"/>
          <w:color w:val="auto"/>
        </w:rPr>
      </w:pPr>
      <w:r>
        <w:rPr>
          <w:rFonts w:ascii="Times New Roman" w:cs="Times New Roman" w:eastAsia="Times New Roman" w:hAnsi="Times New Roman"/>
          <w:sz w:val="21"/>
          <w:szCs w:val="21"/>
          <w:color w:val="auto"/>
        </w:rPr>
        <w:t>7.2</w:t>
      </w:r>
      <w:r>
        <w:rPr>
          <w:sz w:val="20"/>
          <w:szCs w:val="20"/>
          <w:color w:val="auto"/>
        </w:rPr>
        <w:tab/>
      </w:r>
      <w:r>
        <w:rPr>
          <w:rFonts w:ascii="Times New Roman" w:cs="Times New Roman" w:eastAsia="Times New Roman" w:hAnsi="Times New Roman"/>
          <w:sz w:val="21"/>
          <w:szCs w:val="21"/>
          <w:u w:val="single" w:color="auto"/>
          <w:color w:val="auto"/>
        </w:rPr>
        <w:t>Controlling Persons</w:t>
      </w:r>
      <w:r>
        <w:rPr>
          <w:rFonts w:ascii="Times New Roman" w:cs="Times New Roman" w:eastAsia="Times New Roman" w:hAnsi="Times New Roman"/>
          <w:sz w:val="21"/>
          <w:szCs w:val="21"/>
          <w:color w:val="auto"/>
        </w:rPr>
        <w:t>. Federal securities laws provide that, in addition to sanctions against an individual who trades</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illegally, penalties may be assessed against “controlling persons” with respect to the violator. The term “controlling person” is not defined, but includes employers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the Company), its directors, officers, and managerial and supervisory personnel. The concept is broader than what would normally be encompassed by a reporting chain. Individuals may be considered “controlling persons” with respect to any other individual whose behavior they have the power to influence. Liability can be imposed only if two conditions are met. First, it must be shown that the “controlling person” knew or recklessly disregarded the fact that a violation was likely. Second, it must be shown that the “controlling person” failed to take appropriate steps to prevent the violation from occurring. For this reason, the Company’s supervisory personnel are directed to take appropriate steps to ensure that those they supervise, understand and comply with the requirements set forth in this Policy.</w:t>
      </w:r>
    </w:p>
    <w:p>
      <w:pPr>
        <w:spacing w:after="0" w:line="1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1"/>
          <w:szCs w:val="21"/>
          <w:color w:val="auto"/>
        </w:rPr>
        <w:t>7.3</w:t>
      </w:r>
      <w:r>
        <w:rPr>
          <w:sz w:val="20"/>
          <w:szCs w:val="20"/>
          <w:color w:val="auto"/>
        </w:rPr>
        <w:tab/>
      </w:r>
      <w:r>
        <w:rPr>
          <w:rFonts w:ascii="Times New Roman" w:cs="Times New Roman" w:eastAsia="Times New Roman" w:hAnsi="Times New Roman"/>
          <w:sz w:val="21"/>
          <w:szCs w:val="21"/>
          <w:u w:val="single" w:color="auto"/>
          <w:color w:val="auto"/>
        </w:rPr>
        <w:t>Potential Sanctions</w:t>
      </w:r>
      <w:r>
        <w:rPr>
          <w:rFonts w:ascii="Times New Roman" w:cs="Times New Roman" w:eastAsia="Times New Roman" w:hAnsi="Times New Roman"/>
          <w:sz w:val="21"/>
          <w:szCs w:val="21"/>
          <w:color w:val="auto"/>
        </w:rPr>
        <w:t>.</w:t>
      </w:r>
    </w:p>
    <w:p>
      <w:pPr>
        <w:spacing w:after="0" w:line="196" w:lineRule="exact"/>
        <w:rPr>
          <w:sz w:val="20"/>
          <w:szCs w:val="20"/>
          <w:color w:val="auto"/>
        </w:rPr>
      </w:pPr>
    </w:p>
    <w:p>
      <w:pPr>
        <w:jc w:val="both"/>
        <w:ind w:left="1920" w:hanging="638"/>
        <w:spacing w:after="0" w:line="218" w:lineRule="auto"/>
        <w:tabs>
          <w:tab w:leader="none" w:pos="1908" w:val="left"/>
        </w:tabs>
        <w:numPr>
          <w:ilvl w:val="0"/>
          <w:numId w:val="1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Liability for Insider Trading and Tipping</w:t>
      </w:r>
      <w:r>
        <w:rPr>
          <w:rFonts w:ascii="Times New Roman" w:cs="Times New Roman" w:eastAsia="Times New Roman" w:hAnsi="Times New Roman"/>
          <w:sz w:val="21"/>
          <w:szCs w:val="21"/>
          <w:color w:val="auto"/>
        </w:rPr>
        <w:t>. Insiders, controlling persons, and the Company may be subject to civil penalties or criminal penalties, including imprisonment, for trading in securities when they have Material Non-Public Information or for improper transactions by any person (commonly referred to as a “tippee”) to whom they have disclosed Material Non-Public Information, or to whom they have made recommendations or expressed opinions on the basis of such information about trading securities. The SEC has imposed harsh penalties even when the disclosing person did not profit from the trading. The SEC, the stock exchanges, and the Financial Industry Regulatory Authority use sophisticated electronic surveillance techniques to uncover insider trading.</w:t>
      </w:r>
    </w:p>
    <w:p>
      <w:pPr>
        <w:sectPr>
          <w:pgSz w:w="11900" w:h="16838" w:orient="portrait"/>
          <w:cols w:equalWidth="0" w:num="1">
            <w:col w:w="10800"/>
          </w:cols>
          <w:pgMar w:left="440" w:top="1440" w:right="659" w:bottom="1440" w:gutter="0" w:footer="0" w:header="0"/>
        </w:sectPr>
      </w:pPr>
    </w:p>
    <w:bookmarkStart w:id="190" w:name="page191"/>
    <w:bookmarkEnd w:id="190"/>
    <w:p>
      <w:pPr>
        <w:spacing w:after="0" w:line="64" w:lineRule="exact"/>
        <w:rPr>
          <w:sz w:val="20"/>
          <w:szCs w:val="20"/>
          <w:color w:val="auto"/>
        </w:rPr>
      </w:pPr>
    </w:p>
    <w:p>
      <w:pPr>
        <w:jc w:val="both"/>
        <w:ind w:left="1920" w:hanging="638"/>
        <w:spacing w:after="0" w:line="223" w:lineRule="auto"/>
        <w:tabs>
          <w:tab w:leader="none" w:pos="1914" w:val="left"/>
        </w:tabs>
        <w:numPr>
          <w:ilvl w:val="0"/>
          <w:numId w:val="1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Possible Disciplinary Actions. ZoomInfo Personnel who violate this Policy will be subject to disciplinary action, up to and including termination of employment for cause, whether or not the ZoomInfo Personnel’s failure to comply results in a violation of law. A violation of law, or even an SEC investigation that does not result in prosecution, can tarnish one’s reputation and irreparably damage a career.</w:t>
      </w:r>
    </w:p>
    <w:p>
      <w:pPr>
        <w:spacing w:after="0" w:line="177" w:lineRule="exact"/>
        <w:rPr>
          <w:sz w:val="20"/>
          <w:szCs w:val="20"/>
          <w:color w:val="auto"/>
        </w:rPr>
      </w:pPr>
    </w:p>
    <w:p>
      <w:pPr>
        <w:jc w:val="both"/>
        <w:ind w:left="640" w:hanging="635"/>
        <w:spacing w:after="0" w:line="274" w:lineRule="auto"/>
        <w:tabs>
          <w:tab w:leader="none" w:pos="620" w:val="left"/>
        </w:tabs>
        <w:rPr>
          <w:sz w:val="20"/>
          <w:szCs w:val="20"/>
          <w:color w:val="auto"/>
        </w:rPr>
      </w:pPr>
      <w:r>
        <w:rPr>
          <w:rFonts w:ascii="Times New Roman" w:cs="Times New Roman" w:eastAsia="Times New Roman" w:hAnsi="Times New Roman"/>
          <w:sz w:val="21"/>
          <w:szCs w:val="21"/>
          <w:color w:val="auto"/>
        </w:rPr>
        <w:t>7.4</w:t>
      </w:r>
      <w:r>
        <w:rPr>
          <w:sz w:val="20"/>
          <w:szCs w:val="20"/>
          <w:color w:val="auto"/>
        </w:rPr>
        <w:tab/>
      </w:r>
      <w:r>
        <w:rPr>
          <w:rFonts w:ascii="Times New Roman" w:cs="Times New Roman" w:eastAsia="Times New Roman" w:hAnsi="Times New Roman"/>
          <w:sz w:val="21"/>
          <w:szCs w:val="21"/>
          <w:u w:val="single" w:color="auto"/>
          <w:color w:val="auto"/>
        </w:rPr>
        <w:t>Questions and Violations</w:t>
      </w:r>
      <w:r>
        <w:rPr>
          <w:rFonts w:ascii="Times New Roman" w:cs="Times New Roman" w:eastAsia="Times New Roman" w:hAnsi="Times New Roman"/>
          <w:sz w:val="21"/>
          <w:szCs w:val="21"/>
          <w:color w:val="auto"/>
        </w:rPr>
        <w:t>. Anyone with questions concerning this Policy or its application should contact the Office of</w:t>
      </w:r>
      <w:r>
        <w:rPr>
          <w:rFonts w:ascii="Times New Roman" w:cs="Times New Roman" w:eastAsia="Times New Roman" w:hAnsi="Times New Roman"/>
          <w:sz w:val="21"/>
          <w:szCs w:val="21"/>
          <w:u w:val="single" w:color="auto"/>
          <w:color w:val="auto"/>
        </w:rPr>
        <w:t xml:space="preserve"> </w:t>
      </w:r>
      <w:r>
        <w:rPr>
          <w:rFonts w:ascii="Times New Roman" w:cs="Times New Roman" w:eastAsia="Times New Roman" w:hAnsi="Times New Roman"/>
          <w:sz w:val="21"/>
          <w:szCs w:val="21"/>
          <w:color w:val="auto"/>
        </w:rPr>
        <w:t>the General Counsel. Any violation or perceived violation should be reported immediately to the Office of the General Counsel.</w:t>
      </w:r>
    </w:p>
    <w:p>
      <w:pPr>
        <w:spacing w:after="0" w:line="9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1"/>
          <w:szCs w:val="21"/>
          <w:b w:val="1"/>
          <w:bCs w:val="1"/>
          <w:color w:val="auto"/>
        </w:rPr>
        <w:t>8.0</w:t>
        <w:tab/>
        <w:t>Broker Requirements for Section 16 Persons</w:t>
      </w:r>
    </w:p>
    <w:p>
      <w:pPr>
        <w:spacing w:after="0" w:line="173"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21"/>
          <w:szCs w:val="21"/>
          <w:color w:val="auto"/>
        </w:rPr>
        <w:t>The timely reporting of transactions requires tight interface with brokers handling transactions for our directors and executive officers. A knowledgeable, alert broker can also serve as a gatekeeper, helping to ensure compliance with our pre-clearance procedures and helping prevent inadvertent violations. Therefore, in order to facilitate timely compliance by the directors and executive officers of the Company with the requirements of Section 16 of the Exchange Act, brokers of Section 16 Persons need to comply with the following requirements:</w:t>
      </w:r>
    </w:p>
    <w:p>
      <w:pPr>
        <w:spacing w:after="0" w:line="113" w:lineRule="exact"/>
        <w:rPr>
          <w:sz w:val="20"/>
          <w:szCs w:val="20"/>
          <w:color w:val="auto"/>
        </w:rPr>
      </w:pPr>
    </w:p>
    <w:p>
      <w:pPr>
        <w:jc w:val="both"/>
        <w:ind w:left="960" w:hanging="314"/>
        <w:spacing w:after="0" w:line="267" w:lineRule="auto"/>
        <w:tabs>
          <w:tab w:leader="none" w:pos="955"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to enter any order (except for orders under pre-approved Rule 10b5-1 plans) without first verifying with the Company that your transaction was pre-cleared and complying with the brokerage firm’s compliance procedures (</w:t>
      </w:r>
      <w:r>
        <w:rPr>
          <w:rFonts w:ascii="Times New Roman" w:cs="Times New Roman" w:eastAsia="Times New Roman" w:hAnsi="Times New Roman"/>
          <w:sz w:val="21"/>
          <w:szCs w:val="21"/>
          <w:i w:val="1"/>
          <w:iCs w:val="1"/>
          <w:color w:val="auto"/>
        </w:rPr>
        <w:t>e.g.</w:t>
      </w:r>
      <w:r>
        <w:rPr>
          <w:rFonts w:ascii="Times New Roman" w:cs="Times New Roman" w:eastAsia="Times New Roman" w:hAnsi="Times New Roman"/>
          <w:sz w:val="21"/>
          <w:szCs w:val="21"/>
          <w:color w:val="auto"/>
        </w:rPr>
        <w:t>, Rule 144); and</w:t>
      </w:r>
    </w:p>
    <w:p>
      <w:pPr>
        <w:spacing w:after="0" w:line="108" w:lineRule="exact"/>
        <w:rPr>
          <w:rFonts w:ascii="Times New Roman" w:cs="Times New Roman" w:eastAsia="Times New Roman" w:hAnsi="Times New Roman"/>
          <w:sz w:val="21"/>
          <w:szCs w:val="21"/>
          <w:color w:val="auto"/>
        </w:rPr>
      </w:pPr>
    </w:p>
    <w:p>
      <w:pPr>
        <w:jc w:val="both"/>
        <w:ind w:left="960" w:hanging="314"/>
        <w:spacing w:after="0" w:line="266" w:lineRule="auto"/>
        <w:tabs>
          <w:tab w:leader="none" w:pos="955" w:val="left"/>
        </w:tabs>
        <w:numPr>
          <w:ilvl w:val="0"/>
          <w:numId w:val="11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report before the close of business on the day of the execution of the transaction to the Company by telephone and in writing via e-mail to the Office of the General Counsel, the complete (</w:t>
      </w:r>
      <w:r>
        <w:rPr>
          <w:rFonts w:ascii="Times New Roman" w:cs="Times New Roman" w:eastAsia="Times New Roman" w:hAnsi="Times New Roman"/>
          <w:sz w:val="21"/>
          <w:szCs w:val="21"/>
          <w:i w:val="1"/>
          <w:iCs w:val="1"/>
          <w:color w:val="auto"/>
        </w:rPr>
        <w:t>i.e.</w:t>
      </w:r>
      <w:r>
        <w:rPr>
          <w:rFonts w:ascii="Times New Roman" w:cs="Times New Roman" w:eastAsia="Times New Roman" w:hAnsi="Times New Roman"/>
          <w:sz w:val="21"/>
          <w:szCs w:val="21"/>
          <w:color w:val="auto"/>
        </w:rPr>
        <w:t>, date, type of transaction, number of shares and price) details of every transaction involving the Company’s equity securities, including gifts, transfers, and all 10b5-1 transactions.</w:t>
      </w:r>
    </w:p>
    <w:p>
      <w:pPr>
        <w:spacing w:after="0" w:line="109"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21"/>
          <w:szCs w:val="21"/>
          <w:color w:val="auto"/>
        </w:rPr>
        <w:t>Because it is the legal obligation of the trading person to cause any filings on Form 3, Form 4, Form 5, or Form 144 (or as may otherwise be required) to be made, you are strongly encouraged to confirm following any transaction that your broker has immediately telephoned and e-mailed the required information to the Company.</w:t>
      </w:r>
    </w:p>
    <w:p>
      <w:pPr>
        <w:sectPr>
          <w:pgSz w:w="11900" w:h="16838" w:orient="portrait"/>
          <w:cols w:equalWidth="0" w:num="1">
            <w:col w:w="10800"/>
          </w:cols>
          <w:pgMar w:left="440" w:top="1440" w:right="659" w:bottom="1440" w:gutter="0" w:footer="0" w:header="0"/>
        </w:sectPr>
      </w:pPr>
    </w:p>
    <w:bookmarkStart w:id="191" w:name="page192"/>
    <w:bookmarkEnd w:id="191"/>
    <w:p>
      <w:pPr>
        <w:spacing w:after="0" w:line="13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9"/>
          <w:szCs w:val="19"/>
          <w:b w:val="1"/>
          <w:bCs w:val="1"/>
          <w:color w:val="auto"/>
        </w:rPr>
        <w:t>9.0</w:t>
      </w:r>
      <w:r>
        <w:rPr>
          <w:sz w:val="20"/>
          <w:szCs w:val="20"/>
          <w:color w:val="auto"/>
        </w:rPr>
        <w:tab/>
      </w:r>
      <w:r>
        <w:rPr>
          <w:rFonts w:ascii="Times New Roman" w:cs="Times New Roman" w:eastAsia="Times New Roman" w:hAnsi="Times New Roman"/>
          <w:sz w:val="21"/>
          <w:szCs w:val="21"/>
          <w:b w:val="1"/>
          <w:bCs w:val="1"/>
          <w:color w:val="auto"/>
        </w:rPr>
        <w:t>Confidentiality</w:t>
      </w:r>
    </w:p>
    <w:p>
      <w:pPr>
        <w:spacing w:after="0" w:line="187" w:lineRule="exact"/>
        <w:rPr>
          <w:sz w:val="20"/>
          <w:szCs w:val="20"/>
          <w:color w:val="auto"/>
        </w:rPr>
      </w:pPr>
    </w:p>
    <w:p>
      <w:pPr>
        <w:jc w:val="both"/>
        <w:ind w:left="640"/>
        <w:spacing w:after="0" w:line="254" w:lineRule="auto"/>
        <w:rPr>
          <w:sz w:val="20"/>
          <w:szCs w:val="20"/>
          <w:color w:val="auto"/>
        </w:rPr>
      </w:pPr>
      <w:r>
        <w:rPr>
          <w:rFonts w:ascii="Times New Roman" w:cs="Times New Roman" w:eastAsia="Times New Roman" w:hAnsi="Times New Roman"/>
          <w:sz w:val="21"/>
          <w:szCs w:val="21"/>
          <w:color w:val="auto"/>
        </w:rPr>
        <w:t>No ZoomInfo Personnel should disclose any Non-Public Information to non-ZoomInfo Personnel (including to family members that are non-ZoomInfo Personnel), except when such disclosure is needed to carry out the Company’s business (for example, when such disclosures are authorized as necessary to facilitate negotiations with vendors or customers and such persons are subject to contractual confidentiality restrictions) and then only when the ZoomInfo Personnel disclosing the information has no reason to believe that the recipient will misuse the information. When such information is disclosed, the recipient must be told that such information may be used only for the business purpose related to its disclosure and that the information must be held in confidence. ZoomInfo Personnel should disclose Non-Public Information to other ZoomInfo Personnel only in the ordinary course of business, for legitimate business purposes, and in the absence of reasons to believe that the information will be misused or improperly disclosed by the recipient. Written information should be appropriately safeguarded and should not be left where it may be seen by persons not entitled to the information and Non-Public Information should not be discussed with any person within the Company under circumstances where it could be overheard. If you have specific questions regarding which disclosures, if any, about the Company may be appropriate to disclose to non-ZoomInfo Personnel (including to family members), please contact the Office of the General Counsel. See also, Controlling Persons, Section 7.2.</w:t>
      </w:r>
    </w:p>
    <w:p>
      <w:pPr>
        <w:spacing w:after="0" w:line="132"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1"/>
          <w:szCs w:val="21"/>
          <w:color w:val="auto"/>
        </w:rPr>
        <w:t>In addition to other circumstances where it may be applicable, this confidentiality policy must be strictly adhered to in responding to inquiries about the Company that may be made by the press, securities analysts, or other members of the financial community. It is important that responses to any such inquiries be made on behalf of the Company by a duly designated officer. Accordingly, ZoomInfo Personnel should not respond to any such inquiries and should refer all such inquiries to the Company’s Chief Financial Officer, VP of Investor Relations, or the Office of the General Counsel, or their respective designees. See also, Statement of Policy, Sections 3.4 and 3.5.</w:t>
      </w:r>
    </w:p>
    <w:p>
      <w:pPr>
        <w:spacing w:after="0" w:line="23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9"/>
          <w:szCs w:val="19"/>
          <w:b w:val="1"/>
          <w:bCs w:val="1"/>
          <w:color w:val="auto"/>
        </w:rPr>
        <w:t>10.0</w:t>
      </w:r>
      <w:r>
        <w:rPr>
          <w:sz w:val="20"/>
          <w:szCs w:val="20"/>
          <w:color w:val="auto"/>
        </w:rPr>
        <w:tab/>
      </w:r>
      <w:r>
        <w:rPr>
          <w:rFonts w:ascii="Times New Roman" w:cs="Times New Roman" w:eastAsia="Times New Roman" w:hAnsi="Times New Roman"/>
          <w:sz w:val="21"/>
          <w:szCs w:val="21"/>
          <w:b w:val="1"/>
          <w:bCs w:val="1"/>
          <w:color w:val="auto"/>
        </w:rPr>
        <w:t>Legal Effect of this Policy</w:t>
      </w:r>
    </w:p>
    <w:p>
      <w:pPr>
        <w:spacing w:after="0" w:line="173" w:lineRule="exact"/>
        <w:rPr>
          <w:sz w:val="20"/>
          <w:szCs w:val="20"/>
          <w:color w:val="auto"/>
        </w:rPr>
      </w:pPr>
    </w:p>
    <w:p>
      <w:pPr>
        <w:jc w:val="both"/>
        <w:ind w:left="640"/>
        <w:spacing w:after="0" w:line="259" w:lineRule="auto"/>
        <w:rPr>
          <w:sz w:val="20"/>
          <w:szCs w:val="20"/>
          <w:color w:val="auto"/>
        </w:rPr>
      </w:pPr>
      <w:r>
        <w:rPr>
          <w:rFonts w:ascii="Times New Roman" w:cs="Times New Roman" w:eastAsia="Times New Roman" w:hAnsi="Times New Roman"/>
          <w:sz w:val="21"/>
          <w:szCs w:val="21"/>
          <w:color w:val="auto"/>
        </w:rPr>
        <w:t>The Company’s Policy with respect to insider trading and the disclosure of confidential information, and the procedures that implement this Policy, are not intended to serve as precise recitations of the legal prohibitions against insider trading and tipping which are highly complex, fact specific, and evolving. Certain of the procedures are designed to prevent even the appearance of impropriety and in some respects may be more restrictive than the securities laws. Therefore, these procedures are not intended to serve as a basis for establishing civil or criminal liability that would not otherwise exist.</w:t>
      </w:r>
    </w:p>
    <w:p>
      <w:pPr>
        <w:spacing w:after="0" w:line="119" w:lineRule="exact"/>
        <w:rPr>
          <w:sz w:val="20"/>
          <w:szCs w:val="20"/>
          <w:color w:val="auto"/>
        </w:rPr>
      </w:pPr>
    </w:p>
    <w:p>
      <w:pPr>
        <w:jc w:val="both"/>
        <w:ind w:left="640"/>
        <w:spacing w:after="0" w:line="274" w:lineRule="auto"/>
        <w:rPr>
          <w:sz w:val="20"/>
          <w:szCs w:val="20"/>
          <w:color w:val="auto"/>
        </w:rPr>
      </w:pPr>
      <w:r>
        <w:rPr>
          <w:rFonts w:ascii="Times New Roman" w:cs="Times New Roman" w:eastAsia="Times New Roman" w:hAnsi="Times New Roman"/>
          <w:sz w:val="21"/>
          <w:szCs w:val="21"/>
          <w:color w:val="auto"/>
        </w:rPr>
        <w:t>Any waiver of any provision of this Policy, if permitted by applicable law or regulation, must be approved by the Audit Committee of the Board of Directors of the Company and will be promptly disclosed if required by applicable securities law and/or stock exchange rules.</w:t>
      </w:r>
    </w:p>
    <w:p>
      <w:pPr>
        <w:sectPr>
          <w:pgSz w:w="11900" w:h="16838" w:orient="portrait"/>
          <w:cols w:equalWidth="0" w:num="1">
            <w:col w:w="10800"/>
          </w:cols>
          <w:pgMar w:left="440" w:top="1440" w:right="659" w:bottom="1440" w:gutter="0" w:footer="0" w:header="0"/>
        </w:sectPr>
      </w:pPr>
    </w:p>
    <w:bookmarkStart w:id="192" w:name="page193"/>
    <w:bookmarkEnd w:id="192"/>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As Amended Effective: February 27, 2023</w:t>
      </w:r>
    </w:p>
    <w:p>
      <w:pPr>
        <w:sectPr>
          <w:pgSz w:w="11900" w:h="16838" w:orient="portrait"/>
          <w:cols w:equalWidth="0" w:num="1">
            <w:col w:w="9379"/>
          </w:cols>
          <w:pgMar w:left="1080" w:top="1440" w:right="1440" w:bottom="1440" w:gutter="0" w:footer="0" w:header="0"/>
        </w:sectPr>
      </w:pPr>
    </w:p>
    <w:bookmarkStart w:id="193" w:name="page194"/>
    <w:bookmarkEnd w:id="193"/>
    <w:p>
      <w:pPr>
        <w:ind w:left="820"/>
        <w:spacing w:after="0"/>
        <w:rPr>
          <w:sz w:val="20"/>
          <w:szCs w:val="20"/>
          <w:color w:val="auto"/>
        </w:rPr>
      </w:pPr>
      <w:r>
        <w:rPr>
          <w:rFonts w:ascii="Times New Roman" w:cs="Times New Roman" w:eastAsia="Times New Roman" w:hAnsi="Times New Roman"/>
          <w:sz w:val="21"/>
          <w:szCs w:val="21"/>
          <w:color w:val="auto"/>
        </w:rPr>
        <w:t>ACKNOWLEDGMENT CONCERNING SECURITIES TRADING POLICY</w:t>
      </w:r>
    </w:p>
    <w:p>
      <w:pPr>
        <w:spacing w:after="0" w:line="320" w:lineRule="exact"/>
        <w:rPr>
          <w:sz w:val="20"/>
          <w:szCs w:val="20"/>
          <w:color w:val="auto"/>
        </w:rPr>
      </w:pPr>
    </w:p>
    <w:p>
      <w:pPr>
        <w:ind w:firstLine="636"/>
        <w:spacing w:after="0" w:line="285" w:lineRule="auto"/>
        <w:rPr>
          <w:sz w:val="20"/>
          <w:szCs w:val="20"/>
          <w:color w:val="auto"/>
        </w:rPr>
      </w:pPr>
      <w:r>
        <w:rPr>
          <w:rFonts w:ascii="Times New Roman" w:cs="Times New Roman" w:eastAsia="Times New Roman" w:hAnsi="Times New Roman"/>
          <w:sz w:val="19"/>
          <w:szCs w:val="19"/>
          <w:color w:val="auto"/>
        </w:rPr>
        <w:t>Please acknowledge that you have received and read this Securities Trading Policy. ZoomInfo Technologies Inc. may ask you to re-submit this acknowledgement on an annual basis.</w:t>
      </w:r>
    </w:p>
    <w:p>
      <w:pPr>
        <w:spacing w:after="0" w:line="15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By my signature below, I acknowledge that I have read and received ZoomInfo Technologies Inc.’s Securities Trading Policy.</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543560</wp:posOffset>
            </wp:positionH>
            <wp:positionV relativeFrom="paragraph">
              <wp:posOffset>-5715</wp:posOffset>
            </wp:positionV>
            <wp:extent cx="1231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-5715</wp:posOffset>
            </wp:positionV>
            <wp:extent cx="1231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wp:posOffset>
            </wp:positionH>
            <wp:positionV relativeFrom="paragraph">
              <wp:posOffset>-5715</wp:posOffset>
            </wp:positionV>
            <wp:extent cx="1231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ectPr>
          <w:pgSz w:w="11900" w:h="16838" w:orient="portrait"/>
          <w:cols w:equalWidth="0" w:num="1">
            <w:col w:w="10800"/>
          </w:cols>
          <w:pgMar w:left="440" w:top="1384" w:right="659" w:bottom="1440" w:gutter="0" w:footer="0" w:header="0"/>
        </w:sectPr>
      </w:pPr>
    </w:p>
    <w:bookmarkStart w:id="194" w:name="page195"/>
    <w:bookmarkEnd w:id="1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274320</wp:posOffset>
            </wp:positionH>
            <wp:positionV relativeFrom="page">
              <wp:posOffset>1367790</wp:posOffset>
            </wp:positionV>
            <wp:extent cx="684847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6">
                      <a:extLst>
                        <a:ext uri="{28A0092B-C50C-407E-A947-70E740481C1C}"/>
                      </a:extLst>
                    </a:blip>
                    <a:srcRect/>
                    <a:stretch>
                      <a:fillRect/>
                    </a:stretch>
                  </pic:blipFill>
                  <pic:spPr bwMode="auto">
                    <a:xfrm>
                      <a:off x="0" y="0"/>
                      <a:ext cx="6848475" cy="8255"/>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p>
      <w:pPr>
        <w:ind w:left="1300" w:right="2179" w:firstLine="559"/>
        <w:spacing w:after="0" w:line="275" w:lineRule="auto"/>
        <w:rPr>
          <w:sz w:val="20"/>
          <w:szCs w:val="20"/>
          <w:color w:val="auto"/>
        </w:rPr>
      </w:pPr>
      <w:r>
        <w:rPr>
          <w:rFonts w:ascii="Times New Roman" w:cs="Times New Roman" w:eastAsia="Times New Roman" w:hAnsi="Times New Roman"/>
          <w:sz w:val="25"/>
          <w:szCs w:val="25"/>
          <w:b w:val="1"/>
          <w:bCs w:val="1"/>
          <w:color w:val="auto"/>
        </w:rPr>
        <w:t>REQUEST FOR APPROVAL TO TRADE ZOOMINFO TECHNOLOGIES INC.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684847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7">
                      <a:extLst>
                        <a:ext uri="{28A0092B-C50C-407E-A947-70E740481C1C}"/>
                      </a:extLst>
                    </a:blip>
                    <a:srcRect/>
                    <a:stretch>
                      <a:fillRect/>
                    </a:stretch>
                  </pic:blipFill>
                  <pic:spPr bwMode="auto">
                    <a:xfrm>
                      <a:off x="0" y="0"/>
                      <a:ext cx="6848475" cy="8255"/>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9"/>
          <w:szCs w:val="19"/>
          <w:b w:val="1"/>
          <w:bCs w:val="1"/>
          <w:color w:val="auto"/>
        </w:rPr>
        <w:t xml:space="preserve">Type of Security </w:t>
      </w:r>
      <w:r>
        <w:rPr>
          <w:rFonts w:ascii="Times New Roman" w:cs="Times New Roman" w:eastAsia="Times New Roman" w:hAnsi="Times New Roman"/>
          <w:sz w:val="19"/>
          <w:szCs w:val="19"/>
          <w:color w:val="auto"/>
        </w:rPr>
        <w:t>[check all applicable boxes]</w:t>
      </w:r>
    </w:p>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Common stock</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Preferred stock</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Restricted stock</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Stock Option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993775</wp:posOffset>
            </wp:positionH>
            <wp:positionV relativeFrom="paragraph">
              <wp:posOffset>-3175</wp:posOffset>
            </wp:positionV>
            <wp:extent cx="1231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8">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Proposed Date of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1597660</wp:posOffset>
            </wp:positionH>
            <wp:positionV relativeFrom="paragraph">
              <wp:posOffset>-3175</wp:posOffset>
            </wp:positionV>
            <wp:extent cx="1231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9">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Type of Transaction</w:t>
      </w:r>
    </w:p>
    <w:p>
      <w:pPr>
        <w:spacing w:after="0" w:line="39" w:lineRule="exact"/>
        <w:rPr>
          <w:sz w:val="20"/>
          <w:szCs w:val="20"/>
          <w:color w:val="auto"/>
        </w:rPr>
      </w:pPr>
    </w:p>
    <w:p>
      <w:pPr>
        <w:ind w:left="840"/>
        <w:spacing w:after="0"/>
        <w:tabs>
          <w:tab w:leader="none" w:pos="4140" w:val="left"/>
        </w:tabs>
        <w:rPr>
          <w:sz w:val="20"/>
          <w:szCs w:val="20"/>
          <w:color w:val="auto"/>
        </w:rPr>
      </w:pPr>
      <w:r>
        <w:rPr>
          <w:rFonts w:ascii="Times New Roman" w:cs="Times New Roman" w:eastAsia="Times New Roman" w:hAnsi="Times New Roman"/>
          <w:sz w:val="19"/>
          <w:szCs w:val="19"/>
          <w:color w:val="auto"/>
        </w:rPr>
        <w:t>Stock option exercise – Exercise Price $</w:t>
        <w:tab/>
        <w:t>/share Exercise Price paid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2522220</wp:posOffset>
            </wp:positionH>
            <wp:positionV relativeFrom="paragraph">
              <wp:posOffset>-15240</wp:posOffset>
            </wp:positionV>
            <wp:extent cx="1231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60">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ind w:left="1300"/>
        <w:spacing w:after="0"/>
        <w:rPr>
          <w:sz w:val="20"/>
          <w:szCs w:val="20"/>
          <w:color w:val="auto"/>
        </w:rPr>
      </w:pPr>
      <w:r>
        <w:rPr>
          <w:rFonts w:ascii="Times New Roman" w:cs="Times New Roman" w:eastAsia="Times New Roman" w:hAnsi="Times New Roman"/>
          <w:sz w:val="19"/>
          <w:szCs w:val="19"/>
          <w:color w:val="auto"/>
        </w:rPr>
        <w:t>Broker’s cashless exchange</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cash</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-19685</wp:posOffset>
            </wp:positionV>
            <wp:extent cx="1231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61">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ind w:left="960"/>
        <w:spacing w:after="0"/>
        <w:rPr>
          <w:sz w:val="20"/>
          <w:szCs w:val="20"/>
          <w:color w:val="auto"/>
        </w:rPr>
      </w:pPr>
      <w:r>
        <w:rPr>
          <w:rFonts w:ascii="Times New Roman" w:cs="Times New Roman" w:eastAsia="Times New Roman" w:hAnsi="Times New Roman"/>
          <w:sz w:val="19"/>
          <w:szCs w:val="19"/>
          <w:color w:val="auto"/>
        </w:rPr>
        <w:t>Withholding tax paid as follows:</w:t>
      </w:r>
    </w:p>
    <w:p>
      <w:pPr>
        <w:ind w:left="1300"/>
        <w:spacing w:after="0"/>
        <w:rPr>
          <w:sz w:val="20"/>
          <w:szCs w:val="20"/>
          <w:color w:val="auto"/>
        </w:rPr>
      </w:pPr>
      <w:r>
        <w:rPr>
          <w:rFonts w:ascii="Times New Roman" w:cs="Times New Roman" w:eastAsia="Times New Roman" w:hAnsi="Times New Roman"/>
          <w:sz w:val="19"/>
          <w:szCs w:val="19"/>
          <w:color w:val="auto"/>
        </w:rPr>
        <w:t>Broker’s cashless exchange</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cash</w:t>
      </w:r>
    </w:p>
    <w:p>
      <w:pPr>
        <w:spacing w:after="0" w:line="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9"/>
          <w:szCs w:val="19"/>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1106170</wp:posOffset>
            </wp:positionH>
            <wp:positionV relativeFrom="paragraph">
              <wp:posOffset>-19685</wp:posOffset>
            </wp:positionV>
            <wp:extent cx="1231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2">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9"/>
          <w:szCs w:val="19"/>
          <w:color w:val="auto"/>
        </w:rPr>
        <w:t>Purchase</w:t>
      </w:r>
    </w:p>
    <w:p>
      <w:pPr>
        <w:ind w:left="660"/>
        <w:spacing w:after="0"/>
        <w:rPr>
          <w:sz w:val="20"/>
          <w:szCs w:val="20"/>
          <w:color w:val="auto"/>
        </w:rPr>
      </w:pPr>
      <w:r>
        <w:rPr>
          <w:rFonts w:ascii="Times New Roman" w:cs="Times New Roman" w:eastAsia="Times New Roman" w:hAnsi="Times New Roman"/>
          <w:sz w:val="19"/>
          <w:szCs w:val="19"/>
          <w:color w:val="auto"/>
        </w:rPr>
        <w:t>Sale</w:t>
      </w:r>
    </w:p>
    <w:p>
      <w:pPr>
        <w:ind w:left="660"/>
        <w:spacing w:after="0"/>
        <w:rPr>
          <w:sz w:val="20"/>
          <w:szCs w:val="20"/>
          <w:color w:val="auto"/>
        </w:rPr>
      </w:pPr>
      <w:r>
        <w:rPr>
          <w:rFonts w:ascii="Times New Roman" w:cs="Times New Roman" w:eastAsia="Times New Roman" w:hAnsi="Times New Roman"/>
          <w:sz w:val="19"/>
          <w:szCs w:val="19"/>
          <w:color w:val="auto"/>
        </w:rPr>
        <w:t>Gift</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Other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Broker Contact Information</w:t>
      </w:r>
    </w:p>
    <w:p>
      <w:pPr>
        <w:spacing w:after="0" w:line="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Company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1337945</wp:posOffset>
            </wp:positionH>
            <wp:positionV relativeFrom="paragraph">
              <wp:posOffset>-15240</wp:posOffset>
            </wp:positionV>
            <wp:extent cx="1231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3">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ind w:left="640"/>
        <w:spacing w:after="0"/>
        <w:rPr>
          <w:sz w:val="20"/>
          <w:szCs w:val="20"/>
          <w:color w:val="auto"/>
        </w:rPr>
      </w:pPr>
      <w:r>
        <w:rPr>
          <w:rFonts w:ascii="Times New Roman" w:cs="Times New Roman" w:eastAsia="Times New Roman" w:hAnsi="Times New Roman"/>
          <w:sz w:val="19"/>
          <w:szCs w:val="19"/>
          <w:color w:val="auto"/>
        </w:rPr>
        <w:t>Contact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1242060</wp:posOffset>
            </wp:positionH>
            <wp:positionV relativeFrom="paragraph">
              <wp:posOffset>-15240</wp:posOffset>
            </wp:positionV>
            <wp:extent cx="1231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4">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sectPr>
      </w:pPr>
    </w:p>
    <w:p>
      <w:pPr>
        <w:spacing w:after="0" w:line="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Telephone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9"/>
          <w:szCs w:val="19"/>
          <w:color w:val="auto"/>
        </w:rPr>
        <w:t>Fax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-23495</wp:posOffset>
            </wp:positionV>
            <wp:extent cx="1231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5">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Account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-155575</wp:posOffset>
            </wp:positionH>
            <wp:positionV relativeFrom="paragraph">
              <wp:posOffset>-23495</wp:posOffset>
            </wp:positionV>
            <wp:extent cx="1231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6">
                      <a:extLst>
                        <a:ext uri="{28A0092B-C50C-407E-A947-70E740481C1C}"/>
                      </a:extLst>
                    </a:blip>
                    <a:srcRect/>
                    <a:stretch>
                      <a:fillRect/>
                    </a:stretch>
                  </pic:blipFill>
                  <pic:spPr bwMode="auto">
                    <a:xfrm>
                      <a:off x="0" y="0"/>
                      <a:ext cx="123190" cy="8255"/>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-23495</wp:posOffset>
            </wp:positionV>
            <wp:extent cx="1231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7">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460" w:space="420"/>
            <w:col w:w="300" w:space="440"/>
            <w:col w:w="7399"/>
          </w:cols>
          <w:pgMar w:left="440" w:top="1440" w:right="1440" w:bottom="1440" w:gutter="0" w:footer="0" w:header="0"/>
          <w:type w:val="continuous"/>
        </w:sectPr>
      </w:pP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Social Security or other Tax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2717800</wp:posOffset>
            </wp:positionH>
            <wp:positionV relativeFrom="paragraph">
              <wp:posOffset>-3175</wp:posOffset>
            </wp:positionV>
            <wp:extent cx="1231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8">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Status </w:t>
      </w:r>
      <w:r>
        <w:rPr>
          <w:rFonts w:ascii="Times New Roman" w:cs="Times New Roman" w:eastAsia="Times New Roman" w:hAnsi="Times New Roman"/>
          <w:sz w:val="19"/>
          <w:szCs w:val="19"/>
          <w:color w:val="auto"/>
        </w:rPr>
        <w:t>(check all applicable boxes)</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Executive Officer</w:t>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Board Member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 xml:space="preserve">Filing Information </w:t>
      </w:r>
      <w:r>
        <w:rPr>
          <w:rFonts w:ascii="Times New Roman" w:cs="Times New Roman" w:eastAsia="Times New Roman" w:hAnsi="Times New Roman"/>
          <w:sz w:val="19"/>
          <w:szCs w:val="19"/>
          <w:color w:val="auto"/>
        </w:rPr>
        <w:t>(check all applicable boxes and complete blanks)</w:t>
      </w:r>
    </w:p>
    <w:p>
      <w:pPr>
        <w:spacing w:after="0" w:line="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Date of filing of last Form 3 or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2057400</wp:posOffset>
            </wp:positionH>
            <wp:positionV relativeFrom="paragraph">
              <wp:posOffset>-19685</wp:posOffset>
            </wp:positionV>
            <wp:extent cx="1231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9">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9"/>
          <w:szCs w:val="19"/>
          <w:color w:val="auto"/>
        </w:rPr>
        <w:t>Is a Form 144 Necessary?</w:t>
      </w:r>
    </w:p>
    <w:p>
      <w:pPr>
        <w:spacing w:after="0" w:line="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Date of filing of last Form 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1954530</wp:posOffset>
            </wp:positionH>
            <wp:positionV relativeFrom="paragraph">
              <wp:posOffset>-19685</wp:posOffset>
            </wp:positionV>
            <wp:extent cx="1231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70">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ectPr>
          <w:pgSz w:w="11900" w:h="16838" w:orient="portrait"/>
          <w:cols w:equalWidth="0" w:num="1">
            <w:col w:w="10019"/>
          </w:cols>
          <w:pgMar w:left="440" w:top="1440" w:right="1440" w:bottom="1440" w:gutter="0" w:footer="0" w:header="0"/>
          <w:type w:val="continuous"/>
        </w:sectPr>
      </w:pPr>
    </w:p>
    <w:bookmarkStart w:id="195" w:name="page196"/>
    <w:bookmarkEnd w:id="195"/>
    <w:p>
      <w:pPr>
        <w:ind w:left="1280"/>
        <w:spacing w:after="0"/>
        <w:rPr>
          <w:sz w:val="20"/>
          <w:szCs w:val="20"/>
          <w:color w:val="auto"/>
        </w:rPr>
      </w:pPr>
      <w:r>
        <w:rPr>
          <w:rFonts w:ascii="Times New Roman" w:cs="Times New Roman" w:eastAsia="Times New Roman" w:hAnsi="Times New Roman"/>
          <w:sz w:val="19"/>
          <w:szCs w:val="19"/>
          <w:b w:val="1"/>
          <w:bCs w:val="1"/>
          <w:color w:val="auto"/>
        </w:rPr>
        <w:t>I am not currently in possession of any material non-public information relating to ZoomInfo Technologies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and its subsidiaries. I hereby certify that the statements made on this form are true and correct.</w:t>
      </w:r>
    </w:p>
    <w:p>
      <w:pPr>
        <w:spacing w:after="0" w:line="204" w:lineRule="exact"/>
        <w:rPr>
          <w:sz w:val="20"/>
          <w:szCs w:val="20"/>
          <w:color w:val="auto"/>
        </w:rPr>
      </w:pPr>
    </w:p>
    <w:p>
      <w:pPr>
        <w:jc w:val="both"/>
        <w:ind w:firstLine="1272"/>
        <w:spacing w:after="0" w:line="267" w:lineRule="auto"/>
        <w:rPr>
          <w:sz w:val="20"/>
          <w:szCs w:val="20"/>
          <w:color w:val="auto"/>
        </w:rPr>
      </w:pPr>
      <w:r>
        <w:rPr>
          <w:rFonts w:ascii="Times New Roman" w:cs="Times New Roman" w:eastAsia="Times New Roman" w:hAnsi="Times New Roman"/>
          <w:sz w:val="19"/>
          <w:szCs w:val="19"/>
          <w:color w:val="auto"/>
        </w:rPr>
        <w:t>I understand that clearance may be rescinded prior to effectuating the above transaction if material non-public information regarding ZoomInfo Technologies Inc. arises and, in the reasonable judgment of ZoomInfo Technologies Inc., the completion of my trade would be inadvisable. I also understand that the ultimate responsibility for compliance with the insider trading provisions of the federal securities laws rests with me and that clearance of any proposed transaction should not be construed as a guarantee that I will not later be found to have been in possession of material non-public information.</w:t>
      </w:r>
    </w:p>
    <w:p>
      <w:pPr>
        <w:spacing w:after="0" w:line="16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9"/>
          <w:szCs w:val="19"/>
          <w:color w:val="auto"/>
        </w:rPr>
        <w:t>Signature</w:t>
        <w:tab/>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509270</wp:posOffset>
            </wp:positionH>
            <wp:positionV relativeFrom="paragraph">
              <wp:posOffset>-5715</wp:posOffset>
            </wp:positionV>
            <wp:extent cx="1231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1">
                      <a:extLst>
                        <a:ext uri="{28A0092B-C50C-407E-A947-70E740481C1C}"/>
                      </a:extLst>
                    </a:blip>
                    <a:srcRect/>
                    <a:stretch>
                      <a:fillRect/>
                    </a:stretch>
                  </pic:blipFill>
                  <pic:spPr bwMode="auto">
                    <a:xfrm>
                      <a:off x="0" y="0"/>
                      <a:ext cx="123190" cy="8255"/>
                    </a:xfrm>
                    <a:prstGeom prst="rect">
                      <a:avLst/>
                    </a:prstGeom>
                    <a:noFill/>
                  </pic:spPr>
                </pic:pic>
              </a:graphicData>
            </a:graphic>
          </wp:anchor>
        </w:drawing>
        <w:drawing>
          <wp:anchor simplePos="0" relativeHeight="251657728" behindDoc="1" locked="0" layoutInCell="0" allowOverlap="1">
            <wp:simplePos x="0" y="0"/>
            <wp:positionH relativeFrom="column">
              <wp:posOffset>927100</wp:posOffset>
            </wp:positionH>
            <wp:positionV relativeFrom="paragraph">
              <wp:posOffset>-5715</wp:posOffset>
            </wp:positionV>
            <wp:extent cx="1231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2">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601980</wp:posOffset>
            </wp:positionH>
            <wp:positionV relativeFrom="paragraph">
              <wp:posOffset>-15240</wp:posOffset>
            </wp:positionV>
            <wp:extent cx="1231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123190"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Telephone Number Where You May Be Reached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2453640</wp:posOffset>
            </wp:positionH>
            <wp:positionV relativeFrom="paragraph">
              <wp:posOffset>-5715</wp:posOffset>
            </wp:positionV>
            <wp:extent cx="1231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123190" cy="8255"/>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94615</wp:posOffset>
            </wp:positionV>
            <wp:extent cx="69075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6907530" cy="8255"/>
                    </a:xfrm>
                    <a:prstGeom prst="rect">
                      <a:avLst/>
                    </a:prstGeom>
                    <a:noFill/>
                  </pic:spPr>
                </pic:pic>
              </a:graphicData>
            </a:graphic>
          </wp:anchor>
        </w:drawing>
      </w:r>
    </w:p>
    <w:p>
      <w:pPr>
        <w:spacing w:after="0" w:line="216" w:lineRule="exact"/>
        <w:rPr>
          <w:sz w:val="20"/>
          <w:szCs w:val="20"/>
          <w:color w:val="auto"/>
        </w:rPr>
      </w:pPr>
    </w:p>
    <w:p>
      <w:pPr>
        <w:ind w:left="320" w:hanging="118"/>
        <w:spacing w:after="0" w:line="257" w:lineRule="auto"/>
        <w:rPr>
          <w:sz w:val="20"/>
          <w:szCs w:val="20"/>
          <w:color w:val="auto"/>
        </w:rPr>
      </w:pPr>
      <w:r>
        <w:rPr>
          <w:rFonts w:ascii="Times New Roman" w:cs="Times New Roman" w:eastAsia="Times New Roman" w:hAnsi="Times New Roman"/>
          <w:sz w:val="18"/>
          <w:szCs w:val="18"/>
          <w:color w:val="auto"/>
        </w:rPr>
        <w:t>Request Approved (transaction must be completed during the Window Period (as defined in Section 5.4 of ZoomInfo Technologies Inc.’s Securities Trading Policy) in which this approval was granted and in any event within two business days after approval).</w:t>
      </w:r>
    </w:p>
    <w:p>
      <w:pPr>
        <w:ind w:left="20"/>
        <w:spacing w:after="0" w:line="231" w:lineRule="auto"/>
        <w:rPr>
          <w:sz w:val="20"/>
          <w:szCs w:val="20"/>
          <w:color w:val="auto"/>
        </w:rPr>
      </w:pPr>
      <w:r>
        <w:rPr>
          <w:rFonts w:ascii="Times New Roman" w:cs="Times New Roman" w:eastAsia="Times New Roman" w:hAnsi="Times New Roman"/>
          <w:sz w:val="18"/>
          <w:szCs w:val="18"/>
          <w:color w:val="auto"/>
        </w:rPr>
        <w:t>Request Denied</w:t>
      </w:r>
    </w:p>
    <w:p>
      <w:pPr>
        <w:ind w:left="20"/>
        <w:spacing w:after="0"/>
        <w:rPr>
          <w:sz w:val="20"/>
          <w:szCs w:val="20"/>
          <w:color w:val="auto"/>
        </w:rPr>
      </w:pPr>
      <w:r>
        <w:rPr>
          <w:rFonts w:ascii="Times New Roman" w:cs="Times New Roman" w:eastAsia="Times New Roman" w:hAnsi="Times New Roman"/>
          <w:sz w:val="18"/>
          <w:szCs w:val="18"/>
          <w:color w:val="auto"/>
        </w:rPr>
        <w:t>Request Approved with the following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2338070</wp:posOffset>
            </wp:positionH>
            <wp:positionV relativeFrom="paragraph">
              <wp:posOffset>-22225</wp:posOffset>
            </wp:positionV>
            <wp:extent cx="11239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pacing w:after="0" w:line="16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463550</wp:posOffset>
            </wp:positionH>
            <wp:positionV relativeFrom="paragraph">
              <wp:posOffset>-9525</wp:posOffset>
            </wp:positionV>
            <wp:extent cx="11239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7">
                      <a:extLst>
                        <a:ext uri="{28A0092B-C50C-407E-A947-70E740481C1C}"/>
                      </a:extLst>
                    </a:blip>
                    <a:srcRect/>
                    <a:stretch>
                      <a:fillRect/>
                    </a:stretch>
                  </pic:blipFill>
                  <pic:spPr bwMode="auto">
                    <a:xfrm>
                      <a:off x="0" y="0"/>
                      <a:ext cx="112395" cy="8255"/>
                    </a:xfrm>
                    <a:prstGeom prst="rect">
                      <a:avLst/>
                    </a:prstGeom>
                    <a:noFill/>
                  </pic:spPr>
                </pic:pic>
              </a:graphicData>
            </a:graphic>
          </wp:anchor>
        </w:drawing>
        <w:drawing>
          <wp:anchor simplePos="0" relativeHeight="251657728" behindDoc="1" locked="0" layoutInCell="0" allowOverlap="1">
            <wp:simplePos x="0" y="0"/>
            <wp:positionH relativeFrom="column">
              <wp:posOffset>927735</wp:posOffset>
            </wp:positionH>
            <wp:positionV relativeFrom="paragraph">
              <wp:posOffset>-9525</wp:posOffset>
            </wp:positionV>
            <wp:extent cx="11239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8">
                      <a:extLst>
                        <a:ext uri="{28A0092B-C50C-407E-A947-70E740481C1C}"/>
                      </a:extLst>
                    </a:blip>
                    <a:srcRect/>
                    <a:stretch>
                      <a:fillRect/>
                    </a:stretch>
                  </pic:blipFill>
                  <pic:spPr bwMode="auto">
                    <a:xfrm>
                      <a:off x="0" y="0"/>
                      <a:ext cx="112395" cy="8255"/>
                    </a:xfrm>
                    <a:prstGeom prst="rect">
                      <a:avLst/>
                    </a:prstGeom>
                    <a:noFill/>
                  </pic:spPr>
                </pic:pic>
              </a:graphicData>
            </a:graphic>
          </wp:anchor>
        </w:drawing>
      </w:r>
    </w:p>
    <w:p>
      <w:pPr>
        <w:sectPr>
          <w:pgSz w:w="11900" w:h="16838" w:orient="portrait"/>
          <w:cols w:equalWidth="0" w:num="1">
            <w:col w:w="10800"/>
          </w:cols>
          <w:pgMar w:left="440" w:top="1371" w:right="659" w:bottom="1440" w:gutter="0" w:footer="0" w:header="0"/>
        </w:sectPr>
      </w:pPr>
    </w:p>
    <w:bookmarkStart w:id="196" w:name="page197"/>
    <w:bookmarkEnd w:id="196"/>
    <w:p>
      <w:pPr>
        <w:spacing w:after="0" w:line="14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196"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1"/>
          <w:szCs w:val="21"/>
          <w:b w:val="1"/>
          <w:bCs w:val="1"/>
          <w:color w:val="auto"/>
        </w:rPr>
        <w:t>ZoomInfo Technologies Inc.</w:t>
      </w:r>
    </w:p>
    <w:p>
      <w:pPr>
        <w:spacing w:after="0" w:line="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1"/>
          <w:szCs w:val="21"/>
          <w:b w:val="1"/>
          <w:bCs w:val="1"/>
          <w:color w:val="auto"/>
        </w:rPr>
        <w:t>Individual Rule 10b5-1 Trading Plan Guidelines</w:t>
      </w:r>
    </w:p>
    <w:p>
      <w:pPr>
        <w:spacing w:after="0" w:line="155"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21"/>
          <w:szCs w:val="21"/>
          <w:color w:val="auto"/>
        </w:rPr>
        <w:t>The Securities and Exchange Commission enacted Rule 10b5-1 (the “</w:t>
      </w:r>
      <w:r>
        <w:rPr>
          <w:rFonts w:ascii="Times New Roman" w:cs="Times New Roman" w:eastAsia="Times New Roman" w:hAnsi="Times New Roman"/>
          <w:sz w:val="21"/>
          <w:szCs w:val="21"/>
          <w:b w:val="1"/>
          <w:bCs w:val="1"/>
          <w:i w:val="1"/>
          <w:iCs w:val="1"/>
          <w:color w:val="auto"/>
        </w:rPr>
        <w:t>Rule</w:t>
      </w:r>
      <w:r>
        <w:rPr>
          <w:rFonts w:ascii="Times New Roman" w:cs="Times New Roman" w:eastAsia="Times New Roman" w:hAnsi="Times New Roman"/>
          <w:sz w:val="21"/>
          <w:szCs w:val="21"/>
          <w:color w:val="auto"/>
        </w:rPr>
        <w:t>”) to give insiders who were often in possession of material, nonpublic information (“</w:t>
      </w:r>
      <w:r>
        <w:rPr>
          <w:rFonts w:ascii="Times New Roman" w:cs="Times New Roman" w:eastAsia="Times New Roman" w:hAnsi="Times New Roman"/>
          <w:sz w:val="21"/>
          <w:szCs w:val="21"/>
          <w:b w:val="1"/>
          <w:bCs w:val="1"/>
          <w:i w:val="1"/>
          <w:iCs w:val="1"/>
          <w:color w:val="auto"/>
        </w:rPr>
        <w:t>Insiders</w:t>
      </w:r>
      <w:r>
        <w:rPr>
          <w:rFonts w:ascii="Times New Roman" w:cs="Times New Roman" w:eastAsia="Times New Roman" w:hAnsi="Times New Roman"/>
          <w:sz w:val="21"/>
          <w:szCs w:val="21"/>
          <w:color w:val="auto"/>
        </w:rPr>
        <w:t>”) greater flexibility to engage in transactions in their company’s stock. If Insiders follow the requirements of the Rule, they have an affirmative defense from insider trading liability for trades made under an effective written plan for trading securities (commonly referred to as a Rule 10b5-1 Plan). In each case, Insiders must act in good faith with respect to the Plan and not as part of a scheme to evade the prohibitions against unlawful insider trading.</w:t>
      </w:r>
    </w:p>
    <w:p>
      <w:pPr>
        <w:spacing w:after="0" w:line="128" w:lineRule="exact"/>
        <w:rPr>
          <w:sz w:val="20"/>
          <w:szCs w:val="20"/>
          <w:color w:val="auto"/>
        </w:rPr>
      </w:pPr>
    </w:p>
    <w:p>
      <w:pPr>
        <w:jc w:val="both"/>
        <w:ind w:firstLine="636"/>
        <w:spacing w:after="0" w:line="258" w:lineRule="auto"/>
        <w:rPr>
          <w:sz w:val="20"/>
          <w:szCs w:val="20"/>
          <w:color w:val="auto"/>
        </w:rPr>
      </w:pPr>
      <w:r>
        <w:rPr>
          <w:rFonts w:ascii="Times New Roman" w:cs="Times New Roman" w:eastAsia="Times New Roman" w:hAnsi="Times New Roman"/>
          <w:sz w:val="21"/>
          <w:szCs w:val="21"/>
          <w:color w:val="auto"/>
        </w:rPr>
        <w:t>As set forth in the ZoomInfo Technologies Inc. Securities Trading Policy (the “</w:t>
      </w:r>
      <w:r>
        <w:rPr>
          <w:rFonts w:ascii="Times New Roman" w:cs="Times New Roman" w:eastAsia="Times New Roman" w:hAnsi="Times New Roman"/>
          <w:sz w:val="21"/>
          <w:szCs w:val="21"/>
          <w:b w:val="1"/>
          <w:bCs w:val="1"/>
          <w:i w:val="1"/>
          <w:iCs w:val="1"/>
          <w:color w:val="auto"/>
        </w:rPr>
        <w:t>Policy</w:t>
      </w:r>
      <w:r>
        <w:rPr>
          <w:rFonts w:ascii="Times New Roman" w:cs="Times New Roman" w:eastAsia="Times New Roman" w:hAnsi="Times New Roman"/>
          <w:sz w:val="21"/>
          <w:szCs w:val="21"/>
          <w:color w:val="auto"/>
        </w:rPr>
        <w:t>”), ZoomInfo Technologies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permits its Insiders to purchase or sell shares of Company common stock pursuant to a Rule 10b5-1 plan (a “</w:t>
      </w:r>
      <w:r>
        <w:rPr>
          <w:rFonts w:ascii="Times New Roman" w:cs="Times New Roman" w:eastAsia="Times New Roman" w:hAnsi="Times New Roman"/>
          <w:sz w:val="21"/>
          <w:szCs w:val="21"/>
          <w:b w:val="1"/>
          <w:bCs w:val="1"/>
          <w:i w:val="1"/>
          <w:iCs w:val="1"/>
          <w:color w:val="auto"/>
        </w:rPr>
        <w:t>Plan</w:t>
      </w:r>
      <w:r>
        <w:rPr>
          <w:rFonts w:ascii="Times New Roman" w:cs="Times New Roman" w:eastAsia="Times New Roman" w:hAnsi="Times New Roman"/>
          <w:sz w:val="21"/>
          <w:szCs w:val="21"/>
          <w:color w:val="auto"/>
        </w:rPr>
        <w:t>”) under certain circumstances. The Legal Department has set forth the following guidelines (the “</w:t>
      </w:r>
      <w:r>
        <w:rPr>
          <w:rFonts w:ascii="Times New Roman" w:cs="Times New Roman" w:eastAsia="Times New Roman" w:hAnsi="Times New Roman"/>
          <w:sz w:val="21"/>
          <w:szCs w:val="21"/>
          <w:b w:val="1"/>
          <w:bCs w:val="1"/>
          <w:i w:val="1"/>
          <w:iCs w:val="1"/>
          <w:color w:val="auto"/>
        </w:rPr>
        <w:t>Guidelines</w:t>
      </w:r>
      <w:r>
        <w:rPr>
          <w:rFonts w:ascii="Times New Roman" w:cs="Times New Roman" w:eastAsia="Times New Roman" w:hAnsi="Times New Roman"/>
          <w:sz w:val="21"/>
          <w:szCs w:val="21"/>
          <w:color w:val="auto"/>
        </w:rPr>
        <w:t>”) to provide Insiders with clarity as to what parameters must be followed in order to adopt a Plan that is compliant with the Company’s Policy. These Guidelines are in addition to, and not in lieu of, the requirements and conditions of the Rule. Any questions regarding the Guidelines should be directed to the Office of the General Counsel. Capitalized terms not otherwise defined in these guidelines shall have the meaning set forth in the Policy.</w:t>
      </w:r>
    </w:p>
    <w:p>
      <w:pPr>
        <w:spacing w:after="0" w:line="121" w:lineRule="exact"/>
        <w:rPr>
          <w:sz w:val="20"/>
          <w:szCs w:val="20"/>
          <w:color w:val="auto"/>
        </w:rPr>
      </w:pPr>
    </w:p>
    <w:p>
      <w:pPr>
        <w:jc w:val="both"/>
        <w:ind w:left="640" w:hanging="312"/>
        <w:spacing w:after="0" w:line="266" w:lineRule="auto"/>
        <w:tabs>
          <w:tab w:leader="none" w:pos="64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Pre-Clearance</w:t>
      </w:r>
      <w:r>
        <w:rPr>
          <w:rFonts w:ascii="Times New Roman" w:cs="Times New Roman" w:eastAsia="Times New Roman" w:hAnsi="Times New Roman"/>
          <w:sz w:val="21"/>
          <w:szCs w:val="21"/>
          <w:color w:val="auto"/>
        </w:rPr>
        <w:t>. All Plans must be submitted in writing and pre-cleared by the Office of the General Counsel at least two business days prior to the entry into the Plan. The Company reserves the right to withhold pre-clearance of any Plan that the Company determines is not consistent with the rules regarding such plans. Notwithstanding any pre-clearance of a Plan, the Company assumes no liability for the consequences of any transaction made pursuant to such plan.</w:t>
      </w:r>
    </w:p>
    <w:p>
      <w:pPr>
        <w:spacing w:after="0" w:line="108" w:lineRule="exact"/>
        <w:rPr>
          <w:rFonts w:ascii="Times New Roman" w:cs="Times New Roman" w:eastAsia="Times New Roman" w:hAnsi="Times New Roman"/>
          <w:sz w:val="19"/>
          <w:szCs w:val="19"/>
          <w:color w:val="auto"/>
        </w:rPr>
      </w:pPr>
    </w:p>
    <w:p>
      <w:pPr>
        <w:ind w:left="640" w:hanging="312"/>
        <w:spacing w:after="0" w:line="298" w:lineRule="auto"/>
        <w:tabs>
          <w:tab w:leader="none" w:pos="64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Plan Adoption</w:t>
      </w:r>
      <w:r>
        <w:rPr>
          <w:rFonts w:ascii="Times New Roman" w:cs="Times New Roman" w:eastAsia="Times New Roman" w:hAnsi="Times New Roman"/>
          <w:sz w:val="21"/>
          <w:szCs w:val="21"/>
          <w:color w:val="auto"/>
        </w:rPr>
        <w:t>. All Plans must be entered into during a Window Period and when the Insider is not in possession of any Material, Non-Public Information.</w:t>
      </w:r>
    </w:p>
    <w:p>
      <w:pPr>
        <w:spacing w:after="0" w:line="76" w:lineRule="exact"/>
        <w:rPr>
          <w:rFonts w:ascii="Times New Roman" w:cs="Times New Roman" w:eastAsia="Times New Roman" w:hAnsi="Times New Roman"/>
          <w:sz w:val="19"/>
          <w:szCs w:val="19"/>
          <w:color w:val="auto"/>
        </w:rPr>
      </w:pPr>
    </w:p>
    <w:p>
      <w:pPr>
        <w:jc w:val="both"/>
        <w:ind w:left="640" w:hanging="312"/>
        <w:spacing w:after="0" w:line="266" w:lineRule="auto"/>
        <w:tabs>
          <w:tab w:leader="none" w:pos="64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Plan Format</w:t>
      </w:r>
      <w:r>
        <w:rPr>
          <w:rFonts w:ascii="Times New Roman" w:cs="Times New Roman" w:eastAsia="Times New Roman" w:hAnsi="Times New Roman"/>
          <w:sz w:val="21"/>
          <w:szCs w:val="21"/>
          <w:color w:val="auto"/>
        </w:rPr>
        <w:t>. All Plans must be in writing and must not allow the Insider to exercise any subsequent influence over how, when or whether to effect trades in Company securities under the Plan. Additionally, Plans must (a) expressly state the amount, price and dates on which transactions may be executed, (b) provide a written formula for determining amounts, prices and dates, or (c) delegate discretion on those matters to an independent third party.</w:t>
      </w:r>
    </w:p>
    <w:p>
      <w:pPr>
        <w:spacing w:after="0" w:line="108" w:lineRule="exact"/>
        <w:rPr>
          <w:rFonts w:ascii="Times New Roman" w:cs="Times New Roman" w:eastAsia="Times New Roman" w:hAnsi="Times New Roman"/>
          <w:sz w:val="19"/>
          <w:szCs w:val="19"/>
          <w:color w:val="auto"/>
        </w:rPr>
      </w:pPr>
    </w:p>
    <w:p>
      <w:pPr>
        <w:ind w:left="640" w:hanging="312"/>
        <w:spacing w:after="0"/>
        <w:tabs>
          <w:tab w:leader="none" w:pos="640" w:val="left"/>
        </w:tabs>
        <w:numPr>
          <w:ilvl w:val="0"/>
          <w:numId w:val="11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Cooling-Off Period</w:t>
      </w:r>
      <w:r>
        <w:rPr>
          <w:rFonts w:ascii="Times New Roman" w:cs="Times New Roman" w:eastAsia="Times New Roman" w:hAnsi="Times New Roman"/>
          <w:sz w:val="21"/>
          <w:szCs w:val="21"/>
          <w:color w:val="auto"/>
        </w:rPr>
        <w:t>.</w:t>
      </w:r>
    </w:p>
    <w:p>
      <w:pPr>
        <w:spacing w:after="0" w:line="182" w:lineRule="exact"/>
        <w:rPr>
          <w:rFonts w:ascii="Times New Roman" w:cs="Times New Roman" w:eastAsia="Times New Roman" w:hAnsi="Times New Roman"/>
          <w:sz w:val="19"/>
          <w:szCs w:val="19"/>
          <w:color w:val="auto"/>
        </w:rPr>
      </w:pPr>
    </w:p>
    <w:p>
      <w:pPr>
        <w:ind w:left="1280" w:hanging="318"/>
        <w:spacing w:after="0" w:line="26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21"/>
          <w:szCs w:val="21"/>
          <w:color w:val="auto"/>
        </w:rPr>
        <w:t>If the Insider is a Company director or officer (as defined in Rule 16a-1 under the Securities Exchange Act of</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1934, as amended (a “</w:t>
      </w:r>
      <w:r>
        <w:rPr>
          <w:rFonts w:ascii="Times New Roman" w:cs="Times New Roman" w:eastAsia="Times New Roman" w:hAnsi="Times New Roman"/>
          <w:sz w:val="21"/>
          <w:szCs w:val="21"/>
          <w:b w:val="1"/>
          <w:bCs w:val="1"/>
          <w:i w:val="1"/>
          <w:iCs w:val="1"/>
          <w:color w:val="auto"/>
        </w:rPr>
        <w:t>Section 16 Person</w:t>
      </w:r>
      <w:r>
        <w:rPr>
          <w:rFonts w:ascii="Times New Roman" w:cs="Times New Roman" w:eastAsia="Times New Roman" w:hAnsi="Times New Roman"/>
          <w:sz w:val="21"/>
          <w:szCs w:val="21"/>
          <w:color w:val="auto"/>
        </w:rPr>
        <w:t>”)), the Plan must not permit any trades to occur until the later of (a) 90 days following adoption of the Plan or (2) two business days following the disclosure of the Company’s financial results in a Form 10-Q or Form 10-K for the fiscal quarter in which the Plan was adopted (but, in any event, this required cooling-off period is subject to a maximum of 120 days after adoption of the Plan).</w:t>
      </w:r>
    </w:p>
    <w:p>
      <w:pPr>
        <w:sectPr>
          <w:pgSz w:w="11900" w:h="16838" w:orient="portrait"/>
          <w:cols w:equalWidth="0" w:num="1">
            <w:col w:w="10940"/>
          </w:cols>
          <w:pgMar w:left="440" w:top="1440" w:right="519" w:bottom="1440" w:gutter="0" w:footer="0" w:header="0"/>
        </w:sectPr>
      </w:pPr>
    </w:p>
    <w:bookmarkStart w:id="197" w:name="page198"/>
    <w:bookmarkEnd w:id="197"/>
    <w:p>
      <w:pPr>
        <w:spacing w:after="0" w:line="37" w:lineRule="exact"/>
        <w:rPr>
          <w:sz w:val="20"/>
          <w:szCs w:val="20"/>
          <w:color w:val="auto"/>
        </w:rPr>
      </w:pPr>
    </w:p>
    <w:p>
      <w:pPr>
        <w:ind w:left="952" w:hanging="316"/>
        <w:spacing w:after="0" w:line="298" w:lineRule="auto"/>
        <w:tabs>
          <w:tab w:leader="none" w:pos="952" w:val="left"/>
        </w:tabs>
        <w:numPr>
          <w:ilvl w:val="2"/>
          <w:numId w:val="12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If the Insider is not a Section 16 Person (but is also not the Company itself), the Plan must not permit any trades to occur until the expiration of a cooling-off period 30 days after the adoption or modification of such Plan.</w:t>
      </w:r>
    </w:p>
    <w:p>
      <w:pPr>
        <w:spacing w:after="0" w:line="76" w:lineRule="exact"/>
        <w:rPr>
          <w:rFonts w:ascii="Times New Roman" w:cs="Times New Roman" w:eastAsia="Times New Roman" w:hAnsi="Times New Roman"/>
          <w:sz w:val="19"/>
          <w:szCs w:val="19"/>
          <w:color w:val="auto"/>
        </w:rPr>
      </w:pPr>
    </w:p>
    <w:p>
      <w:pPr>
        <w:jc w:val="both"/>
        <w:ind w:left="312" w:hanging="312"/>
        <w:spacing w:after="0" w:line="266" w:lineRule="auto"/>
        <w:tabs>
          <w:tab w:leader="none" w:pos="312"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Multiple Plans</w:t>
      </w:r>
      <w:r>
        <w:rPr>
          <w:rFonts w:ascii="Times New Roman" w:cs="Times New Roman" w:eastAsia="Times New Roman" w:hAnsi="Times New Roman"/>
          <w:sz w:val="21"/>
          <w:szCs w:val="21"/>
          <w:color w:val="auto"/>
        </w:rPr>
        <w:t>. Pursuant to the Rule, a person may only rely on the affirmative defense for a single-trade plan once during any consecutive 12-month period. A single-trade plan is a 10b5-1 trading plan designed to effect the purchase or sale of the total amount of the securities subject to the plan as a single transaction. Further, only one Plan may be in effect at any time, unless one of three exemptions is met, which are:</w:t>
      </w:r>
    </w:p>
    <w:p>
      <w:pPr>
        <w:spacing w:after="0" w:line="108" w:lineRule="exact"/>
        <w:rPr>
          <w:rFonts w:ascii="Times New Roman" w:cs="Times New Roman" w:eastAsia="Times New Roman" w:hAnsi="Times New Roman"/>
          <w:sz w:val="19"/>
          <w:szCs w:val="19"/>
          <w:color w:val="auto"/>
        </w:rPr>
      </w:pPr>
    </w:p>
    <w:p>
      <w:pPr>
        <w:ind w:left="952" w:hanging="316"/>
        <w:spacing w:after="0" w:line="298" w:lineRule="auto"/>
        <w:tabs>
          <w:tab w:leader="none" w:pos="941" w:val="left"/>
        </w:tabs>
        <w:numPr>
          <w:ilvl w:val="2"/>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person may enter into more than one Plan with different broker-dealers or other agents and treat the Plans as a single Plan so long as, when taken as a whole, the “plan” complies with all of the rule's requirements;</w:t>
      </w:r>
    </w:p>
    <w:p>
      <w:pPr>
        <w:spacing w:after="0" w:line="76" w:lineRule="exact"/>
        <w:rPr>
          <w:rFonts w:ascii="Times New Roman" w:cs="Times New Roman" w:eastAsia="Times New Roman" w:hAnsi="Times New Roman"/>
          <w:sz w:val="19"/>
          <w:szCs w:val="19"/>
          <w:color w:val="auto"/>
        </w:rPr>
      </w:pPr>
    </w:p>
    <w:p>
      <w:pPr>
        <w:jc w:val="both"/>
        <w:ind w:left="952" w:hanging="316"/>
        <w:spacing w:after="0" w:line="266" w:lineRule="auto"/>
        <w:tabs>
          <w:tab w:leader="none" w:pos="952" w:val="left"/>
        </w:tabs>
        <w:numPr>
          <w:ilvl w:val="2"/>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person may adopt one later-commencing Plan so long as trading under the later- commencing Plan is not authorized to begin until after all trades under the earlier- commencing Plan are completed or expire without execution. If the earlier- commencing Plan is terminated earlier, the later-commencing Plan must have a cooling-off period that starts when the first Plan terminates; and</w:t>
      </w:r>
    </w:p>
    <w:p>
      <w:pPr>
        <w:spacing w:after="0" w:line="108" w:lineRule="exact"/>
        <w:rPr>
          <w:rFonts w:ascii="Times New Roman" w:cs="Times New Roman" w:eastAsia="Times New Roman" w:hAnsi="Times New Roman"/>
          <w:sz w:val="19"/>
          <w:szCs w:val="19"/>
          <w:color w:val="auto"/>
        </w:rPr>
      </w:pPr>
    </w:p>
    <w:p>
      <w:pPr>
        <w:jc w:val="both"/>
        <w:ind w:left="952" w:hanging="316"/>
        <w:spacing w:after="0" w:line="274" w:lineRule="auto"/>
        <w:tabs>
          <w:tab w:leader="none" w:pos="941" w:val="left"/>
        </w:tabs>
        <w:numPr>
          <w:ilvl w:val="2"/>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person may have an additional Plan set up solely to sell securities as necessary to satisfy tax-withholding obligations arising exclusively from the vesting of a compensatory award, otherwise known as “sell-to-cover” transactions.</w:t>
      </w:r>
    </w:p>
    <w:p>
      <w:pPr>
        <w:spacing w:after="0" w:line="100" w:lineRule="exact"/>
        <w:rPr>
          <w:rFonts w:ascii="Times New Roman" w:cs="Times New Roman" w:eastAsia="Times New Roman" w:hAnsi="Times New Roman"/>
          <w:sz w:val="19"/>
          <w:szCs w:val="19"/>
          <w:color w:val="auto"/>
        </w:rPr>
      </w:pPr>
    </w:p>
    <w:p>
      <w:pPr>
        <w:jc w:val="both"/>
        <w:ind w:left="312" w:hanging="312"/>
        <w:spacing w:after="0" w:line="274" w:lineRule="auto"/>
        <w:tabs>
          <w:tab w:leader="none" w:pos="312"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Trades Outside of the Plan</w:t>
      </w:r>
      <w:r>
        <w:rPr>
          <w:rFonts w:ascii="Times New Roman" w:cs="Times New Roman" w:eastAsia="Times New Roman" w:hAnsi="Times New Roman"/>
          <w:sz w:val="21"/>
          <w:szCs w:val="21"/>
          <w:color w:val="auto"/>
        </w:rPr>
        <w:t>. Once a Plan is established, Insiders may transact in securities that are not subject to the currently existing Plan. Such transactions continue to require pre- clearance and be subject to the Company’s Policy. Under no circumstances will opposite- way open market transactions be permitted.</w:t>
      </w:r>
    </w:p>
    <w:p>
      <w:pPr>
        <w:spacing w:after="0" w:line="100" w:lineRule="exact"/>
        <w:rPr>
          <w:rFonts w:ascii="Times New Roman" w:cs="Times New Roman" w:eastAsia="Times New Roman" w:hAnsi="Times New Roman"/>
          <w:sz w:val="19"/>
          <w:szCs w:val="19"/>
          <w:color w:val="auto"/>
        </w:rPr>
      </w:pPr>
    </w:p>
    <w:p>
      <w:pPr>
        <w:ind w:left="312" w:hanging="312"/>
        <w:spacing w:after="0"/>
        <w:tabs>
          <w:tab w:leader="none" w:pos="312"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Plan Duration</w:t>
      </w:r>
      <w:r>
        <w:rPr>
          <w:rFonts w:ascii="Times New Roman" w:cs="Times New Roman" w:eastAsia="Times New Roman" w:hAnsi="Times New Roman"/>
          <w:sz w:val="21"/>
          <w:szCs w:val="21"/>
          <w:color w:val="auto"/>
        </w:rPr>
        <w:t>. The minimum duration of a Plan is six months and the maximum duration is two years.</w:t>
      </w:r>
    </w:p>
    <w:p>
      <w:pPr>
        <w:spacing w:after="0" w:line="182" w:lineRule="exact"/>
        <w:rPr>
          <w:rFonts w:ascii="Times New Roman" w:cs="Times New Roman" w:eastAsia="Times New Roman" w:hAnsi="Times New Roman"/>
          <w:sz w:val="19"/>
          <w:szCs w:val="19"/>
          <w:color w:val="auto"/>
        </w:rPr>
      </w:pPr>
    </w:p>
    <w:p>
      <w:pPr>
        <w:ind w:left="312" w:hanging="312"/>
        <w:spacing w:after="0"/>
        <w:tabs>
          <w:tab w:leader="none" w:pos="312"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Certification</w:t>
      </w:r>
      <w:r>
        <w:rPr>
          <w:rFonts w:ascii="Times New Roman" w:cs="Times New Roman" w:eastAsia="Times New Roman" w:hAnsi="Times New Roman"/>
          <w:sz w:val="21"/>
          <w:szCs w:val="21"/>
          <w:color w:val="auto"/>
        </w:rPr>
        <w:t>. When entering into a Plan, an Insider must certify that at the time of adoption of the Plan that the Insider:</w:t>
      </w:r>
    </w:p>
    <w:p>
      <w:pPr>
        <w:spacing w:after="0" w:line="34" w:lineRule="exact"/>
        <w:rPr>
          <w:rFonts w:ascii="Times New Roman" w:cs="Times New Roman" w:eastAsia="Times New Roman" w:hAnsi="Times New Roman"/>
          <w:sz w:val="19"/>
          <w:szCs w:val="19"/>
          <w:color w:val="auto"/>
        </w:rPr>
      </w:pPr>
    </w:p>
    <w:p>
      <w:pPr>
        <w:ind w:left="612" w:hanging="294"/>
        <w:spacing w:after="0"/>
        <w:tabs>
          <w:tab w:leader="none" w:pos="612"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not aware of any material, non-public information; and</w:t>
      </w:r>
    </w:p>
    <w:p>
      <w:pPr>
        <w:spacing w:after="0" w:line="145" w:lineRule="exact"/>
        <w:rPr>
          <w:rFonts w:ascii="Times New Roman" w:cs="Times New Roman" w:eastAsia="Times New Roman" w:hAnsi="Times New Roman"/>
          <w:sz w:val="21"/>
          <w:szCs w:val="21"/>
          <w:color w:val="auto"/>
        </w:rPr>
      </w:pPr>
    </w:p>
    <w:p>
      <w:pPr>
        <w:ind w:left="612" w:hanging="294"/>
        <w:spacing w:after="0"/>
        <w:tabs>
          <w:tab w:leader="none" w:pos="612" w:val="left"/>
        </w:tabs>
        <w:numPr>
          <w:ilvl w:val="1"/>
          <w:numId w:val="1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 adopting the Plan in good faith and not as part of a plan or scheme to evade the prohibitions of the Rule.</w:t>
      </w:r>
    </w:p>
    <w:p>
      <w:pPr>
        <w:spacing w:after="0" w:line="182" w:lineRule="exact"/>
        <w:rPr>
          <w:rFonts w:ascii="Times New Roman" w:cs="Times New Roman" w:eastAsia="Times New Roman" w:hAnsi="Times New Roman"/>
          <w:sz w:val="21"/>
          <w:szCs w:val="21"/>
          <w:color w:val="auto"/>
        </w:rPr>
      </w:pPr>
    </w:p>
    <w:p>
      <w:pPr>
        <w:jc w:val="both"/>
        <w:ind w:left="312" w:hanging="312"/>
        <w:spacing w:after="0" w:line="259" w:lineRule="auto"/>
        <w:tabs>
          <w:tab w:leader="none" w:pos="312" w:val="left"/>
        </w:tabs>
        <w:numPr>
          <w:ilvl w:val="0"/>
          <w:numId w:val="121"/>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Modifications</w:t>
      </w:r>
      <w:r>
        <w:rPr>
          <w:rFonts w:ascii="Times New Roman" w:cs="Times New Roman" w:eastAsia="Times New Roman" w:hAnsi="Times New Roman"/>
          <w:sz w:val="21"/>
          <w:szCs w:val="21"/>
          <w:color w:val="auto"/>
        </w:rPr>
        <w:t>. Plan modifications are prohibited, other than immaterial modifications, such as those resulting from scrivener’s errors, that are approved by the Office of the General Counsel. As provided in the Rule, any change to the amount, price, or timing of the purchase or sale of the securities underlying a Plan is a termination of such Plan and the adoption of a new Plan. In addition, a Plan modification, such as the substitution or removal of a broker that is executing trades pursuant to a Rule 10b5-1 arrangement on behalf of the person, that changes the price or date on which purchases or sales are to be executed, is a termination of such Plan and the adoption of a new Plan.</w:t>
      </w:r>
    </w:p>
    <w:p>
      <w:pPr>
        <w:sectPr>
          <w:pgSz w:w="11900" w:h="16838" w:orient="portrait"/>
          <w:cols w:equalWidth="0" w:num="1">
            <w:col w:w="10612"/>
          </w:cols>
          <w:pgMar w:left="768" w:top="1440" w:right="519" w:bottom="1440" w:gutter="0" w:footer="0" w:header="0"/>
        </w:sectPr>
      </w:pPr>
    </w:p>
    <w:bookmarkStart w:id="198" w:name="page199"/>
    <w:bookmarkEnd w:id="198"/>
    <w:p>
      <w:pPr>
        <w:spacing w:after="0" w:line="38" w:lineRule="exact"/>
        <w:rPr>
          <w:sz w:val="20"/>
          <w:szCs w:val="20"/>
          <w:color w:val="auto"/>
        </w:rPr>
      </w:pPr>
    </w:p>
    <w:p>
      <w:pPr>
        <w:jc w:val="both"/>
        <w:ind w:left="312" w:hanging="312"/>
        <w:spacing w:after="0" w:line="258" w:lineRule="auto"/>
        <w:tabs>
          <w:tab w:leader="none" w:pos="303"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Early Terminations</w:t>
      </w:r>
      <w:r>
        <w:rPr>
          <w:rFonts w:ascii="Times New Roman" w:cs="Times New Roman" w:eastAsia="Times New Roman" w:hAnsi="Times New Roman"/>
          <w:sz w:val="21"/>
          <w:szCs w:val="21"/>
          <w:color w:val="auto"/>
        </w:rPr>
        <w:t xml:space="preserve">. The early termination of a Plan could affect the availability of the Rule’s affirmative defense for prior Plan transactions if it calls into question whether the Plan was entered into in good faith and not as part of a plan to avoid the insider trading rules. </w:t>
      </w:r>
      <w:r>
        <w:rPr>
          <w:rFonts w:ascii="Times New Roman" w:cs="Times New Roman" w:eastAsia="Times New Roman" w:hAnsi="Times New Roman"/>
          <w:sz w:val="21"/>
          <w:szCs w:val="21"/>
          <w:b w:val="1"/>
          <w:bCs w:val="1"/>
          <w:color w:val="auto"/>
        </w:rPr>
        <w:t>Because of this risk, early terminations are strongly discouraged.</w:t>
      </w:r>
      <w:r>
        <w:rPr>
          <w:rFonts w:ascii="Times New Roman" w:cs="Times New Roman" w:eastAsia="Times New Roman" w:hAnsi="Times New Roman"/>
          <w:sz w:val="21"/>
          <w:szCs w:val="21"/>
          <w:color w:val="auto"/>
        </w:rPr>
        <w:t xml:space="preserve"> In the event an Insider determines to terminate a Plan early, every effort should be taken to terminate the Plan during a Window Period. Early termination of a Plan during a quiet (or blackout) period requires documentation of extenuating circumstances and is subject to legal review. In the event an Insider terminates his or her Plan early, such Insider will be subject to the cooling off period for any subsequent Plan, as noted above in Section 4, or with respect to overlapping Plans, that starts when the first Plan is terminated as set forth in Section 5..</w:t>
      </w:r>
    </w:p>
    <w:p>
      <w:pPr>
        <w:spacing w:after="0" w:line="122" w:lineRule="exact"/>
        <w:rPr>
          <w:rFonts w:ascii="Times New Roman" w:cs="Times New Roman" w:eastAsia="Times New Roman" w:hAnsi="Times New Roman"/>
          <w:sz w:val="19"/>
          <w:szCs w:val="19"/>
          <w:color w:val="auto"/>
        </w:rPr>
      </w:pPr>
    </w:p>
    <w:p>
      <w:pPr>
        <w:jc w:val="both"/>
        <w:ind w:left="312" w:hanging="312"/>
        <w:spacing w:after="0" w:line="274" w:lineRule="auto"/>
        <w:tabs>
          <w:tab w:leader="none" w:pos="296"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Brokers and Broker Reporting</w:t>
      </w:r>
      <w:r>
        <w:rPr>
          <w:rFonts w:ascii="Times New Roman" w:cs="Times New Roman" w:eastAsia="Times New Roman" w:hAnsi="Times New Roman"/>
          <w:sz w:val="21"/>
          <w:szCs w:val="21"/>
          <w:color w:val="auto"/>
        </w:rPr>
        <w:t xml:space="preserve">. With respect to Section 16 Persons, each Plan must require the broker counterparty to </w:t>
      </w:r>
      <w:r>
        <w:rPr>
          <w:rFonts w:ascii="Times New Roman" w:cs="Times New Roman" w:eastAsia="Times New Roman" w:hAnsi="Times New Roman"/>
          <w:sz w:val="21"/>
          <w:szCs w:val="21"/>
          <w:u w:val="single" w:color="auto"/>
          <w:color w:val="auto"/>
        </w:rPr>
        <w:t>promptly</w:t>
      </w:r>
      <w:r>
        <w:rPr>
          <w:rFonts w:ascii="Times New Roman" w:cs="Times New Roman" w:eastAsia="Times New Roman" w:hAnsi="Times New Roman"/>
          <w:sz w:val="21"/>
          <w:szCs w:val="21"/>
          <w:color w:val="auto"/>
        </w:rPr>
        <w:t xml:space="preserve"> report to the Company’s designated representative the details of every transaction executed under a Plan, but in any event, such detail shall be provided no later than one business day after the execution date.</w:t>
      </w:r>
    </w:p>
    <w:p>
      <w:pPr>
        <w:spacing w:after="0" w:line="100" w:lineRule="exact"/>
        <w:rPr>
          <w:rFonts w:ascii="Times New Roman" w:cs="Times New Roman" w:eastAsia="Times New Roman" w:hAnsi="Times New Roman"/>
          <w:sz w:val="19"/>
          <w:szCs w:val="19"/>
          <w:color w:val="auto"/>
        </w:rPr>
      </w:pPr>
    </w:p>
    <w:p>
      <w:pPr>
        <w:jc w:val="both"/>
        <w:ind w:left="312" w:hanging="312"/>
        <w:spacing w:after="0" w:line="259" w:lineRule="auto"/>
        <w:tabs>
          <w:tab w:leader="none" w:pos="303"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Public Disclosure of Plan Transactions</w:t>
      </w:r>
      <w:r>
        <w:rPr>
          <w:rFonts w:ascii="Times New Roman" w:cs="Times New Roman" w:eastAsia="Times New Roman" w:hAnsi="Times New Roman"/>
          <w:sz w:val="21"/>
          <w:szCs w:val="21"/>
          <w:color w:val="auto"/>
        </w:rPr>
        <w:t>. With respect to Section 16 Persons, transactions executed pursuant to a Plan will be indicated as such on the Insider’s Form 4. In addition, beginning with the first periodic filing that covers the Company’s first full fiscal period that begins on or after April 1, 2023 (i.e., the Form 10-Q for the fiscal quarter ended June 30, 2023), the Company will be required to disclose in its periodic reports (i.e., 10-Qs and 10-Ks) the adoption or termination of a Plan by any Section 16 Person during the last completed quarter, including a description of the material terms of such a Plan, other than terms with respect to price.</w:t>
      </w:r>
    </w:p>
    <w:p>
      <w:pPr>
        <w:spacing w:after="0" w:line="132" w:lineRule="exact"/>
        <w:rPr>
          <w:rFonts w:ascii="Times New Roman" w:cs="Times New Roman" w:eastAsia="Times New Roman" w:hAnsi="Times New Roman"/>
          <w:sz w:val="19"/>
          <w:szCs w:val="19"/>
          <w:color w:val="auto"/>
        </w:rPr>
      </w:pPr>
    </w:p>
    <w:p>
      <w:pPr>
        <w:jc w:val="both"/>
        <w:ind w:left="312" w:hanging="312"/>
        <w:spacing w:after="0" w:line="267" w:lineRule="auto"/>
        <w:tabs>
          <w:tab w:leader="none" w:pos="303" w:val="left"/>
        </w:tabs>
        <w:numPr>
          <w:ilvl w:val="0"/>
          <w:numId w:val="12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Securities Laws</w:t>
      </w:r>
      <w:r>
        <w:rPr>
          <w:rFonts w:ascii="Times New Roman" w:cs="Times New Roman" w:eastAsia="Times New Roman" w:hAnsi="Times New Roman"/>
          <w:sz w:val="21"/>
          <w:szCs w:val="21"/>
          <w:color w:val="auto"/>
        </w:rPr>
        <w:t>. A Plan does not relieve Insiders from their obligations to comply with the requirements of applicable securities laws. You will need to coordinate with your broker and the Company to ensure that all of these requirements are satisfied and that all required notices and reports are timely and accurately filed.</w:t>
      </w:r>
    </w:p>
    <w:p>
      <w:pPr>
        <w:sectPr>
          <w:pgSz w:w="11900" w:h="16838" w:orient="portrait"/>
          <w:cols w:equalWidth="0" w:num="1">
            <w:col w:w="10612"/>
          </w:cols>
          <w:pgMar w:left="768" w:top="1440" w:right="51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1180" w:type="dxa"/>
            <w:vAlign w:val="bottom"/>
            <w:gridSpan w:val="2"/>
          </w:tcPr>
          <w:p>
            <w:pPr>
              <w:ind w:left="3660"/>
              <w:spacing w:after="0"/>
              <w:rPr>
                <w:sz w:val="20"/>
                <w:szCs w:val="20"/>
                <w:color w:val="auto"/>
              </w:rPr>
            </w:pPr>
            <w:r>
              <w:rPr>
                <w:rFonts w:ascii="Times New Roman" w:cs="Times New Roman" w:eastAsia="Times New Roman" w:hAnsi="Times New Roman"/>
                <w:sz w:val="21"/>
                <w:szCs w:val="21"/>
                <w:b w:val="1"/>
                <w:bCs w:val="1"/>
                <w:color w:val="auto"/>
              </w:rPr>
              <w:t>Subsidiaries of ZoomInfo Technologies Inc.</w:t>
            </w:r>
          </w:p>
        </w:tc>
      </w:tr>
      <w:tr>
        <w:trPr>
          <w:trHeight w:val="716"/>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b w:val="1"/>
                <w:bCs w:val="1"/>
                <w:color w:val="auto"/>
              </w:rPr>
              <w:t>Name of Subsidiary</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b w:val="1"/>
                <w:bCs w:val="1"/>
                <w:color w:val="auto"/>
              </w:rPr>
              <w:t>Jurisdiction of Incorporation or Organization</w:t>
            </w:r>
          </w:p>
        </w:tc>
      </w:tr>
      <w:tr>
        <w:trPr>
          <w:trHeight w:val="29"/>
        </w:trPr>
        <w:tc>
          <w:tcPr>
            <w:tcW w:w="5880" w:type="dxa"/>
            <w:vAlign w:val="bottom"/>
            <w:tcBorders>
              <w:bottom w:val="single" w:sz="8" w:color="auto"/>
            </w:tcBorders>
          </w:tcPr>
          <w:p>
            <w:pPr>
              <w:spacing w:after="0"/>
              <w:rPr>
                <w:sz w:val="2"/>
                <w:szCs w:val="2"/>
                <w:color w:val="auto"/>
              </w:rPr>
            </w:pPr>
          </w:p>
        </w:tc>
        <w:tc>
          <w:tcPr>
            <w:tcW w:w="5300" w:type="dxa"/>
            <w:vAlign w:val="bottom"/>
            <w:tcBorders>
              <w:bottom w:val="single" w:sz="8" w:color="auto"/>
            </w:tcBorders>
          </w:tcPr>
          <w:p>
            <w:pPr>
              <w:spacing w:after="0"/>
              <w:rPr>
                <w:sz w:val="2"/>
                <w:szCs w:val="2"/>
                <w:color w:val="auto"/>
              </w:rPr>
            </w:pPr>
          </w:p>
        </w:tc>
      </w:tr>
      <w:tr>
        <w:trPr>
          <w:trHeight w:val="283"/>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Intermediate Inc.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Holdings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Midco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Clickagy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Technologies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Finance Corp.</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Neverbounce,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Ruby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International,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Comparably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Razor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Apollo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Datanyze,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DiscoverOrg Acquisition (Komiko),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Israel Ltd.</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Israel</w:t>
            </w:r>
          </w:p>
        </w:tc>
      </w:tr>
      <w:tr>
        <w:trPr>
          <w:trHeight w:val="306"/>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Technologies India Private Limited (formerly InsentApp</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India</w:t>
            </w:r>
          </w:p>
        </w:tc>
      </w:tr>
      <w:tr>
        <w:trPr>
          <w:trHeight w:val="277"/>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India Private Limited)</w:t>
            </w:r>
          </w:p>
        </w:tc>
        <w:tc>
          <w:tcPr>
            <w:tcW w:w="5300" w:type="dxa"/>
            <w:vAlign w:val="bottom"/>
          </w:tcPr>
          <w:p>
            <w:pPr>
              <w:spacing w:after="0"/>
              <w:rPr>
                <w:sz w:val="24"/>
                <w:szCs w:val="24"/>
                <w:color w:val="auto"/>
              </w:rPr>
            </w:pP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ZI Technology India GTM Private Limited</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India</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Canada Corp.</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Canada</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ZoomInfo UK Ltd.</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UK</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EverString Technology, LLC</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Delaware</w:t>
            </w:r>
          </w:p>
        </w:tc>
      </w:tr>
      <w:tr>
        <w:trPr>
          <w:trHeight w:val="318"/>
        </w:trPr>
        <w:tc>
          <w:tcPr>
            <w:tcW w:w="5880" w:type="dxa"/>
            <w:vAlign w:val="bottom"/>
          </w:tcPr>
          <w:p>
            <w:pPr>
              <w:ind w:left="20"/>
              <w:spacing w:after="0"/>
              <w:rPr>
                <w:sz w:val="20"/>
                <w:szCs w:val="20"/>
                <w:color w:val="auto"/>
              </w:rPr>
            </w:pPr>
            <w:r>
              <w:rPr>
                <w:rFonts w:ascii="Times New Roman" w:cs="Times New Roman" w:eastAsia="Times New Roman" w:hAnsi="Times New Roman"/>
                <w:sz w:val="21"/>
                <w:szCs w:val="21"/>
                <w:color w:val="auto"/>
              </w:rPr>
              <w:t>Workbounce, Ltd.</w:t>
            </w:r>
          </w:p>
        </w:tc>
        <w:tc>
          <w:tcPr>
            <w:tcW w:w="530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UK</w:t>
            </w:r>
          </w:p>
        </w:tc>
      </w:tr>
    </w:tbl>
    <w:p>
      <w:pPr>
        <w:sectPr>
          <w:pgSz w:w="11900" w:h="16838" w:orient="portrait"/>
          <w:cols w:equalWidth="0" w:num="1">
            <w:col w:w="11240"/>
          </w:cols>
          <w:pgMar w:left="320" w:top="119"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3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(No. 333-277121 and No. 333-269832) on Form S-8 of our reports dated February 25, 2025, with respect to the consolidated financial statements of ZoomInfo Technologies Inc. and subsidiaries and the effectiveness of internal control over financial reporting.</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KPMG LLP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Portland, Oregon</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2025</w:t>
      </w:r>
    </w:p>
    <w:p>
      <w:pPr>
        <w:sectPr>
          <w:pgSz w:w="11900" w:h="16838" w:orient="portrait"/>
          <w:cols w:equalWidth="0" w:num="1">
            <w:col w:w="11240"/>
          </w:cols>
          <w:pgMar w:left="320" w:top="119"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Henry Schuck, certify that:</w:t>
      </w:r>
    </w:p>
    <w:p>
      <w:pPr>
        <w:spacing w:after="0" w:line="270" w:lineRule="exact"/>
        <w:rPr>
          <w:sz w:val="20"/>
          <w:szCs w:val="20"/>
          <w:color w:val="auto"/>
        </w:rPr>
      </w:pPr>
    </w:p>
    <w:p>
      <w:pPr>
        <w:ind w:left="180" w:hanging="174"/>
        <w:spacing w:after="0"/>
        <w:tabs>
          <w:tab w:leader="none" w:pos="18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ZoomInfo Technologies Inc.;</w:t>
      </w:r>
    </w:p>
    <w:p>
      <w:pPr>
        <w:spacing w:after="0" w:line="283" w:lineRule="exact"/>
        <w:rPr>
          <w:rFonts w:ascii="Times New Roman" w:cs="Times New Roman" w:eastAsia="Times New Roman" w:hAnsi="Times New Roman"/>
          <w:sz w:val="18"/>
          <w:szCs w:val="18"/>
          <w:color w:val="auto"/>
        </w:rPr>
      </w:pPr>
    </w:p>
    <w:p>
      <w:pPr>
        <w:ind w:right="460" w:firstLine="6"/>
        <w:spacing w:after="0" w:line="336" w:lineRule="auto"/>
        <w:tabs>
          <w:tab w:leader="none" w:pos="177"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17"/>
          <w:szCs w:val="17"/>
          <w:color w:val="auto"/>
        </w:rPr>
      </w:pPr>
    </w:p>
    <w:p>
      <w:pPr>
        <w:ind w:right="80" w:firstLine="6"/>
        <w:spacing w:after="0" w:line="304" w:lineRule="auto"/>
        <w:tabs>
          <w:tab w:leader="none" w:pos="17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4" w:lineRule="exact"/>
        <w:rPr>
          <w:rFonts w:ascii="Times New Roman" w:cs="Times New Roman" w:eastAsia="Times New Roman" w:hAnsi="Times New Roman"/>
          <w:sz w:val="18"/>
          <w:szCs w:val="18"/>
          <w:color w:val="auto"/>
        </w:rPr>
      </w:pPr>
    </w:p>
    <w:p>
      <w:pPr>
        <w:ind w:right="60" w:firstLine="6"/>
        <w:spacing w:after="0" w:line="298" w:lineRule="auto"/>
        <w:tabs>
          <w:tab w:leader="none" w:pos="17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9" w:lineRule="exact"/>
        <w:rPr>
          <w:rFonts w:ascii="Times New Roman" w:cs="Times New Roman" w:eastAsia="Times New Roman" w:hAnsi="Times New Roman"/>
          <w:sz w:val="18"/>
          <w:szCs w:val="18"/>
          <w:color w:val="auto"/>
        </w:rPr>
      </w:pPr>
    </w:p>
    <w:p>
      <w:pPr>
        <w:ind w:left="640" w:right="60" w:firstLine="2"/>
        <w:spacing w:after="0" w:line="298" w:lineRule="auto"/>
        <w:tabs>
          <w:tab w:leader="none" w:pos="88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44" w:lineRule="exact"/>
        <w:rPr>
          <w:rFonts w:ascii="Times New Roman" w:cs="Times New Roman" w:eastAsia="Times New Roman" w:hAnsi="Times New Roman"/>
          <w:sz w:val="18"/>
          <w:szCs w:val="18"/>
          <w:color w:val="auto"/>
        </w:rPr>
      </w:pPr>
    </w:p>
    <w:p>
      <w:pPr>
        <w:ind w:left="640" w:right="28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640" w:right="840" w:firstLine="2"/>
        <w:spacing w:after="0" w:line="336" w:lineRule="auto"/>
        <w:tabs>
          <w:tab w:leader="none" w:pos="880" w:val="left"/>
        </w:tabs>
        <w:numPr>
          <w:ilvl w:val="1"/>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17"/>
          <w:szCs w:val="17"/>
          <w:color w:val="auto"/>
        </w:rPr>
      </w:pPr>
    </w:p>
    <w:p>
      <w:pPr>
        <w:jc w:val="both"/>
        <w:ind w:left="640" w:right="300" w:firstLine="2"/>
        <w:spacing w:after="0" w:line="298" w:lineRule="auto"/>
        <w:tabs>
          <w:tab w:leader="none" w:pos="890"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Times New Roman" w:cs="Times New Roman" w:eastAsia="Times New Roman" w:hAnsi="Times New Roman"/>
          <w:sz w:val="18"/>
          <w:szCs w:val="18"/>
          <w:color w:val="auto"/>
        </w:rPr>
      </w:pPr>
    </w:p>
    <w:p>
      <w:pPr>
        <w:ind w:right="680" w:firstLine="6"/>
        <w:spacing w:after="0" w:line="320" w:lineRule="auto"/>
        <w:tabs>
          <w:tab w:leader="none" w:pos="177"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32" w:right="339" w:bottom="1440" w:gutter="0" w:footer="0" w:header="0"/>
        </w:sectPr>
      </w:pPr>
    </w:p>
    <w:bookmarkStart w:id="202" w:name="page203"/>
    <w:bookmarkEnd w:id="202"/>
    <w:p>
      <w:pPr>
        <w:ind w:left="940" w:right="40" w:hanging="318"/>
        <w:spacing w:after="0" w:line="320" w:lineRule="auto"/>
        <w:tabs>
          <w:tab w:leader="none" w:pos="93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940" w:hanging="318"/>
        <w:spacing w:after="0" w:line="320" w:lineRule="auto"/>
        <w:tabs>
          <w:tab w:leader="none" w:pos="93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31750</wp:posOffset>
            </wp:positionV>
            <wp:extent cx="30797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9">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38"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7"/>
          <w:szCs w:val="17"/>
          <w:color w:val="auto"/>
        </w:rPr>
        <w:t>Henry Schuck</w:t>
      </w:r>
    </w:p>
    <w:p>
      <w:pPr>
        <w:spacing w:after="0" w:line="7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100"/>
          </w:cols>
          <w:pgMar w:left="340" w:top="1407" w:right="45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 Certification Pursuant to</w:t>
      </w:r>
    </w:p>
    <w:p>
      <w:pPr>
        <w:spacing w:after="0" w:line="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 Graham O'Brien, certify that:</w:t>
      </w:r>
    </w:p>
    <w:p>
      <w:pPr>
        <w:spacing w:after="0" w:line="270" w:lineRule="exact"/>
        <w:rPr>
          <w:sz w:val="20"/>
          <w:szCs w:val="20"/>
          <w:color w:val="auto"/>
        </w:rPr>
      </w:pPr>
    </w:p>
    <w:p>
      <w:pPr>
        <w:ind w:left="180" w:hanging="174"/>
        <w:spacing w:after="0"/>
        <w:tabs>
          <w:tab w:leader="none" w:pos="18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ZoomInfo Technologies Inc.;</w:t>
      </w:r>
    </w:p>
    <w:p>
      <w:pPr>
        <w:spacing w:after="0" w:line="283" w:lineRule="exact"/>
        <w:rPr>
          <w:rFonts w:ascii="Times New Roman" w:cs="Times New Roman" w:eastAsia="Times New Roman" w:hAnsi="Times New Roman"/>
          <w:sz w:val="18"/>
          <w:szCs w:val="18"/>
          <w:color w:val="auto"/>
        </w:rPr>
      </w:pPr>
    </w:p>
    <w:p>
      <w:pPr>
        <w:ind w:right="460" w:firstLine="6"/>
        <w:spacing w:after="0" w:line="336" w:lineRule="auto"/>
        <w:tabs>
          <w:tab w:leader="none" w:pos="177"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Times New Roman" w:cs="Times New Roman" w:eastAsia="Times New Roman" w:hAnsi="Times New Roman"/>
          <w:sz w:val="17"/>
          <w:szCs w:val="17"/>
          <w:color w:val="auto"/>
        </w:rPr>
      </w:pPr>
    </w:p>
    <w:p>
      <w:pPr>
        <w:ind w:right="80" w:firstLine="6"/>
        <w:spacing w:after="0" w:line="304" w:lineRule="auto"/>
        <w:tabs>
          <w:tab w:leader="none" w:pos="17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4" w:lineRule="exact"/>
        <w:rPr>
          <w:rFonts w:ascii="Times New Roman" w:cs="Times New Roman" w:eastAsia="Times New Roman" w:hAnsi="Times New Roman"/>
          <w:sz w:val="18"/>
          <w:szCs w:val="18"/>
          <w:color w:val="auto"/>
        </w:rPr>
      </w:pPr>
    </w:p>
    <w:p>
      <w:pPr>
        <w:ind w:right="60" w:firstLine="6"/>
        <w:spacing w:after="0" w:line="298" w:lineRule="auto"/>
        <w:tabs>
          <w:tab w:leader="none" w:pos="17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5" w:lineRule="exact"/>
        <w:rPr>
          <w:rFonts w:ascii="Times New Roman" w:cs="Times New Roman" w:eastAsia="Times New Roman" w:hAnsi="Times New Roman"/>
          <w:sz w:val="18"/>
          <w:szCs w:val="18"/>
          <w:color w:val="auto"/>
        </w:rPr>
      </w:pPr>
    </w:p>
    <w:p>
      <w:pPr>
        <w:ind w:left="640" w:right="60" w:firstLine="2"/>
        <w:spacing w:after="0" w:line="298" w:lineRule="auto"/>
        <w:tabs>
          <w:tab w:leader="none" w:pos="88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44" w:lineRule="exact"/>
        <w:rPr>
          <w:rFonts w:ascii="Times New Roman" w:cs="Times New Roman" w:eastAsia="Times New Roman" w:hAnsi="Times New Roman"/>
          <w:sz w:val="18"/>
          <w:szCs w:val="18"/>
          <w:color w:val="auto"/>
        </w:rPr>
      </w:pPr>
    </w:p>
    <w:p>
      <w:pPr>
        <w:ind w:left="640" w:right="28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640" w:right="840" w:firstLine="2"/>
        <w:spacing w:after="0" w:line="336" w:lineRule="auto"/>
        <w:tabs>
          <w:tab w:leader="none" w:pos="880" w:val="left"/>
        </w:tabs>
        <w:numPr>
          <w:ilvl w:val="1"/>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Times New Roman" w:cs="Times New Roman" w:eastAsia="Times New Roman" w:hAnsi="Times New Roman"/>
          <w:sz w:val="17"/>
          <w:szCs w:val="17"/>
          <w:color w:val="auto"/>
        </w:rPr>
      </w:pPr>
    </w:p>
    <w:p>
      <w:pPr>
        <w:jc w:val="both"/>
        <w:ind w:left="640" w:right="300" w:firstLine="2"/>
        <w:spacing w:after="0" w:line="298" w:lineRule="auto"/>
        <w:tabs>
          <w:tab w:leader="none" w:pos="890"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9" w:lineRule="exact"/>
        <w:rPr>
          <w:rFonts w:ascii="Times New Roman" w:cs="Times New Roman" w:eastAsia="Times New Roman" w:hAnsi="Times New Roman"/>
          <w:sz w:val="18"/>
          <w:szCs w:val="18"/>
          <w:color w:val="auto"/>
        </w:rPr>
      </w:pPr>
    </w:p>
    <w:p>
      <w:pPr>
        <w:ind w:right="680" w:firstLine="6"/>
        <w:spacing w:after="0" w:line="304" w:lineRule="auto"/>
        <w:tabs>
          <w:tab w:leader="none" w:pos="177"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ectPr>
          <w:pgSz w:w="11900" w:h="16838" w:orient="portrait"/>
          <w:cols w:equalWidth="0" w:num="1">
            <w:col w:w="11240"/>
          </w:cols>
          <w:pgMar w:left="320" w:top="132" w:right="339" w:bottom="1440" w:gutter="0" w:footer="0" w:header="0"/>
        </w:sectPr>
      </w:pPr>
    </w:p>
    <w:bookmarkStart w:id="204" w:name="page205"/>
    <w:bookmarkEnd w:id="204"/>
    <w:p>
      <w:pPr>
        <w:ind w:left="940" w:right="40" w:hanging="318"/>
        <w:spacing w:after="0" w:line="320" w:lineRule="auto"/>
        <w:tabs>
          <w:tab w:leader="none" w:pos="937"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6" w:lineRule="exact"/>
        <w:rPr>
          <w:rFonts w:ascii="Times New Roman" w:cs="Times New Roman" w:eastAsia="Times New Roman" w:hAnsi="Times New Roman"/>
          <w:sz w:val="18"/>
          <w:szCs w:val="18"/>
          <w:color w:val="auto"/>
        </w:rPr>
      </w:pPr>
    </w:p>
    <w:p>
      <w:pPr>
        <w:ind w:left="940" w:hanging="318"/>
        <w:spacing w:after="0" w:line="320" w:lineRule="auto"/>
        <w:tabs>
          <w:tab w:leader="none" w:pos="93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 M. Graham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3903345</wp:posOffset>
            </wp:positionH>
            <wp:positionV relativeFrom="paragraph">
              <wp:posOffset>31750</wp:posOffset>
            </wp:positionV>
            <wp:extent cx="307975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0">
                      <a:extLst>
                        <a:ext uri="{28A0092B-C50C-407E-A947-70E740481C1C}"/>
                      </a:extLst>
                    </a:blip>
                    <a:srcRect/>
                    <a:stretch>
                      <a:fillRect/>
                    </a:stretch>
                  </pic:blipFill>
                  <pic:spPr bwMode="auto">
                    <a:xfrm>
                      <a:off x="0" y="0"/>
                      <a:ext cx="3079750" cy="8255"/>
                    </a:xfrm>
                    <a:prstGeom prst="rect">
                      <a:avLst/>
                    </a:prstGeom>
                    <a:noFill/>
                  </pic:spPr>
                </pic:pic>
              </a:graphicData>
            </a:graphic>
          </wp:anchor>
        </w:drawing>
      </w:r>
    </w:p>
    <w:p>
      <w:pPr>
        <w:spacing w:after="0" w:line="51"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7"/>
          <w:szCs w:val="17"/>
          <w:color w:val="auto"/>
        </w:rPr>
        <w:t>M. Graham O'Brien</w:t>
      </w:r>
    </w:p>
    <w:p>
      <w:pPr>
        <w:spacing w:after="0" w:line="5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56"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100"/>
          </w:cols>
          <w:pgMar w:left="340" w:top="1407" w:right="45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5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8"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12" w:lineRule="exact"/>
        <w:rPr>
          <w:sz w:val="20"/>
          <w:szCs w:val="20"/>
          <w:color w:val="auto"/>
        </w:rPr>
      </w:pPr>
    </w:p>
    <w:p>
      <w:pPr>
        <w:ind w:right="20" w:firstLine="636"/>
        <w:spacing w:after="0" w:line="337" w:lineRule="auto"/>
        <w:rPr>
          <w:sz w:val="20"/>
          <w:szCs w:val="20"/>
          <w:color w:val="auto"/>
        </w:rPr>
      </w:pPr>
      <w:r>
        <w:rPr>
          <w:rFonts w:ascii="Times New Roman" w:cs="Times New Roman" w:eastAsia="Times New Roman" w:hAnsi="Times New Roman"/>
          <w:sz w:val="18"/>
          <w:szCs w:val="18"/>
          <w:color w:val="auto"/>
        </w:rPr>
        <w:t>In connection with the Annual Report on Form 10-K of ZoomInfo Technologies Inc. (the “Company”) for the year ended December 31, 2024 as filed with the Securities and Exchange Commission on the date hereof (the “Report”), Henry Schuck, as Chief Executive Officer of the Company, and M. Graham O'Brien, as Interim Chief Financial Officer of the Company, each hereby certifies, pursuant to 18 U.S.C. § 1350, as adopted pursuant to § 906 of the Sarbanes-Oxley Act of 2002, that, to the best of his knowledge:</w:t>
      </w:r>
    </w:p>
    <w:p>
      <w:pPr>
        <w:spacing w:after="0" w:line="176" w:lineRule="exact"/>
        <w:rPr>
          <w:sz w:val="20"/>
          <w:szCs w:val="20"/>
          <w:color w:val="auto"/>
        </w:rPr>
      </w:pPr>
    </w:p>
    <w:p>
      <w:pPr>
        <w:ind w:left="900" w:hanging="258"/>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83" w:lineRule="exact"/>
        <w:rPr>
          <w:rFonts w:ascii="Times New Roman" w:cs="Times New Roman" w:eastAsia="Times New Roman" w:hAnsi="Times New Roman"/>
          <w:sz w:val="18"/>
          <w:szCs w:val="18"/>
          <w:color w:val="auto"/>
        </w:rPr>
      </w:pPr>
    </w:p>
    <w:p>
      <w:pPr>
        <w:ind w:left="900" w:hanging="258"/>
        <w:spacing w:after="0"/>
        <w:tabs>
          <w:tab w:leader="none" w:pos="90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right="200" w:firstLine="318"/>
        <w:spacing w:after="0" w:line="350"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Securities Exchange Act of 1934, regardless of any general incorporation language in such filing.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25,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Henry Schuck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31750</wp:posOffset>
            </wp:positionV>
            <wp:extent cx="308800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1">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5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Henry Schuck</w:t>
      </w:r>
    </w:p>
    <w:p>
      <w:pPr>
        <w:spacing w:after="0" w:line="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 M. Graham O'Brien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3907790</wp:posOffset>
            </wp:positionH>
            <wp:positionV relativeFrom="paragraph">
              <wp:posOffset>31750</wp:posOffset>
            </wp:positionV>
            <wp:extent cx="308800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2">
                      <a:extLst>
                        <a:ext uri="{28A0092B-C50C-407E-A947-70E740481C1C}"/>
                      </a:extLst>
                    </a:blip>
                    <a:srcRect/>
                    <a:stretch>
                      <a:fillRect/>
                    </a:stretch>
                  </pic:blipFill>
                  <pic:spPr bwMode="auto">
                    <a:xfrm>
                      <a:off x="0" y="0"/>
                      <a:ext cx="3088005" cy="8255"/>
                    </a:xfrm>
                    <a:prstGeom prst="rect">
                      <a:avLst/>
                    </a:prstGeom>
                    <a:noFill/>
                  </pic:spPr>
                </pic:pic>
              </a:graphicData>
            </a:graphic>
          </wp:anchor>
        </w:drawing>
      </w:r>
    </w:p>
    <w:p>
      <w:pPr>
        <w:spacing w:after="0" w:line="5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 Graham O'Brien</w:t>
      </w:r>
    </w:p>
    <w:p>
      <w:pPr>
        <w:spacing w:after="0" w:line="5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5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
      <w:numFmt w:val="bullet"/>
      <w:start w:val="1"/>
    </w:lvl>
  </w:abstractNum>
  <w:abstractNum w:abstractNumId="3">
    <w:nsid w:val="25A70BF7"/>
    <w:multiLevelType w:val="hybridMultilevel"/>
    <w:lvl w:ilvl="0">
      <w:lvlJc w:val="left"/>
      <w:lvlText w:val="•"/>
      <w:numFmt w:val="bullet"/>
      <w:start w:val="1"/>
    </w:lvl>
    <w:lvl w:ilvl="1">
      <w:lvlJc w:val="left"/>
      <w:lvlText w:val="▪"/>
      <w:numFmt w:val="bullet"/>
      <w:start w:val="1"/>
    </w:lvl>
  </w:abstractNum>
  <w:abstractNum w:abstractNumId="4">
    <w:nsid w:val="1DBABF00"/>
    <w:multiLevelType w:val="hybridMultilevel"/>
    <w:lvl w:ilvl="0">
      <w:lvlJc w:val="left"/>
      <w:lvlText w:val="•"/>
      <w:numFmt w:val="bullet"/>
      <w:start w:val="1"/>
    </w:lvl>
  </w:abstractNum>
  <w:abstractNum w:abstractNumId="5">
    <w:nsid w:val="4AD084E9"/>
    <w:multiLevelType w:val="hybridMultilevel"/>
    <w:lvl w:ilvl="0">
      <w:lvlJc w:val="left"/>
      <w:lvlText w:val="•"/>
      <w:numFmt w:val="bullet"/>
      <w:start w:val="1"/>
    </w:lvl>
  </w:abstractNum>
  <w:abstractNum w:abstractNumId="6">
    <w:nsid w:val="1F48EAA1"/>
    <w:multiLevelType w:val="hybridMultilevel"/>
    <w:lvl w:ilvl="0">
      <w:lvlJc w:val="left"/>
      <w:lvlText w:val="•"/>
      <w:numFmt w:val="bullet"/>
      <w:start w:val="1"/>
    </w:lvl>
  </w:abstractNum>
  <w:abstractNum w:abstractNumId="7">
    <w:nsid w:val="1381823A"/>
    <w:multiLevelType w:val="hybridMultilevel"/>
    <w:lvl w:ilvl="0">
      <w:lvlJc w:val="left"/>
      <w:lvlText w:val="•"/>
      <w:numFmt w:val="bullet"/>
      <w:start w:val="1"/>
    </w:lvl>
  </w:abstractNum>
  <w:abstractNum w:abstractNumId="8">
    <w:nsid w:val="5DB70AE5"/>
    <w:multiLevelType w:val="hybridMultilevel"/>
    <w:lvl w:ilvl="0">
      <w:lvlJc w:val="left"/>
      <w:lvlText w:val="•"/>
      <w:numFmt w:val="bullet"/>
      <w:start w:val="1"/>
    </w:lvl>
  </w:abstractNum>
  <w:abstractNum w:abstractNumId="9">
    <w:nsid w:val="100F8FCA"/>
    <w:multiLevelType w:val="hybridMultilevel"/>
    <w:lvl w:ilvl="0">
      <w:lvlJc w:val="left"/>
      <w:lvlText w:val="•"/>
      <w:numFmt w:val="bullet"/>
      <w:start w:val="1"/>
    </w:lvl>
  </w:abstractNum>
  <w:abstractNum w:abstractNumId="10">
    <w:nsid w:val="6590700B"/>
    <w:multiLevelType w:val="hybridMultilevel"/>
    <w:lvl w:ilvl="0">
      <w:lvlJc w:val="left"/>
      <w:lvlText w:val="•"/>
      <w:numFmt w:val="bullet"/>
      <w:start w:val="1"/>
    </w:lvl>
  </w:abstractNum>
  <w:abstractNum w:abstractNumId="11">
    <w:nsid w:val="15014ACB"/>
    <w:multiLevelType w:val="hybridMultilevel"/>
    <w:lvl w:ilvl="0">
      <w:lvlJc w:val="left"/>
      <w:lvlText w:val="•"/>
      <w:numFmt w:val="bullet"/>
      <w:start w:val="1"/>
    </w:lvl>
  </w:abstractNum>
  <w:abstractNum w:abstractNumId="12">
    <w:nsid w:val="5F5E7FD0"/>
    <w:multiLevelType w:val="hybridMultilevel"/>
    <w:lvl w:ilvl="0">
      <w:lvlJc w:val="left"/>
      <w:lvlText w:val="•"/>
      <w:numFmt w:val="bullet"/>
      <w:start w:val="1"/>
    </w:lvl>
  </w:abstractNum>
  <w:abstractNum w:abstractNumId="13">
    <w:nsid w:val="98A3148"/>
    <w:multiLevelType w:val="hybridMultilevel"/>
    <w:lvl w:ilvl="0">
      <w:lvlJc w:val="left"/>
      <w:lvlText w:val="•"/>
      <w:numFmt w:val="bullet"/>
      <w:start w:val="1"/>
    </w:lvl>
  </w:abstractNum>
  <w:abstractNum w:abstractNumId="14">
    <w:nsid w:val="799D0247"/>
    <w:multiLevelType w:val="hybridMultilevel"/>
    <w:lvl w:ilvl="0">
      <w:lvlJc w:val="left"/>
      <w:lvlText w:val="•"/>
      <w:numFmt w:val="bullet"/>
      <w:start w:val="1"/>
    </w:lvl>
  </w:abstractNum>
  <w:abstractNum w:abstractNumId="15">
    <w:nsid w:val="6B94764"/>
    <w:multiLevelType w:val="hybridMultilevel"/>
    <w:lvl w:ilvl="0">
      <w:lvlJc w:val="left"/>
      <w:lvlText w:val="•"/>
      <w:numFmt w:val="bullet"/>
      <w:start w:val="1"/>
    </w:lvl>
  </w:abstractNum>
  <w:abstractNum w:abstractNumId="16">
    <w:nsid w:val="42C296BD"/>
    <w:multiLevelType w:val="hybridMultilevel"/>
    <w:lvl w:ilvl="0">
      <w:lvlJc w:val="left"/>
      <w:lvlText w:val="•"/>
      <w:numFmt w:val="bullet"/>
      <w:start w:val="1"/>
    </w:lvl>
  </w:abstractNum>
  <w:abstractNum w:abstractNumId="17">
    <w:nsid w:val="168E121F"/>
    <w:multiLevelType w:val="hybridMultilevel"/>
    <w:lvl w:ilvl="0">
      <w:lvlJc w:val="left"/>
      <w:lvlText w:val="•"/>
      <w:numFmt w:val="bullet"/>
      <w:start w:val="1"/>
    </w:lvl>
  </w:abstractNum>
  <w:abstractNum w:abstractNumId="18">
    <w:nsid w:val="1EBA5D23"/>
    <w:multiLevelType w:val="hybridMultilevel"/>
    <w:lvl w:ilvl="0">
      <w:lvlJc w:val="left"/>
      <w:lvlText w:val="•"/>
      <w:numFmt w:val="bullet"/>
      <w:start w:val="1"/>
    </w:lvl>
  </w:abstractNum>
  <w:abstractNum w:abstractNumId="19">
    <w:nsid w:val="661E3F1E"/>
    <w:multiLevelType w:val="hybridMultilevel"/>
    <w:lvl w:ilvl="0">
      <w:lvlJc w:val="left"/>
      <w:lvlText w:val="•"/>
      <w:numFmt w:val="bullet"/>
      <w:start w:val="1"/>
    </w:lvl>
  </w:abstractNum>
  <w:abstractNum w:abstractNumId="20">
    <w:nsid w:val="5DC79EA8"/>
    <w:multiLevelType w:val="hybridMultilevel"/>
    <w:lvl w:ilvl="0">
      <w:lvlJc w:val="left"/>
      <w:lvlText w:val="•"/>
      <w:numFmt w:val="bullet"/>
      <w:start w:val="1"/>
    </w:lvl>
  </w:abstractNum>
  <w:abstractNum w:abstractNumId="21">
    <w:nsid w:val="540A471C"/>
    <w:multiLevelType w:val="hybridMultilevel"/>
    <w:lvl w:ilvl="0">
      <w:lvlJc w:val="left"/>
      <w:lvlText w:val="•"/>
      <w:numFmt w:val="bullet"/>
      <w:start w:val="1"/>
    </w:lvl>
  </w:abstractNum>
  <w:abstractNum w:abstractNumId="22">
    <w:nsid w:val="7BD3EE7B"/>
    <w:multiLevelType w:val="hybridMultilevel"/>
    <w:lvl w:ilvl="0">
      <w:lvlJc w:val="left"/>
      <w:lvlText w:val="•"/>
      <w:numFmt w:val="bullet"/>
      <w:start w:val="1"/>
    </w:lvl>
  </w:abstractNum>
  <w:abstractNum w:abstractNumId="23">
    <w:nsid w:val="51D9C564"/>
    <w:multiLevelType w:val="hybridMultilevel"/>
    <w:lvl w:ilvl="0">
      <w:lvlJc w:val="left"/>
      <w:lvlText w:val="•"/>
      <w:numFmt w:val="bullet"/>
      <w:start w:val="1"/>
    </w:lvl>
  </w:abstractNum>
  <w:abstractNum w:abstractNumId="24">
    <w:nsid w:val="613EFDC5"/>
    <w:multiLevelType w:val="hybridMultilevel"/>
    <w:lvl w:ilvl="0">
      <w:lvlJc w:val="left"/>
      <w:lvlText w:val="(%1)"/>
      <w:numFmt w:val="decimal"/>
      <w:start w:val="1"/>
    </w:lvl>
  </w:abstractNum>
  <w:abstractNum w:abstractNumId="25">
    <w:nsid w:val="BF72B14"/>
    <w:multiLevelType w:val="hybridMultilevel"/>
    <w:lvl w:ilvl="0">
      <w:lvlJc w:val="left"/>
      <w:lvlText w:val="•"/>
      <w:numFmt w:val="bullet"/>
      <w:start w:val="1"/>
    </w:lvl>
  </w:abstractNum>
  <w:abstractNum w:abstractNumId="26">
    <w:nsid w:val="11447B73"/>
    <w:multiLevelType w:val="hybridMultilevel"/>
    <w:lvl w:ilvl="0">
      <w:lvlJc w:val="left"/>
      <w:lvlText w:val="•"/>
      <w:numFmt w:val="bullet"/>
      <w:start w:val="1"/>
    </w:lvl>
  </w:abstractNum>
  <w:abstractNum w:abstractNumId="27">
    <w:nsid w:val="42963E5A"/>
    <w:multiLevelType w:val="hybridMultilevel"/>
    <w:lvl w:ilvl="0">
      <w:lvlJc w:val="left"/>
      <w:lvlText w:val="(%1)"/>
      <w:numFmt w:val="decimal"/>
      <w:start w:val="1"/>
    </w:lvl>
  </w:abstractNum>
  <w:abstractNum w:abstractNumId="28">
    <w:nsid w:val="A0382C5"/>
    <w:multiLevelType w:val="hybridMultilevel"/>
    <w:lvl w:ilvl="0">
      <w:lvlJc w:val="left"/>
      <w:lvlText w:val="(%1)"/>
      <w:numFmt w:val="decimal"/>
      <w:start w:val="3"/>
    </w:lvl>
  </w:abstractNum>
  <w:abstractNum w:abstractNumId="29">
    <w:nsid w:val="8F2B15E"/>
    <w:multiLevelType w:val="hybridMultilevel"/>
    <w:lvl w:ilvl="0">
      <w:lvlJc w:val="left"/>
      <w:lvlText w:val="(%1)"/>
      <w:numFmt w:val="decimal"/>
      <w:start w:val="4"/>
    </w:lvl>
  </w:abstractNum>
  <w:abstractNum w:abstractNumId="30">
    <w:nsid w:val="1A32234B"/>
    <w:multiLevelType w:val="hybridMultilevel"/>
    <w:lvl w:ilvl="0">
      <w:lvlJc w:val="left"/>
      <w:lvlText w:val="(%1)"/>
      <w:numFmt w:val="decimal"/>
      <w:start w:val="1"/>
    </w:lvl>
  </w:abstractNum>
  <w:abstractNum w:abstractNumId="31">
    <w:nsid w:val="3B0FD379"/>
    <w:multiLevelType w:val="hybridMultilevel"/>
    <w:lvl w:ilvl="0">
      <w:lvlJc w:val="left"/>
      <w:lvlText w:val="(%1)"/>
      <w:numFmt w:val="decimal"/>
      <w:start w:val="2"/>
    </w:lvl>
  </w:abstractNum>
  <w:abstractNum w:abstractNumId="32">
    <w:nsid w:val="68EB2F63"/>
    <w:multiLevelType w:val="hybridMultilevel"/>
    <w:lvl w:ilvl="0">
      <w:lvlJc w:val="left"/>
      <w:lvlText w:val="(%1)"/>
      <w:numFmt w:val="decimal"/>
      <w:start w:val="3"/>
    </w:lvl>
  </w:abstractNum>
  <w:abstractNum w:abstractNumId="33">
    <w:nsid w:val="4962813B"/>
    <w:multiLevelType w:val="hybridMultilevel"/>
    <w:lvl w:ilvl="0">
      <w:lvlJc w:val="left"/>
      <w:lvlText w:val="(%1)"/>
      <w:numFmt w:val="decimal"/>
      <w:start w:val="4"/>
    </w:lvl>
  </w:abstractNum>
  <w:abstractNum w:abstractNumId="34">
    <w:nsid w:val="60B6DF70"/>
    <w:multiLevelType w:val="hybridMultilevel"/>
    <w:lvl w:ilvl="0">
      <w:lvlJc w:val="left"/>
      <w:lvlText w:val="(%1)"/>
      <w:numFmt w:val="decimal"/>
      <w:start w:val="1"/>
    </w:lvl>
  </w:abstractNum>
  <w:abstractNum w:abstractNumId="35">
    <w:nsid w:val="6A5EE64"/>
    <w:multiLevelType w:val="hybridMultilevel"/>
    <w:lvl w:ilvl="0">
      <w:lvlJc w:val="left"/>
      <w:lvlText w:val="(%1)"/>
      <w:numFmt w:val="decimal"/>
      <w:start w:val="4"/>
    </w:lvl>
  </w:abstractNum>
  <w:abstractNum w:abstractNumId="36">
    <w:nsid w:val="14330624"/>
    <w:multiLevelType w:val="hybridMultilevel"/>
    <w:lvl w:ilvl="0">
      <w:lvlJc w:val="left"/>
      <w:lvlText w:val="(%1)"/>
      <w:numFmt w:val="decimal"/>
      <w:start w:val="5"/>
    </w:lvl>
  </w:abstractNum>
  <w:abstractNum w:abstractNumId="37">
    <w:nsid w:val="7FFFCA11"/>
    <w:multiLevelType w:val="hybridMultilevel"/>
    <w:lvl w:ilvl="0">
      <w:lvlJc w:val="left"/>
      <w:lvlText w:val="(%1)"/>
      <w:numFmt w:val="decimal"/>
      <w:start w:val="6"/>
    </w:lvl>
  </w:abstractNum>
  <w:abstractNum w:abstractNumId="38">
    <w:nsid w:val="1A27709E"/>
    <w:multiLevelType w:val="hybridMultilevel"/>
    <w:lvl w:ilvl="0">
      <w:lvlJc w:val="left"/>
      <w:lvlText w:val="(%1)"/>
      <w:numFmt w:val="decimal"/>
      <w:start w:val="1"/>
    </w:lvl>
  </w:abstractNum>
  <w:abstractNum w:abstractNumId="39">
    <w:nsid w:val="71EA1109"/>
    <w:multiLevelType w:val="hybridMultilevel"/>
    <w:lvl w:ilvl="0">
      <w:lvlJc w:val="left"/>
      <w:lvlText w:val="(%1)"/>
      <w:numFmt w:val="decimal"/>
      <w:start w:val="1"/>
    </w:lvl>
  </w:abstractNum>
  <w:abstractNum w:abstractNumId="40">
    <w:nsid w:val="100F59DC"/>
    <w:multiLevelType w:val="hybridMultilevel"/>
    <w:lvl w:ilvl="0">
      <w:lvlJc w:val="left"/>
      <w:lvlText w:val="(%1)"/>
      <w:numFmt w:val="decimal"/>
      <w:start w:val="1"/>
    </w:lvl>
  </w:abstractNum>
  <w:abstractNum w:abstractNumId="41">
    <w:nsid w:val="7FB7E0AA"/>
    <w:multiLevelType w:val="hybridMultilevel"/>
    <w:lvl w:ilvl="0">
      <w:lvlJc w:val="left"/>
      <w:lvlText w:val="(%1)"/>
      <w:numFmt w:val="decimal"/>
      <w:start w:val="1"/>
    </w:lvl>
  </w:abstractNum>
  <w:abstractNum w:abstractNumId="42">
    <w:nsid w:val="6EB5BD4"/>
    <w:multiLevelType w:val="hybridMultilevel"/>
    <w:lvl w:ilvl="0">
      <w:lvlJc w:val="left"/>
      <w:lvlText w:val="•"/>
      <w:numFmt w:val="bullet"/>
      <w:start w:val="1"/>
    </w:lvl>
  </w:abstractNum>
  <w:abstractNum w:abstractNumId="43">
    <w:nsid w:val="6F6DD9AC"/>
    <w:multiLevelType w:val="hybridMultilevel"/>
    <w:lvl w:ilvl="0">
      <w:lvlJc w:val="left"/>
      <w:lvlText w:val="(%1)"/>
      <w:numFmt w:val="decimal"/>
      <w:start w:val="1"/>
    </w:lvl>
  </w:abstractNum>
  <w:abstractNum w:abstractNumId="44">
    <w:nsid w:val="94211F2"/>
    <w:multiLevelType w:val="hybridMultilevel"/>
    <w:lvl w:ilvl="0">
      <w:lvlJc w:val="left"/>
      <w:lvlText w:val="(%1)"/>
      <w:numFmt w:val="decimal"/>
      <w:start w:val="1"/>
    </w:lvl>
  </w:abstractNum>
  <w:abstractNum w:abstractNumId="45">
    <w:nsid w:val="885E1B"/>
    <w:multiLevelType w:val="hybridMultilevel"/>
    <w:lvl w:ilvl="0">
      <w:lvlJc w:val="left"/>
      <w:lvlText w:val="(%1)"/>
      <w:numFmt w:val="decimal"/>
      <w:start w:val="1"/>
    </w:lvl>
  </w:abstractNum>
  <w:abstractNum w:abstractNumId="46">
    <w:nsid w:val="76272110"/>
    <w:multiLevelType w:val="hybridMultilevel"/>
    <w:lvl w:ilvl="0">
      <w:lvlJc w:val="left"/>
      <w:lvlText w:val="(%1)"/>
      <w:numFmt w:val="decimal"/>
      <w:start w:val="1"/>
    </w:lvl>
  </w:abstractNum>
  <w:abstractNum w:abstractNumId="47">
    <w:nsid w:val="4C04A8AF"/>
    <w:multiLevelType w:val="hybridMultilevel"/>
    <w:lvl w:ilvl="0">
      <w:lvlJc w:val="left"/>
      <w:lvlText w:val="(%1)"/>
      <w:numFmt w:val="lowerLetter"/>
      <w:start w:val="1"/>
    </w:lvl>
    <w:lvl w:ilvl="1">
      <w:lvlJc w:val="left"/>
      <w:lvlText w:val="%2."/>
      <w:numFmt w:val="decimal"/>
      <w:start w:val="1"/>
    </w:lvl>
  </w:abstractNum>
  <w:abstractNum w:abstractNumId="48">
    <w:nsid w:val="1716703B"/>
    <w:multiLevelType w:val="hybridMultilevel"/>
    <w:lvl w:ilvl="0">
      <w:lvlJc w:val="left"/>
      <w:lvlText w:val="*"/>
      <w:numFmt w:val="bullet"/>
      <w:start w:val="1"/>
    </w:lvl>
  </w:abstractNum>
  <w:abstractNum w:abstractNumId="49">
    <w:nsid w:val="14E17E33"/>
    <w:multiLevelType w:val="hybridMultilevel"/>
    <w:lvl w:ilvl="0">
      <w:lvlJc w:val="left"/>
      <w:lvlText w:val="%1."/>
      <w:numFmt w:val="decimal"/>
      <w:start w:val="1"/>
    </w:lvl>
    <w:lvl w:ilvl="1">
      <w:lvlJc w:val="left"/>
      <w:lvlText w:val="(%2)"/>
      <w:numFmt w:val="lowerLetter"/>
      <w:start w:val="1"/>
    </w:lvl>
  </w:abstractNum>
  <w:abstractNum w:abstractNumId="50">
    <w:nsid w:val="3222E7CD"/>
    <w:multiLevelType w:val="hybridMultilevel"/>
    <w:lvl w:ilvl="0">
      <w:lvlJc w:val="left"/>
      <w:lvlText w:val="%1"/>
      <w:numFmt w:val="decimal"/>
      <w:start w:val="1"/>
    </w:lvl>
    <w:lvl w:ilvl="1">
      <w:lvlJc w:val="left"/>
      <w:lvlText w:val="(%2)"/>
      <w:numFmt w:val="lowerLetter"/>
      <w:start w:val="3"/>
    </w:lvl>
  </w:abstractNum>
  <w:abstractNum w:abstractNumId="51">
    <w:nsid w:val="74DE0EE3"/>
    <w:multiLevelType w:val="hybridMultilevel"/>
    <w:lvl w:ilvl="0">
      <w:lvlJc w:val="left"/>
      <w:lvlText w:val="%1."/>
      <w:numFmt w:val="decimal"/>
      <w:start w:val="3"/>
    </w:lvl>
    <w:lvl w:ilvl="1">
      <w:lvlJc w:val="left"/>
      <w:lvlText w:val="(%2)"/>
      <w:numFmt w:val="lowerLetter"/>
      <w:start w:val="1"/>
    </w:lvl>
  </w:abstractNum>
  <w:abstractNum w:abstractNumId="52">
    <w:nsid w:val="68EBC550"/>
    <w:multiLevelType w:val="hybridMultilevel"/>
    <w:lvl w:ilvl="0">
      <w:lvlJc w:val="left"/>
      <w:lvlText w:val="(%1)"/>
      <w:numFmt w:val="lowerLetter"/>
      <w:start w:val="2"/>
    </w:lvl>
  </w:abstractNum>
  <w:abstractNum w:abstractNumId="53">
    <w:nsid w:val="2DF6D648"/>
    <w:multiLevelType w:val="hybridMultilevel"/>
    <w:lvl w:ilvl="0">
      <w:lvlJc w:val="left"/>
      <w:lvlText w:val="%1"/>
      <w:numFmt w:val="decimal"/>
      <w:start w:val="1"/>
    </w:lvl>
    <w:lvl w:ilvl="1">
      <w:lvlJc w:val="left"/>
      <w:lvlText w:val="(%2)"/>
      <w:numFmt w:val="lowerLetter"/>
      <w:start w:val="6"/>
    </w:lvl>
  </w:abstractNum>
  <w:abstractNum w:abstractNumId="54">
    <w:nsid w:val="46B7D447"/>
    <w:multiLevelType w:val="hybridMultilevel"/>
    <w:lvl w:ilvl="0">
      <w:lvlJc w:val="left"/>
      <w:lvlText w:val="%1."/>
      <w:numFmt w:val="decimal"/>
      <w:start w:val="4"/>
    </w:lvl>
    <w:lvl w:ilvl="1">
      <w:lvlJc w:val="left"/>
      <w:lvlText w:val="(%2)"/>
      <w:numFmt w:val="lowerLetter"/>
      <w:start w:val="1"/>
    </w:lvl>
  </w:abstractNum>
  <w:abstractNum w:abstractNumId="55">
    <w:nsid w:val="4A2AC315"/>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56">
    <w:nsid w:val="39EE015C"/>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57">
    <w:nsid w:val="57FC4FBB"/>
    <w:multiLevelType w:val="hybridMultilevel"/>
    <w:lvl w:ilvl="0">
      <w:lvlJc w:val="left"/>
      <w:lvlText w:val="%1"/>
      <w:numFmt w:val="lowerLetter"/>
      <w:start w:val="1"/>
    </w:lvl>
    <w:lvl w:ilvl="1">
      <w:lvlJc w:val="left"/>
      <w:lvlText w:val="(%2)"/>
      <w:numFmt w:val="lowerRoman"/>
      <w:start w:val="3"/>
    </w:lvl>
  </w:abstractNum>
  <w:abstractNum w:abstractNumId="58">
    <w:nsid w:val="CC1016F"/>
    <w:multiLevelType w:val="hybridMultilevel"/>
    <w:lvl w:ilvl="0">
      <w:lvlJc w:val="left"/>
      <w:lvlText w:val="(%1)"/>
      <w:numFmt w:val="lowerLetter"/>
      <w:start w:val="5"/>
    </w:lvl>
    <w:lvl w:ilvl="1">
      <w:lvlJc w:val="left"/>
      <w:lvlText w:val="(%2)"/>
      <w:numFmt w:val="lowerRoman"/>
      <w:start w:val="1"/>
    </w:lvl>
  </w:abstractNum>
  <w:abstractNum w:abstractNumId="59">
    <w:nsid w:val="43F18422"/>
    <w:multiLevelType w:val="hybridMultilevel"/>
    <w:lvl w:ilvl="0">
      <w:lvlJc w:val="left"/>
      <w:lvlText w:val="(%1)"/>
      <w:numFmt w:val="lowerLetter"/>
      <w:start w:val="7"/>
    </w:lvl>
  </w:abstractNum>
  <w:abstractNum w:abstractNumId="60">
    <w:nsid w:val="60EF011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61">
    <w:nsid w:val="26F324B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2">
    <w:nsid w:val="7F01579B"/>
    <w:multiLevelType w:val="hybridMultilevel"/>
    <w:lvl w:ilvl="0">
      <w:lvlJc w:val="left"/>
      <w:lvlText w:val="(%1)"/>
      <w:numFmt w:val="decimal"/>
      <w:start w:val="2"/>
    </w:lvl>
    <w:lvl w:ilvl="1">
      <w:lvlJc w:val="left"/>
      <w:lvlText w:val="(%2)"/>
      <w:numFmt w:val="lowerLetter"/>
      <w:start w:val="2"/>
    </w:lvl>
  </w:abstractNum>
  <w:abstractNum w:abstractNumId="63">
    <w:nsid w:val="49DA307D"/>
    <w:multiLevelType w:val="hybridMultilevel"/>
    <w:lvl w:ilvl="0">
      <w:lvlJc w:val="left"/>
      <w:lvlText w:val="%1."/>
      <w:numFmt w:val="decimal"/>
      <w:start w:val="6"/>
    </w:lvl>
    <w:lvl w:ilvl="1">
      <w:lvlJc w:val="left"/>
      <w:lvlText w:val="(%2)"/>
      <w:numFmt w:val="lowerLetter"/>
      <w:start w:val="1"/>
    </w:lvl>
  </w:abstractNum>
  <w:abstractNum w:abstractNumId="64">
    <w:nsid w:val="7055A5F5"/>
    <w:multiLevelType w:val="hybridMultilevel"/>
    <w:lvl w:ilvl="0">
      <w:lvlJc w:val="left"/>
      <w:lvlText w:val="(%1)"/>
      <w:numFmt w:val="lowerLetter"/>
      <w:start w:val="2"/>
    </w:lvl>
  </w:abstractNum>
  <w:abstractNum w:abstractNumId="65">
    <w:nsid w:val="5FB8370B"/>
    <w:multiLevelType w:val="hybridMultilevel"/>
    <w:lvl w:ilvl="0">
      <w:lvlJc w:val="left"/>
      <w:lvlText w:val="(%1)"/>
      <w:numFmt w:val="lowerLetter"/>
      <w:start w:val="5"/>
    </w:lvl>
  </w:abstractNum>
  <w:abstractNum w:abstractNumId="66">
    <w:nsid w:val="50801EE1"/>
    <w:multiLevelType w:val="hybridMultilevel"/>
    <w:lvl w:ilvl="0">
      <w:lvlJc w:val="left"/>
      <w:lvlText w:val="%1"/>
      <w:numFmt w:val="decimal"/>
      <w:start w:val="1"/>
    </w:lvl>
    <w:lvl w:ilvl="1">
      <w:lvlJc w:val="left"/>
      <w:lvlText w:val="(%2)"/>
      <w:numFmt w:val="lowerLetter"/>
      <w:start w:val="7"/>
    </w:lvl>
  </w:abstractNum>
  <w:abstractNum w:abstractNumId="67">
    <w:nsid w:val="488AC1A"/>
    <w:multiLevelType w:val="hybridMultilevel"/>
    <w:lvl w:ilvl="0">
      <w:lvlJc w:val="left"/>
      <w:lvlText w:val="%1."/>
      <w:numFmt w:val="decimal"/>
      <w:start w:val="7"/>
    </w:lvl>
    <w:lvl w:ilvl="1">
      <w:lvlJc w:val="left"/>
      <w:lvlText w:val="(%2)"/>
      <w:numFmt w:val="lowerLetter"/>
      <w:start w:val="1"/>
    </w:lvl>
  </w:abstractNum>
  <w:abstractNum w:abstractNumId="68">
    <w:nsid w:val="5FB8011C"/>
    <w:multiLevelType w:val="hybridMultilevel"/>
    <w:lvl w:ilvl="0">
      <w:lvlJc w:val="left"/>
      <w:lvlText w:val="(%1)"/>
      <w:numFmt w:val="lowerLetter"/>
      <w:start w:val="3"/>
    </w:lvl>
  </w:abstractNum>
  <w:abstractNum w:abstractNumId="69">
    <w:nsid w:val="6AA78F7F"/>
    <w:multiLevelType w:val="hybridMultilevel"/>
    <w:lvl w:ilvl="0">
      <w:lvlJc w:val="left"/>
      <w:lvlText w:val="%1"/>
      <w:numFmt w:val="decimal"/>
      <w:start w:val="1"/>
    </w:lvl>
    <w:lvl w:ilvl="1">
      <w:lvlJc w:val="left"/>
      <w:lvlText w:val="(%2)"/>
      <w:numFmt w:val="lowerLetter"/>
      <w:start w:val="8"/>
    </w:lvl>
  </w:abstractNum>
  <w:abstractNum w:abstractNumId="70">
    <w:nsid w:val="7672BD23"/>
    <w:multiLevelType w:val="hybridMultilevel"/>
    <w:lvl w:ilvl="0">
      <w:lvlJc w:val="left"/>
      <w:lvlText w:val="%1."/>
      <w:numFmt w:val="decimal"/>
      <w:start w:val="8"/>
    </w:lvl>
    <w:lvl w:ilvl="1">
      <w:lvlJc w:val="left"/>
      <w:lvlText w:val="%2"/>
      <w:numFmt w:val="lowerLetter"/>
      <w:start w:val="1"/>
    </w:lvl>
  </w:abstractNum>
  <w:abstractNum w:abstractNumId="71">
    <w:nsid w:val="6FC75AF8"/>
    <w:multiLevelType w:val="hybridMultilevel"/>
    <w:lvl w:ilvl="0">
      <w:lvlJc w:val="left"/>
      <w:lvlText w:val="%1."/>
      <w:numFmt w:val="decimal"/>
      <w:start w:val="11"/>
    </w:lvl>
  </w:abstractNum>
  <w:abstractNum w:abstractNumId="72">
    <w:nsid w:val="6A5F7029"/>
    <w:multiLevelType w:val="hybridMultilevel"/>
    <w:lvl w:ilvl="0">
      <w:lvlJc w:val="left"/>
      <w:lvlText w:val="%1."/>
      <w:numFmt w:val="decimal"/>
      <w:start w:val="17"/>
    </w:lvl>
  </w:abstractNum>
  <w:abstractNum w:abstractNumId="73">
    <w:nsid w:val="7D5E18F8"/>
    <w:multiLevelType w:val="hybridMultilevel"/>
    <w:lvl w:ilvl="0">
      <w:lvlJc w:val="left"/>
      <w:lvlText w:val="%1."/>
      <w:numFmt w:val="decimal"/>
      <w:start w:val="18"/>
    </w:lvl>
    <w:lvl w:ilvl="1">
      <w:lvlJc w:val="left"/>
      <w:lvlText w:val="(%2)"/>
      <w:numFmt w:val="lowerLetter"/>
      <w:start w:val="1"/>
    </w:lvl>
  </w:abstractNum>
  <w:abstractNum w:abstractNumId="74">
    <w:nsid w:val="5F3534A4"/>
    <w:multiLevelType w:val="hybridMultilevel"/>
    <w:lvl w:ilvl="0">
      <w:lvlJc w:val="left"/>
      <w:lvlText w:val="(%1)"/>
      <w:numFmt w:val="lowerLetter"/>
      <w:start w:val="3"/>
    </w:lvl>
  </w:abstractNum>
  <w:abstractNum w:abstractNumId="75">
    <w:nsid w:val="73A1821B"/>
    <w:multiLevelType w:val="hybridMultilevel"/>
    <w:lvl w:ilvl="0">
      <w:lvlJc w:val="left"/>
      <w:lvlText w:val="%1."/>
      <w:numFmt w:val="decimal"/>
      <w:start w:val="1"/>
    </w:lvl>
  </w:abstractNum>
  <w:abstractNum w:abstractNumId="76">
    <w:nsid w:val="7DE67713"/>
    <w:multiLevelType w:val="hybridMultilevel"/>
    <w:lvl w:ilvl="0">
      <w:lvlJc w:val="left"/>
      <w:lvlText w:val="%1."/>
      <w:numFmt w:val="lowerLetter"/>
      <w:start w:val="1"/>
    </w:lvl>
  </w:abstractNum>
  <w:abstractNum w:abstractNumId="77">
    <w:nsid w:val="555C55B5"/>
    <w:multiLevelType w:val="hybridMultilevel"/>
    <w:lvl w:ilvl="0">
      <w:lvlJc w:val="left"/>
      <w:lvlText w:val="%1"/>
      <w:numFmt w:val="decimal"/>
      <w:start w:val="1"/>
    </w:lvl>
    <w:lvl w:ilvl="1">
      <w:lvlJc w:val="left"/>
      <w:lvlText w:val="%2."/>
      <w:numFmt w:val="lowerLetter"/>
      <w:start w:val="3"/>
    </w:lvl>
  </w:abstractNum>
  <w:abstractNum w:abstractNumId="78">
    <w:nsid w:val="3FA62ACA"/>
    <w:multiLevelType w:val="hybridMultilevel"/>
    <w:lvl w:ilvl="0">
      <w:lvlJc w:val="left"/>
      <w:lvlText w:val="%1."/>
      <w:numFmt w:val="decimal"/>
      <w:start w:val="2"/>
    </w:lvl>
    <w:lvl w:ilvl="1">
      <w:lvlJc w:val="left"/>
      <w:lvlText w:val="%2"/>
      <w:numFmt w:val="lowerLetter"/>
      <w:start w:val="1"/>
    </w:lvl>
  </w:abstractNum>
  <w:abstractNum w:abstractNumId="79">
    <w:nsid w:val="14FCE74E"/>
    <w:multiLevelType w:val="hybridMultilevel"/>
    <w:lvl w:ilvl="0">
      <w:lvlJc w:val="left"/>
      <w:lvlText w:val="%1."/>
      <w:numFmt w:val="decimal"/>
      <w:start w:val="1"/>
    </w:lvl>
    <w:lvl w:ilvl="1">
      <w:lvlJc w:val="left"/>
      <w:lvlText w:val="(%2)"/>
      <w:numFmt w:val="lowerLetter"/>
      <w:start w:val="1"/>
    </w:lvl>
  </w:abstractNum>
  <w:abstractNum w:abstractNumId="80">
    <w:nsid w:val="6A3DD3E8"/>
    <w:multiLevelType w:val="hybridMultilevel"/>
    <w:lvl w:ilvl="0">
      <w:lvlJc w:val="left"/>
      <w:lvlText w:val="%1"/>
      <w:numFmt w:val="decimal"/>
      <w:start w:val="1"/>
    </w:lvl>
    <w:lvl w:ilvl="1">
      <w:lvlJc w:val="left"/>
      <w:lvlText w:val="(%2)"/>
      <w:numFmt w:val="lowerLetter"/>
      <w:start w:val="3"/>
    </w:lvl>
  </w:abstractNum>
  <w:abstractNum w:abstractNumId="81">
    <w:nsid w:val="71C91298"/>
    <w:multiLevelType w:val="hybridMultilevel"/>
    <w:lvl w:ilvl="0">
      <w:lvlJc w:val="left"/>
      <w:lvlText w:val="%1."/>
      <w:numFmt w:val="decimal"/>
      <w:start w:val="3"/>
    </w:lvl>
    <w:lvl w:ilvl="1">
      <w:lvlJc w:val="left"/>
      <w:lvlText w:val="(%2)"/>
      <w:numFmt w:val="lowerLetter"/>
      <w:start w:val="1"/>
    </w:lvl>
  </w:abstractNum>
  <w:abstractNum w:abstractNumId="82">
    <w:nsid w:val="9DAF632"/>
    <w:multiLevelType w:val="hybridMultilevel"/>
    <w:lvl w:ilvl="0">
      <w:lvlJc w:val="left"/>
      <w:lvlText w:val="(%1)"/>
      <w:numFmt w:val="lowerLetter"/>
      <w:start w:val="2"/>
    </w:lvl>
  </w:abstractNum>
  <w:abstractNum w:abstractNumId="83">
    <w:nsid w:val="53299938"/>
    <w:multiLevelType w:val="hybridMultilevel"/>
    <w:lvl w:ilvl="0">
      <w:lvlJc w:val="left"/>
      <w:lvlText w:val="%1"/>
      <w:numFmt w:val="decimal"/>
      <w:start w:val="1"/>
    </w:lvl>
    <w:lvl w:ilvl="1">
      <w:lvlJc w:val="left"/>
      <w:lvlText w:val="(%2)"/>
      <w:numFmt w:val="lowerLetter"/>
      <w:start w:val="6"/>
    </w:lvl>
  </w:abstractNum>
  <w:abstractNum w:abstractNumId="84">
    <w:nsid w:val="1FBFE8E0"/>
    <w:multiLevelType w:val="hybridMultilevel"/>
    <w:lvl w:ilvl="0">
      <w:lvlJc w:val="left"/>
      <w:lvlText w:val="%1."/>
      <w:numFmt w:val="decimal"/>
      <w:start w:val="4"/>
    </w:lvl>
    <w:lvl w:ilvl="1">
      <w:lvlJc w:val="left"/>
      <w:lvlText w:val="(%2)"/>
      <w:numFmt w:val="lowerLetter"/>
      <w:start w:val="1"/>
    </w:lvl>
  </w:abstractNum>
  <w:abstractNum w:abstractNumId="85">
    <w:nsid w:val="5092CA79"/>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86">
    <w:nsid w:val="1D545C4D"/>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87">
    <w:nsid w:val="59ADEA3D"/>
    <w:multiLevelType w:val="hybridMultilevel"/>
    <w:lvl w:ilvl="0">
      <w:lvlJc w:val="left"/>
      <w:lvlText w:val="%1"/>
      <w:numFmt w:val="lowerLetter"/>
      <w:start w:val="1"/>
    </w:lvl>
    <w:lvl w:ilvl="1">
      <w:lvlJc w:val="left"/>
      <w:lvlText w:val="(%2)"/>
      <w:numFmt w:val="lowerRoman"/>
      <w:start w:val="2"/>
    </w:lvl>
  </w:abstractNum>
  <w:abstractNum w:abstractNumId="88">
    <w:nsid w:val="288F1A34"/>
    <w:multiLevelType w:val="hybridMultilevel"/>
    <w:lvl w:ilvl="0">
      <w:lvlJc w:val="left"/>
      <w:lvlText w:val="(%1)"/>
      <w:numFmt w:val="lowerLetter"/>
      <w:start w:val="5"/>
    </w:lvl>
    <w:lvl w:ilvl="1">
      <w:lvlJc w:val="left"/>
      <w:lvlText w:val="(%2)"/>
      <w:numFmt w:val="lowerRoman"/>
      <w:start w:val="1"/>
    </w:lvl>
  </w:abstractNum>
  <w:abstractNum w:abstractNumId="89">
    <w:nsid w:val="2A155DBC"/>
    <w:multiLevelType w:val="hybridMultilevel"/>
    <w:lvl w:ilvl="0">
      <w:lvlJc w:val="left"/>
      <w:lvlText w:val="(%1)"/>
      <w:numFmt w:val="lowerLetter"/>
      <w:start w:val="7"/>
    </w:lvl>
  </w:abstractNum>
  <w:abstractNum w:abstractNumId="90">
    <w:nsid w:val="1D9F6E5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91">
    <w:nsid w:val="97E1B4E"/>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92">
    <w:nsid w:val="51088277"/>
    <w:multiLevelType w:val="hybridMultilevel"/>
    <w:lvl w:ilvl="0">
      <w:lvlJc w:val="left"/>
      <w:lvlText w:val="(%1)"/>
      <w:numFmt w:val="decimal"/>
      <w:start w:val="2"/>
    </w:lvl>
    <w:lvl w:ilvl="1">
      <w:lvlJc w:val="left"/>
      <w:lvlText w:val="(%2)"/>
      <w:numFmt w:val="lowerLetter"/>
      <w:start w:val="2"/>
    </w:lvl>
  </w:abstractNum>
  <w:abstractNum w:abstractNumId="93">
    <w:nsid w:val="1CA0C5FA"/>
    <w:multiLevelType w:val="hybridMultilevel"/>
    <w:lvl w:ilvl="0">
      <w:lvlJc w:val="left"/>
      <w:lvlText w:val="%1."/>
      <w:numFmt w:val="decimal"/>
      <w:start w:val="6"/>
    </w:lvl>
    <w:lvl w:ilvl="1">
      <w:lvlJc w:val="left"/>
      <w:lvlText w:val="(%2)"/>
      <w:numFmt w:val="lowerLetter"/>
      <w:start w:val="1"/>
    </w:lvl>
  </w:abstractNum>
  <w:abstractNum w:abstractNumId="94">
    <w:nsid w:val="53584BCB"/>
    <w:multiLevelType w:val="hybridMultilevel"/>
    <w:lvl w:ilvl="0">
      <w:lvlJc w:val="left"/>
      <w:lvlText w:val="(%1)"/>
      <w:numFmt w:val="lowerLetter"/>
      <w:start w:val="2"/>
    </w:lvl>
  </w:abstractNum>
  <w:abstractNum w:abstractNumId="95">
    <w:nsid w:val="415E286C"/>
    <w:multiLevelType w:val="hybridMultilevel"/>
    <w:lvl w:ilvl="0">
      <w:lvlJc w:val="left"/>
      <w:lvlText w:val="(%1)"/>
      <w:numFmt w:val="lowerLetter"/>
      <w:start w:val="5"/>
    </w:lvl>
  </w:abstractNum>
  <w:abstractNum w:abstractNumId="96">
    <w:nsid w:val="7C58FD05"/>
    <w:multiLevelType w:val="hybridMultilevel"/>
    <w:lvl w:ilvl="0">
      <w:lvlJc w:val="left"/>
      <w:lvlText w:val="%1"/>
      <w:numFmt w:val="decimal"/>
      <w:start w:val="1"/>
    </w:lvl>
    <w:lvl w:ilvl="1">
      <w:lvlJc w:val="left"/>
      <w:lvlText w:val="(%2)"/>
      <w:numFmt w:val="lowerLetter"/>
      <w:start w:val="8"/>
    </w:lvl>
  </w:abstractNum>
  <w:abstractNum w:abstractNumId="97">
    <w:nsid w:val="23D86AAC"/>
    <w:multiLevelType w:val="hybridMultilevel"/>
    <w:lvl w:ilvl="0">
      <w:lvlJc w:val="left"/>
      <w:lvlText w:val="%1."/>
      <w:numFmt w:val="decimal"/>
      <w:start w:val="7"/>
    </w:lvl>
    <w:lvl w:ilvl="1">
      <w:lvlJc w:val="left"/>
      <w:lvlText w:val="(%2)"/>
      <w:numFmt w:val="lowerLetter"/>
      <w:start w:val="1"/>
    </w:lvl>
  </w:abstractNum>
  <w:abstractNum w:abstractNumId="98">
    <w:nsid w:val="45E6D486"/>
    <w:multiLevelType w:val="hybridMultilevel"/>
    <w:lvl w:ilvl="0">
      <w:lvlJc w:val="left"/>
      <w:lvlText w:val="(%1)"/>
      <w:numFmt w:val="lowerLetter"/>
      <w:start w:val="4"/>
    </w:lvl>
  </w:abstractNum>
  <w:abstractNum w:abstractNumId="99">
    <w:nsid w:val="5C10FE21"/>
    <w:multiLevelType w:val="hybridMultilevel"/>
    <w:lvl w:ilvl="0">
      <w:lvlJc w:val="left"/>
      <w:lvlText w:val="%1"/>
      <w:numFmt w:val="decimal"/>
      <w:start w:val="1"/>
    </w:lvl>
    <w:lvl w:ilvl="1">
      <w:lvlJc w:val="left"/>
      <w:lvlText w:val="(%2)"/>
      <w:numFmt w:val="lowerRoman"/>
      <w:start w:val="1"/>
    </w:lvl>
  </w:abstractNum>
  <w:abstractNum w:abstractNumId="100">
    <w:nsid w:val="E7FFA2B"/>
    <w:multiLevelType w:val="hybridMultilevel"/>
    <w:lvl w:ilvl="0">
      <w:lvlJc w:val="left"/>
      <w:lvlText w:val="%1."/>
      <w:numFmt w:val="decimal"/>
      <w:start w:val="8"/>
    </w:lvl>
    <w:lvl w:ilvl="1">
      <w:lvlJc w:val="left"/>
      <w:lvlText w:val="%2"/>
      <w:numFmt w:val="lowerRoman"/>
      <w:start w:val="1"/>
    </w:lvl>
  </w:abstractNum>
  <w:abstractNum w:abstractNumId="101">
    <w:nsid w:val="3C5991AA"/>
    <w:multiLevelType w:val="hybridMultilevel"/>
    <w:lvl w:ilvl="0">
      <w:lvlJc w:val="left"/>
      <w:lvlText w:val="%1."/>
      <w:numFmt w:val="decimal"/>
      <w:start w:val="12"/>
    </w:lvl>
  </w:abstractNum>
  <w:abstractNum w:abstractNumId="102">
    <w:nsid w:val="4BD8591A"/>
    <w:multiLevelType w:val="hybridMultilevel"/>
    <w:lvl w:ilvl="0">
      <w:lvlJc w:val="left"/>
      <w:lvlText w:val="%1."/>
      <w:numFmt w:val="decimal"/>
      <w:start w:val="17"/>
    </w:lvl>
  </w:abstractNum>
  <w:abstractNum w:abstractNumId="103">
    <w:nsid w:val="78DF6A55"/>
    <w:multiLevelType w:val="hybridMultilevel"/>
    <w:lvl w:ilvl="0">
      <w:lvlJc w:val="left"/>
      <w:lvlText w:val="%1."/>
      <w:numFmt w:val="decimal"/>
      <w:start w:val="18"/>
    </w:lvl>
    <w:lvl w:ilvl="1">
      <w:lvlJc w:val="left"/>
      <w:lvlText w:val="(%2)"/>
      <w:numFmt w:val="lowerLetter"/>
      <w:start w:val="1"/>
    </w:lvl>
  </w:abstractNum>
  <w:abstractNum w:abstractNumId="104">
    <w:nsid w:val="39B7AAA2"/>
    <w:multiLevelType w:val="hybridMultilevel"/>
    <w:lvl w:ilvl="0">
      <w:lvlJc w:val="left"/>
      <w:lvlText w:val="(%1)"/>
      <w:numFmt w:val="lowerLetter"/>
      <w:start w:val="3"/>
    </w:lvl>
  </w:abstractNum>
  <w:abstractNum w:abstractNumId="105">
    <w:nsid w:val="2B0D8DBE"/>
    <w:multiLevelType w:val="hybridMultilevel"/>
    <w:lvl w:ilvl="0">
      <w:lvlJc w:val="left"/>
      <w:lvlText w:val="%1."/>
      <w:numFmt w:val="decimal"/>
      <w:start w:val="1"/>
    </w:lvl>
  </w:abstractNum>
  <w:abstractNum w:abstractNumId="106">
    <w:nsid w:val="6C80EC70"/>
    <w:multiLevelType w:val="hybridMultilevel"/>
    <w:lvl w:ilvl="0">
      <w:lvlJc w:val="left"/>
      <w:lvlText w:val="%1."/>
      <w:numFmt w:val="lowerLetter"/>
      <w:start w:val="1"/>
    </w:lvl>
  </w:abstractNum>
  <w:abstractNum w:abstractNumId="107">
    <w:nsid w:val="379E21B5"/>
    <w:multiLevelType w:val="hybridMultilevel"/>
    <w:lvl w:ilvl="0">
      <w:lvlJc w:val="left"/>
      <w:lvlText w:val="%1"/>
      <w:numFmt w:val="decimal"/>
      <w:start w:val="1"/>
    </w:lvl>
    <w:lvl w:ilvl="1">
      <w:lvlJc w:val="left"/>
      <w:lvlText w:val="%2."/>
      <w:numFmt w:val="lowerLetter"/>
      <w:start w:val="3"/>
    </w:lvl>
  </w:abstractNum>
  <w:abstractNum w:abstractNumId="108">
    <w:nsid w:val="69E373"/>
    <w:multiLevelType w:val="hybridMultilevel"/>
    <w:lvl w:ilvl="0">
      <w:lvlJc w:val="left"/>
      <w:lvlText w:val="%1."/>
      <w:numFmt w:val="decimal"/>
      <w:start w:val="2"/>
    </w:lvl>
    <w:lvl w:ilvl="1">
      <w:lvlJc w:val="left"/>
      <w:lvlText w:val="%2"/>
      <w:numFmt w:val="lowerLetter"/>
      <w:start w:val="1"/>
    </w:lvl>
  </w:abstractNum>
  <w:abstractNum w:abstractNumId="109">
    <w:nsid w:val="2C27173B"/>
    <w:multiLevelType w:val="hybridMultilevel"/>
    <w:lvl w:ilvl="0">
      <w:lvlJc w:val="left"/>
      <w:lvlText w:val="•"/>
      <w:numFmt w:val="bullet"/>
      <w:start w:val="1"/>
    </w:lvl>
  </w:abstractNum>
  <w:abstractNum w:abstractNumId="110">
    <w:nsid w:val="4C9B0904"/>
    <w:multiLevelType w:val="hybridMultilevel"/>
    <w:lvl w:ilvl="0">
      <w:lvlJc w:val="left"/>
      <w:lvlText w:val="•"/>
      <w:numFmt w:val="bullet"/>
      <w:start w:val="1"/>
    </w:lvl>
  </w:abstractNum>
  <w:abstractNum w:abstractNumId="111">
    <w:nsid w:val="6AA7B75C"/>
    <w:multiLevelType w:val="hybridMultilevel"/>
    <w:lvl w:ilvl="0">
      <w:lvlJc w:val="left"/>
      <w:lvlText w:val="•"/>
      <w:numFmt w:val="bullet"/>
      <w:start w:val="1"/>
    </w:lvl>
  </w:abstractNum>
  <w:abstractNum w:abstractNumId="112">
    <w:nsid w:val="1DF029D3"/>
    <w:multiLevelType w:val="hybridMultilevel"/>
    <w:lvl w:ilvl="0">
      <w:lvlJc w:val="left"/>
      <w:lvlText w:val="•"/>
      <w:numFmt w:val="bullet"/>
      <w:start w:val="1"/>
    </w:lvl>
  </w:abstractNum>
  <w:abstractNum w:abstractNumId="113">
    <w:nsid w:val="5675FF36"/>
    <w:multiLevelType w:val="hybridMultilevel"/>
    <w:lvl w:ilvl="0">
      <w:lvlJc w:val="left"/>
      <w:lvlText w:val="•"/>
      <w:numFmt w:val="bullet"/>
      <w:start w:val="1"/>
    </w:lvl>
  </w:abstractNum>
  <w:abstractNum w:abstractNumId="114">
    <w:nsid w:val="3DD15094"/>
    <w:multiLevelType w:val="hybridMultilevel"/>
    <w:lvl w:ilvl="0">
      <w:lvlJc w:val="left"/>
      <w:lvlText w:val="(%1)"/>
      <w:numFmt w:val="lowerRoman"/>
      <w:start w:val="1"/>
    </w:lvl>
  </w:abstractNum>
  <w:abstractNum w:abstractNumId="115">
    <w:nsid w:val="3DB012B3"/>
    <w:multiLevelType w:val="hybridMultilevel"/>
    <w:lvl w:ilvl="0">
      <w:lvlJc w:val="left"/>
      <w:lvlText w:val="(%1)"/>
      <w:numFmt w:val="lowerRoman"/>
      <w:start w:val="1"/>
    </w:lvl>
  </w:abstractNum>
  <w:abstractNum w:abstractNumId="116">
    <w:nsid w:val="2708C9AF"/>
    <w:multiLevelType w:val="hybridMultilevel"/>
    <w:lvl w:ilvl="0">
      <w:lvlJc w:val="left"/>
      <w:lvlText w:val="(%1)"/>
      <w:numFmt w:val="lowerRoman"/>
      <w:start w:val="2"/>
    </w:lvl>
  </w:abstractNum>
  <w:abstractNum w:abstractNumId="117">
    <w:nsid w:val="5B25ACE2"/>
    <w:multiLevelType w:val="hybridMultilevel"/>
    <w:lvl w:ilvl="0">
      <w:lvlJc w:val="left"/>
      <w:lvlText w:val="•"/>
      <w:numFmt w:val="bullet"/>
      <w:start w:val="1"/>
    </w:lvl>
  </w:abstractNum>
  <w:abstractNum w:abstractNumId="118">
    <w:nsid w:val="175DFCF0"/>
    <w:multiLevelType w:val="hybridMultilevel"/>
    <w:lvl w:ilvl="0">
      <w:lvlJc w:val="left"/>
      <w:lvlText w:val="%1."/>
      <w:numFmt w:val="decimal"/>
      <w:start w:val="1"/>
    </w:lvl>
    <w:lvl w:ilvl="1">
      <w:lvlJc w:val="left"/>
      <w:lvlText w:val="%2"/>
      <w:numFmt w:val="lowerLetter"/>
      <w:start w:val="1"/>
    </w:lvl>
  </w:abstractNum>
  <w:abstractNum w:abstractNumId="119">
    <w:nsid w:val="4F97E3E4"/>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120">
    <w:nsid w:val="53B0A9E"/>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121">
    <w:nsid w:val="34FD6B4F"/>
    <w:multiLevelType w:val="hybridMultilevel"/>
    <w:lvl w:ilvl="0">
      <w:lvlJc w:val="left"/>
      <w:lvlText w:val="%1."/>
      <w:numFmt w:val="decimal"/>
      <w:start w:val="10"/>
    </w:lvl>
  </w:abstractNum>
  <w:abstractNum w:abstractNumId="122">
    <w:nsid w:val="5915FF32"/>
    <w:multiLevelType w:val="hybridMultilevel"/>
    <w:lvl w:ilvl="0">
      <w:lvlJc w:val="left"/>
      <w:lvlText w:val="%1."/>
      <w:numFmt w:val="decimal"/>
      <w:start w:val="1"/>
    </w:lvl>
    <w:lvl w:ilvl="1">
      <w:lvlJc w:val="left"/>
      <w:lvlText w:val="(%2)"/>
      <w:numFmt w:val="lowerLetter"/>
      <w:start w:val="1"/>
    </w:lvl>
  </w:abstractNum>
  <w:abstractNum w:abstractNumId="123">
    <w:nsid w:val="56438D15"/>
    <w:multiLevelType w:val="hybridMultilevel"/>
    <w:lvl w:ilvl="0">
      <w:lvlJc w:val="left"/>
      <w:lvlText w:val="(%1)"/>
      <w:numFmt w:val="lowerLetter"/>
      <w:start w:val="1"/>
    </w:lvl>
  </w:abstractNum>
  <w:abstractNum w:abstractNumId="124">
    <w:nsid w:val="519E3149"/>
    <w:multiLevelType w:val="hybridMultilevel"/>
    <w:lvl w:ilvl="0">
      <w:lvlJc w:val="left"/>
      <w:lvlText w:val="%1."/>
      <w:numFmt w:val="decimal"/>
      <w:start w:val="1"/>
    </w:lvl>
    <w:lvl w:ilvl="1">
      <w:lvlJc w:val="left"/>
      <w:lvlText w:val="(%2)"/>
      <w:numFmt w:val="lowerLetter"/>
      <w:start w:val="1"/>
    </w:lvl>
  </w:abstractNum>
  <w:abstractNum w:abstractNumId="125">
    <w:nsid w:val="2C6E4AFD"/>
    <w:multiLevelType w:val="hybridMultilevel"/>
    <w:lvl w:ilvl="0">
      <w:lvlJc w:val="left"/>
      <w:lvlText w:val="(%1)"/>
      <w:numFmt w:val="lowerLetter"/>
      <w:start w:val="1"/>
    </w:lvl>
  </w:abstractNum>
  <w:abstractNum w:abstractNumId="126">
    <w:nsid w:val="17A1B5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7" Type="http://schemas.openxmlformats.org/officeDocument/2006/relationships/image" Target="media/image147.png"/><Relationship Id="rId160" Type="http://schemas.openxmlformats.org/officeDocument/2006/relationships/image" Target="media/image148.png"/><Relationship Id="rId163" Type="http://schemas.openxmlformats.org/officeDocument/2006/relationships/image" Target="media/image149.png"/><Relationship Id="rId165" Type="http://schemas.openxmlformats.org/officeDocument/2006/relationships/image" Target="media/image150.png"/><Relationship Id="rId168" Type="http://schemas.openxmlformats.org/officeDocument/2006/relationships/image" Target="media/image151.png"/><Relationship Id="rId171" Type="http://schemas.openxmlformats.org/officeDocument/2006/relationships/image" Target="media/image152.png"/><Relationship Id="rId174" Type="http://schemas.openxmlformats.org/officeDocument/2006/relationships/image" Target="media/image153.png"/><Relationship Id="rId179"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208" Type="http://schemas.openxmlformats.org/officeDocument/2006/relationships/image" Target="media/image157.png"/><Relationship Id="rId209" Type="http://schemas.openxmlformats.org/officeDocument/2006/relationships/image" Target="media/image158.png"/><Relationship Id="rId210" Type="http://schemas.openxmlformats.org/officeDocument/2006/relationships/image" Target="media/image159.png"/><Relationship Id="rId211" Type="http://schemas.openxmlformats.org/officeDocument/2006/relationships/image" Target="media/image160.png"/><Relationship Id="rId213" Type="http://schemas.openxmlformats.org/officeDocument/2006/relationships/image" Target="media/image161.png"/><Relationship Id="rId214" Type="http://schemas.openxmlformats.org/officeDocument/2006/relationships/image" Target="media/image162.png"/><Relationship Id="rId215" Type="http://schemas.openxmlformats.org/officeDocument/2006/relationships/image" Target="media/image163.png"/><Relationship Id="rId216" Type="http://schemas.openxmlformats.org/officeDocument/2006/relationships/image" Target="media/image164.png"/><Relationship Id="rId217" Type="http://schemas.openxmlformats.org/officeDocument/2006/relationships/image" Target="media/image165.png"/><Relationship Id="rId218" Type="http://schemas.openxmlformats.org/officeDocument/2006/relationships/image" Target="media/image166.png"/><Relationship Id="rId219" Type="http://schemas.openxmlformats.org/officeDocument/2006/relationships/image" Target="media/image167.png"/><Relationship Id="rId220" Type="http://schemas.openxmlformats.org/officeDocument/2006/relationships/image" Target="media/image168.png"/><Relationship Id="rId221" Type="http://schemas.openxmlformats.org/officeDocument/2006/relationships/image" Target="media/image169.png"/><Relationship Id="rId222" Type="http://schemas.openxmlformats.org/officeDocument/2006/relationships/image" Target="media/image170.png"/><Relationship Id="rId223" Type="http://schemas.openxmlformats.org/officeDocument/2006/relationships/image" Target="media/image171.png"/><Relationship Id="rId224" Type="http://schemas.openxmlformats.org/officeDocument/2006/relationships/image" Target="media/image172.png"/><Relationship Id="rId225" Type="http://schemas.openxmlformats.org/officeDocument/2006/relationships/image" Target="media/image173.pn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256" Type="http://schemas.openxmlformats.org/officeDocument/2006/relationships/image" Target="media/image204.png"/><Relationship Id="rId257" Type="http://schemas.openxmlformats.org/officeDocument/2006/relationships/image" Target="media/image205.png"/><Relationship Id="rId258" Type="http://schemas.openxmlformats.org/officeDocument/2006/relationships/image" Target="media/image206.png"/><Relationship Id="rId259" Type="http://schemas.openxmlformats.org/officeDocument/2006/relationships/image" Target="media/image207.png"/><Relationship Id="rId260" Type="http://schemas.openxmlformats.org/officeDocument/2006/relationships/image" Target="media/image208.png"/><Relationship Id="rId261" Type="http://schemas.openxmlformats.org/officeDocument/2006/relationships/image" Target="media/image209.png"/><Relationship Id="rId262" Type="http://schemas.openxmlformats.org/officeDocument/2006/relationships/image" Target="media/image210.png"/><Relationship Id="rId263" Type="http://schemas.openxmlformats.org/officeDocument/2006/relationships/image" Target="media/image211.png"/><Relationship Id="rId264" Type="http://schemas.openxmlformats.org/officeDocument/2006/relationships/image" Target="media/image212.png"/><Relationship Id="rId265" Type="http://schemas.openxmlformats.org/officeDocument/2006/relationships/image" Target="media/image213.png"/><Relationship Id="rId266" Type="http://schemas.openxmlformats.org/officeDocument/2006/relationships/image" Target="media/image214.png"/><Relationship Id="rId267" Type="http://schemas.openxmlformats.org/officeDocument/2006/relationships/image" Target="media/image215.png"/><Relationship Id="rId268" Type="http://schemas.openxmlformats.org/officeDocument/2006/relationships/image" Target="media/image216.png"/><Relationship Id="rId269" Type="http://schemas.openxmlformats.org/officeDocument/2006/relationships/image" Target="media/image217.png"/><Relationship Id="rId270" Type="http://schemas.openxmlformats.org/officeDocument/2006/relationships/image" Target="media/image218.png"/><Relationship Id="rId271" Type="http://schemas.openxmlformats.org/officeDocument/2006/relationships/image" Target="media/image219.png"/><Relationship Id="rId272"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7" Type="http://schemas.openxmlformats.org/officeDocument/2006/relationships/image" Target="media/image225.png"/><Relationship Id="rId278" Type="http://schemas.openxmlformats.org/officeDocument/2006/relationships/image" Target="media/image226.png"/><Relationship Id="rId279" Type="http://schemas.openxmlformats.org/officeDocument/2006/relationships/image" Target="media/image227.png"/><Relationship Id="rId280" Type="http://schemas.openxmlformats.org/officeDocument/2006/relationships/image" Target="media/image228.png"/><Relationship Id="rId281" Type="http://schemas.openxmlformats.org/officeDocument/2006/relationships/image" Target="media/image229.png"/><Relationship Id="rId282" Type="http://schemas.openxmlformats.org/officeDocument/2006/relationships/image" Target="media/image230.png"/><Relationship Id="rId154" Type="http://schemas.openxmlformats.org/officeDocument/2006/relationships/hyperlink" Target="https://www.sec.gov/Archives/edgar/data/0001794515/000179451521000307/a21pubcomergeragreement.htm" TargetMode="External"/><Relationship Id="rId155" Type="http://schemas.openxmlformats.org/officeDocument/2006/relationships/hyperlink" Target="https://www.sec.gov/Archives/edgar/data/0001794515/000179451521000307/a22opcomergeragreement.htm" TargetMode="External"/><Relationship Id="rId156" Type="http://schemas.openxmlformats.org/officeDocument/2006/relationships/hyperlink" Target="https://www.sec.gov/Archives/edgar/data/1794515/000179451522000095/zi-ex31x20220518.htm" TargetMode="External"/><Relationship Id="rId158" Type="http://schemas.openxmlformats.org/officeDocument/2006/relationships/hyperlink" Target="https://www.sec.gov/Archives/edgar/data/1794515/000179451523000169/zi-ex32x20231030.htm" TargetMode="External"/><Relationship Id="rId159" Type="http://schemas.openxmlformats.org/officeDocument/2006/relationships/hyperlink" Target="https://www.sec.gov/Archives/edgar/data/1794515/000179451522000015/zi-ex41x20220224.htm" TargetMode="External"/><Relationship Id="rId161" Type="http://schemas.openxmlformats.org/officeDocument/2006/relationships/hyperlink" Target="https://www.sec.gov/Archives/edgar/data/1794515/000179451521000034/exhibit041xclosingxindent.htm" TargetMode="External"/><Relationship Id="rId162" Type="http://schemas.openxmlformats.org/officeDocument/2006/relationships/hyperlink" Target="https://www.sec.gov/Archives/edgar/data/0001794515/000179451521000174/zi-8kex42x20210715.htm" TargetMode="External"/><Relationship Id="rId164" Type="http://schemas.openxmlformats.org/officeDocument/2006/relationships/hyperlink" Target="https://www.sec.gov/Archives/edgar/data/1794515/000179451522000015/zi-ex101x0220224.htm" TargetMode="External"/><Relationship Id="rId166" Type="http://schemas.openxmlformats.org/officeDocument/2006/relationships/hyperlink" Target="https://www.sec.gov/Archives/edgar/data/1794515/000162828020009137/exhibit103-closing8xkxexch.htm" TargetMode="External"/><Relationship Id="rId167" Type="http://schemas.openxmlformats.org/officeDocument/2006/relationships/hyperlink" Target="https://www.sec.gov/Archives/edgar/data/1794515/000179451521000318/zi-ex103x20211101.htm" TargetMode="External"/><Relationship Id="rId169" Type="http://schemas.openxmlformats.org/officeDocument/2006/relationships/hyperlink" Target="https://www.sec.gov/Archives/edgar/data/0001794515/000179451521000307/a101exchangetraamendment.htm" TargetMode="External"/><Relationship Id="rId170" Type="http://schemas.openxmlformats.org/officeDocument/2006/relationships/hyperlink" Target="https://www.sec.gov/Archives/edgar/data/1794515/000162828020009137/exhibit104-closing8xkxreor.htm" TargetMode="External"/><Relationship Id="rId172" Type="http://schemas.openxmlformats.org/officeDocument/2006/relationships/hyperlink" Target="https://www.sec.gov/Archives/edgar/data/1794515/000179451521000318/zi-ex102x20211101.htm" TargetMode="External"/><Relationship Id="rId173" Type="http://schemas.openxmlformats.org/officeDocument/2006/relationships/hyperlink" Target="https://www.sec.gov/Archives/edgar/data/0001794515/000179451521000307/a102reorganizationtraamend.htm" TargetMode="External"/><Relationship Id="rId175" Type="http://schemas.openxmlformats.org/officeDocument/2006/relationships/hyperlink" Target="https://www.sec.gov/Archives/edgar/data/1794515/000162828020009137/exhibit105-closing8xkxregi.htm" TargetMode="External"/><Relationship Id="rId176" Type="http://schemas.openxmlformats.org/officeDocument/2006/relationships/hyperlink" Target="https://www.sec.gov/Archives/edgar/data/1794515/000162828020009137/exhibit106-closing8xkxstoc.htm" TargetMode="External"/><Relationship Id="rId177" Type="http://schemas.openxmlformats.org/officeDocument/2006/relationships/hyperlink" Target="https://www.sec.gov/Archives/edgar/data/1794515/000162828020009137/exhibit107-closing8xkx2020.htm" TargetMode="External"/><Relationship Id="rId178" Type="http://schemas.openxmlformats.org/officeDocument/2006/relationships/hyperlink" Target="https://www.sec.gov/Archives/edgar/data/1794515/000162828020009137/exhibit108-closing8xkxempl.htm" TargetMode="External"/><Relationship Id="rId180" Type="http://schemas.openxmlformats.org/officeDocument/2006/relationships/hyperlink" Target="https://www.sec.gov/Archives/edgar/data/1794515/000179451523000034/zi-ex1012x20230216.htm" TargetMode="External"/><Relationship Id="rId181" Type="http://schemas.openxmlformats.org/officeDocument/2006/relationships/hyperlink" Target="https://www.sec.gov/Archives/edgar/data/1794515/000162828020008444/exhibit109s-1aformofindemn.htm" TargetMode="External"/><Relationship Id="rId182" Type="http://schemas.openxmlformats.org/officeDocument/2006/relationships/hyperlink" Target="https://www.sec.gov/Archives/edgar/data/1794515/000162828020002344/exhibit1010-firstliencredi.htm" TargetMode="External"/><Relationship Id="rId183" Type="http://schemas.openxmlformats.org/officeDocument/2006/relationships/hyperlink" Target="https://www.sec.gov/Archives/edgar/data/1794515/000162828020002344/exhibit1011-amendmentno1da.htm" TargetMode="External"/><Relationship Id="rId184" Type="http://schemas.openxmlformats.org/officeDocument/2006/relationships/hyperlink" Target="https://www.sec.gov/Archives/edgar/data/1794515/000179451521000034/exhibit101xclosingxcredxam.htm" TargetMode="External"/><Relationship Id="rId185" Type="http://schemas.openxmlformats.org/officeDocument/2006/relationships/hyperlink" Target="https://www.sec.gov/Archives/edgar/data/1794515/000179451521000183/zi-8kex101x20210720.htm" TargetMode="External"/><Relationship Id="rId186" Type="http://schemas.openxmlformats.org/officeDocument/2006/relationships/hyperlink" Target="https://www.sec.gov/Archives/edgar/data/1794515/000179451523000034/zi-ex1018x20230216.htm" TargetMode="External"/><Relationship Id="rId187" Type="http://schemas.openxmlformats.org/officeDocument/2006/relationships/hyperlink" Target="https://www.sec.gov/Archives/edgar/data/1794515/000179451523000041/zi-ex101x20230228.htm" TargetMode="External"/><Relationship Id="rId188" Type="http://schemas.openxmlformats.org/officeDocument/2006/relationships/hyperlink" Target="https://www.sec.gov/Archives/edgar/data/1794515/000179451523000183/zi-ex101x20231208.htm" TargetMode="External"/><Relationship Id="rId189" Type="http://schemas.openxmlformats.org/officeDocument/2006/relationships/hyperlink" Target="https://www.sec.gov/Archives/edgar/data/1794515/000179451524000114/zi-ex101x20240610.htm" TargetMode="External"/><Relationship Id="rId190" Type="http://schemas.openxmlformats.org/officeDocument/2006/relationships/hyperlink" Target="https://www.sec.gov/Archives/edgar/data/1794515/000162828020002344/exhibit1012-firstliensecur.htm" TargetMode="External"/><Relationship Id="rId191" Type="http://schemas.openxmlformats.org/officeDocument/2006/relationships/hyperlink" Target="https://www.sec.gov/Archives/edgar/data/1794515/000162828020002344/exhibit1013-firstlienholdi.htm" TargetMode="External"/><Relationship Id="rId192" Type="http://schemas.openxmlformats.org/officeDocument/2006/relationships/hyperlink" Target="https://www.sec.gov/Archives/edgar/data/1794515/000162828020002344/exhibit1014-firstliensubsi.htm" TargetMode="External"/><Relationship Id="rId193" Type="http://schemas.openxmlformats.org/officeDocument/2006/relationships/hyperlink" Target="https://www.sec.gov/Archives/edgar/data/1794515/000162828020002344/exhibit1015-firstlieninter.htm" TargetMode="External"/><Relationship Id="rId196" Type="http://schemas.openxmlformats.org/officeDocument/2006/relationships/hyperlink" Target="https://www.sec.gov/Archives/edgar/data/1794515/000162828020009137/exhibit109-closing8xkxform.htm" TargetMode="External"/><Relationship Id="rId197" Type="http://schemas.openxmlformats.org/officeDocument/2006/relationships/hyperlink" Target="https://www.sec.gov/Archives/edgar/data/1794515/000162828020002344/exhibit1025-employmentagre.htm" TargetMode="External"/><Relationship Id="rId198" Type="http://schemas.openxmlformats.org/officeDocument/2006/relationships/hyperlink" Target="https://www.sec.gov/Archives/edgar/data/1794515/000162828020008317/exhibit1028formofstandarde.htm" TargetMode="External"/><Relationship Id="rId199" Type="http://schemas.openxmlformats.org/officeDocument/2006/relationships/hyperlink" Target="https://www.sec.gov/Archives/edgar/data/1794515/000162828020008317/exhibit1030formofleverager.htm" TargetMode="External"/><Relationship Id="rId200" Type="http://schemas.openxmlformats.org/officeDocument/2006/relationships/hyperlink" Target="https://www.sec.gov/Archives/edgar/data/1794515/000179451523000034/zi-ex1030x20230216.htm" TargetMode="External"/><Relationship Id="rId201" Type="http://schemas.openxmlformats.org/officeDocument/2006/relationships/hyperlink" Target="https://www.sec.gov/Archives/edgar/data/1794515/000162828020008317/exhibit1032formofnon-emplo.htm" TargetMode="External"/><Relationship Id="rId202" Type="http://schemas.openxmlformats.org/officeDocument/2006/relationships/hyperlink" Target="https://www.sec.gov/Archives/edgar/data/1794515/000162828020008317/exhibit1033formofnon-emplo.htm" TargetMode="External"/><Relationship Id="rId203" Type="http://schemas.openxmlformats.org/officeDocument/2006/relationships/hyperlink" Target="https://www.sec.gov/Archives/edgar/data/1794515/000162828020008317/exhibit1035formofltipunita.htm" TargetMode="External"/><Relationship Id="rId204" Type="http://schemas.openxmlformats.org/officeDocument/2006/relationships/hyperlink" Target="https://www.sec.gov/Archives/edgar/data/1794515/000162828020008317/exhibit1036formofrestricti.htm" TargetMode="External"/><Relationship Id="rId205" Type="http://schemas.openxmlformats.org/officeDocument/2006/relationships/hyperlink" Target="https://www.sec.gov/Archives/edgar/data/1794515/000179451523000080/zi-ex101x20230501.htm" TargetMode="External"/><Relationship Id="rId206" Type="http://schemas.openxmlformats.org/officeDocument/2006/relationships/hyperlink" Target="https://www.sec.gov/Archives/edgar/data/1794515/000179451523000080/zi-ex102x20230501.htm" TargetMode="External"/><Relationship Id="rId207" Type="http://schemas.openxmlformats.org/officeDocument/2006/relationships/hyperlink" Target="https://www.sec.gov/ix?doc=/Archives/edgar/data/1794515/000179451524000185/zi-20240930.htm" TargetMode="External"/><Relationship Id="rId212" Type="http://schemas.openxmlformats.org/officeDocument/2006/relationships/hyperlink" Target="https://www.sec.gov/Archives/edgar/data/1794515/000179451524000016/zi-ex971x202402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2025-02-25T17:35:34Z</dcterms:created>
  <dcterms:modified xsi:type="dcterms:W3CDTF">2025-02-25T17:35:34Z</dcterms:modified>
</cp:coreProperties>
</file>