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ind w:left="0" w:right="0" w:firstLine="360"/>
        <w:jc w:val="both"/>
        <w:rPr/>
      </w:pPr>
      <w:r>
        <w:rPr/>
      </w:r>
    </w:p>
    <w:p>
      <w:pPr>
        <w:pStyle w:val="TextBody"/>
        <w:spacing w:before="0" w:after="0"/>
        <w:jc w:val="right"/>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Washington, D.C. 20549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spacing w:lineRule="auto" w:line="288" w:before="0" w:after="120"/>
        <w:ind w:left="0" w:right="0" w:firstLine="360"/>
        <w:jc w:val="both"/>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0" w:after="120"/>
        <w:ind w:left="0" w:right="0" w:firstLine="360"/>
        <w:jc w:val="both"/>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001-39310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ZoomInfo Technologies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4794" w:type="dxa"/>
        <w:jc w:val="left"/>
        <w:tblInd w:w="0" w:type="dxa"/>
        <w:tblCellMar>
          <w:top w:w="28" w:type="dxa"/>
          <w:left w:w="28" w:type="dxa"/>
          <w:bottom w:w="28" w:type="dxa"/>
          <w:right w:w="28" w:type="dxa"/>
        </w:tblCellMar>
      </w:tblPr>
      <w:tblGrid>
        <w:gridCol w:w="1038"/>
        <w:gridCol w:w="910"/>
        <w:gridCol w:w="916"/>
        <w:gridCol w:w="148"/>
        <w:gridCol w:w="148"/>
        <w:gridCol w:w="150"/>
        <w:gridCol w:w="432"/>
        <w:gridCol w:w="432"/>
        <w:gridCol w:w="620"/>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87-3037521</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88" w:before="0" w:after="18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805 Broadway Street, Suite 900</w:t>
            </w:r>
          </w:p>
        </w:tc>
        <w:tc>
          <w:tcPr>
            <w:tcW w:w="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88" w:before="0" w:after="18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Vancouver, Washington </w:t>
            </w:r>
          </w:p>
        </w:tc>
        <w:tc>
          <w:tcPr>
            <w:tcW w:w="446" w:type="dxa"/>
            <w:gridSpan w:val="3"/>
            <w:tcBorders/>
            <w:shd w:fill="auto"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98660</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446" w:type="dxa"/>
            <w:gridSpan w:val="3"/>
            <w:tcBorders/>
            <w:shd w:fill="auto"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r>
        <w:trPr/>
        <w:tc>
          <w:tcPr>
            <w:tcW w:w="4794" w:type="dxa"/>
            <w:gridSpan w:val="9"/>
            <w:tcBorders/>
            <w:shd w:fill="auto" w:val="clear"/>
            <w:tcMar>
              <w:top w:w="0" w:type="dxa"/>
              <w:left w:w="0" w:type="dxa"/>
              <w:bottom w:w="0" w:type="dxa"/>
              <w:right w:w="0" w:type="dxa"/>
            </w:tcMar>
            <w:vAlign w:val="center"/>
          </w:tcPr>
          <w:p>
            <w:pPr>
              <w:pStyle w:val="TableContents"/>
              <w:spacing w:lineRule="auto" w:line="288" w:before="0" w:after="18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(800) 914-1220</w:t>
            </w:r>
          </w:p>
        </w:tc>
      </w:tr>
      <w:tr>
        <w:trPr/>
        <w:tc>
          <w:tcPr>
            <w:tcW w:w="47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989" w:type="dxa"/>
        <w:jc w:val="left"/>
        <w:tblInd w:w="0" w:type="dxa"/>
        <w:tblCellMar>
          <w:top w:w="28" w:type="dxa"/>
          <w:left w:w="28" w:type="dxa"/>
          <w:bottom w:w="28" w:type="dxa"/>
          <w:right w:w="28" w:type="dxa"/>
        </w:tblCellMar>
      </w:tblPr>
      <w:tblGrid>
        <w:gridCol w:w="1102"/>
        <w:gridCol w:w="974"/>
        <w:gridCol w:w="984"/>
        <w:gridCol w:w="409"/>
        <w:gridCol w:w="409"/>
        <w:gridCol w:w="411"/>
        <w:gridCol w:w="791"/>
        <w:gridCol w:w="791"/>
        <w:gridCol w:w="1118"/>
      </w:tblGrid>
      <w:tr>
        <w:trPr/>
        <w:tc>
          <w:tcPr>
            <w:tcW w:w="1102"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0"/>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122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270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306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122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w:t>
            </w:r>
          </w:p>
        </w:tc>
        <w:tc>
          <w:tcPr>
            <w:tcW w:w="2700"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 xml:space="preserve">No </w:t>
      </w:r>
      <w:r>
        <w:rPr>
          <w:color w:val="000000"/>
        </w:rPr>
        <w:t>☐</w:t>
      </w:r>
    </w:p>
    <w:p>
      <w:pPr>
        <w:pStyle w:val="TextBody"/>
        <w:spacing w:lineRule="auto" w:line="288" w:before="0" w:after="180"/>
        <w:ind w:left="0" w:right="0" w:firstLine="360"/>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 xml:space="preserve">No </w:t>
      </w:r>
      <w:r>
        <w:rPr>
          <w:color w:val="000000"/>
        </w:rPr>
        <w:t>☐</w:t>
      </w:r>
    </w:p>
    <w:p>
      <w:pPr>
        <w:pStyle w:val="TextBody"/>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65" w:type="dxa"/>
        <w:jc w:val="left"/>
        <w:tblInd w:w="0" w:type="dxa"/>
        <w:tblCellMar>
          <w:top w:w="28" w:type="dxa"/>
          <w:left w:w="28" w:type="dxa"/>
          <w:bottom w:w="28" w:type="dxa"/>
          <w:right w:w="28" w:type="dxa"/>
        </w:tblCellMar>
      </w:tblPr>
      <w:tblGrid>
        <w:gridCol w:w="630"/>
        <w:gridCol w:w="553"/>
        <w:gridCol w:w="557"/>
        <w:gridCol w:w="109"/>
        <w:gridCol w:w="109"/>
        <w:gridCol w:w="109"/>
        <w:gridCol w:w="673"/>
        <w:gridCol w:w="673"/>
        <w:gridCol w:w="680"/>
        <w:gridCol w:w="109"/>
        <w:gridCol w:w="109"/>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c>
          <w:tcPr>
            <w:tcW w:w="202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c>
          <w:tcPr>
            <w:tcW w:w="202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r>
    </w:tbl>
    <w:p>
      <w:pPr>
        <w:pStyle w:val="TextBody"/>
        <w:spacing w:lineRule="auto" w:line="288" w:before="0" w:after="180"/>
        <w:ind w:left="0" w:right="0" w:firstLine="360"/>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88" w:before="0" w:after="0"/>
        <w:ind w:left="0" w:right="0" w:firstLine="360"/>
        <w:jc w:val="both"/>
        <w:rPr/>
      </w:pPr>
      <w:r>
        <w:rPr>
          <w:rFonts w:ascii="Times New Roman;sans-serif" w:hAnsi="Times New Roman;sans-serif"/>
          <w:b w:val="false"/>
          <w:color w:val="000000"/>
          <w:sz w:val="16"/>
        </w:rPr>
        <w:t xml:space="preserve">Indicate by check mark whether the registrant is a shell company (as defined by Rule 12b-2 of the Exchange Act).  Yes </w:t>
      </w:r>
      <w:r>
        <w:rPr>
          <w:color w:val="000000"/>
        </w:rPr>
        <w:t>☐   </w:t>
      </w:r>
      <w:r>
        <w:rPr>
          <w:rFonts w:ascii="Times New Roman;sans-serif" w:hAnsi="Times New Roman;sans-serif"/>
          <w:b w:val="false"/>
          <w:color w:val="000000"/>
          <w:sz w:val="16"/>
        </w:rPr>
        <w:t xml:space="preserve">No </w:t>
      </w:r>
      <w:r>
        <w:rPr>
          <w:color w:val="000000"/>
        </w:rPr>
        <w: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As of April 21, 2023, there were 402,328,690 shares of the registrant's common stock outstanding.</w:t>
      </w:r>
    </w:p>
    <w:p>
      <w:pPr>
        <w:pStyle w:val="TextBody"/>
        <w:spacing w:before="0" w:after="180"/>
        <w:ind w:left="0" w:right="0" w:firstLine="360"/>
        <w:jc w:val="both"/>
        <w:rPr/>
      </w:pPr>
      <w:r>
        <w:rPr/>
      </w:r>
    </w:p>
    <w:p>
      <w:pPr>
        <w:pStyle w:val="TextBody"/>
        <w:spacing w:before="0" w:after="180"/>
        <w:ind w:left="0" w:right="0" w:firstLine="36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before="0" w:after="180"/>
        <w:ind w:left="0" w:right="0" w:firstLine="360"/>
        <w:jc w:val="both"/>
        <w:rPr/>
      </w:pPr>
      <w:r>
        <w:rPr/>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before="0" w:after="180"/>
        <w:jc w:val="center"/>
        <w:rPr/>
      </w:pPr>
      <w:r>
        <w:rPr/>
      </w:r>
    </w:p>
    <w:p>
      <w:pPr>
        <w:pStyle w:val="TextBody"/>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TABLE OF CONTENTS</w:t>
      </w:r>
    </w:p>
    <w:tbl>
      <w:tblPr>
        <w:tblW w:w="8461" w:type="dxa"/>
        <w:jc w:val="center"/>
        <w:tblInd w:w="0" w:type="dxa"/>
        <w:tblCellMar>
          <w:top w:w="28" w:type="dxa"/>
          <w:left w:w="28" w:type="dxa"/>
          <w:bottom w:w="28" w:type="dxa"/>
          <w:right w:w="28" w:type="dxa"/>
        </w:tblCellMar>
      </w:tblPr>
      <w:tblGrid>
        <w:gridCol w:w="2875"/>
        <w:gridCol w:w="2530"/>
        <w:gridCol w:w="2545"/>
        <w:gridCol w:w="149"/>
        <w:gridCol w:w="149"/>
        <w:gridCol w:w="213"/>
      </w:tblGrid>
      <w:tr>
        <w:trPr/>
        <w:tc>
          <w:tcPr>
            <w:tcW w:w="2875" w:type="dxa"/>
            <w:tcBorders/>
            <w:shd w:fill="auto" w:val="clear"/>
            <w:vAlign w:val="center"/>
          </w:tcPr>
          <w:p>
            <w:pPr>
              <w:pStyle w:val="TableContents"/>
              <w:spacing w:before="0" w:after="283"/>
              <w:rPr>
                <w:sz w:val="4"/>
                <w:szCs w:val="4"/>
              </w:rPr>
            </w:pPr>
            <w:r>
              <w:rPr>
                <w:sz w:val="4"/>
                <w:szCs w:val="4"/>
              </w:rPr>
            </w:r>
          </w:p>
        </w:tc>
        <w:tc>
          <w:tcPr>
            <w:tcW w:w="2530" w:type="dxa"/>
            <w:tcBorders/>
            <w:shd w:fill="auto" w:val="clear"/>
            <w:vAlign w:val="center"/>
          </w:tcPr>
          <w:p>
            <w:pPr>
              <w:pStyle w:val="TableContents"/>
              <w:spacing w:before="0" w:after="283"/>
              <w:rPr>
                <w:sz w:val="4"/>
                <w:szCs w:val="4"/>
              </w:rPr>
            </w:pPr>
            <w:r>
              <w:rPr>
                <w:sz w:val="4"/>
                <w:szCs w:val="4"/>
              </w:rPr>
            </w:r>
          </w:p>
        </w:tc>
        <w:tc>
          <w:tcPr>
            <w:tcW w:w="254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7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0">
              <w:r>
                <w:rPr>
                  <w:rStyle w:val="InternetLink"/>
                  <w:rFonts w:ascii="Times New Roman;sans-serif" w:hAnsi="Times New Roman;sans-serif"/>
                  <w:b w:val="false"/>
                  <w:color w:val="0000FF"/>
                  <w:sz w:val="20"/>
                  <w:u w:val="single"/>
                </w:rPr>
                <w:t>Glossary</w:t>
              </w:r>
            </w:hyperlink>
          </w:p>
        </w:tc>
        <w:tc>
          <w:tcPr>
            <w:tcW w:w="51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hyperlink w:anchor="i6a5e6dde1bec44149fc3a16ed4c02afc_10">
              <w:r>
                <w:rPr>
                  <w:rStyle w:val="InternetLink"/>
                  <w:rFonts w:ascii="Times New Roman;sans-serif" w:hAnsi="Times New Roman;sans-serif"/>
                  <w:b w:val="false"/>
                  <w:color w:val="0000FF"/>
                  <w:sz w:val="16"/>
                  <w:u w:val="single"/>
                </w:rPr>
                <w:t>ii</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3">
              <w:r>
                <w:rPr>
                  <w:rStyle w:val="InternetLink"/>
                  <w:rFonts w:ascii="Times New Roman;sans-serif" w:hAnsi="Times New Roman;sans-serif"/>
                  <w:b w:val="false"/>
                  <w:color w:val="0000FF"/>
                  <w:sz w:val="20"/>
                  <w:u w:val="single"/>
                </w:rPr>
                <w:t>Cautionary</w:t>
              </w:r>
            </w:hyperlink>
            <w:r>
              <w:rPr>
                <w:color w:val="000000"/>
              </w:rPr>
              <w:t xml:space="preserve"> </w:t>
            </w:r>
            <w:hyperlink w:anchor="i6a5e6dde1bec44149fc3a16ed4c02afc_13">
              <w:r>
                <w:rPr>
                  <w:rStyle w:val="InternetLink"/>
                  <w:rFonts w:ascii="Times New Roman;sans-serif" w:hAnsi="Times New Roman;sans-serif"/>
                  <w:b w:val="false"/>
                  <w:color w:val="0000FF"/>
                  <w:sz w:val="20"/>
                  <w:u w:val="single"/>
                </w:rPr>
                <w:t>Statement Regarding Forward-Looking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3">
              <w:r>
                <w:rPr>
                  <w:rStyle w:val="InternetLink"/>
                  <w:rFonts w:ascii="Times New Roman;sans-serif" w:hAnsi="Times New Roman;sans-serif"/>
                  <w:b w:val="false"/>
                  <w:color w:val="0000FF"/>
                  <w:sz w:val="16"/>
                  <w:u w:val="single"/>
                </w:rPr>
                <w:t>iv</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1"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6">
              <w:r>
                <w:rPr>
                  <w:rStyle w:val="InternetLink"/>
                  <w:rFonts w:ascii="Times New Roman;sans-serif" w:hAnsi="Times New Roman;sans-serif"/>
                  <w:b w:val="false"/>
                  <w:color w:val="0000FF"/>
                  <w:sz w:val="20"/>
                  <w:u w:val="single"/>
                </w:rPr>
                <w:t>PART I - FINANCIAL INFORMATION</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9">
              <w:r>
                <w:rPr>
                  <w:rStyle w:val="InternetLink"/>
                  <w:rFonts w:ascii="Times New Roman;sans-serif" w:hAnsi="Times New Roman;sans-serif"/>
                  <w:b w:val="false"/>
                  <w:color w:val="0000FF"/>
                  <w:sz w:val="20"/>
                  <w:u w:val="single"/>
                </w:rPr>
                <w:t>Item 1.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9">
              <w:r>
                <w:rPr>
                  <w:rStyle w:val="InternetLink"/>
                  <w:rFonts w:ascii="Times New Roman;sans-serif" w:hAnsi="Times New Roman;sans-serif"/>
                  <w:b w:val="false"/>
                  <w:color w:val="0000FF"/>
                  <w:sz w:val="20"/>
                  <w:u w:val="single"/>
                </w:rPr>
                <w:t>1</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6a5e6dde1bec44149fc3a16ed4c02afc_28">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28">
              <w:r>
                <w:rPr>
                  <w:rStyle w:val="InternetLink"/>
                  <w:rFonts w:ascii="Times New Roman;sans-serif" w:hAnsi="Times New Roman;sans-serif"/>
                  <w:b w:val="false"/>
                  <w:color w:val="0000FF"/>
                  <w:sz w:val="20"/>
                  <w:u w:val="single"/>
                </w:rPr>
                <w:t>2</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6a5e6dde1bec44149fc3a16ed4c02afc_31">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31">
              <w:r>
                <w:rPr>
                  <w:rStyle w:val="InternetLink"/>
                  <w:rFonts w:ascii="Times New Roman;sans-serif" w:hAnsi="Times New Roman;sans-serif"/>
                  <w:b w:val="false"/>
                  <w:color w:val="0000FF"/>
                  <w:sz w:val="20"/>
                  <w:u w:val="single"/>
                </w:rPr>
                <w:t>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6a5e6dde1bec44149fc3a16ed4c02afc_34">
              <w:r>
                <w:rPr>
                  <w:rStyle w:val="InternetLink"/>
                  <w:rFonts w:ascii="Times New Roman;sans-serif" w:hAnsi="Times New Roman;sans-serif"/>
                  <w:b w:val="false"/>
                  <w:color w:val="0000FF"/>
                  <w:sz w:val="20"/>
                  <w:u w:val="single"/>
                </w:rPr>
                <w:t>Consolidated Statements of Comprehensive Income (Loss)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34">
              <w:r>
                <w:rPr>
                  <w:rStyle w:val="InternetLink"/>
                  <w:rFonts w:ascii="Times New Roman;sans-serif" w:hAnsi="Times New Roman;sans-serif"/>
                  <w:b w:val="false"/>
                  <w:color w:val="0000FF"/>
                  <w:sz w:val="20"/>
                  <w:u w:val="single"/>
                </w:rPr>
                <w:t>4</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6a5e6dde1bec44149fc3a16ed4c02afc_37">
              <w:r>
                <w:rPr>
                  <w:rStyle w:val="InternetLink"/>
                  <w:rFonts w:ascii="Times New Roman;sans-serif" w:hAnsi="Times New Roman;sans-serif"/>
                  <w:b w:val="false"/>
                  <w:color w:val="0000FF"/>
                  <w:sz w:val="20"/>
                  <w:u w:val="single"/>
                </w:rPr>
                <w:t>Consolidated Statements of Changes in Equity (Deficit)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37">
              <w:r>
                <w:rPr>
                  <w:rStyle w:val="InternetLink"/>
                  <w:rFonts w:ascii="Times New Roman;sans-serif" w:hAnsi="Times New Roman;sans-serif"/>
                  <w:b w:val="false"/>
                  <w:color w:val="0000FF"/>
                  <w:sz w:val="20"/>
                  <w:u w:val="single"/>
                </w:rPr>
                <w:t>5</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6a5e6dde1bec44149fc3a16ed4c02afc_40">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40">
              <w:r>
                <w:rPr>
                  <w:rStyle w:val="InternetLink"/>
                  <w:rFonts w:ascii="Times New Roman;sans-serif" w:hAnsi="Times New Roman;sans-serif"/>
                  <w:b w:val="false"/>
                  <w:color w:val="0000FF"/>
                  <w:sz w:val="20"/>
                  <w:u w:val="single"/>
                </w:rPr>
                <w:t>7</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6a5e6dde1bec44149fc3a16ed4c02afc_43">
              <w:r>
                <w:rPr>
                  <w:rStyle w:val="InternetLink"/>
                  <w:rFonts w:ascii="Times New Roman;sans-serif" w:hAnsi="Times New Roman;sans-serif"/>
                  <w:b w:val="false"/>
                  <w:color w:val="0000FF"/>
                  <w:sz w:val="20"/>
                  <w:u w:val="single"/>
                </w:rPr>
                <w:t xml:space="preserve">Notes to the Consolidated Financial Statements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43">
              <w:r>
                <w:rPr>
                  <w:rStyle w:val="InternetLink"/>
                  <w:rFonts w:ascii="Times New Roman;sans-serif" w:hAnsi="Times New Roman;sans-serif"/>
                  <w:b w:val="false"/>
                  <w:color w:val="0000FF"/>
                  <w:sz w:val="20"/>
                  <w:u w:val="single"/>
                </w:rPr>
                <w:t>9</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0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06">
              <w:r>
                <w:rPr>
                  <w:rStyle w:val="InternetLink"/>
                  <w:rFonts w:ascii="Times New Roman;sans-serif" w:hAnsi="Times New Roman;sans-serif"/>
                  <w:b w:val="false"/>
                  <w:color w:val="0000FF"/>
                  <w:sz w:val="20"/>
                  <w:u w:val="single"/>
                </w:rPr>
                <w:t>41</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39">
              <w:r>
                <w:rPr>
                  <w:rStyle w:val="InternetLink"/>
                  <w:rFonts w:ascii="Times New Roman;sans-serif" w:hAnsi="Times New Roman;sans-serif"/>
                  <w:b w:val="false"/>
                  <w:color w:val="0000FF"/>
                  <w:sz w:val="20"/>
                  <w:u w:val="single"/>
                </w:rPr>
                <w:t>Item 3. Quantitative and Qualitative Disclosures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39">
              <w:r>
                <w:rPr>
                  <w:rStyle w:val="InternetLink"/>
                  <w:rFonts w:ascii="Times New Roman;sans-serif" w:hAnsi="Times New Roman;sans-serif"/>
                  <w:b w:val="false"/>
                  <w:color w:val="0000FF"/>
                  <w:sz w:val="20"/>
                  <w:u w:val="single"/>
                </w:rPr>
                <w:t>61</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42">
              <w:r>
                <w:rPr>
                  <w:rStyle w:val="InternetLink"/>
                  <w:rFonts w:ascii="Times New Roman;sans-serif" w:hAnsi="Times New Roman;sans-serif"/>
                  <w:b w:val="false"/>
                  <w:color w:val="0000FF"/>
                  <w:sz w:val="20"/>
                  <w:u w:val="single"/>
                </w:rPr>
                <w:t>Item 4. 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42">
              <w:r>
                <w:rPr>
                  <w:rStyle w:val="InternetLink"/>
                  <w:rFonts w:ascii="Times New Roman;sans-serif" w:hAnsi="Times New Roman;sans-serif"/>
                  <w:b w:val="false"/>
                  <w:color w:val="0000FF"/>
                  <w:sz w:val="20"/>
                  <w:u w:val="single"/>
                </w:rPr>
                <w:t>62</w:t>
              </w:r>
            </w:hyperlink>
          </w:p>
        </w:tc>
      </w:tr>
      <w:tr>
        <w:trPr/>
        <w:tc>
          <w:tcPr>
            <w:tcW w:w="8461"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45">
              <w:r>
                <w:rPr>
                  <w:rStyle w:val="InternetLink"/>
                  <w:rFonts w:ascii="Times New Roman;sans-serif" w:hAnsi="Times New Roman;sans-serif"/>
                  <w:b w:val="false"/>
                  <w:color w:val="0000FF"/>
                  <w:sz w:val="20"/>
                  <w:u w:val="single"/>
                </w:rPr>
                <w:t>PART II - OTHER INFORMATION</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48">
              <w:r>
                <w:rPr>
                  <w:rStyle w:val="InternetLink"/>
                  <w:rFonts w:ascii="Times New Roman;sans-serif" w:hAnsi="Times New Roman;sans-serif"/>
                  <w:b w:val="false"/>
                  <w:color w:val="0000FF"/>
                  <w:sz w:val="20"/>
                  <w:u w:val="single"/>
                </w:rPr>
                <w:t>Item 1. Legal Proceedings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48">
              <w:r>
                <w:rPr>
                  <w:rStyle w:val="InternetLink"/>
                  <w:rFonts w:ascii="Times New Roman;sans-serif" w:hAnsi="Times New Roman;sans-serif"/>
                  <w:b w:val="false"/>
                  <w:color w:val="0000FF"/>
                  <w:sz w:val="20"/>
                  <w:u w:val="single"/>
                </w:rPr>
                <w:t>63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51">
              <w:r>
                <w:rPr>
                  <w:rStyle w:val="InternetLink"/>
                  <w:rFonts w:ascii="Times New Roman;sans-serif" w:hAnsi="Times New Roman;sans-serif"/>
                  <w:b w:val="false"/>
                  <w:color w:val="0000FF"/>
                  <w:sz w:val="20"/>
                  <w:u w:val="single"/>
                </w:rPr>
                <w:t>Item 1A. 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51">
              <w:r>
                <w:rPr>
                  <w:rStyle w:val="InternetLink"/>
                  <w:rFonts w:ascii="Times New Roman;sans-serif" w:hAnsi="Times New Roman;sans-serif"/>
                  <w:b w:val="false"/>
                  <w:color w:val="0000FF"/>
                  <w:sz w:val="20"/>
                  <w:u w:val="single"/>
                </w:rPr>
                <w:t>63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54">
              <w:r>
                <w:rPr>
                  <w:rStyle w:val="InternetLink"/>
                  <w:rFonts w:ascii="Times New Roman;sans-serif" w:hAnsi="Times New Roman;sans-serif"/>
                  <w:b w:val="false"/>
                  <w:color w:val="0000FF"/>
                  <w:sz w:val="20"/>
                  <w:u w:val="single"/>
                </w:rPr>
                <w:t>Item 2. Unregistered Sales of Equity Securities and 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54">
              <w:r>
                <w:rPr>
                  <w:rStyle w:val="InternetLink"/>
                  <w:rFonts w:ascii="Times New Roman;sans-serif" w:hAnsi="Times New Roman;sans-serif"/>
                  <w:b w:val="false"/>
                  <w:color w:val="0000FF"/>
                  <w:sz w:val="20"/>
                  <w:u w:val="single"/>
                </w:rPr>
                <w:t>63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57">
              <w:r>
                <w:rPr>
                  <w:rStyle w:val="InternetLink"/>
                  <w:rFonts w:ascii="Times New Roman;sans-serif" w:hAnsi="Times New Roman;sans-serif"/>
                  <w:b w:val="false"/>
                  <w:color w:val="0000FF"/>
                  <w:sz w:val="20"/>
                  <w:u w:val="single"/>
                </w:rPr>
                <w:t>Item 3. Defaults Upon Senior Securities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57">
              <w:r>
                <w:rPr>
                  <w:rStyle w:val="InternetLink"/>
                  <w:rFonts w:ascii="Times New Roman;sans-serif" w:hAnsi="Times New Roman;sans-serif"/>
                  <w:b w:val="false"/>
                  <w:color w:val="0000FF"/>
                  <w:sz w:val="20"/>
                  <w:u w:val="single"/>
                </w:rPr>
                <w:t>63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60">
              <w:r>
                <w:rPr>
                  <w:rStyle w:val="InternetLink"/>
                  <w:rFonts w:ascii="Times New Roman;sans-serif" w:hAnsi="Times New Roman;sans-serif"/>
                  <w:b w:val="false"/>
                  <w:color w:val="0000FF"/>
                  <w:sz w:val="20"/>
                  <w:u w:val="single"/>
                </w:rPr>
                <w:t>Item 4. Mine Safety Disclosures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60">
              <w:r>
                <w:rPr>
                  <w:rStyle w:val="InternetLink"/>
                  <w:rFonts w:ascii="Times New Roman;sans-serif" w:hAnsi="Times New Roman;sans-serif"/>
                  <w:b w:val="false"/>
                  <w:color w:val="0000FF"/>
                  <w:sz w:val="20"/>
                  <w:u w:val="single"/>
                </w:rPr>
                <w:t>63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63">
              <w:r>
                <w:rPr>
                  <w:rStyle w:val="InternetLink"/>
                  <w:rFonts w:ascii="Times New Roman;sans-serif" w:hAnsi="Times New Roman;sans-serif"/>
                  <w:b w:val="false"/>
                  <w:color w:val="0000FF"/>
                  <w:sz w:val="20"/>
                  <w:u w:val="single"/>
                </w:rPr>
                <w:t>Item 5. 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63">
              <w:r>
                <w:rPr>
                  <w:rStyle w:val="InternetLink"/>
                  <w:rFonts w:ascii="Times New Roman;sans-serif" w:hAnsi="Times New Roman;sans-serif"/>
                  <w:b w:val="false"/>
                  <w:color w:val="0000FF"/>
                  <w:sz w:val="20"/>
                  <w:u w:val="single"/>
                </w:rPr>
                <w:t>64</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66">
              <w:r>
                <w:rPr>
                  <w:rStyle w:val="InternetLink"/>
                  <w:rFonts w:ascii="Times New Roman;sans-serif" w:hAnsi="Times New Roman;sans-serif"/>
                  <w:b w:val="false"/>
                  <w:color w:val="0000FF"/>
                  <w:sz w:val="20"/>
                  <w:u w:val="single"/>
                </w:rPr>
                <w:t>Item 6. 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66">
              <w:r>
                <w:rPr>
                  <w:rStyle w:val="InternetLink"/>
                  <w:rFonts w:ascii="Times New Roman;sans-serif" w:hAnsi="Times New Roman;sans-serif"/>
                  <w:b w:val="false"/>
                  <w:color w:val="0000FF"/>
                  <w:sz w:val="20"/>
                  <w:u w:val="single"/>
                </w:rPr>
                <w:t>65</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69">
              <w:r>
                <w:rPr>
                  <w:rStyle w:val="InternetLink"/>
                  <w:rFonts w:ascii="Times New Roman;sans-serif" w:hAnsi="Times New Roman;sans-serif"/>
                  <w:b w:val="false"/>
                  <w:color w:val="0000FF"/>
                  <w:sz w:val="20"/>
                  <w:u w:val="single"/>
                </w:rPr>
                <w:t>Signatures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69">
              <w:r>
                <w:rPr>
                  <w:rStyle w:val="InternetLink"/>
                  <w:rFonts w:ascii="Times New Roman;sans-serif" w:hAnsi="Times New Roman;sans-serif"/>
                  <w:b w:val="false"/>
                  <w:color w:val="0000FF"/>
                  <w:sz w:val="20"/>
                  <w:u w:val="single"/>
                </w:rPr>
                <w:t>66</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GLOSSARY</w:t>
      </w:r>
    </w:p>
    <w:p>
      <w:pPr>
        <w:pStyle w:val="TextBody"/>
        <w:spacing w:lineRule="auto" w:line="288" w:before="0" w:after="180"/>
        <w:ind w:left="0" w:right="0" w:firstLine="360"/>
        <w:jc w:val="both"/>
        <w:rPr/>
      </w:pPr>
      <w:r>
        <w:rPr>
          <w:rFonts w:ascii="Times New Roman;sans-serif" w:hAnsi="Times New Roman;sans-serif"/>
          <w:b w:val="false"/>
          <w:color w:val="000000"/>
          <w:sz w:val="20"/>
        </w:rPr>
        <w:t>As used in this quarterly report on Form 10-Q (this “</w:t>
      </w:r>
      <w:r>
        <w:rPr>
          <w:rFonts w:ascii="Times New Roman;sans-serif" w:hAnsi="Times New Roman;sans-serif"/>
          <w:b w:val="false"/>
          <w:color w:val="000000"/>
          <w:sz w:val="20"/>
          <w:u w:val="single"/>
        </w:rPr>
        <w:t>Form 10-Q</w:t>
      </w:r>
      <w:r>
        <w:rPr>
          <w:color w:val="000000"/>
        </w:rPr>
        <w:t>”</w:t>
      </w:r>
      <w:r>
        <w:rPr>
          <w:rFonts w:ascii="Times New Roman;sans-serif" w:hAnsi="Times New Roman;sans-serif"/>
          <w:b w:val="false"/>
          <w:color w:val="000000"/>
          <w:sz w:val="20"/>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2022 Form 10-K</w:t>
      </w:r>
      <w:r>
        <w:rPr>
          <w:color w:val="000000"/>
        </w:rPr>
        <w:t xml:space="preserve">” </w:t>
      </w:r>
      <w:r>
        <w:rPr>
          <w:rFonts w:ascii="Times New Roman;sans-serif" w:hAnsi="Times New Roman;sans-serif"/>
          <w:b w:val="false"/>
          <w:color w:val="000000"/>
          <w:sz w:val="20"/>
        </w:rPr>
        <w:t>refers to the Annual Report on Form 10-K of ZoomInfo Technologies Inc. for the fiscal year ended December 31, 2022 as filed with the SEC on February 16, 2023.</w:t>
      </w:r>
    </w:p>
    <w:p>
      <w:pPr>
        <w:pStyle w:val="TextBody"/>
        <w:spacing w:lineRule="auto" w:line="288" w:before="0" w:after="0"/>
        <w:ind w:left="0" w:right="0" w:hanging="360"/>
        <w:jc w:val="both"/>
        <w:rPr/>
      </w:pPr>
      <w:r>
        <w:rPr>
          <w:color w:val="000000"/>
        </w:rPr>
        <w:t>•</w:t>
      </w:r>
      <w:r>
        <w:rPr>
          <w:color w:val="000000"/>
          <w:u w:val="single"/>
        </w:rPr>
        <w:t>“</w:t>
      </w:r>
      <w:r>
        <w:rPr>
          <w:rFonts w:ascii="Times New Roman;sans-serif" w:hAnsi="Times New Roman;sans-serif"/>
          <w:b w:val="false"/>
          <w:color w:val="000000"/>
          <w:sz w:val="20"/>
          <w:u w:val="single"/>
        </w:rPr>
        <w:t>AOCI”</w:t>
      </w:r>
      <w:r>
        <w:rPr>
          <w:color w:val="000000"/>
        </w:rPr>
        <w:t xml:space="preserve"> </w:t>
      </w:r>
      <w:r>
        <w:rPr>
          <w:rFonts w:ascii="Times New Roman;sans-serif" w:hAnsi="Times New Roman;sans-serif"/>
          <w:b w:val="false"/>
          <w:color w:val="000000"/>
          <w:sz w:val="20"/>
        </w:rPr>
        <w:t xml:space="preserve">refers to </w:t>
      </w:r>
      <w:r>
        <w:rPr>
          <w:rFonts w:ascii="Times New Roman;sans-serif" w:hAnsi="Times New Roman;sans-serif"/>
          <w:b w:val="false"/>
          <w:i/>
          <w:color w:val="000000"/>
          <w:sz w:val="20"/>
        </w:rPr>
        <w:t>Accumulated other comprehensive income (loss)</w:t>
      </w:r>
      <w:r>
        <w:rPr>
          <w:color w:val="000000"/>
        </w:rPr>
        <w:t xml:space="preserve"> </w:t>
      </w:r>
      <w:r>
        <w:rPr>
          <w:rFonts w:ascii="Times New Roman;sans-serif" w:hAnsi="Times New Roman;sans-serif"/>
          <w:b w:val="false"/>
          <w:color w:val="000000"/>
          <w:sz w:val="20"/>
        </w:rPr>
        <w:t>on our Consolidated Balance Sheets.</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Blocker Companies</w:t>
      </w:r>
      <w:r>
        <w:rPr>
          <w:color w:val="000000"/>
        </w:rPr>
        <w:t xml:space="preserve">” </w:t>
      </w:r>
      <w:r>
        <w:rPr>
          <w:rFonts w:ascii="Times New Roman;sans-serif" w:hAnsi="Times New Roman;sans-serif"/>
          <w:b w:val="false"/>
          <w:color w:val="000000"/>
          <w:sz w:val="20"/>
        </w:rPr>
        <w:t>refers to certain of our Pre-IPO OpCo Unitholders that are taxable as corporations for U.S. federal income tax purposes.</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Class P Units</w:t>
      </w:r>
      <w:r>
        <w:rPr>
          <w:color w:val="000000"/>
        </w:rPr>
        <w:t xml:space="preserve">” </w:t>
      </w:r>
      <w:r>
        <w:rPr>
          <w:rFonts w:ascii="Times New Roman;sans-serif" w:hAnsi="Times New Roman;sans-serif"/>
          <w:b w:val="false"/>
          <w:color w:val="000000"/>
          <w:sz w:val="20"/>
        </w:rPr>
        <w:t>refers to Class P Units (including, without limitation, any indirectly held Class P Units) of ZoomInfo OpCo.</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Common Stock Option</w:t>
      </w:r>
      <w:r>
        <w:rPr>
          <w:color w:val="000000"/>
        </w:rPr>
        <w:t xml:space="preserve">” </w:t>
      </w:r>
      <w:r>
        <w:rPr>
          <w:rFonts w:ascii="Times New Roman;sans-serif" w:hAnsi="Times New Roman;sans-serif"/>
          <w:b w:val="false"/>
          <w:color w:val="000000"/>
          <w:sz w:val="20"/>
        </w:rPr>
        <w:t>refers to an award granted under Section 7 of the 2020 Omnibus Incentive Plan.</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Customers</w:t>
      </w:r>
      <w:r>
        <w:rPr>
          <w:color w:val="000000"/>
        </w:rPr>
        <w:t xml:space="preserve">” </w:t>
      </w:r>
      <w:r>
        <w:rPr>
          <w:rFonts w:ascii="Times New Roman;sans-serif" w:hAnsi="Times New Roman;sans-serif"/>
          <w:b w:val="false"/>
          <w:color w:val="000000"/>
          <w:sz w:val="20"/>
        </w:rPr>
        <w:t>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Exchange Tax Receivable Agreement</w:t>
      </w:r>
      <w:r>
        <w:rPr>
          <w:color w:val="000000"/>
        </w:rPr>
        <w:t xml:space="preserve">” </w:t>
      </w:r>
      <w:r>
        <w:rPr>
          <w:rFonts w:ascii="Times New Roman;sans-serif" w:hAnsi="Times New Roman;sans-serif"/>
          <w:b w:val="false"/>
          <w:color w:val="000000"/>
          <w:sz w:val="20"/>
        </w:rPr>
        <w:t>refers to the tax receivable agreement entered into with certain Pre-IPO OpCo Unitholders.</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HoldCo Units</w:t>
      </w:r>
      <w:r>
        <w:rPr>
          <w:color w:val="000000"/>
        </w:rPr>
        <w:t xml:space="preserve">” </w:t>
      </w:r>
      <w:r>
        <w:rPr>
          <w:rFonts w:ascii="Times New Roman;sans-serif" w:hAnsi="Times New Roman;sans-serif"/>
          <w:b w:val="false"/>
          <w:color w:val="000000"/>
          <w:sz w:val="20"/>
        </w:rPr>
        <w:t>refers to the class of units of ZoomInfo HoldCo.</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HSKB</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HSKB I</w:t>
      </w:r>
      <w:r>
        <w:rPr>
          <w:color w:val="000000"/>
        </w:rPr>
        <w:t xml:space="preserve">” </w:t>
      </w:r>
      <w:r>
        <w:rPr>
          <w:rFonts w:ascii="Times New Roman;sans-serif" w:hAnsi="Times New Roman;sans-serif"/>
          <w:b w:val="false"/>
          <w:color w:val="000000"/>
          <w:sz w:val="20"/>
        </w:rPr>
        <w:t>refers to HSKB Funds, LLC, a privately held limited liability company formed on February 9, 2016 for the purpose of issuing equity to certain persons who had performed and would continue to perform services for ZoomInfo OpCo.</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HSKB II</w:t>
      </w:r>
      <w:r>
        <w:rPr>
          <w:color w:val="000000"/>
        </w:rPr>
        <w:t xml:space="preserve">” </w:t>
      </w:r>
      <w:r>
        <w:rPr>
          <w:rFonts w:ascii="Times New Roman;sans-serif" w:hAnsi="Times New Roman;sans-serif"/>
          <w:b w:val="false"/>
          <w:color w:val="000000"/>
          <w:sz w:val="20"/>
        </w:rPr>
        <w:t>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IPO</w:t>
      </w:r>
      <w:r>
        <w:rPr>
          <w:color w:val="000000"/>
        </w:rPr>
        <w:t xml:space="preserve">” </w:t>
      </w:r>
      <w:r>
        <w:rPr>
          <w:rFonts w:ascii="Times New Roman;sans-serif" w:hAnsi="Times New Roman;sans-serif"/>
          <w:b w:val="false"/>
          <w:color w:val="000000"/>
          <w:sz w:val="20"/>
        </w:rPr>
        <w:t>refers to the initial public offering of Class A common stock of ZoomInfo Technologies Inc.</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LTIP Units</w:t>
      </w:r>
      <w:r>
        <w:rPr>
          <w:color w:val="000000"/>
        </w:rPr>
        <w:t xml:space="preserve">” </w:t>
      </w:r>
      <w:r>
        <w:rPr>
          <w:rFonts w:ascii="Times New Roman;sans-serif" w:hAnsi="Times New Roman;sans-serif"/>
          <w:b w:val="false"/>
          <w:color w:val="000000"/>
          <w:sz w:val="20"/>
        </w:rPr>
        <w:t>refers to a class of partnership units that are intended to qualify as “profit interests” in ZoomInfo OpCo for federal income tax purposes that, subject to certain conditions, including vesting, are convertible by the holder into OpCo Units.</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OpCo Units</w:t>
      </w:r>
      <w:r>
        <w:rPr>
          <w:color w:val="000000"/>
        </w:rPr>
        <w:t xml:space="preserve">” </w:t>
      </w:r>
      <w:r>
        <w:rPr>
          <w:rFonts w:ascii="Times New Roman;sans-serif" w:hAnsi="Times New Roman;sans-serif"/>
          <w:b w:val="false"/>
          <w:color w:val="000000"/>
          <w:sz w:val="20"/>
        </w:rPr>
        <w:t>refers to the class of units of ZoomInfo OpCo and does not include Class P Units.</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Pre-IPO Blocker Holders</w:t>
      </w:r>
      <w:r>
        <w:rPr>
          <w:color w:val="000000"/>
        </w:rPr>
        <w:t xml:space="preserve">” </w:t>
      </w:r>
      <w:r>
        <w:rPr>
          <w:rFonts w:ascii="Times New Roman;sans-serif" w:hAnsi="Times New Roman;sans-serif"/>
          <w:b w:val="false"/>
          <w:color w:val="000000"/>
          <w:sz w:val="20"/>
        </w:rPr>
        <w:t>refers to the Pre-IPO Owners that held their interests in us through the Blocker Companies immediately prior to the IPO.</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Pre-IPO HoldCo Unitholders</w:t>
      </w:r>
      <w:r>
        <w:rPr>
          <w:color w:val="000000"/>
        </w:rPr>
        <w:t xml:space="preserve">” </w:t>
      </w:r>
      <w:r>
        <w:rPr>
          <w:rFonts w:ascii="Times New Roman;sans-serif" w:hAnsi="Times New Roman;sans-serif"/>
          <w:b w:val="false"/>
          <w:color w:val="000000"/>
          <w:sz w:val="20"/>
        </w:rPr>
        <w:t>refers to the Pre-IPO Owners that held HoldCo Units immediately prior to the IPO.</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Pre-IPO OpCo Unitholders</w:t>
      </w:r>
      <w:r>
        <w:rPr>
          <w:color w:val="000000"/>
        </w:rPr>
        <w:t xml:space="preserve">” </w:t>
      </w:r>
      <w:r>
        <w:rPr>
          <w:rFonts w:ascii="Times New Roman;sans-serif" w:hAnsi="Times New Roman;sans-serif"/>
          <w:b w:val="false"/>
          <w:color w:val="000000"/>
          <w:sz w:val="20"/>
        </w:rPr>
        <w:t>refers to the Pre-IPO Owners that held OpCo Units immediately prior to the IPO.</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Pre-IPO Owners</w:t>
      </w:r>
      <w:r>
        <w:rPr>
          <w:color w:val="000000"/>
        </w:rPr>
        <w:t xml:space="preserve">” </w:t>
      </w:r>
      <w:r>
        <w:rPr>
          <w:rFonts w:ascii="Times New Roman;sans-serif" w:hAnsi="Times New Roman;sans-serif"/>
          <w:b w:val="false"/>
          <w:color w:val="000000"/>
          <w:sz w:val="20"/>
        </w:rPr>
        <w:t>refers collectively to private equity investors, founders, management, and employees who were the owners of ZoomInfo OpCo immediately prior to the Reorganization Transactions.</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Reorganization Tax Receivable Agreement</w:t>
      </w:r>
      <w:r>
        <w:rPr>
          <w:color w:val="000000"/>
        </w:rPr>
        <w:t xml:space="preserve">” </w:t>
      </w:r>
      <w:r>
        <w:rPr>
          <w:rFonts w:ascii="Times New Roman;sans-serif" w:hAnsi="Times New Roman;sans-serif"/>
          <w:b w:val="false"/>
          <w:color w:val="000000"/>
          <w:sz w:val="20"/>
        </w:rPr>
        <w:t>refers to the tax receivable agreement entered into with the Pre-IPO Blocker Holders.</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Reorganization Transactions</w:t>
      </w:r>
      <w:r>
        <w:rPr>
          <w:color w:val="000000"/>
        </w:rPr>
        <w:t xml:space="preserve">” </w:t>
      </w:r>
      <w:r>
        <w:rPr>
          <w:rFonts w:ascii="Times New Roman;sans-serif" w:hAnsi="Times New Roman;sans-serif"/>
          <w:b w:val="false"/>
          <w:color w:val="000000"/>
          <w:sz w:val="20"/>
        </w:rPr>
        <w:t>refers to the transactions described under “Reorganization Transactions” in Note 1 to our 2022 Form 10-K.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Restricted Stock</w:t>
      </w:r>
      <w:r>
        <w:rPr>
          <w:color w:val="000000"/>
        </w:rPr>
        <w:t xml:space="preserve">” </w:t>
      </w:r>
      <w:r>
        <w:rPr>
          <w:rFonts w:ascii="Times New Roman;sans-serif" w:hAnsi="Times New Roman;sans-serif"/>
          <w:b w:val="false"/>
          <w:color w:val="000000"/>
          <w:sz w:val="20"/>
        </w:rPr>
        <w:t>refers to our common stock, subject to certain specified restrictions (which may include, without limitation, a requirement that the recipient remain continuously employed or provide continuous services for a specified period of time), granted under Section 8 of the 2020 Omnibus Incentive Plan.</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Restricted Stock Unit</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RSU</w:t>
      </w:r>
      <w:r>
        <w:rPr>
          <w:color w:val="000000"/>
        </w:rPr>
        <w:t xml:space="preserve">” </w:t>
      </w:r>
      <w:r>
        <w:rPr>
          <w:rFonts w:ascii="Times New Roman;sans-serif" w:hAnsi="Times New Roman;sans-serif"/>
          <w:b w:val="false"/>
          <w:color w:val="000000"/>
          <w:sz w:val="20"/>
        </w:rPr>
        <w:t>refers to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2020 Omnibus Incentive Plan.</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SEC</w:t>
      </w:r>
      <w:r>
        <w:rPr>
          <w:color w:val="000000"/>
        </w:rPr>
        <w:t xml:space="preserve">” </w:t>
      </w:r>
      <w:r>
        <w:rPr>
          <w:rFonts w:ascii="Times New Roman;sans-serif" w:hAnsi="Times New Roman;sans-serif"/>
          <w:b w:val="false"/>
          <w:color w:val="000000"/>
          <w:sz w:val="20"/>
        </w:rPr>
        <w:t>refers to the Securities and Exchange Commission.</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Securities Act</w:t>
      </w:r>
      <w:r>
        <w:rPr>
          <w:color w:val="000000"/>
        </w:rPr>
        <w:t xml:space="preserve">” </w:t>
      </w:r>
      <w:r>
        <w:rPr>
          <w:rFonts w:ascii="Times New Roman;sans-serif" w:hAnsi="Times New Roman;sans-serif"/>
          <w:b w:val="false"/>
          <w:color w:val="000000"/>
          <w:sz w:val="20"/>
        </w:rPr>
        <w:t>refers to the Securities Act of 1933, as amended.</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Tax Receivable Agreements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TRA</w:t>
      </w:r>
      <w:r>
        <w:rPr>
          <w:color w:val="000000"/>
        </w:rPr>
        <w:t xml:space="preserve">” </w:t>
      </w:r>
      <w:r>
        <w:rPr>
          <w:rFonts w:ascii="Times New Roman;sans-serif" w:hAnsi="Times New Roman;sans-serif"/>
          <w:b w:val="false"/>
          <w:color w:val="000000"/>
          <w:sz w:val="20"/>
        </w:rPr>
        <w:t>refers collectively to the Exchange Tax Receivable Agreement and the Reorganization Tax Receivable Agreement.</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ZoomInfo HoldCo</w:t>
      </w:r>
      <w:r>
        <w:rPr>
          <w:color w:val="000000"/>
        </w:rPr>
        <w:t xml:space="preserve">” </w:t>
      </w:r>
      <w:r>
        <w:rPr>
          <w:rFonts w:ascii="Times New Roman;sans-serif" w:hAnsi="Times New Roman;sans-serif"/>
          <w:b w:val="false"/>
          <w:color w:val="000000"/>
          <w:sz w:val="20"/>
        </w:rPr>
        <w:t>refers to ZoomInfo Intermediate Holdings LLC, a Delaware limited liability company, and a direct subsidiary of ZoomInfo Technologies Inc.</w:t>
      </w:r>
    </w:p>
    <w:p>
      <w:pPr>
        <w:pStyle w:val="TextBody"/>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ZoomInfo OpCo</w:t>
      </w:r>
      <w:r>
        <w:rPr>
          <w:color w:val="000000"/>
        </w:rPr>
        <w:t xml:space="preserve">” </w:t>
      </w:r>
      <w:r>
        <w:rPr>
          <w:rFonts w:ascii="Times New Roman;sans-serif" w:hAnsi="Times New Roman;sans-serif"/>
          <w:b w:val="false"/>
          <w:color w:val="000000"/>
          <w:sz w:val="20"/>
        </w:rPr>
        <w:t>refers to ZoomInfo Holdings LLC (formerly known as DiscoverOrg Holdings, LLC), a Delaware limited liability company, and a direct subsidiary of ZoomInfo HoldCo and indirect subsidiary of ZoomInfo Technologies Inc.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factors that could cause actual results to differ from those expressed or implied by our forward-looking statements, including forward-looking statements contained in this Quarterly Report on Form 10-Q:</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larger well-funded companies may shift their existing business models to become more competitive with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experience competition from other companies and technologies that allow companies to gather and aggregate sales, marketing, recruiting, and other data, and competing products and services could surpass ours in depth, breadth, or accuracy of our data or in other respects;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current and potential customers may reduce spending on sales, marketing, recruiting and other technology and information as a result of weaker economic conditions, which could harm our revenue, results of operations, and cash flows;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platform integrates or otherwise work with third-party systems that we do not control;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attract new customers and expand existing subscriptions, which could harm our revenue growth and profitability;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search engine algorithms and dynamics could negatively affect traffic to our website;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successfully integrate acquired businesses, services, databases, and technologies into our operations, which could have an adverse effect on our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not able to obtain and maintain accurate, comprehensive, or reliable data, we could experience reduced demand for our products and services and have an adverse effect on our business, results of operations, and financial condition;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fail to protect and maintain our intellectual property;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third-parties could use our products and services in a manner that is unlawful or contrary to our values;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indebtedness could adversely affect our financial position and our ability to raise additional capital and prevent us from fulfilling our obligations;</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interest rate fluctuations may affect our results of operations and financial condition;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global economic uncertainty and catastrophic events, including global pandemics such as the COVID-19 pandemic, have and may disrupt our business and adversely impact our business and future results of operations and financial condition;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parties to our stockholders agreement have special rights and interests that may conflict with ours or yours in the future; and</w:t>
      </w:r>
    </w:p>
    <w:p>
      <w:pPr>
        <w:pStyle w:val="TextBody"/>
        <w:spacing w:lineRule="auto" w:line="300" w:before="0" w:after="160"/>
        <w:ind w:left="0" w:right="0" w:hanging="360"/>
        <w:jc w:val="both"/>
        <w:rPr/>
      </w:pPr>
      <w:r>
        <w:rPr>
          <w:color w:val="000000"/>
        </w:rPr>
        <w:t>•</w:t>
      </w:r>
      <w:r>
        <w:rPr>
          <w:rFonts w:ascii="Times New Roman;sans-serif" w:hAnsi="Times New Roman;sans-serif"/>
          <w:b w:val="false"/>
          <w:color w:val="000000"/>
          <w:sz w:val="20"/>
        </w:rPr>
        <w:t>other factors described under “Risk Factors” in Part I, Item 1A of our 2022 Form 10-K, and in other reports we file from time to time with the SEC.</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Website Disclosure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center"/>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8412" w:type="dxa"/>
        <w:jc w:val="left"/>
        <w:tblInd w:w="0" w:type="dxa"/>
        <w:tblCellMar>
          <w:top w:w="28" w:type="dxa"/>
          <w:left w:w="28" w:type="dxa"/>
          <w:bottom w:w="28" w:type="dxa"/>
          <w:right w:w="28" w:type="dxa"/>
        </w:tblCellMar>
      </w:tblPr>
      <w:tblGrid>
        <w:gridCol w:w="2911"/>
        <w:gridCol w:w="2557"/>
        <w:gridCol w:w="2572"/>
        <w:gridCol w:w="109"/>
        <w:gridCol w:w="109"/>
        <w:gridCol w:w="154"/>
      </w:tblGrid>
      <w:tr>
        <w:trPr/>
        <w:tc>
          <w:tcPr>
            <w:tcW w:w="2911" w:type="dxa"/>
            <w:tcBorders/>
            <w:shd w:fill="auto" w:val="clear"/>
            <w:vAlign w:val="center"/>
          </w:tcPr>
          <w:p>
            <w:pPr>
              <w:pStyle w:val="TableContents"/>
              <w:spacing w:before="0" w:after="283"/>
              <w:rPr>
                <w:sz w:val="4"/>
                <w:szCs w:val="4"/>
              </w:rPr>
            </w:pPr>
            <w:r>
              <w:rPr>
                <w:sz w:val="4"/>
                <w:szCs w:val="4"/>
              </w:rPr>
            </w:r>
          </w:p>
        </w:tc>
        <w:tc>
          <w:tcPr>
            <w:tcW w:w="2557" w:type="dxa"/>
            <w:tcBorders/>
            <w:shd w:fill="auto" w:val="clear"/>
            <w:vAlign w:val="center"/>
          </w:tcPr>
          <w:p>
            <w:pPr>
              <w:pStyle w:val="TableContents"/>
              <w:spacing w:before="0" w:after="283"/>
              <w:rPr>
                <w:sz w:val="4"/>
                <w:szCs w:val="4"/>
              </w:rPr>
            </w:pPr>
            <w:r>
              <w:rPr>
                <w:sz w:val="4"/>
                <w:szCs w:val="4"/>
              </w:rPr>
            </w:r>
          </w:p>
        </w:tc>
        <w:tc>
          <w:tcPr>
            <w:tcW w:w="25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Unaudited Consolidated Financial Statements of ZoomInfo Technologies Inc. and Subsidiaries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28">
              <w:r>
                <w:rPr>
                  <w:rStyle w:val="InternetLink"/>
                  <w:rFonts w:ascii="Times New Roman;sans-serif" w:hAnsi="Times New Roman;sans-serif"/>
                  <w:b w:val="false"/>
                  <w:color w:val="0000FF"/>
                  <w:sz w:val="20"/>
                  <w:u w:val="single"/>
                </w:rPr>
                <w:t>Consolidated Balance Sheets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28">
              <w:r>
                <w:rPr>
                  <w:rStyle w:val="InternetLink"/>
                  <w:rFonts w:ascii="Times New Roman;sans-serif" w:hAnsi="Times New Roman;sans-serif"/>
                  <w:b w:val="false"/>
                  <w:color w:val="0000FF"/>
                  <w:sz w:val="20"/>
                  <w:u w:val="single"/>
                </w:rPr>
                <w:t>2</w:t>
              </w:r>
            </w:hyperlink>
          </w:p>
        </w:tc>
      </w:tr>
      <w:tr>
        <w:trPr/>
        <w:tc>
          <w:tcPr>
            <w:tcW w:w="80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31">
              <w:r>
                <w:rPr>
                  <w:rStyle w:val="InternetLink"/>
                  <w:rFonts w:ascii="Times New Roman;sans-serif" w:hAnsi="Times New Roman;sans-serif"/>
                  <w:b w:val="false"/>
                  <w:color w:val="0000FF"/>
                  <w:sz w:val="20"/>
                  <w:u w:val="single"/>
                </w:rPr>
                <w:t>Consolidated Statements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31">
              <w:r>
                <w:rPr>
                  <w:rStyle w:val="InternetLink"/>
                  <w:rFonts w:ascii="Times New Roman;sans-serif" w:hAnsi="Times New Roman;sans-serif"/>
                  <w:b w:val="false"/>
                  <w:color w:val="0000FF"/>
                  <w:sz w:val="20"/>
                  <w:u w:val="single"/>
                </w:rPr>
                <w:t>3</w:t>
              </w:r>
            </w:hyperlink>
          </w:p>
        </w:tc>
      </w:tr>
      <w:tr>
        <w:trPr/>
        <w:tc>
          <w:tcPr>
            <w:tcW w:w="80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34">
              <w:r>
                <w:rPr>
                  <w:rStyle w:val="InternetLink"/>
                  <w:rFonts w:ascii="Times New Roman;sans-serif" w:hAnsi="Times New Roman;sans-serif"/>
                  <w:b w:val="false"/>
                  <w:color w:val="0000FF"/>
                  <w:sz w:val="20"/>
                  <w:u w:val="single"/>
                </w:rPr>
                <w:t>Consolidated Statements of Comprehensive Income (Loss)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34">
              <w:r>
                <w:rPr>
                  <w:rStyle w:val="InternetLink"/>
                  <w:rFonts w:ascii="Times New Roman;sans-serif" w:hAnsi="Times New Roman;sans-serif"/>
                  <w:b w:val="false"/>
                  <w:color w:val="0000FF"/>
                  <w:sz w:val="20"/>
                  <w:u w:val="single"/>
                </w:rPr>
                <w:t>4</w:t>
              </w:r>
            </w:hyperlink>
          </w:p>
        </w:tc>
      </w:tr>
      <w:tr>
        <w:trPr/>
        <w:tc>
          <w:tcPr>
            <w:tcW w:w="80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37">
              <w:r>
                <w:rPr>
                  <w:rStyle w:val="InternetLink"/>
                  <w:rFonts w:ascii="Times New Roman;sans-serif" w:hAnsi="Times New Roman;sans-serif"/>
                  <w:b w:val="false"/>
                  <w:color w:val="0000FF"/>
                  <w:sz w:val="20"/>
                  <w:u w:val="single"/>
                </w:rPr>
                <w:t>Consolidated Statements of Changes in Equity (Deficit)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37">
              <w:r>
                <w:rPr>
                  <w:rStyle w:val="InternetLink"/>
                  <w:rFonts w:ascii="Times New Roman;sans-serif" w:hAnsi="Times New Roman;sans-serif"/>
                  <w:b w:val="false"/>
                  <w:color w:val="0000FF"/>
                  <w:sz w:val="20"/>
                  <w:u w:val="single"/>
                </w:rPr>
                <w:t>5</w:t>
              </w:r>
            </w:hyperlink>
          </w:p>
        </w:tc>
      </w:tr>
      <w:tr>
        <w:trPr/>
        <w:tc>
          <w:tcPr>
            <w:tcW w:w="80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40">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40">
              <w:r>
                <w:rPr>
                  <w:rStyle w:val="InternetLink"/>
                  <w:rFonts w:ascii="Times New Roman;sans-serif" w:hAnsi="Times New Roman;sans-serif"/>
                  <w:b w:val="false"/>
                  <w:color w:val="0000FF"/>
                  <w:sz w:val="20"/>
                  <w:u w:val="single"/>
                </w:rPr>
                <w:t>7</w:t>
              </w:r>
            </w:hyperlink>
          </w:p>
        </w:tc>
      </w:tr>
      <w:tr>
        <w:trPr/>
        <w:tc>
          <w:tcPr>
            <w:tcW w:w="80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43">
              <w:r>
                <w:rPr>
                  <w:rStyle w:val="InternetLink"/>
                  <w:rFonts w:ascii="Times New Roman;sans-serif" w:hAnsi="Times New Roman;sans-serif"/>
                  <w:b w:val="false"/>
                  <w:color w:val="0000FF"/>
                  <w:sz w:val="20"/>
                  <w:u w:val="single"/>
                </w:rPr>
                <w:t xml:space="preserve">Notes to the Consolidated Financial Statements </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43">
              <w:r>
                <w:rPr>
                  <w:rStyle w:val="InternetLink"/>
                  <w:rFonts w:ascii="Times New Roman;sans-serif" w:hAnsi="Times New Roman;sans-serif"/>
                  <w:b w:val="false"/>
                  <w:color w:val="0000FF"/>
                  <w:sz w:val="20"/>
                  <w:u w:val="single"/>
                </w:rPr>
                <w:t>9</w:t>
              </w:r>
            </w:hyperlink>
          </w:p>
        </w:tc>
      </w:tr>
      <w:tr>
        <w:trPr/>
        <w:tc>
          <w:tcPr>
            <w:tcW w:w="8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2899"/>
        <w:gridCol w:w="2397"/>
        <w:gridCol w:w="2360"/>
        <w:gridCol w:w="211"/>
        <w:gridCol w:w="766"/>
        <w:gridCol w:w="109"/>
        <w:gridCol w:w="109"/>
        <w:gridCol w:w="109"/>
        <w:gridCol w:w="109"/>
        <w:gridCol w:w="211"/>
        <w:gridCol w:w="768"/>
        <w:gridCol w:w="157"/>
      </w:tblGrid>
      <w:tr>
        <w:trPr/>
        <w:tc>
          <w:tcPr>
            <w:tcW w:w="2899"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data)</w:t>
            </w:r>
          </w:p>
        </w:tc>
      </w:tr>
      <w:tr>
        <w:trPr/>
        <w:tc>
          <w:tcPr>
            <w:tcW w:w="7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(audited)</w:t>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and other assets, net of current portion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7,136.4 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Permanent Equity</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current portion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tax receivable agreements liability</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net of current portion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agreements liability, net of current portion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4,864.6 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Equity:</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3,300,000,000 shares authorized, 403,514,079 and 404,083,262 issued and outstanding as of March 31, 2023 and December 31, 2022, respectively</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$0.01; 200,000,000 shares authorized, 0 and 0 issued and outstanding as of March 31, 2023 and December 31, 2022, respectively</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2,271.8 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permanent equity</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7,136.4 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11505"/>
                <wp:effectExtent l="0" t="0" r="0" b="0"/>
                <wp:wrapNone/>
                <wp:docPr id="8" name="Frame8"/>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p>
      <w:pPr>
        <w:pStyle w:val="TextBody"/>
        <w:spacing w:before="0" w:after="0"/>
        <w:jc w:val="both"/>
        <w:rPr/>
      </w:pPr>
      <w:r>
        <w:rPr/>
      </w:r>
    </w:p>
    <w:tbl>
      <w:tblPr>
        <w:tblW w:w="7519" w:type="dxa"/>
        <w:jc w:val="center"/>
        <w:tblInd w:w="0" w:type="dxa"/>
        <w:tblCellMar>
          <w:top w:w="28" w:type="dxa"/>
          <w:left w:w="28" w:type="dxa"/>
          <w:bottom w:w="28" w:type="dxa"/>
          <w:right w:w="28" w:type="dxa"/>
        </w:tblCellMar>
      </w:tblPr>
      <w:tblGrid>
        <w:gridCol w:w="1416"/>
        <w:gridCol w:w="1248"/>
        <w:gridCol w:w="1250"/>
        <w:gridCol w:w="300"/>
        <w:gridCol w:w="877"/>
        <w:gridCol w:w="154"/>
        <w:gridCol w:w="154"/>
        <w:gridCol w:w="154"/>
        <w:gridCol w:w="154"/>
        <w:gridCol w:w="300"/>
        <w:gridCol w:w="877"/>
        <w:gridCol w:w="154"/>
        <w:gridCol w:w="109"/>
        <w:gridCol w:w="109"/>
        <w:gridCol w:w="109"/>
        <w:gridCol w:w="154"/>
      </w:tblGrid>
      <w:tr>
        <w:trPr/>
        <w:tc>
          <w:tcPr>
            <w:tcW w:w="1416"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8"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tc>
        <w:tc>
          <w:tcPr>
            <w:tcW w:w="481" w:type="dxa"/>
            <w:gridSpan w:val="4"/>
            <w:tcBorders/>
            <w:shd w:fill="auto" w:val="clear"/>
          </w:tcPr>
          <w:p>
            <w:pPr>
              <w:pStyle w:val="TableContents"/>
              <w:spacing w:before="0" w:after="283"/>
              <w:rPr>
                <w:sz w:val="4"/>
                <w:szCs w:val="4"/>
              </w:rPr>
            </w:pPr>
            <w:r>
              <w:rPr>
                <w:sz w:val="4"/>
                <w:szCs w:val="4"/>
              </w:rPr>
            </w:r>
          </w:p>
        </w:tc>
      </w:tr>
      <w:tr>
        <w:trPr/>
        <w:tc>
          <w:tcPr>
            <w:tcW w:w="7038" w:type="dxa"/>
            <w:gridSpan w:val="12"/>
            <w:tcBorders/>
            <w:shd w:fill="auto" w:val="clear"/>
            <w:tcMar>
              <w:top w:w="0" w:type="dxa"/>
              <w:left w:w="0" w:type="dxa"/>
              <w:bottom w:w="0" w:type="dxa"/>
              <w:right w:w="0" w:type="dxa"/>
            </w:tcMar>
            <w:vAlign w:val="center"/>
          </w:tcPr>
          <w:p>
            <w:pPr>
              <w:pStyle w:val="TableContents"/>
              <w:spacing w:lineRule="auto" w:line="240"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7038" w:type="dxa"/>
            <w:gridSpan w:val="12"/>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 unaudited)</w:t>
            </w:r>
          </w:p>
        </w:tc>
        <w:tc>
          <w:tcPr>
            <w:tcW w:w="481" w:type="dxa"/>
            <w:gridSpan w:val="4"/>
            <w:tcBorders/>
            <w:shd w:fill="auto" w:val="clea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1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Cost of service</w:t>
            </w:r>
            <w:r>
              <w:rPr>
                <w:rFonts w:ascii="Times New Roman;sans-serif" w:hAnsi="Times New Roman;sans-serif"/>
                <w:b w:val="false"/>
                <w:color w:val="000000"/>
                <w:sz w:val="13"/>
              </w:rPr>
              <w:t>(1)</w:t>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transaction-related expenses</w:t>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7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7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 and extinguishment</w:t>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7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common stock:</w:t>
            </w:r>
          </w:p>
        </w:tc>
        <w:tc>
          <w:tcPr>
            <w:tcW w:w="133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(1)Amounts include equity-based compensation expense, as follows:</w:t>
      </w:r>
    </w:p>
    <w:tbl>
      <w:tblPr>
        <w:tblW w:w="5894" w:type="dxa"/>
        <w:jc w:val="left"/>
        <w:tblInd w:w="0" w:type="dxa"/>
        <w:tblCellMar>
          <w:top w:w="28" w:type="dxa"/>
          <w:left w:w="28" w:type="dxa"/>
          <w:bottom w:w="28" w:type="dxa"/>
          <w:right w:w="28" w:type="dxa"/>
        </w:tblCellMar>
      </w:tblPr>
      <w:tblGrid>
        <w:gridCol w:w="1089"/>
        <w:gridCol w:w="957"/>
        <w:gridCol w:w="969"/>
        <w:gridCol w:w="251"/>
        <w:gridCol w:w="598"/>
        <w:gridCol w:w="140"/>
        <w:gridCol w:w="140"/>
        <w:gridCol w:w="140"/>
        <w:gridCol w:w="140"/>
        <w:gridCol w:w="251"/>
        <w:gridCol w:w="598"/>
        <w:gridCol w:w="140"/>
        <w:gridCol w:w="109"/>
        <w:gridCol w:w="109"/>
        <w:gridCol w:w="109"/>
        <w:gridCol w:w="154"/>
      </w:tblGrid>
      <w:tr>
        <w:trPr/>
        <w:tc>
          <w:tcPr>
            <w:tcW w:w="1089"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8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equity-based compensation expense</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11505"/>
                <wp:effectExtent l="0" t="0" r="0" b="0"/>
                <wp:wrapNone/>
                <wp:docPr id="9" name="Frame9"/>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122"/>
        <w:gridCol w:w="1859"/>
        <w:gridCol w:w="1782"/>
        <w:gridCol w:w="419"/>
        <w:gridCol w:w="1018"/>
        <w:gridCol w:w="216"/>
        <w:gridCol w:w="216"/>
        <w:gridCol w:w="216"/>
        <w:gridCol w:w="216"/>
        <w:gridCol w:w="419"/>
        <w:gridCol w:w="1018"/>
        <w:gridCol w:w="216"/>
        <w:gridCol w:w="109"/>
        <w:gridCol w:w="109"/>
        <w:gridCol w:w="109"/>
        <w:gridCol w:w="161"/>
      </w:tblGrid>
      <w:tr>
        <w:trPr/>
        <w:tc>
          <w:tcPr>
            <w:tcW w:w="2122"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717"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tc>
        <w:tc>
          <w:tcPr>
            <w:tcW w:w="488" w:type="dxa"/>
            <w:gridSpan w:val="4"/>
            <w:tcBorders/>
            <w:shd w:fill="auto" w:val="clear"/>
          </w:tcPr>
          <w:p>
            <w:pPr>
              <w:pStyle w:val="TableContents"/>
              <w:spacing w:before="0" w:after="283"/>
              <w:rPr>
                <w:sz w:val="4"/>
                <w:szCs w:val="4"/>
              </w:rPr>
            </w:pPr>
            <w:r>
              <w:rPr>
                <w:sz w:val="4"/>
                <w:szCs w:val="4"/>
              </w:rPr>
            </w:r>
          </w:p>
        </w:tc>
      </w:tr>
      <w:tr>
        <w:trPr/>
        <w:tc>
          <w:tcPr>
            <w:tcW w:w="971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tc>
        <w:tc>
          <w:tcPr>
            <w:tcW w:w="488" w:type="dxa"/>
            <w:gridSpan w:val="4"/>
            <w:tcBorders/>
            <w:shd w:fill="auto" w:val="clear"/>
          </w:tcPr>
          <w:p>
            <w:pPr>
              <w:pStyle w:val="TableContents"/>
              <w:spacing w:before="0" w:after="283"/>
              <w:rPr>
                <w:sz w:val="4"/>
                <w:szCs w:val="4"/>
              </w:rPr>
            </w:pPr>
            <w:r>
              <w:rPr>
                <w:sz w:val="4"/>
                <w:szCs w:val="4"/>
              </w:rPr>
            </w:r>
          </w:p>
        </w:tc>
      </w:tr>
      <w:tr>
        <w:trPr/>
        <w:tc>
          <w:tcPr>
            <w:tcW w:w="9717"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unaudited)</w:t>
            </w:r>
          </w:p>
        </w:tc>
        <w:tc>
          <w:tcPr>
            <w:tcW w:w="488" w:type="dxa"/>
            <w:gridSpan w:val="4"/>
            <w:tcBorders/>
            <w:shd w:fill="auto" w:val="clear"/>
          </w:tcPr>
          <w:p>
            <w:pPr>
              <w:pStyle w:val="TableContents"/>
              <w:spacing w:before="0" w:after="283"/>
              <w:rPr>
                <w:sz w:val="4"/>
                <w:szCs w:val="4"/>
              </w:rPr>
            </w:pPr>
            <w:r>
              <w:rPr>
                <w:sz w:val="4"/>
                <w:szCs w:val="4"/>
              </w:rPr>
            </w:r>
          </w:p>
        </w:tc>
      </w:tr>
      <w:tr>
        <w:trPr/>
        <w:tc>
          <w:tcPr>
            <w:tcW w:w="5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5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 net of tax</w:t>
            </w:r>
          </w:p>
        </w:tc>
        <w:tc>
          <w:tcPr>
            <w:tcW w:w="16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cash flow hedges</w:t>
            </w:r>
          </w:p>
        </w:tc>
        <w:tc>
          <w:tcPr>
            <w:tcW w:w="14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settlement of cash flow hedges</w:t>
            </w:r>
          </w:p>
        </w:tc>
        <w:tc>
          <w:tcPr>
            <w:tcW w:w="14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losses related to the dedesignated Interest Rate Swap</w:t>
            </w:r>
          </w:p>
        </w:tc>
        <w:tc>
          <w:tcPr>
            <w:tcW w:w="14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14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4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4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4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auto" w:val="clear"/>
            <w:vAlign w:val="center"/>
          </w:tcPr>
          <w:p>
            <w:pPr>
              <w:pStyle w:val="TableContents"/>
              <w:spacing w:before="0" w:after="283"/>
              <w:rPr>
                <w:sz w:val="4"/>
                <w:szCs w:val="4"/>
              </w:rPr>
            </w:pPr>
            <w:r>
              <w:rPr>
                <w:sz w:val="4"/>
                <w:szCs w:val="4"/>
              </w:rPr>
            </w:r>
          </w:p>
        </w:tc>
        <w:tc>
          <w:tcPr>
            <w:tcW w:w="1653" w:type="dxa"/>
            <w:gridSpan w:val="3"/>
            <w:tcBorders/>
            <w:shd w:fill="auto" w:val="clear"/>
            <w:vAlign w:val="center"/>
          </w:tcPr>
          <w:p>
            <w:pPr>
              <w:pStyle w:val="TableContents"/>
              <w:spacing w:before="0" w:after="283"/>
              <w:rPr>
                <w:sz w:val="4"/>
                <w:szCs w:val="4"/>
              </w:rPr>
            </w:pPr>
            <w:r>
              <w:rPr>
                <w:sz w:val="4"/>
                <w:szCs w:val="4"/>
              </w:rPr>
            </w:r>
          </w:p>
        </w:tc>
        <w:tc>
          <w:tcPr>
            <w:tcW w:w="648" w:type="dxa"/>
            <w:gridSpan w:val="3"/>
            <w:tcBorders/>
            <w:shd w:fill="auto" w:val="clear"/>
            <w:vAlign w:val="center"/>
          </w:tcPr>
          <w:p>
            <w:pPr>
              <w:pStyle w:val="TableContents"/>
              <w:spacing w:before="0" w:after="283"/>
              <w:rPr>
                <w:sz w:val="4"/>
                <w:szCs w:val="4"/>
              </w:rPr>
            </w:pPr>
            <w:r>
              <w:rPr>
                <w:sz w:val="4"/>
                <w:szCs w:val="4"/>
              </w:rPr>
            </w:r>
          </w:p>
        </w:tc>
        <w:tc>
          <w:tcPr>
            <w:tcW w:w="16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auto" w:val="clear"/>
            <w:vAlign w:val="center"/>
          </w:tcPr>
          <w:p>
            <w:pPr>
              <w:pStyle w:val="TableContents"/>
              <w:spacing w:before="0" w:after="283"/>
              <w:rPr>
                <w:sz w:val="4"/>
                <w:szCs w:val="4"/>
              </w:rPr>
            </w:pPr>
            <w:r>
              <w:rPr>
                <w:sz w:val="4"/>
                <w:szCs w:val="4"/>
              </w:rPr>
            </w:r>
          </w:p>
        </w:tc>
        <w:tc>
          <w:tcPr>
            <w:tcW w:w="1653" w:type="dxa"/>
            <w:gridSpan w:val="3"/>
            <w:tcBorders/>
            <w:shd w:fill="auto" w:val="clear"/>
            <w:vAlign w:val="center"/>
          </w:tcPr>
          <w:p>
            <w:pPr>
              <w:pStyle w:val="TableContents"/>
              <w:spacing w:before="0" w:after="283"/>
              <w:rPr>
                <w:sz w:val="4"/>
                <w:szCs w:val="4"/>
              </w:rPr>
            </w:pPr>
            <w:r>
              <w:rPr>
                <w:sz w:val="4"/>
                <w:szCs w:val="4"/>
              </w:rPr>
            </w:r>
          </w:p>
        </w:tc>
        <w:tc>
          <w:tcPr>
            <w:tcW w:w="648" w:type="dxa"/>
            <w:gridSpan w:val="3"/>
            <w:tcBorders/>
            <w:shd w:fill="auto" w:val="clear"/>
            <w:vAlign w:val="center"/>
          </w:tcPr>
          <w:p>
            <w:pPr>
              <w:pStyle w:val="TableContents"/>
              <w:spacing w:before="0" w:after="283"/>
              <w:rPr>
                <w:sz w:val="4"/>
                <w:szCs w:val="4"/>
              </w:rPr>
            </w:pPr>
            <w:r>
              <w:rPr>
                <w:sz w:val="4"/>
                <w:szCs w:val="4"/>
              </w:rPr>
            </w:r>
          </w:p>
        </w:tc>
        <w:tc>
          <w:tcPr>
            <w:tcW w:w="16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63" w:type="dxa"/>
            <w:gridSpan w:val="3"/>
            <w:tcBorders/>
            <w:shd w:fill="auto" w:val="clear"/>
            <w:vAlign w:val="center"/>
          </w:tcPr>
          <w:p>
            <w:pPr>
              <w:pStyle w:val="TableContents"/>
              <w:spacing w:before="0" w:after="283"/>
              <w:rPr>
                <w:sz w:val="4"/>
                <w:szCs w:val="4"/>
              </w:rPr>
            </w:pPr>
            <w:r>
              <w:rPr>
                <w:sz w:val="4"/>
                <w:szCs w:val="4"/>
              </w:rPr>
            </w:r>
          </w:p>
        </w:tc>
        <w:tc>
          <w:tcPr>
            <w:tcW w:w="1653" w:type="dxa"/>
            <w:gridSpan w:val="3"/>
            <w:tcBorders/>
            <w:shd w:fill="auto" w:val="clear"/>
            <w:vAlign w:val="center"/>
          </w:tcPr>
          <w:p>
            <w:pPr>
              <w:pStyle w:val="TableContents"/>
              <w:spacing w:before="0" w:after="283"/>
              <w:rPr>
                <w:sz w:val="4"/>
                <w:szCs w:val="4"/>
              </w:rPr>
            </w:pPr>
            <w:r>
              <w:rPr>
                <w:sz w:val="4"/>
                <w:szCs w:val="4"/>
              </w:rPr>
            </w:r>
          </w:p>
        </w:tc>
        <w:tc>
          <w:tcPr>
            <w:tcW w:w="648" w:type="dxa"/>
            <w:gridSpan w:val="3"/>
            <w:tcBorders/>
            <w:shd w:fill="auto" w:val="clear"/>
            <w:vAlign w:val="center"/>
          </w:tcPr>
          <w:p>
            <w:pPr>
              <w:pStyle w:val="TableContents"/>
              <w:spacing w:before="0" w:after="283"/>
              <w:rPr>
                <w:sz w:val="4"/>
                <w:szCs w:val="4"/>
              </w:rPr>
            </w:pPr>
            <w:r>
              <w:rPr>
                <w:sz w:val="4"/>
                <w:szCs w:val="4"/>
              </w:rPr>
            </w:r>
          </w:p>
        </w:tc>
        <w:tc>
          <w:tcPr>
            <w:tcW w:w="16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11505"/>
                <wp:effectExtent l="0" t="0" r="0" b="0"/>
                <wp:wrapNone/>
                <wp:docPr id="10" name="Frame10"/>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883"/>
        <w:gridCol w:w="487"/>
        <w:gridCol w:w="491"/>
        <w:gridCol w:w="109"/>
        <w:gridCol w:w="109"/>
        <w:gridCol w:w="109"/>
        <w:gridCol w:w="449"/>
        <w:gridCol w:w="451"/>
        <w:gridCol w:w="338"/>
        <w:gridCol w:w="128"/>
        <w:gridCol w:w="128"/>
        <w:gridCol w:w="128"/>
        <w:gridCol w:w="239"/>
        <w:gridCol w:w="444"/>
        <w:gridCol w:w="128"/>
        <w:gridCol w:w="109"/>
        <w:gridCol w:w="109"/>
        <w:gridCol w:w="109"/>
        <w:gridCol w:w="242"/>
        <w:gridCol w:w="854"/>
        <w:gridCol w:w="134"/>
        <w:gridCol w:w="109"/>
        <w:gridCol w:w="109"/>
        <w:gridCol w:w="109"/>
        <w:gridCol w:w="228"/>
        <w:gridCol w:w="647"/>
        <w:gridCol w:w="126"/>
        <w:gridCol w:w="109"/>
        <w:gridCol w:w="109"/>
        <w:gridCol w:w="109"/>
        <w:gridCol w:w="196"/>
        <w:gridCol w:w="466"/>
        <w:gridCol w:w="109"/>
        <w:gridCol w:w="109"/>
        <w:gridCol w:w="109"/>
        <w:gridCol w:w="109"/>
        <w:gridCol w:w="109"/>
        <w:gridCol w:w="109"/>
        <w:gridCol w:w="196"/>
        <w:gridCol w:w="694"/>
        <w:gridCol w:w="166"/>
      </w:tblGrid>
      <w:tr>
        <w:trPr/>
        <w:tc>
          <w:tcPr>
            <w:tcW w:w="88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9040" w:type="dxa"/>
            <w:gridSpan w:val="37"/>
            <w:tcBorders/>
            <w:shd w:fill="auto" w:val="clear"/>
            <w:tcMar>
              <w:top w:w="0" w:type="dxa"/>
              <w:left w:w="0" w:type="dxa"/>
              <w:bottom w:w="0" w:type="dxa"/>
              <w:right w:w="0" w:type="dxa"/>
            </w:tcMar>
            <w:vAlign w:val="center"/>
          </w:tcPr>
          <w:p>
            <w:pPr>
              <w:pStyle w:val="TableContents"/>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ZoomInfo Technologies Inc. </w:t>
            </w:r>
          </w:p>
          <w:p>
            <w:pPr>
              <w:pStyle w:val="TableContents"/>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Consolidated Statements of Changes in Equity (Deficit)</w:t>
            </w:r>
          </w:p>
          <w:p>
            <w:pPr>
              <w:pStyle w:val="TableContents"/>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share data)</w:t>
            </w:r>
          </w:p>
        </w:tc>
        <w:tc>
          <w:tcPr>
            <w:tcW w:w="1165" w:type="dxa"/>
            <w:gridSpan w:val="4"/>
            <w:tcBorders/>
            <w:shd w:fill="auto" w:val="clear"/>
          </w:tcPr>
          <w:p>
            <w:pPr>
              <w:pStyle w:val="TableContents"/>
              <w:spacing w:before="0" w:after="283"/>
              <w:rPr>
                <w:sz w:val="4"/>
                <w:szCs w:val="4"/>
              </w:rPr>
            </w:pPr>
            <w:r>
              <w:rPr>
                <w:sz w:val="4"/>
                <w:szCs w:val="4"/>
              </w:rPr>
            </w:r>
          </w:p>
        </w:tc>
      </w:tr>
      <w:tr>
        <w:trPr/>
        <w:tc>
          <w:tcPr>
            <w:tcW w:w="1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ZoomInfo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8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404,083,262</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2,052.1 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2,271.8 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648,570 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(163,965)</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r>
      <w:tr>
        <w:trPr/>
        <w:tc>
          <w:tcPr>
            <w:tcW w:w="18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11,236 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r>
      <w:tr>
        <w:trPr/>
        <w:tc>
          <w:tcPr>
            <w:tcW w:w="18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 cancellations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(6,733)</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8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(1,058,291)</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w:t>
            </w:r>
          </w:p>
        </w:tc>
      </w:tr>
      <w:tr>
        <w:trPr/>
        <w:tc>
          <w:tcPr>
            <w:tcW w:w="18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w:t>
            </w:r>
          </w:p>
        </w:tc>
      </w:tr>
      <w:tr>
        <w:trPr/>
        <w:tc>
          <w:tcPr>
            <w:tcW w:w="18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403,514,079</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2,061.6 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2,319.3 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11505"/>
                <wp:effectExtent l="0" t="0" r="0" b="0"/>
                <wp:wrapNone/>
                <wp:docPr id="11" name="Frame11"/>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p>
      <w:pPr>
        <w:pStyle w:val="TextBody"/>
        <w:spacing w:before="0" w:after="0"/>
        <w:jc w:val="both"/>
        <w:rPr/>
      </w:pPr>
      <w:r>
        <w:rPr/>
      </w:r>
    </w:p>
    <w:p>
      <w:pPr>
        <w:pStyle w:val="TextBody"/>
        <w:spacing w:before="0" w:after="180"/>
        <w:jc w:val="both"/>
        <w:rPr/>
      </w:pPr>
      <w:r>
        <w:rPr/>
      </w:r>
    </w:p>
    <w:tbl>
      <w:tblPr>
        <w:tblW w:w="10205" w:type="dxa"/>
        <w:jc w:val="left"/>
        <w:tblInd w:w="0" w:type="dxa"/>
        <w:tblCellMar>
          <w:top w:w="28" w:type="dxa"/>
          <w:left w:w="28" w:type="dxa"/>
          <w:bottom w:w="28" w:type="dxa"/>
          <w:right w:w="28" w:type="dxa"/>
        </w:tblCellMar>
      </w:tblPr>
      <w:tblGrid>
        <w:gridCol w:w="911"/>
        <w:gridCol w:w="522"/>
        <w:gridCol w:w="527"/>
        <w:gridCol w:w="109"/>
        <w:gridCol w:w="109"/>
        <w:gridCol w:w="109"/>
        <w:gridCol w:w="368"/>
        <w:gridCol w:w="368"/>
        <w:gridCol w:w="338"/>
        <w:gridCol w:w="131"/>
        <w:gridCol w:w="131"/>
        <w:gridCol w:w="131"/>
        <w:gridCol w:w="243"/>
        <w:gridCol w:w="452"/>
        <w:gridCol w:w="131"/>
        <w:gridCol w:w="109"/>
        <w:gridCol w:w="109"/>
        <w:gridCol w:w="109"/>
        <w:gridCol w:w="247"/>
        <w:gridCol w:w="873"/>
        <w:gridCol w:w="137"/>
        <w:gridCol w:w="109"/>
        <w:gridCol w:w="109"/>
        <w:gridCol w:w="109"/>
        <w:gridCol w:w="231"/>
        <w:gridCol w:w="657"/>
        <w:gridCol w:w="128"/>
        <w:gridCol w:w="109"/>
        <w:gridCol w:w="109"/>
        <w:gridCol w:w="109"/>
        <w:gridCol w:w="196"/>
        <w:gridCol w:w="466"/>
        <w:gridCol w:w="109"/>
        <w:gridCol w:w="109"/>
        <w:gridCol w:w="109"/>
        <w:gridCol w:w="109"/>
        <w:gridCol w:w="109"/>
        <w:gridCol w:w="109"/>
        <w:gridCol w:w="197"/>
        <w:gridCol w:w="695"/>
        <w:gridCol w:w="163"/>
      </w:tblGrid>
      <w:tr>
        <w:trPr/>
        <w:tc>
          <w:tcPr>
            <w:tcW w:w="91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041" w:type="dxa"/>
            <w:gridSpan w:val="37"/>
            <w:tcBorders/>
            <w:shd w:fill="auto" w:val="clear"/>
            <w:tcMar>
              <w:top w:w="0" w:type="dxa"/>
              <w:left w:w="0" w:type="dxa"/>
              <w:bottom w:w="0" w:type="dxa"/>
              <w:right w:w="0" w:type="dxa"/>
            </w:tcMar>
            <w:vAlign w:val="center"/>
          </w:tcPr>
          <w:p>
            <w:pPr>
              <w:pStyle w:val="TableContents"/>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ZoomInfo Technologies Inc. </w:t>
            </w:r>
          </w:p>
          <w:p>
            <w:pPr>
              <w:pStyle w:val="TableContents"/>
              <w:spacing w:lineRule="auto" w:line="288" w:before="0" w:after="60"/>
              <w:jc w:val="center"/>
              <w:rPr>
                <w:rFonts w:ascii="Times New Roman;sans-serif" w:hAnsi="Times New Roman;sans-serif"/>
                <w:b w:val="false"/>
                <w:color w:val="000000"/>
                <w:sz w:val="14"/>
              </w:rPr>
            </w:pPr>
            <w:r>
              <w:rPr>
                <w:rFonts w:ascii="Times New Roman;sans-serif" w:hAnsi="Times New Roman;sans-serif"/>
                <w:b w:val="false"/>
                <w:color w:val="000000"/>
                <w:sz w:val="14"/>
              </w:rPr>
              <w:t>Consolidated Statements of Changes in Equity (Deficit)</w:t>
            </w:r>
          </w:p>
          <w:p>
            <w:pPr>
              <w:pStyle w:val="TableContents"/>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share data)</w:t>
            </w:r>
          </w:p>
        </w:tc>
        <w:tc>
          <w:tcPr>
            <w:tcW w:w="1164" w:type="dxa"/>
            <w:gridSpan w:val="4"/>
            <w:tcBorders/>
            <w:shd w:fill="auto" w:val="clear"/>
          </w:tcPr>
          <w:p>
            <w:pPr>
              <w:pStyle w:val="TableContents"/>
              <w:spacing w:before="0" w:after="283"/>
              <w:rPr>
                <w:sz w:val="4"/>
                <w:szCs w:val="4"/>
              </w:rPr>
            </w:pPr>
            <w:r>
              <w:rPr>
                <w:sz w:val="4"/>
                <w:szCs w:val="4"/>
              </w:rPr>
            </w:r>
          </w:p>
        </w:tc>
      </w:tr>
      <w:tr>
        <w:trPr/>
        <w:tc>
          <w:tcPr>
            <w:tcW w:w="1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ZoomInfo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9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403,315,989</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1,871.6 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1,997.9 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upon vesting of RSUs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187,659 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(80,067)</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r>
      <w:tr>
        <w:trPr/>
        <w:tc>
          <w:tcPr>
            <w:tcW w:w="1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14,790 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r>
      <w:tr>
        <w:trPr/>
        <w:tc>
          <w:tcPr>
            <w:tcW w:w="1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 cancellations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(43,210)</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r>
      <w:tr>
        <w:trPr/>
        <w:tc>
          <w:tcPr>
            <w:tcW w:w="1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w:t>
            </w:r>
          </w:p>
        </w:tc>
      </w:tr>
      <w:tr>
        <w:trPr/>
        <w:tc>
          <w:tcPr>
            <w:tcW w:w="1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403,395,161</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1,910.0 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2,059.4 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1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11505"/>
                <wp:effectExtent l="0" t="0" r="0" b="0"/>
                <wp:wrapNone/>
                <wp:docPr id="12" name="Frame12"/>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p>
      <w:pPr>
        <w:pStyle w:val="TextBody"/>
        <w:spacing w:before="0" w:after="0"/>
        <w:jc w:val="both"/>
        <w:rPr/>
      </w:pPr>
      <w:r>
        <w:rPr/>
      </w:r>
    </w:p>
    <w:tbl>
      <w:tblPr>
        <w:tblW w:w="9877" w:type="dxa"/>
        <w:jc w:val="left"/>
        <w:tblInd w:w="0" w:type="dxa"/>
        <w:tblCellMar>
          <w:top w:w="28" w:type="dxa"/>
          <w:left w:w="28" w:type="dxa"/>
          <w:bottom w:w="28" w:type="dxa"/>
          <w:right w:w="28" w:type="dxa"/>
        </w:tblCellMar>
      </w:tblPr>
      <w:tblGrid>
        <w:gridCol w:w="2505"/>
        <w:gridCol w:w="2197"/>
        <w:gridCol w:w="2213"/>
        <w:gridCol w:w="277"/>
        <w:gridCol w:w="787"/>
        <w:gridCol w:w="154"/>
        <w:gridCol w:w="154"/>
        <w:gridCol w:w="154"/>
        <w:gridCol w:w="154"/>
        <w:gridCol w:w="277"/>
        <w:gridCol w:w="787"/>
        <w:gridCol w:w="218"/>
      </w:tblGrid>
      <w:tr>
        <w:trPr/>
        <w:tc>
          <w:tcPr>
            <w:tcW w:w="2505"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9877" w:type="dxa"/>
            <w:gridSpan w:val="12"/>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ableContents"/>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unaudited)</w:t>
            </w:r>
          </w:p>
        </w:tc>
      </w:tr>
      <w:tr>
        <w:trPr/>
        <w:tc>
          <w:tcPr>
            <w:tcW w:w="6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1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7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discounts and issuance costs</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 costs</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modification and extinguishment</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remeasurement</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 expense</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acquisitions:</w:t>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costs and other assets, net of current portion</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short-term investments</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and other assets</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convertible note receivable</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deferred consideration</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and modification costs</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equity issuance costs</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payments</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7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11505"/>
                <wp:effectExtent l="0" t="0" r="0" b="0"/>
                <wp:wrapNone/>
                <wp:docPr id="13" name="Frame13"/>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639"/>
        <w:gridCol w:w="2323"/>
        <w:gridCol w:w="2334"/>
        <w:gridCol w:w="297"/>
        <w:gridCol w:w="708"/>
        <w:gridCol w:w="165"/>
        <w:gridCol w:w="165"/>
        <w:gridCol w:w="165"/>
        <w:gridCol w:w="165"/>
        <w:gridCol w:w="297"/>
        <w:gridCol w:w="708"/>
        <w:gridCol w:w="239"/>
      </w:tblGrid>
      <w:tr>
        <w:trPr/>
        <w:tc>
          <w:tcPr>
            <w:tcW w:w="2639" w:type="dxa"/>
            <w:tcBorders/>
            <w:shd w:fill="auto" w:val="clear"/>
            <w:vAlign w:val="center"/>
          </w:tcPr>
          <w:p>
            <w:pPr>
              <w:pStyle w:val="TableContents"/>
              <w:spacing w:before="0" w:after="283"/>
              <w:rPr>
                <w:sz w:val="4"/>
                <w:szCs w:val="4"/>
              </w:rPr>
            </w:pPr>
            <w:r>
              <w:rPr>
                <w:sz w:val="4"/>
                <w:szCs w:val="4"/>
              </w:rPr>
            </w:r>
          </w:p>
        </w:tc>
        <w:tc>
          <w:tcPr>
            <w:tcW w:w="2323"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ableContents"/>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unaudited) (continued)</w:t>
            </w:r>
          </w:p>
        </w:tc>
      </w:tr>
      <w:tr>
        <w:trPr/>
        <w:tc>
          <w:tcPr>
            <w:tcW w:w="7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in cash</w:t>
            </w:r>
          </w:p>
        </w:tc>
        <w:tc>
          <w:tcPr>
            <w:tcW w:w="29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29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investing and financing activities:</w:t>
            </w:r>
          </w:p>
        </w:tc>
        <w:tc>
          <w:tcPr>
            <w:tcW w:w="1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variable consideration from acquisition of a business</w:t>
            </w:r>
          </w:p>
        </w:tc>
        <w:tc>
          <w:tcPr>
            <w:tcW w:w="29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6"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included in accounts payable and accrued expenses and other current liabilities</w:t>
            </w:r>
          </w:p>
        </w:tc>
        <w:tc>
          <w:tcPr>
            <w:tcW w:w="29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6"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11505"/>
                <wp:effectExtent l="0" t="0" r="0" b="0"/>
                <wp:wrapNone/>
                <wp:docPr id="14" name="Frame14"/>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p>
      <w:pPr>
        <w:pStyle w:val="TextBody"/>
        <w:spacing w:before="0" w:after="0"/>
        <w:jc w:val="both"/>
        <w:rPr/>
      </w:pPr>
      <w:r>
        <w:rPr/>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ZoomInfo Technologies Inc.</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(Unaudited)</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 millions, except share/unit data and per share/unit amounts, unless otherwise noted)</w:t>
      </w:r>
    </w:p>
    <w:tbl>
      <w:tblPr>
        <w:tblW w:w="6941" w:type="dxa"/>
        <w:jc w:val="center"/>
        <w:tblInd w:w="0" w:type="dxa"/>
        <w:tblCellMar>
          <w:top w:w="28" w:type="dxa"/>
          <w:left w:w="28" w:type="dxa"/>
          <w:bottom w:w="28" w:type="dxa"/>
          <w:right w:w="28" w:type="dxa"/>
        </w:tblCellMar>
      </w:tblPr>
      <w:tblGrid>
        <w:gridCol w:w="277"/>
        <w:gridCol w:w="242"/>
        <w:gridCol w:w="246"/>
        <w:gridCol w:w="1933"/>
        <w:gridCol w:w="1933"/>
        <w:gridCol w:w="1938"/>
        <w:gridCol w:w="109"/>
        <w:gridCol w:w="109"/>
        <w:gridCol w:w="154"/>
      </w:tblGrid>
      <w:tr>
        <w:trPr/>
        <w:tc>
          <w:tcPr>
            <w:tcW w:w="27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46">
              <w:r>
                <w:rPr>
                  <w:rStyle w:val="InternetLink"/>
                  <w:rFonts w:ascii="Times New Roman;sans-serif" w:hAnsi="Times New Roman;sans-serif"/>
                  <w:b w:val="false"/>
                  <w:color w:val="0000FF"/>
                  <w:sz w:val="20"/>
                  <w:u w:val="single"/>
                </w:rPr>
                <w:t>Note 1</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46">
              <w:r>
                <w:rPr>
                  <w:rStyle w:val="InternetLink"/>
                  <w:rFonts w:ascii="Times New Roman;sans-serif" w:hAnsi="Times New Roman;sans-serif"/>
                  <w:b w:val="false"/>
                  <w:color w:val="0000FF"/>
                  <w:sz w:val="20"/>
                  <w:u w:val="single"/>
                </w:rPr>
                <w:t>Organization and Background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46">
              <w:r>
                <w:rPr>
                  <w:rStyle w:val="InternetLink"/>
                  <w:rFonts w:ascii="Times New Roman;sans-serif" w:hAnsi="Times New Roman;sans-serif"/>
                  <w:b w:val="false"/>
                  <w:color w:val="0000FF"/>
                  <w:sz w:val="20"/>
                  <w:u w:val="single"/>
                </w:rPr>
                <w:t>10</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52">
              <w:r>
                <w:rPr>
                  <w:rStyle w:val="InternetLink"/>
                  <w:rFonts w:ascii="Times New Roman;sans-serif" w:hAnsi="Times New Roman;sans-serif"/>
                  <w:b w:val="false"/>
                  <w:color w:val="0000FF"/>
                  <w:sz w:val="20"/>
                  <w:u w:val="single"/>
                </w:rPr>
                <w:t>Note 2</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52">
              <w:r>
                <w:rPr>
                  <w:rStyle w:val="InternetLink"/>
                  <w:rFonts w:ascii="Times New Roman;sans-serif" w:hAnsi="Times New Roman;sans-serif"/>
                  <w:b w:val="false"/>
                  <w:color w:val="0000FF"/>
                  <w:sz w:val="20"/>
                  <w:u w:val="single"/>
                </w:rPr>
                <w:t>Basis of Presentation and Summary of Significant Accounting Policies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52">
              <w:r>
                <w:rPr>
                  <w:rStyle w:val="InternetLink"/>
                  <w:rFonts w:ascii="Times New Roman;sans-serif" w:hAnsi="Times New Roman;sans-serif"/>
                  <w:b w:val="false"/>
                  <w:color w:val="0000FF"/>
                  <w:sz w:val="20"/>
                  <w:u w:val="single"/>
                </w:rPr>
                <w:t>11</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55">
              <w:r>
                <w:rPr>
                  <w:rStyle w:val="InternetLink"/>
                  <w:rFonts w:ascii="Times New Roman;sans-serif" w:hAnsi="Times New Roman;sans-serif"/>
                  <w:b w:val="false"/>
                  <w:color w:val="0000FF"/>
                  <w:sz w:val="20"/>
                  <w:u w:val="single"/>
                </w:rPr>
                <w:t>Note 3</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55">
              <w:r>
                <w:rPr>
                  <w:rStyle w:val="InternetLink"/>
                  <w:rFonts w:ascii="Times New Roman;sans-serif" w:hAnsi="Times New Roman;sans-serif"/>
                  <w:b w:val="false"/>
                  <w:color w:val="0000FF"/>
                  <w:sz w:val="20"/>
                  <w:u w:val="single"/>
                </w:rPr>
                <w:t>Revenue from Contracts with Customers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55">
              <w:r>
                <w:rPr>
                  <w:rStyle w:val="InternetLink"/>
                  <w:rFonts w:ascii="Times New Roman;sans-serif" w:hAnsi="Times New Roman;sans-serif"/>
                  <w:b w:val="false"/>
                  <w:color w:val="0000FF"/>
                  <w:sz w:val="20"/>
                  <w:u w:val="single"/>
                </w:rPr>
                <w:t>19</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61">
              <w:r>
                <w:rPr>
                  <w:rStyle w:val="InternetLink"/>
                  <w:rFonts w:ascii="Times New Roman;sans-serif" w:hAnsi="Times New Roman;sans-serif"/>
                  <w:b w:val="false"/>
                  <w:color w:val="0000FF"/>
                  <w:sz w:val="20"/>
                  <w:u w:val="single"/>
                </w:rPr>
                <w:t>Note 4</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61">
              <w:r>
                <w:rPr>
                  <w:rStyle w:val="InternetLink"/>
                  <w:rFonts w:ascii="Times New Roman;sans-serif" w:hAnsi="Times New Roman;sans-serif"/>
                  <w:b w:val="false"/>
                  <w:color w:val="0000FF"/>
                  <w:sz w:val="20"/>
                  <w:u w:val="single"/>
                </w:rPr>
                <w:t>Business Combinations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61">
              <w:r>
                <w:rPr>
                  <w:rStyle w:val="InternetLink"/>
                  <w:rFonts w:ascii="Times New Roman;sans-serif" w:hAnsi="Times New Roman;sans-serif"/>
                  <w:b w:val="false"/>
                  <w:color w:val="0000FF"/>
                  <w:sz w:val="20"/>
                  <w:u w:val="single"/>
                </w:rPr>
                <w:t>20</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64">
              <w:r>
                <w:rPr>
                  <w:rStyle w:val="InternetLink"/>
                  <w:rFonts w:ascii="Times New Roman;sans-serif" w:hAnsi="Times New Roman;sans-serif"/>
                  <w:b w:val="false"/>
                  <w:color w:val="0000FF"/>
                  <w:sz w:val="20"/>
                  <w:u w:val="single"/>
                </w:rPr>
                <w:t>Note 5</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64">
              <w:r>
                <w:rPr>
                  <w:rStyle w:val="InternetLink"/>
                  <w:rFonts w:ascii="Times New Roman;sans-serif" w:hAnsi="Times New Roman;sans-serif"/>
                  <w:b w:val="false"/>
                  <w:color w:val="0000FF"/>
                  <w:sz w:val="20"/>
                  <w:u w:val="single"/>
                </w:rPr>
                <w:t>Cash, Cash Equivalents, and Short-term Investments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64">
              <w:r>
                <w:rPr>
                  <w:rStyle w:val="InternetLink"/>
                  <w:rFonts w:ascii="Times New Roman;sans-serif" w:hAnsi="Times New Roman;sans-serif"/>
                  <w:b w:val="false"/>
                  <w:color w:val="0000FF"/>
                  <w:sz w:val="20"/>
                  <w:u w:val="single"/>
                </w:rPr>
                <w:t>22</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67">
              <w:r>
                <w:rPr>
                  <w:rStyle w:val="InternetLink"/>
                  <w:rFonts w:ascii="Times New Roman;sans-serif" w:hAnsi="Times New Roman;sans-serif"/>
                  <w:b w:val="false"/>
                  <w:color w:val="0000FF"/>
                  <w:sz w:val="20"/>
                  <w:u w:val="single"/>
                </w:rPr>
                <w:t>Note 6</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67">
              <w:r>
                <w:rPr>
                  <w:rStyle w:val="InternetLink"/>
                  <w:rFonts w:ascii="Times New Roman;sans-serif" w:hAnsi="Times New Roman;sans-serif"/>
                  <w:b w:val="false"/>
                  <w:color w:val="0000FF"/>
                  <w:sz w:val="20"/>
                  <w:u w:val="single"/>
                </w:rPr>
                <w:t>Property and Equipment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67">
              <w:r>
                <w:rPr>
                  <w:rStyle w:val="InternetLink"/>
                  <w:rFonts w:ascii="Times New Roman;sans-serif" w:hAnsi="Times New Roman;sans-serif"/>
                  <w:b w:val="false"/>
                  <w:color w:val="0000FF"/>
                  <w:sz w:val="20"/>
                  <w:u w:val="single"/>
                </w:rPr>
                <w:t>23</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70">
              <w:r>
                <w:rPr>
                  <w:rStyle w:val="InternetLink"/>
                  <w:rFonts w:ascii="Times New Roman;sans-serif" w:hAnsi="Times New Roman;sans-serif"/>
                  <w:b w:val="false"/>
                  <w:color w:val="0000FF"/>
                  <w:sz w:val="20"/>
                  <w:u w:val="single"/>
                </w:rPr>
                <w:t>Note 7</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70">
              <w:r>
                <w:rPr>
                  <w:rStyle w:val="InternetLink"/>
                  <w:rFonts w:ascii="Times New Roman;sans-serif" w:hAnsi="Times New Roman;sans-serif"/>
                  <w:b w:val="false"/>
                  <w:color w:val="0000FF"/>
                  <w:sz w:val="20"/>
                  <w:u w:val="single"/>
                </w:rPr>
                <w:t>Goodwill and Acquired Intangible Assets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70">
              <w:r>
                <w:rPr>
                  <w:rStyle w:val="InternetLink"/>
                  <w:rFonts w:ascii="Times New Roman;sans-serif" w:hAnsi="Times New Roman;sans-serif"/>
                  <w:b w:val="false"/>
                  <w:color w:val="0000FF"/>
                  <w:sz w:val="20"/>
                  <w:u w:val="single"/>
                </w:rPr>
                <w:t>24</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73">
              <w:r>
                <w:rPr>
                  <w:rStyle w:val="InternetLink"/>
                  <w:rFonts w:ascii="Times New Roman;sans-serif" w:hAnsi="Times New Roman;sans-serif"/>
                  <w:b w:val="false"/>
                  <w:color w:val="0000FF"/>
                  <w:sz w:val="20"/>
                  <w:u w:val="single"/>
                </w:rPr>
                <w:t>Note 8</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73">
              <w:r>
                <w:rPr>
                  <w:rStyle w:val="InternetLink"/>
                  <w:rFonts w:ascii="Times New Roman;sans-serif" w:hAnsi="Times New Roman;sans-serif"/>
                  <w:b w:val="false"/>
                  <w:color w:val="0000FF"/>
                  <w:sz w:val="20"/>
                  <w:u w:val="single"/>
                </w:rPr>
                <w:t>Financing Arrangements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73">
              <w:r>
                <w:rPr>
                  <w:rStyle w:val="InternetLink"/>
                  <w:rFonts w:ascii="Times New Roman;sans-serif" w:hAnsi="Times New Roman;sans-serif"/>
                  <w:b w:val="false"/>
                  <w:color w:val="0000FF"/>
                  <w:sz w:val="20"/>
                  <w:u w:val="single"/>
                </w:rPr>
                <w:t>24</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76">
              <w:r>
                <w:rPr>
                  <w:rStyle w:val="InternetLink"/>
                  <w:rFonts w:ascii="Times New Roman;sans-serif" w:hAnsi="Times New Roman;sans-serif"/>
                  <w:b w:val="false"/>
                  <w:color w:val="0000FF"/>
                  <w:sz w:val="20"/>
                  <w:u w:val="single"/>
                </w:rPr>
                <w:t>Note 9</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76">
              <w:r>
                <w:rPr>
                  <w:rStyle w:val="InternetLink"/>
                  <w:rFonts w:ascii="Times New Roman;sans-serif" w:hAnsi="Times New Roman;sans-serif"/>
                  <w:b w:val="false"/>
                  <w:color w:val="0000FF"/>
                  <w:sz w:val="20"/>
                  <w:u w:val="single"/>
                </w:rPr>
                <w:t>Derivatives and Hedging Activities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76">
              <w:r>
                <w:rPr>
                  <w:rStyle w:val="InternetLink"/>
                  <w:rFonts w:ascii="Times New Roman;sans-serif" w:hAnsi="Times New Roman;sans-serif"/>
                  <w:b w:val="false"/>
                  <w:color w:val="0000FF"/>
                  <w:sz w:val="20"/>
                  <w:u w:val="single"/>
                </w:rPr>
                <w:t>26</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79">
              <w:r>
                <w:rPr>
                  <w:rStyle w:val="InternetLink"/>
                  <w:rFonts w:ascii="Times New Roman;sans-serif" w:hAnsi="Times New Roman;sans-serif"/>
                  <w:b w:val="false"/>
                  <w:color w:val="0000FF"/>
                  <w:sz w:val="20"/>
                  <w:u w:val="single"/>
                </w:rPr>
                <w:t>Note 10</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79">
              <w:r>
                <w:rPr>
                  <w:rStyle w:val="InternetLink"/>
                  <w:rFonts w:ascii="Times New Roman;sans-serif" w:hAnsi="Times New Roman;sans-serif"/>
                  <w:b w:val="false"/>
                  <w:color w:val="0000FF"/>
                  <w:sz w:val="20"/>
                  <w:u w:val="single"/>
                </w:rPr>
                <w:t>Fair Value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79">
              <w:r>
                <w:rPr>
                  <w:rStyle w:val="InternetLink"/>
                  <w:rFonts w:ascii="Times New Roman;sans-serif" w:hAnsi="Times New Roman;sans-serif"/>
                  <w:b w:val="false"/>
                  <w:color w:val="0000FF"/>
                  <w:sz w:val="20"/>
                  <w:u w:val="single"/>
                </w:rPr>
                <w:t>28</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82">
              <w:r>
                <w:rPr>
                  <w:rStyle w:val="InternetLink"/>
                  <w:rFonts w:ascii="Times New Roman;sans-serif" w:hAnsi="Times New Roman;sans-serif"/>
                  <w:b w:val="false"/>
                  <w:color w:val="0000FF"/>
                  <w:sz w:val="20"/>
                  <w:u w:val="single"/>
                </w:rPr>
                <w:t>Note 11</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82">
              <w:r>
                <w:rPr>
                  <w:rStyle w:val="InternetLink"/>
                  <w:rFonts w:ascii="Times New Roman;sans-serif" w:hAnsi="Times New Roman;sans-serif"/>
                  <w:b w:val="false"/>
                  <w:color w:val="0000FF"/>
                  <w:sz w:val="20"/>
                  <w:u w:val="single"/>
                </w:rPr>
                <w:t>Commitments and Contingencies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82">
              <w:r>
                <w:rPr>
                  <w:rStyle w:val="InternetLink"/>
                  <w:rFonts w:ascii="Times New Roman;sans-serif" w:hAnsi="Times New Roman;sans-serif"/>
                  <w:b w:val="false"/>
                  <w:color w:val="0000FF"/>
                  <w:sz w:val="20"/>
                  <w:u w:val="single"/>
                </w:rPr>
                <w:t>30</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88">
              <w:r>
                <w:rPr>
                  <w:rStyle w:val="InternetLink"/>
                  <w:rFonts w:ascii="Times New Roman;sans-serif" w:hAnsi="Times New Roman;sans-serif"/>
                  <w:b w:val="false"/>
                  <w:color w:val="0000FF"/>
                  <w:sz w:val="20"/>
                  <w:u w:val="single"/>
                </w:rPr>
                <w:t>Note 12</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88">
              <w:r>
                <w:rPr>
                  <w:rStyle w:val="InternetLink"/>
                  <w:rFonts w:ascii="Times New Roman;sans-serif" w:hAnsi="Times New Roman;sans-serif"/>
                  <w:b w:val="false"/>
                  <w:color w:val="0000FF"/>
                  <w:sz w:val="20"/>
                  <w:u w:val="single"/>
                </w:rPr>
                <w:t>Earnings Per Share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88">
              <w:r>
                <w:rPr>
                  <w:rStyle w:val="InternetLink"/>
                  <w:rFonts w:ascii="Times New Roman;sans-serif" w:hAnsi="Times New Roman;sans-serif"/>
                  <w:b w:val="false"/>
                  <w:color w:val="0000FF"/>
                  <w:sz w:val="20"/>
                  <w:u w:val="single"/>
                </w:rPr>
                <w:t>31</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91">
              <w:r>
                <w:rPr>
                  <w:rStyle w:val="InternetLink"/>
                  <w:rFonts w:ascii="Times New Roman;sans-serif" w:hAnsi="Times New Roman;sans-serif"/>
                  <w:b w:val="false"/>
                  <w:color w:val="0000FF"/>
                  <w:sz w:val="20"/>
                  <w:u w:val="single"/>
                </w:rPr>
                <w:t>Note 13</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91">
              <w:r>
                <w:rPr>
                  <w:rStyle w:val="InternetLink"/>
                  <w:rFonts w:ascii="Times New Roman;sans-serif" w:hAnsi="Times New Roman;sans-serif"/>
                  <w:b w:val="false"/>
                  <w:color w:val="0000FF"/>
                  <w:sz w:val="20"/>
                  <w:u w:val="single"/>
                </w:rPr>
                <w:t>Leases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91">
              <w:r>
                <w:rPr>
                  <w:rStyle w:val="InternetLink"/>
                  <w:rFonts w:ascii="Times New Roman;sans-serif" w:hAnsi="Times New Roman;sans-serif"/>
                  <w:b w:val="false"/>
                  <w:color w:val="0000FF"/>
                  <w:sz w:val="20"/>
                  <w:u w:val="single"/>
                </w:rPr>
                <w:t>32</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94">
              <w:r>
                <w:rPr>
                  <w:rStyle w:val="InternetLink"/>
                  <w:rFonts w:ascii="Times New Roman;sans-serif" w:hAnsi="Times New Roman;sans-serif"/>
                  <w:b w:val="false"/>
                  <w:color w:val="0000FF"/>
                  <w:sz w:val="20"/>
                  <w:u w:val="single"/>
                </w:rPr>
                <w:t>Note 14</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94">
              <w:r>
                <w:rPr>
                  <w:rStyle w:val="InternetLink"/>
                  <w:rFonts w:ascii="Times New Roman;sans-serif" w:hAnsi="Times New Roman;sans-serif"/>
                  <w:b w:val="false"/>
                  <w:color w:val="0000FF"/>
                  <w:sz w:val="20"/>
                  <w:u w:val="single"/>
                </w:rPr>
                <w:t>Equity-Based Compensation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94">
              <w:r>
                <w:rPr>
                  <w:rStyle w:val="InternetLink"/>
                  <w:rFonts w:ascii="Times New Roman;sans-serif" w:hAnsi="Times New Roman;sans-serif"/>
                  <w:b w:val="false"/>
                  <w:color w:val="0000FF"/>
                  <w:sz w:val="20"/>
                  <w:u w:val="single"/>
                </w:rPr>
                <w:t>34</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97">
              <w:r>
                <w:rPr>
                  <w:rStyle w:val="InternetLink"/>
                  <w:rFonts w:ascii="Times New Roman;sans-serif" w:hAnsi="Times New Roman;sans-serif"/>
                  <w:b w:val="false"/>
                  <w:color w:val="0000FF"/>
                  <w:sz w:val="20"/>
                  <w:u w:val="single"/>
                </w:rPr>
                <w:t>Note 15</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97">
              <w:r>
                <w:rPr>
                  <w:rStyle w:val="InternetLink"/>
                  <w:rFonts w:ascii="Times New Roman;sans-serif" w:hAnsi="Times New Roman;sans-serif"/>
                  <w:b w:val="false"/>
                  <w:color w:val="0000FF"/>
                  <w:sz w:val="20"/>
                  <w:u w:val="single"/>
                </w:rPr>
                <w:t>Tax Receivable Agreements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97">
              <w:r>
                <w:rPr>
                  <w:rStyle w:val="InternetLink"/>
                  <w:rFonts w:ascii="Times New Roman;sans-serif" w:hAnsi="Times New Roman;sans-serif"/>
                  <w:b w:val="false"/>
                  <w:color w:val="0000FF"/>
                  <w:sz w:val="20"/>
                  <w:u w:val="single"/>
                </w:rPr>
                <w:t>39</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00">
              <w:r>
                <w:rPr>
                  <w:rStyle w:val="InternetLink"/>
                  <w:rFonts w:ascii="Times New Roman;sans-serif" w:hAnsi="Times New Roman;sans-serif"/>
                  <w:b w:val="false"/>
                  <w:color w:val="0000FF"/>
                  <w:sz w:val="20"/>
                  <w:u w:val="single"/>
                </w:rPr>
                <w:t>Note 16</w:t>
              </w:r>
            </w:hyperlink>
          </w:p>
        </w:tc>
        <w:tc>
          <w:tcPr>
            <w:tcW w:w="58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a5e6dde1bec44149fc3a16ed4c02afc_100">
              <w:r>
                <w:rPr>
                  <w:rStyle w:val="InternetLink"/>
                  <w:rFonts w:ascii="Times New Roman;sans-serif" w:hAnsi="Times New Roman;sans-serif"/>
                  <w:b w:val="false"/>
                  <w:color w:val="0000FF"/>
                  <w:sz w:val="20"/>
                  <w:u w:val="single"/>
                </w:rPr>
                <w:t xml:space="preserve">Income Taxes </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a5e6dde1bec44149fc3a16ed4c02afc_100">
              <w:r>
                <w:rPr>
                  <w:rStyle w:val="InternetLink"/>
                  <w:rFonts w:ascii="Times New Roman;sans-serif" w:hAnsi="Times New Roman;sans-serif"/>
                  <w:b w:val="false"/>
                  <w:color w:val="0000FF"/>
                  <w:sz w:val="20"/>
                  <w:u w:val="single"/>
                </w:rPr>
                <w:t>40</w:t>
              </w:r>
            </w:hyperlink>
          </w:p>
        </w:tc>
      </w:tr>
      <w:tr>
        <w:trPr/>
        <w:tc>
          <w:tcPr>
            <w:tcW w:w="765" w:type="dxa"/>
            <w:gridSpan w:val="3"/>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11505"/>
                <wp:effectExtent l="0" t="0" r="0" b="0"/>
                <wp:wrapNone/>
                <wp:docPr id="15" name="Frame15"/>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1 - Organization and Background</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Technologies Inc., through its operating subsidiaries provides a go-to-market intelligence and engagement platform for sales and marketing teams.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ZoomInfo OpCo became a direct subsidiary of ZoomInfo Intermediate Holdings LLC (“ZoomInfo HoldCo”), a Delaware limited liability company and an indirect subsidiary of ZoomInfo Technologies Inc. Following the consummation of the Holding Company Reorganization, ZoomInfo OpCo became a direct subsidiary of ZoomInfo Technologies Inc. and ZoomInfo Intermediate Inc.</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headquarters are located in Vancouver, WA, and we have additional offices throughout the United States, and in Israel, Canada, the United Kingdom, and India.</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Corporate Structure Simplification Transactions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11505"/>
                <wp:effectExtent l="0" t="0" r="0" b="0"/>
                <wp:wrapNone/>
                <wp:docPr id="16" name="Frame16"/>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30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Organization and Background (continued)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Holding Company Reorganization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audited financial statements for the year ended December 31, 2022.</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months ended March 31, 2023 are not necessarily indicative of the operating results that may be expected for the full fiscal year ending December 31, 2023 or any future period.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contain all adjustments necessary for a fair statement of financial position as of March 31, 2023, and results of operations for the three months ended March 31, 2023 and 2022, and cash flows for the three months ended March 31, 2023 and 2022. Accordingly, certain footnote disclosures normally included in annual financial statements prepared in accordance with U.S. GAAP have been condensed or omitted.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May 23, 2022, the Company’s Class A common stock was renamed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11505"/>
                <wp:effectExtent l="0" t="0" r="0" b="0"/>
                <wp:wrapNone/>
                <wp:docPr id="17" name="Frame17"/>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ZoomInfo Technologies Inc. and its subsidiaries. All significant intercompany transactions and balances have been eliminated in consolidation.</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revenue primarily from subscription services. Our subscription services consist of our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revenue contracts with customers through the following steps: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(1)identify the contract with a customer;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(2)identify the performance obligations in the contract;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(3)determine the transaction price;</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(4)allocate the transaction price;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(5)recognize revenue when or as the Company satisfies a performance obligation.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11505"/>
                <wp:effectExtent l="0" t="0" r="0" b="0"/>
                <wp:wrapNone/>
                <wp:docPr id="18" name="Frame18"/>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Cash, Cash Equivalents, and Short-term Investments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spacing w:lineRule="auto" w:line="288" w:before="0" w:after="18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that reflect unadjusted quoted prices in active markets for identical assets or liabilities</w:t>
      </w:r>
    </w:p>
    <w:p>
      <w:pPr>
        <w:pStyle w:val="TextBody"/>
        <w:spacing w:lineRule="auto" w:line="288" w:before="0" w:after="18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Level 2 - Other inputs that are directly or indirectly observable in the marketplace</w:t>
      </w:r>
    </w:p>
    <w:p>
      <w:pPr>
        <w:pStyle w:val="TextBody"/>
        <w:spacing w:lineRule="auto" w:line="288" w:before="0" w:after="18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Unobservable inputs that are supported by little or no market activity, including the Company’s own assumptions in determining fair value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inputs or methodology used for valuing financial assets and liabilities are not necessarily an indication of the risk associated with investing in them.</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Concentrations of Credit Risk and Significant Customers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months ended March 31, 2023 and 2022, or accounted for more than 10% of accounts receivable as of March 31, 2023 and December 31, 2022. Long-lived assets located outside of the United States were immaterial as of March 31, 2023 and December 31, 2022.</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11505"/>
                <wp:effectExtent l="0" t="0" r="0" b="0"/>
                <wp:wrapNone/>
                <wp:docPr id="19" name="Frame19"/>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Accounts Receivable and Contract Assets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is comprised of invoices of revenue, net of allowance for credit losses, and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credit losses is immaterial as of March 31, 2023 and December 31, 2022.</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represent a contractual right to consideration in the future. Contract assets are generated when contractual billing schedules differ from revenue recognition timing.</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years to ten years.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Deferred Commissions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 xml:space="preserve">on our Consolidated Balance Sheets. Deferred sales commissions are amortized on a straight-line basis over the estimated period of benefit from the customer relationship which we have determined to be one and three years for renewals and new clients, respectively. We determined the period of benefit by taking into consideration our customer contracts, our technology, and other factors. Amortization expense is included in </w:t>
      </w: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expense on our Consolidated Statements of Operations.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Commissions payable at March 31, 2023 were $31.1 million, of which the current portion of $27.3 million was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 and the long-term portion of $3.8 million was included in</w:t>
      </w:r>
      <w:r>
        <w:rPr>
          <w:color w:val="000000"/>
        </w:rPr>
        <w:t xml:space="preserve"> </w:t>
      </w:r>
      <w:r>
        <w:rPr>
          <w:rFonts w:ascii="Times New Roman;sans-serif" w:hAnsi="Times New Roman;sans-serif"/>
          <w:b w:val="false"/>
          <w:i/>
          <w:color w:val="000000"/>
          <w:sz w:val="20"/>
        </w:rPr>
        <w:t>Other long-term liabilities</w:t>
      </w:r>
      <w:r>
        <w:rPr>
          <w:color w:val="000000"/>
        </w:rPr>
        <w:t xml:space="preserve"> </w:t>
      </w:r>
      <w:r>
        <w:rPr>
          <w:rFonts w:ascii="Times New Roman;sans-serif" w:hAnsi="Times New Roman;sans-serif"/>
          <w:b w:val="false"/>
          <w:color w:val="000000"/>
          <w:sz w:val="20"/>
        </w:rPr>
        <w:t xml:space="preserve">on our Consolidated Balance Sheets. Commissions payable at December 31, 2022 were $36.2 million, of which the current portion of $32.1 million was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 and the long-term portion of $4.1 million was included in</w:t>
      </w:r>
      <w:r>
        <w:rPr>
          <w:color w:val="000000"/>
        </w:rPr>
        <w:t xml:space="preserve"> </w:t>
      </w:r>
      <w:r>
        <w:rPr>
          <w:rFonts w:ascii="Times New Roman;sans-serif" w:hAnsi="Times New Roman;sans-serif"/>
          <w:b w:val="false"/>
          <w:i/>
          <w:color w:val="000000"/>
          <w:sz w:val="20"/>
        </w:rPr>
        <w:t>Other long-term liabilities</w:t>
      </w:r>
      <w:r>
        <w:rPr>
          <w:color w:val="000000"/>
        </w:rPr>
        <w:t xml:space="preserve"> </w:t>
      </w:r>
      <w:r>
        <w:rPr>
          <w:rFonts w:ascii="Times New Roman;sans-serif" w:hAnsi="Times New Roman;sans-serif"/>
          <w:b w:val="false"/>
          <w:color w:val="000000"/>
          <w:sz w:val="20"/>
        </w:rPr>
        <w:t>on our Consolidated Balance Sheets.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commissions are not capitalized as they do not represent incremental costs of obtaining a contract. Such commissions are expensed as incurred.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Advertising and Promotional Expenses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Company expenses advertising costs as incurred. Advertising expenses of $8.5 million and $7.5 million were recorded for the three months ended March 31, 2023 and 2022 respectively. Advertising expenses are included in </w:t>
      </w: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on our Consolidated Statements of Operations.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11505"/>
                <wp:effectExtent l="0" t="0" r="0" b="0"/>
                <wp:wrapNone/>
                <wp:docPr id="20" name="Frame20"/>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Restructuring and Transaction-Related Expenses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restructuring and transaction-related expenses as costs directly associated with restructuring,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 related bonuses and related employee retention costs are recognized over the relevant service period. Contract termination fees and penalties and other exit and disposal costs are generally recorded when incurred.</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Goodwill and Acquired Intangible Assets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fair value of a reporting unit may be below its carrying value. The company has one reporting unit.</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11505"/>
                <wp:effectExtent l="0" t="0" r="0" b="0"/>
                <wp:wrapNone/>
                <wp:docPr id="21" name="Frame21"/>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Acquired technology, customer lists, trade names or brand portfolios, and other intangible assets are related to previous acquisitions (refer to Note 7 -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three month periods ended March 31, 2023 and 2022.</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No impairment charges were recorded for the three month periods ended March 31, 2023 and 2022.</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liabilities.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11505"/>
                <wp:effectExtent l="0" t="0" r="0" b="0"/>
                <wp:wrapNone/>
                <wp:docPr id="22" name="Frame22"/>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Unearned Revenue</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sans-serif" w:hAnsi="Times New Roman;sans-serif"/>
          <w:b w:val="false"/>
          <w:i/>
          <w:color w:val="000000"/>
          <w:sz w:val="20"/>
        </w:rPr>
        <w:t>Unearned revenue, current portion</w:t>
      </w:r>
      <w:r>
        <w:rPr>
          <w:color w:val="000000"/>
        </w:rPr>
        <w:t xml:space="preserve"> </w:t>
      </w:r>
      <w:r>
        <w:rPr>
          <w:rFonts w:ascii="Times New Roman;sans-serif" w:hAnsi="Times New Roman;sans-serif"/>
          <w:b w:val="false"/>
          <w:color w:val="000000"/>
          <w:sz w:val="20"/>
        </w:rPr>
        <w:t xml:space="preserve">and the remaining portion is included in </w:t>
      </w:r>
      <w:r>
        <w:rPr>
          <w:rFonts w:ascii="Times New Roman;sans-serif" w:hAnsi="Times New Roman;sans-serif"/>
          <w:b w:val="false"/>
          <w:i/>
          <w:color w:val="000000"/>
          <w:sz w:val="20"/>
        </w:rPr>
        <w:t>Unearned revenue, net of current portion</w:t>
      </w:r>
      <w:r>
        <w:rPr>
          <w:color w:val="000000"/>
        </w:rPr>
        <w:t xml:space="preserve"> </w:t>
      </w:r>
      <w:r>
        <w:rPr>
          <w:rFonts w:ascii="Times New Roman;sans-serif" w:hAnsi="Times New Roman;sans-serif"/>
          <w:b w:val="false"/>
          <w:color w:val="000000"/>
          <w:sz w:val="20"/>
        </w:rPr>
        <w:t>on our Consolidated Balance Sheets.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 xml:space="preserve">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sans-serif" w:hAnsi="Times New Roman;sans-serif"/>
          <w:b w:val="false"/>
          <w:i/>
          <w:color w:val="000000"/>
          <w:sz w:val="20"/>
        </w:rPr>
        <w:t>Loss on debt modification and extinguishment</w:t>
      </w:r>
      <w:r>
        <w:rPr>
          <w:rFonts w:ascii="Times New Roman;sans-serif" w:hAnsi="Times New Roman;sans-serif"/>
          <w:b w:val="false"/>
          <w:color w:val="000000"/>
          <w:sz w:val="20"/>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on our Consolidated Balance Sheets under the captions </w:t>
      </w:r>
      <w:r>
        <w:rPr>
          <w:rFonts w:ascii="Times New Roman;sans-serif" w:hAnsi="Times New Roman;sans-serif"/>
          <w:b w:val="false"/>
          <w:i/>
          <w:color w:val="000000"/>
          <w:sz w:val="20"/>
        </w:rPr>
        <w:t>Current portion of tax receivable agreements liability</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Tax receivable agreements liability, net of current portion,</w:t>
      </w:r>
      <w:r>
        <w:rPr>
          <w:color w:val="000000"/>
        </w:rPr>
        <w:t xml:space="preserve"> </w:t>
      </w:r>
      <w:r>
        <w:rPr>
          <w:rFonts w:ascii="Times New Roman;sans-serif" w:hAnsi="Times New Roman;sans-serif"/>
          <w:b w:val="false"/>
          <w:color w:val="000000"/>
          <w:sz w:val="20"/>
        </w:rPr>
        <w:t xml:space="preserve">respectively. Subsequent changes to the measurement of the TRA liability are recognized on our Consolidated Statements of Operations as a component of </w:t>
      </w: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Refer to Note 15 - Tax Receivable Agreements for further details on the TRA liability.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condensed consolidated statement of operations in the period that includes the enactment date.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need for valuation allowances is regularly evaluated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11505"/>
                <wp:effectExtent l="0" t="0" r="0" b="0"/>
                <wp:wrapNone/>
                <wp:docPr id="23" name="Frame23"/>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the provision for (benefit from) income taxes.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Equity-Based Compensation Expense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grants incentive awards to employees and non-employees, which generally vest over periods up to four years. Incentive awards may be in the form of various equity-based awards such as Restricted Stock and Restricted Stock Units, and Common Stock Options. Historically, the Company also granted awards in one of the Company’s legacy subsidiary partnerships and such awards were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was determined by reference to the closing price of our Class A common stock from the preceding trading day. The holders of profits interests had the right to participate in distributions of profits only in excess of the participation threshold. Previously awarded profits interests were converted into Restricted Stock awards in connection with the Holding Company Reorganization (refer to Note 1 - Organization and Background).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the Company’s Employee Stock Purchase Plan is measured at the estimated fair value using the Black-Scholes option pricing model using the estimated number of awards as of the beginning of the offering period.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11505"/>
                <wp:effectExtent l="0" t="0" r="0" b="0"/>
                <wp:wrapNone/>
                <wp:docPr id="24" name="Frame24"/>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Board of Directors authorized a program to repurchase up to $100.0 million of the Company’s Common Stock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at its discretion and depend on a variety of factors, including legal requirements, price and economic and market conditions.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repurchased and subsequently retired 1,058,291 shares of Common Stock at an average price of $22.99, for an aggregate $24.3 million. As of March 31, 2023, $75.7 million remained available and authorized for repurchases under the Share Repurchase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3 - Revenue from Contracts with Customers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comprised the following service offerings:</w:t>
      </w:r>
    </w:p>
    <w:tbl>
      <w:tblPr>
        <w:tblW w:w="4124" w:type="dxa"/>
        <w:jc w:val="left"/>
        <w:tblInd w:w="0" w:type="dxa"/>
        <w:tblCellMar>
          <w:top w:w="28" w:type="dxa"/>
          <w:left w:w="28" w:type="dxa"/>
          <w:bottom w:w="28" w:type="dxa"/>
          <w:right w:w="28" w:type="dxa"/>
        </w:tblCellMar>
      </w:tblPr>
      <w:tblGrid>
        <w:gridCol w:w="450"/>
        <w:gridCol w:w="395"/>
        <w:gridCol w:w="399"/>
        <w:gridCol w:w="230"/>
        <w:gridCol w:w="672"/>
        <w:gridCol w:w="119"/>
        <w:gridCol w:w="119"/>
        <w:gridCol w:w="119"/>
        <w:gridCol w:w="119"/>
        <w:gridCol w:w="230"/>
        <w:gridCol w:w="672"/>
        <w:gridCol w:w="119"/>
        <w:gridCol w:w="109"/>
        <w:gridCol w:w="109"/>
        <w:gridCol w:w="109"/>
        <w:gridCol w:w="154"/>
      </w:tblGrid>
      <w:tr>
        <w:trPr/>
        <w:tc>
          <w:tcPr>
            <w:tcW w:w="45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Usage-based</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is comprised largely of implementation and professional services fees. We recognize other revenue as services are delivered.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revenue recognized in the three months ended March 31, 2023 and 2022, $213.3 million and $172.6 million were included in the unearned revenue balance as of December 31, 2022 and 2021, respectively. Revenue recognized from performance obligations satisfied (or partially satisfied) in previous periods was not material.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derived from customers and partners located outside the United States, as determined based on the address provided by our customers and partners, accounted for approximately 13% and 12% of our total revenues for the three months ended March 31, 2023 and 2022, respectively. Contracts denominated in currencies other than U.S. Dollar were not material for the three months ended March 31, 2023 and 2022.</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Contract Assets and Unearned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11505"/>
                <wp:effectExtent l="0" t="0" r="0" b="0"/>
                <wp:wrapNone/>
                <wp:docPr id="25" name="Frame25"/>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3 - Revenue from Contracts with Customers (continued)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by our customers. The amount of revenue recognized reflects the consideration the Company expects to be entitled to receive in exchange for these services.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pStyle w:val="TextBody"/>
        <w:spacing w:lineRule="auto" w:line="288" w:before="0" w:after="180"/>
        <w:ind w:left="0" w:right="0" w:firstLine="360"/>
        <w:jc w:val="both"/>
        <w:rPr/>
      </w:pPr>
      <w:r>
        <w:rPr>
          <w:rFonts w:ascii="Times New Roman;sans-serif" w:hAnsi="Times New Roman;sans-serif"/>
          <w:b w:val="false"/>
          <w:color w:val="000000"/>
          <w:sz w:val="20"/>
        </w:rPr>
        <w:t>As of March 31, 2023 and December 31, 2022, the Company had contract assets of $5.6 million and $5.7 million, respectively, which are recorded as current assets within</w:t>
      </w:r>
      <w:r>
        <w:rPr>
          <w:color w:val="000000"/>
        </w:rPr>
        <w:t xml:space="preserve">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on our Consolidated Balance Sheets. As of March 31, 2023 and December 31, 2022, the Company had unearned revenue of $451.4 million and $419.9 million, respectively.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performance obligations consisted of the following:</w:t>
      </w:r>
    </w:p>
    <w:tbl>
      <w:tblPr>
        <w:tblW w:w="6705" w:type="dxa"/>
        <w:jc w:val="left"/>
        <w:tblInd w:w="0" w:type="dxa"/>
        <w:tblCellMar>
          <w:top w:w="28" w:type="dxa"/>
          <w:left w:w="28" w:type="dxa"/>
          <w:bottom w:w="28" w:type="dxa"/>
          <w:right w:w="28" w:type="dxa"/>
        </w:tblCellMar>
      </w:tblPr>
      <w:tblGrid>
        <w:gridCol w:w="680"/>
        <w:gridCol w:w="595"/>
        <w:gridCol w:w="600"/>
        <w:gridCol w:w="473"/>
        <w:gridCol w:w="1382"/>
        <w:gridCol w:w="244"/>
        <w:gridCol w:w="109"/>
        <w:gridCol w:w="109"/>
        <w:gridCol w:w="109"/>
        <w:gridCol w:w="213"/>
        <w:gridCol w:w="622"/>
        <w:gridCol w:w="111"/>
        <w:gridCol w:w="109"/>
        <w:gridCol w:w="109"/>
        <w:gridCol w:w="109"/>
        <w:gridCol w:w="211"/>
        <w:gridCol w:w="766"/>
        <w:gridCol w:w="154"/>
      </w:tblGrid>
      <w:tr>
        <w:trPr/>
        <w:tc>
          <w:tcPr>
            <w:tcW w:w="680"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Recognized within one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w:t>
            </w:r>
          </w:p>
        </w:tc>
        <w:tc>
          <w:tcPr>
            <w:tcW w:w="47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4 - Business Combinations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2022 Acquisitions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acquired all the outstanding equity interests of Comparably, Inc. (“Comparably”) and acquired substantially all the assets and certain specified liabilities of Dogpatch Advisors, LLC (“Dogpatch”) (collectively, the “2022 Acquired Companies”) for a total purchase consideration of $150.6 million in cash and $10.0 million in convertible notes receivable. As part of the acquisitions, the Company issued 448,740 restricted stock units at a total grant date fair value of $26.8 million and could be required to issue additional equity awards up to a maximum value of $3.7 million based on the attainment of certain revenue thresholds and the continued employment of acquired employees. The acquisition of Comparably provides ZoomInfo with unique proprietary data to further build TalentOS into a best-in-class talent platform by enriching recruiter search options and providing recruiters with access to millions of quality candidates and employer brand solutions. We acquired Dogpatch Advisors to launch ZoomInfo Labs, a new go-to-market thought leadership team, driving go-to-market data analysis, product enhancements and strategy for our enterprise customers. Dogpatch is a go-to-market consultancy with expertise in scaling revenue teams and building modern sales and marketing systems. The purchase accounting for the 2022 Acquired Companies transactions has been finalized.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the financial results of the 2022 Acquired Companies in the consolidated financial statements from each date of acquisition. Due to the integration of the 2022 Acquired Companies into the operations of ZoomInfo, the Company cannot practicably determine the contribution of the 2022 Acquired Companies to consolidated net earnings. Transaction costs associated with each acquisition were not material.</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11505"/>
                <wp:effectExtent l="0" t="0" r="0" b="0"/>
                <wp:wrapNone/>
                <wp:docPr id="26" name="Frame26"/>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4 - Business Combinations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the total consideration transferred was comprised of the following (in millions):</w:t>
      </w:r>
    </w:p>
    <w:tbl>
      <w:tblPr>
        <w:tblW w:w="10205" w:type="dxa"/>
        <w:jc w:val="left"/>
        <w:tblInd w:w="0" w:type="dxa"/>
        <w:tblCellMar>
          <w:top w:w="28" w:type="dxa"/>
          <w:left w:w="28" w:type="dxa"/>
          <w:bottom w:w="28" w:type="dxa"/>
          <w:right w:w="28" w:type="dxa"/>
        </w:tblCellMar>
      </w:tblPr>
      <w:tblGrid>
        <w:gridCol w:w="851"/>
        <w:gridCol w:w="708"/>
        <w:gridCol w:w="719"/>
        <w:gridCol w:w="591"/>
        <w:gridCol w:w="1727"/>
        <w:gridCol w:w="306"/>
        <w:gridCol w:w="109"/>
        <w:gridCol w:w="109"/>
        <w:gridCol w:w="109"/>
        <w:gridCol w:w="624"/>
        <w:gridCol w:w="1202"/>
        <w:gridCol w:w="324"/>
        <w:gridCol w:w="109"/>
        <w:gridCol w:w="109"/>
        <w:gridCol w:w="109"/>
        <w:gridCol w:w="536"/>
        <w:gridCol w:w="1567"/>
        <w:gridCol w:w="396"/>
      </w:tblGrid>
      <w:tr>
        <w:trPr/>
        <w:tc>
          <w:tcPr>
            <w:tcW w:w="85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72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2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Fair Value at Acquisition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Fair Value at Acquisition Date</w:t>
            </w:r>
          </w:p>
        </w:tc>
      </w:tr>
      <w:tr>
        <w:trPr/>
        <w:tc>
          <w:tcPr>
            <w:tcW w:w="227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59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Note Receivable</w:t>
            </w:r>
          </w:p>
        </w:tc>
        <w:tc>
          <w:tcPr>
            <w:tcW w:w="23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5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3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3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aggregate fair values of the assets acquired and liabilities assumed, as of the dates of the acquisition for the 2022 Acquired Companies (in millions):</w:t>
      </w:r>
    </w:p>
    <w:tbl>
      <w:tblPr>
        <w:tblW w:w="10205" w:type="dxa"/>
        <w:jc w:val="left"/>
        <w:tblInd w:w="0" w:type="dxa"/>
        <w:tblCellMar>
          <w:top w:w="28" w:type="dxa"/>
          <w:left w:w="28" w:type="dxa"/>
          <w:bottom w:w="28" w:type="dxa"/>
          <w:right w:w="28" w:type="dxa"/>
        </w:tblCellMar>
      </w:tblPr>
      <w:tblGrid>
        <w:gridCol w:w="1456"/>
        <w:gridCol w:w="1198"/>
        <w:gridCol w:w="1205"/>
        <w:gridCol w:w="452"/>
        <w:gridCol w:w="1321"/>
        <w:gridCol w:w="234"/>
        <w:gridCol w:w="109"/>
        <w:gridCol w:w="109"/>
        <w:gridCol w:w="109"/>
        <w:gridCol w:w="508"/>
        <w:gridCol w:w="978"/>
        <w:gridCol w:w="263"/>
        <w:gridCol w:w="109"/>
        <w:gridCol w:w="109"/>
        <w:gridCol w:w="109"/>
        <w:gridCol w:w="415"/>
        <w:gridCol w:w="1212"/>
        <w:gridCol w:w="309"/>
      </w:tblGrid>
      <w:tr>
        <w:trPr/>
        <w:tc>
          <w:tcPr>
            <w:tcW w:w="1456"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3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Fair Value at Acquisition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Fair Value at Acquisition Date</w:t>
            </w:r>
          </w:p>
        </w:tc>
      </w:tr>
      <w:tr>
        <w:trPr/>
        <w:tc>
          <w:tcPr>
            <w:tcW w:w="3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5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7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7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7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liabilities</w:t>
            </w:r>
          </w:p>
        </w:tc>
        <w:tc>
          <w:tcPr>
            <w:tcW w:w="17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7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7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 acquired</w:t>
            </w:r>
          </w:p>
        </w:tc>
        <w:tc>
          <w:tcPr>
            <w:tcW w:w="177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7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177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w:t>
            </w:r>
          </w:p>
        </w:tc>
        <w:tc>
          <w:tcPr>
            <w:tcW w:w="17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auto" w:val="clear"/>
            <w:vAlign w:val="center"/>
          </w:tcPr>
          <w:p>
            <w:pPr>
              <w:pStyle w:val="TableContents"/>
              <w:spacing w:before="0" w:after="283"/>
              <w:rPr>
                <w:sz w:val="4"/>
                <w:szCs w:val="4"/>
              </w:rPr>
            </w:pPr>
            <w:r>
              <w:rPr>
                <w:sz w:val="4"/>
                <w:szCs w:val="4"/>
              </w:rPr>
            </w:r>
          </w:p>
        </w:tc>
        <w:tc>
          <w:tcPr>
            <w:tcW w:w="2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6" w:type="dxa"/>
            <w:gridSpan w:val="3"/>
            <w:tcBorders/>
            <w:shd w:fill="auto" w:val="clear"/>
            <w:vAlign w:val="center"/>
          </w:tcPr>
          <w:p>
            <w:pPr>
              <w:pStyle w:val="TableContents"/>
              <w:spacing w:before="0" w:after="283"/>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45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(refunds received) for 2021 acquisitions in 2022 (see "2021 Acquisitions")</w:t>
            </w:r>
          </w:p>
        </w:tc>
        <w:tc>
          <w:tcPr>
            <w:tcW w:w="20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for acquisitions in 2022</w:t>
            </w:r>
          </w:p>
        </w:tc>
        <w:tc>
          <w:tcPr>
            <w:tcW w:w="2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3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Comparably acquisition may be subject to change as additional information is received regarding working capital balances at the acquisition date, and the values of the identifiable intangible assets.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11505"/>
                <wp:effectExtent l="0" t="0" r="0" b="0"/>
                <wp:wrapNone/>
                <wp:docPr id="27" name="Frame27"/>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4 - Business Combinations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identifiable intangible assets acquired and the estimated useful lives as of the dates of acquisition (in millions):</w:t>
      </w:r>
    </w:p>
    <w:tbl>
      <w:tblPr>
        <w:tblW w:w="10205" w:type="dxa"/>
        <w:jc w:val="left"/>
        <w:tblInd w:w="0" w:type="dxa"/>
        <w:tblCellMar>
          <w:top w:w="28" w:type="dxa"/>
          <w:left w:w="28" w:type="dxa"/>
          <w:bottom w:w="28" w:type="dxa"/>
          <w:right w:w="28" w:type="dxa"/>
        </w:tblCellMar>
      </w:tblPr>
      <w:tblGrid>
        <w:gridCol w:w="660"/>
        <w:gridCol w:w="523"/>
        <w:gridCol w:w="524"/>
        <w:gridCol w:w="536"/>
        <w:gridCol w:w="1304"/>
        <w:gridCol w:w="280"/>
        <w:gridCol w:w="109"/>
        <w:gridCol w:w="109"/>
        <w:gridCol w:w="109"/>
        <w:gridCol w:w="529"/>
        <w:gridCol w:w="1019"/>
        <w:gridCol w:w="274"/>
        <w:gridCol w:w="109"/>
        <w:gridCol w:w="109"/>
        <w:gridCol w:w="109"/>
        <w:gridCol w:w="500"/>
        <w:gridCol w:w="1215"/>
        <w:gridCol w:w="261"/>
        <w:gridCol w:w="109"/>
        <w:gridCol w:w="109"/>
        <w:gridCol w:w="109"/>
        <w:gridCol w:w="465"/>
        <w:gridCol w:w="465"/>
        <w:gridCol w:w="669"/>
      </w:tblGrid>
      <w:tr>
        <w:trPr/>
        <w:tc>
          <w:tcPr>
            <w:tcW w:w="66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Fair Value at Acquisition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Fair Value at Acquisition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w:t>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Technology</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 years</w:t>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 years</w:t>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 / Trademarks</w:t>
            </w:r>
          </w:p>
        </w:tc>
        <w:tc>
          <w:tcPr>
            <w:tcW w:w="18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 years</w:t>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5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twelve months ended December 31, 2022 is expected to be deductible for U.S. income tax purposes.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 forma information related to the acquisitions has not been presented as the impact was not material to the Company’s financial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5 - Cash, Cash Equivalents, and Short-term Investments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short-term investments consisted of the following as of March 31, 2023:</w:t>
      </w:r>
    </w:p>
    <w:tbl>
      <w:tblPr>
        <w:tblW w:w="10205" w:type="dxa"/>
        <w:jc w:val="left"/>
        <w:tblInd w:w="0" w:type="dxa"/>
        <w:tblCellMar>
          <w:top w:w="28" w:type="dxa"/>
          <w:left w:w="28" w:type="dxa"/>
          <w:bottom w:w="28" w:type="dxa"/>
          <w:right w:w="28" w:type="dxa"/>
        </w:tblCellMar>
      </w:tblPr>
      <w:tblGrid>
        <w:gridCol w:w="1485"/>
        <w:gridCol w:w="1242"/>
        <w:gridCol w:w="1238"/>
        <w:gridCol w:w="265"/>
        <w:gridCol w:w="777"/>
        <w:gridCol w:w="137"/>
        <w:gridCol w:w="109"/>
        <w:gridCol w:w="109"/>
        <w:gridCol w:w="109"/>
        <w:gridCol w:w="363"/>
        <w:gridCol w:w="700"/>
        <w:gridCol w:w="189"/>
        <w:gridCol w:w="109"/>
        <w:gridCol w:w="109"/>
        <w:gridCol w:w="109"/>
        <w:gridCol w:w="362"/>
        <w:gridCol w:w="725"/>
        <w:gridCol w:w="188"/>
        <w:gridCol w:w="109"/>
        <w:gridCol w:w="109"/>
        <w:gridCol w:w="109"/>
        <w:gridCol w:w="332"/>
        <w:gridCol w:w="970"/>
        <w:gridCol w:w="251"/>
      </w:tblGrid>
      <w:tr>
        <w:trPr/>
        <w:tc>
          <w:tcPr>
            <w:tcW w:w="1485"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9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1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7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7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10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4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04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79"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10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governmental securities</w:t>
            </w:r>
          </w:p>
        </w:tc>
        <w:tc>
          <w:tcPr>
            <w:tcW w:w="10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04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short-term investments</w:t>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11505"/>
                <wp:effectExtent l="0" t="0" r="0" b="0"/>
                <wp:wrapNone/>
                <wp:docPr id="28" name="Frame28"/>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Note 5 - Cash, Cash Equivalents, and Short-term Investments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short-term investments consisted of the following as of December 31, 2022:</w:t>
      </w:r>
    </w:p>
    <w:tbl>
      <w:tblPr>
        <w:tblW w:w="10205" w:type="dxa"/>
        <w:jc w:val="left"/>
        <w:tblInd w:w="0" w:type="dxa"/>
        <w:tblCellMar>
          <w:top w:w="28" w:type="dxa"/>
          <w:left w:w="28" w:type="dxa"/>
          <w:bottom w:w="28" w:type="dxa"/>
          <w:right w:w="28" w:type="dxa"/>
        </w:tblCellMar>
      </w:tblPr>
      <w:tblGrid>
        <w:gridCol w:w="1463"/>
        <w:gridCol w:w="1248"/>
        <w:gridCol w:w="1245"/>
        <w:gridCol w:w="266"/>
        <w:gridCol w:w="778"/>
        <w:gridCol w:w="137"/>
        <w:gridCol w:w="109"/>
        <w:gridCol w:w="109"/>
        <w:gridCol w:w="109"/>
        <w:gridCol w:w="363"/>
        <w:gridCol w:w="701"/>
        <w:gridCol w:w="189"/>
        <w:gridCol w:w="109"/>
        <w:gridCol w:w="109"/>
        <w:gridCol w:w="109"/>
        <w:gridCol w:w="363"/>
        <w:gridCol w:w="727"/>
        <w:gridCol w:w="189"/>
        <w:gridCol w:w="109"/>
        <w:gridCol w:w="109"/>
        <w:gridCol w:w="109"/>
        <w:gridCol w:w="333"/>
        <w:gridCol w:w="973"/>
        <w:gridCol w:w="249"/>
      </w:tblGrid>
      <w:tr>
        <w:trPr/>
        <w:tc>
          <w:tcPr>
            <w:tcW w:w="1463"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1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8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4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10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104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4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24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04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4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10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government securities</w:t>
            </w:r>
          </w:p>
        </w:tc>
        <w:tc>
          <w:tcPr>
            <w:tcW w:w="104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04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24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short-term investments</w:t>
            </w:r>
          </w:p>
        </w:tc>
        <w:tc>
          <w:tcPr>
            <w:tcW w:w="2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Refer to Note 10 - Fair Value for further information regarding the fair value of our financial instruments.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unrealized losses on our available-for sale securities were immaterial at March 31, 2023 and December 31, 2022.</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cost and estimated fair value of the securities classified as short-term investments based on stated effective maturities as of March 31, 2023 and December 31, 2022:</w:t>
      </w:r>
    </w:p>
    <w:tbl>
      <w:tblPr>
        <w:tblW w:w="8897" w:type="dxa"/>
        <w:jc w:val="left"/>
        <w:tblInd w:w="0" w:type="dxa"/>
        <w:tblCellMar>
          <w:top w:w="28" w:type="dxa"/>
          <w:left w:w="28" w:type="dxa"/>
          <w:bottom w:w="28" w:type="dxa"/>
          <w:right w:w="28" w:type="dxa"/>
        </w:tblCellMar>
      </w:tblPr>
      <w:tblGrid>
        <w:gridCol w:w="636"/>
        <w:gridCol w:w="557"/>
        <w:gridCol w:w="562"/>
        <w:gridCol w:w="109"/>
        <w:gridCol w:w="109"/>
        <w:gridCol w:w="109"/>
        <w:gridCol w:w="280"/>
        <w:gridCol w:w="820"/>
        <w:gridCol w:w="145"/>
        <w:gridCol w:w="109"/>
        <w:gridCol w:w="109"/>
        <w:gridCol w:w="109"/>
        <w:gridCol w:w="372"/>
        <w:gridCol w:w="1086"/>
        <w:gridCol w:w="192"/>
        <w:gridCol w:w="109"/>
        <w:gridCol w:w="109"/>
        <w:gridCol w:w="109"/>
        <w:gridCol w:w="280"/>
        <w:gridCol w:w="820"/>
        <w:gridCol w:w="145"/>
        <w:gridCol w:w="109"/>
        <w:gridCol w:w="109"/>
        <w:gridCol w:w="109"/>
        <w:gridCol w:w="364"/>
        <w:gridCol w:w="1064"/>
        <w:gridCol w:w="266"/>
      </w:tblGrid>
      <w:tr>
        <w:trPr/>
        <w:tc>
          <w:tcPr>
            <w:tcW w:w="63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6"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2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6 - Property and Equipment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fixed assets consist of the following (in millions):</w:t>
      </w:r>
    </w:p>
    <w:tbl>
      <w:tblPr>
        <w:tblW w:w="5005" w:type="dxa"/>
        <w:jc w:val="left"/>
        <w:tblInd w:w="0" w:type="dxa"/>
        <w:tblCellMar>
          <w:top w:w="28" w:type="dxa"/>
          <w:left w:w="28" w:type="dxa"/>
          <w:bottom w:w="28" w:type="dxa"/>
          <w:right w:w="28" w:type="dxa"/>
        </w:tblCellMar>
      </w:tblPr>
      <w:tblGrid>
        <w:gridCol w:w="972"/>
        <w:gridCol w:w="853"/>
        <w:gridCol w:w="859"/>
        <w:gridCol w:w="217"/>
        <w:gridCol w:w="526"/>
        <w:gridCol w:w="112"/>
        <w:gridCol w:w="109"/>
        <w:gridCol w:w="109"/>
        <w:gridCol w:w="109"/>
        <w:gridCol w:w="274"/>
        <w:gridCol w:w="665"/>
        <w:gridCol w:w="200"/>
      </w:tblGrid>
      <w:tr>
        <w:trPr/>
        <w:tc>
          <w:tcPr>
            <w:tcW w:w="97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7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7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developed software</w:t>
            </w:r>
          </w:p>
        </w:tc>
        <w:tc>
          <w:tcPr>
            <w:tcW w:w="7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7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74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7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11505"/>
                <wp:effectExtent l="0" t="0" r="0" b="0"/>
                <wp:wrapNone/>
                <wp:docPr id="29" name="Frame29"/>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6 - Property and Equipment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$4.8 million and $3.5 million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7 - Goodwill and Acquired Intangible Assets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March 31, 2023:</w:t>
      </w:r>
    </w:p>
    <w:tbl>
      <w:tblPr>
        <w:tblW w:w="10205" w:type="dxa"/>
        <w:jc w:val="left"/>
        <w:tblInd w:w="0" w:type="dxa"/>
        <w:tblCellMar>
          <w:top w:w="28" w:type="dxa"/>
          <w:left w:w="28" w:type="dxa"/>
          <w:bottom w:w="28" w:type="dxa"/>
          <w:right w:w="28" w:type="dxa"/>
        </w:tblCellMar>
      </w:tblPr>
      <w:tblGrid>
        <w:gridCol w:w="1013"/>
        <w:gridCol w:w="788"/>
        <w:gridCol w:w="796"/>
        <w:gridCol w:w="290"/>
        <w:gridCol w:w="1054"/>
        <w:gridCol w:w="149"/>
        <w:gridCol w:w="109"/>
        <w:gridCol w:w="109"/>
        <w:gridCol w:w="109"/>
        <w:gridCol w:w="351"/>
        <w:gridCol w:w="1056"/>
        <w:gridCol w:w="183"/>
        <w:gridCol w:w="109"/>
        <w:gridCol w:w="109"/>
        <w:gridCol w:w="109"/>
        <w:gridCol w:w="211"/>
        <w:gridCol w:w="766"/>
        <w:gridCol w:w="109"/>
        <w:gridCol w:w="109"/>
        <w:gridCol w:w="109"/>
        <w:gridCol w:w="109"/>
        <w:gridCol w:w="716"/>
        <w:gridCol w:w="716"/>
        <w:gridCol w:w="1026"/>
      </w:tblGrid>
      <w:tr>
        <w:trPr/>
        <w:tc>
          <w:tcPr>
            <w:tcW w:w="101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2597" w:type="dxa"/>
            <w:gridSpan w:val="3"/>
            <w:tcBorders/>
            <w:shd w:fill="auto" w:val="clear"/>
            <w:vAlign w:val="center"/>
          </w:tcPr>
          <w:p>
            <w:pPr>
              <w:pStyle w:val="TableContents"/>
              <w:spacing w:before="0" w:after="283"/>
              <w:rPr>
                <w:sz w:val="4"/>
                <w:szCs w:val="4"/>
              </w:rPr>
            </w:pPr>
            <w:r>
              <w:rPr>
                <w:sz w:val="4"/>
                <w:szCs w:val="4"/>
              </w:rPr>
            </w:r>
          </w:p>
        </w:tc>
        <w:tc>
          <w:tcPr>
            <w:tcW w:w="14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4198" w:type="dxa"/>
            <w:gridSpan w:val="12"/>
            <w:tcBorders/>
            <w:shd w:fill="auto" w:val="clear"/>
          </w:tcPr>
          <w:p>
            <w:pPr>
              <w:pStyle w:val="TableContents"/>
              <w:spacing w:before="0" w:after="283"/>
              <w:rPr>
                <w:sz w:val="4"/>
                <w:szCs w:val="4"/>
              </w:rPr>
            </w:pPr>
            <w:r>
              <w:rPr>
                <w:sz w:val="4"/>
                <w:szCs w:val="4"/>
              </w:rPr>
            </w:r>
          </w:p>
        </w:tc>
      </w:tr>
      <w:tr>
        <w:trPr/>
        <w:tc>
          <w:tcPr>
            <w:tcW w:w="25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49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Amortization Period in Years</w:t>
            </w:r>
          </w:p>
        </w:tc>
      </w:tr>
      <w:tr>
        <w:trPr/>
        <w:tc>
          <w:tcPr>
            <w:tcW w:w="2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49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9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2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34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2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portfolio</w:t>
            </w:r>
          </w:p>
        </w:tc>
        <w:tc>
          <w:tcPr>
            <w:tcW w:w="13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2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intangible assets subject to amortization</w:t>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14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Pre-Acquisition ZI brand portfolio</w:t>
            </w:r>
          </w:p>
        </w:tc>
        <w:tc>
          <w:tcPr>
            <w:tcW w:w="29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9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$16.1 million and $16.5 million for the three months ended March 31, 2023 and 2022, respectively.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$1,692.7 million as of March 31, 2023. There have been no changes to goodwill amounts since December 31, 2022.</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Company’s impairment assessment, the Company did not recognize any impairment of goodwill during the three months ended March 31, 2023 or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8 - Financing Arrangements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carrying values of the Company’s borrowings were as follows (in millions):</w:t>
      </w:r>
    </w:p>
    <w:tbl>
      <w:tblPr>
        <w:tblW w:w="10205" w:type="dxa"/>
        <w:jc w:val="left"/>
        <w:tblInd w:w="0" w:type="dxa"/>
        <w:tblCellMar>
          <w:top w:w="28" w:type="dxa"/>
          <w:left w:w="28" w:type="dxa"/>
          <w:bottom w:w="28" w:type="dxa"/>
          <w:right w:w="28" w:type="dxa"/>
        </w:tblCellMar>
      </w:tblPr>
      <w:tblGrid>
        <w:gridCol w:w="724"/>
        <w:gridCol w:w="634"/>
        <w:gridCol w:w="639"/>
        <w:gridCol w:w="109"/>
        <w:gridCol w:w="109"/>
        <w:gridCol w:w="109"/>
        <w:gridCol w:w="450"/>
        <w:gridCol w:w="413"/>
        <w:gridCol w:w="414"/>
        <w:gridCol w:w="109"/>
        <w:gridCol w:w="109"/>
        <w:gridCol w:w="109"/>
        <w:gridCol w:w="462"/>
        <w:gridCol w:w="443"/>
        <w:gridCol w:w="445"/>
        <w:gridCol w:w="109"/>
        <w:gridCol w:w="109"/>
        <w:gridCol w:w="109"/>
        <w:gridCol w:w="439"/>
        <w:gridCol w:w="439"/>
        <w:gridCol w:w="441"/>
        <w:gridCol w:w="109"/>
        <w:gridCol w:w="109"/>
        <w:gridCol w:w="109"/>
        <w:gridCol w:w="234"/>
        <w:gridCol w:w="850"/>
        <w:gridCol w:w="120"/>
        <w:gridCol w:w="109"/>
        <w:gridCol w:w="109"/>
        <w:gridCol w:w="109"/>
        <w:gridCol w:w="263"/>
        <w:gridCol w:w="959"/>
        <w:gridCol w:w="201"/>
      </w:tblGrid>
      <w:tr>
        <w:trPr/>
        <w:tc>
          <w:tcPr>
            <w:tcW w:w="72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 as of</w:t>
            </w:r>
          </w:p>
        </w:tc>
      </w:tr>
      <w:tr>
        <w:trPr/>
        <w:tc>
          <w:tcPr>
            <w:tcW w:w="199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 of Issuance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Elected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199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Revolver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1,235.7 </w:t>
            </w:r>
          </w:p>
        </w:tc>
        <w:tc>
          <w:tcPr>
            <w:tcW w:w="20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 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1,229.0 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11505"/>
                <wp:effectExtent l="0" t="0" r="0" b="0"/>
                <wp:wrapNone/>
                <wp:docPr id="30" name="Frame30"/>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8 - Financing Arrangements (continued)</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First Lien Credit Agreement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incur additional indebtedness;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create or incur liens;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engage in certain fundamental changes, including mergers or consolidations;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sell or transfer assets;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pay dividends and distributions on our subsidiaries’ capital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make acquisitions, investments, loans or advances;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engage in certain transactions with affiliates;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negative pledge clauses and clauses restricting subsidiary distributions.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Company amended the First Lien Credit Agreement by converting the interest rate for both the first lien term loan and the first lien revolving credit facility from LIBOR plus the applicable spread to SOFR plus a credit spread adjustment of 0.1% and the applicable spread. No other terms, including the amount of borrowing or the maturity date, were changed as a result of this amendment.</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Term Loan</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In February 2023, we entered into an amendment to our existing First Lien Credit Agreement (the “Fifth Amendment”), pursuant to which the Company completed a repricing of its First Lien Term Loan Facility, which provided for an extension of the maturity date to February 28, 2030. The first lien term debt has a variable interest rate whereby the Company can elect to use a Base Rate or SOFR plus an applicable rate. Pursuant to the Fifth Amendment, the applicable rate decreased for Base Rate loans from 2.00% to 1.75% and from 3.10% to 2.85% for SOFR based loans. The Company recognized an immaterial loss in connection with the repricing in the three months ended March 31, 2023 within </w:t>
      </w:r>
      <w:r>
        <w:rPr>
          <w:rFonts w:ascii="Times New Roman;sans-serif" w:hAnsi="Times New Roman;sans-serif"/>
          <w:b w:val="false"/>
          <w:i/>
          <w:color w:val="000000"/>
          <w:sz w:val="20"/>
        </w:rPr>
        <w:t>Loss on debt modification and extinguishment</w:t>
      </w:r>
      <w:r>
        <w:rPr>
          <w:color w:val="000000"/>
        </w:rPr>
        <w:t xml:space="preserve"> </w:t>
      </w:r>
      <w:r>
        <w:rPr>
          <w:rFonts w:ascii="Times New Roman;sans-serif" w:hAnsi="Times New Roman;sans-serif"/>
          <w:b w:val="false"/>
          <w:color w:val="000000"/>
          <w:sz w:val="20"/>
        </w:rPr>
        <w:t>on the Consolidated Statements of Operations. Under the terms of the Fifth Amendment, the Company is obligated to make principal payments in the amount of 0.25% of the aggregate outstanding amount each quarter.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on the first lien debt was 7.36% and 7.38% as of March 31, 2023 and December 31, 2022, respectively.</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11505"/>
                <wp:effectExtent l="0" t="0" r="0" b="0"/>
                <wp:wrapNone/>
                <wp:docPr id="31" name="Frame31"/>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8 - Financing Arrangements (continued)</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Revolving Credit Facility</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Pursuant to the Fifth Amendment, the Company also extended the maturity date of $213.0 million of our $250.0 million existing commitments of the first lien revolving credit facility to February 28, 2028. With respect to the $37.0 million commitments which were not extended, the maturity date is November 2, 2025. Debt issuance costs were incurred in connection with the repricing of the revolving credit facility. These debt issuance costs are amortized into interest expense over the expected life of the arrangement. Unamortized debt issuance costs included 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on our Consolidated Balance Sheets were immaterial as of March 31, 2023 and December 31, 2022.</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revolving debt has a variable interest rate whereby the Company can elect to use a Base Rate or SOFR, plus an applicable rate. The applicable margin is 1.00% to 1.25% for Base Rate loans or 2.10% to 2.35% for SOFR loans, depending on the Company’s leverage.</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ZoomInfo Technologies LLC and ZoomInfo Finance Corp., indirect subsidiaries of ZoomInfo Technologies Inc. (the “Issuers”),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price equal to the present value of the redemption price as of February 1, 2024, defined below, plus unaccrued and unpaid interest to February 1, 2024.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ZoomInfo Technologies LLC and ZoomInfo Finance Corp., indirect subsidiaries of ZoomInfo Technologies Inc., issued and sold $300.0 million in aggregate principal amount of additional 3.875% senior notes due in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9 - Derivatives and Hedging Activities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We recognize derivative instruments and hedging activities on a gross basis as either assets or liabilities on our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derivative is recognized in </w:t>
      </w:r>
      <w:r>
        <w:rPr>
          <w:rFonts w:ascii="Times New Roman;sans-serif" w:hAnsi="Times New Roman;sans-serif"/>
          <w:b w:val="false"/>
          <w:i/>
          <w:color w:val="000000"/>
          <w:sz w:val="20"/>
        </w:rPr>
        <w:t>Accumulated other comprehensive income (loss)</w:t>
      </w:r>
      <w:r>
        <w:rPr>
          <w:color w:val="000000"/>
        </w:rPr>
        <w:t xml:space="preserve"> </w:t>
      </w:r>
      <w:r>
        <w:rPr>
          <w:rFonts w:ascii="Times New Roman;sans-serif" w:hAnsi="Times New Roman;sans-serif"/>
          <w:b w:val="false"/>
          <w:color w:val="000000"/>
          <w:sz w:val="20"/>
        </w:rPr>
        <w:t xml:space="preserve">on our Consolidated Balance Sheets. To receive hedge accounting treatment, all hedging relationships are formally documented at the inception of the hedge, and the hedges must be highly effective in offsetting changes to future cash flows on hedged transactions. Gains and losses resulting from valuation adjustments on dedesignated portions of our derivative contract subsequent to dedesignation of hedge accounting are recorded within </w:t>
      </w:r>
      <w:r>
        <w:rPr>
          <w:rFonts w:ascii="Times New Roman;sans-serif" w:hAnsi="Times New Roman;sans-serif"/>
          <w:b w:val="false"/>
          <w:i/>
          <w:color w:val="000000"/>
          <w:sz w:val="20"/>
        </w:rPr>
        <w:t>Interest expense, net</w:t>
      </w:r>
      <w:r>
        <w:rPr>
          <w:color w:val="000000"/>
        </w:rPr>
        <w:t xml:space="preserve"> </w:t>
      </w:r>
      <w:r>
        <w:rPr>
          <w:rFonts w:ascii="Times New Roman;sans-serif" w:hAnsi="Times New Roman;sans-serif"/>
          <w:b w:val="false"/>
          <w:color w:val="000000"/>
          <w:sz w:val="20"/>
        </w:rPr>
        <w:t xml:space="preserve">on our Consolidated Statements of Operations. As it is not probable the forecasted transaction will not occur, the amounts in </w:t>
      </w:r>
      <w:r>
        <w:rPr>
          <w:rFonts w:ascii="Times New Roman;sans-serif" w:hAnsi="Times New Roman;sans-serif"/>
          <w:b w:val="false"/>
          <w:i/>
          <w:color w:val="000000"/>
          <w:sz w:val="20"/>
        </w:rPr>
        <w:t>Accumulated other comprehensive income (loss)</w:t>
      </w:r>
      <w:r>
        <w:rPr>
          <w:color w:val="000000"/>
        </w:rPr>
        <w:t xml:space="preserve"> </w:t>
      </w:r>
      <w:r>
        <w:rPr>
          <w:rFonts w:ascii="Times New Roman;sans-serif" w:hAnsi="Times New Roman;sans-serif"/>
          <w:b w:val="false"/>
          <w:color w:val="000000"/>
          <w:sz w:val="20"/>
        </w:rPr>
        <w:t>as of the date of dedesignation will be released based on our original forecast.</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11505"/>
                <wp:effectExtent l="0" t="0" r="0" b="0"/>
                <wp:wrapNone/>
                <wp:docPr id="32" name="Frame32"/>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Note 9 - Derivatives and Hedging Activities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two interest rate swap contracts in the notional amount of $350.0 million matured. Interest rate swaps in the notional amount of $500.0 million became effective in April 2022.</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In the third quarter of 2022, the Company sold $400.0 million of the notional amount of the interest rate cap contract which was not designated as an accounting hedge. We recognized a gain of $3.0 million, partially offset by the derecognition of $2.5 million of derivative assets, resulting from this sale within </w:t>
      </w:r>
      <w:r>
        <w:rPr>
          <w:rFonts w:ascii="Times New Roman;sans-serif" w:hAnsi="Times New Roman;sans-serif"/>
          <w:b w:val="false"/>
          <w:i/>
          <w:color w:val="000000"/>
          <w:sz w:val="20"/>
        </w:rPr>
        <w:t>Interest expense, net</w:t>
      </w:r>
      <w:r>
        <w:rPr>
          <w:color w:val="000000"/>
        </w:rPr>
        <w:t xml:space="preserve"> </w:t>
      </w:r>
      <w:r>
        <w:rPr>
          <w:rFonts w:ascii="Times New Roman;sans-serif" w:hAnsi="Times New Roman;sans-serif"/>
          <w:b w:val="false"/>
          <w:color w:val="000000"/>
          <w:sz w:val="20"/>
        </w:rPr>
        <w:t>on our Consolidated Statements of Operations.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 transitioned two interest rate swap contracts and one interest cap contract from LIBOR to SOFR by terminating the original transactions and simultaneously entering into new derivatives. The terms of the new derivatives were unchanged except for the index. The Company elected optional expedients to allow for this transition without any interruptions to the hedge accounting.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the following outstanding interest rate derivatives that were designated as cash flow hedges of interest rate risk ($ in millions):</w:t>
      </w:r>
    </w:p>
    <w:tbl>
      <w:tblPr>
        <w:tblW w:w="10205" w:type="dxa"/>
        <w:jc w:val="left"/>
        <w:tblInd w:w="0" w:type="dxa"/>
        <w:tblCellMar>
          <w:top w:w="28" w:type="dxa"/>
          <w:left w:w="28" w:type="dxa"/>
          <w:bottom w:w="28" w:type="dxa"/>
          <w:right w:w="28" w:type="dxa"/>
        </w:tblCellMar>
      </w:tblPr>
      <w:tblGrid>
        <w:gridCol w:w="700"/>
        <w:gridCol w:w="616"/>
        <w:gridCol w:w="621"/>
        <w:gridCol w:w="109"/>
        <w:gridCol w:w="109"/>
        <w:gridCol w:w="109"/>
        <w:gridCol w:w="521"/>
        <w:gridCol w:w="521"/>
        <w:gridCol w:w="523"/>
        <w:gridCol w:w="109"/>
        <w:gridCol w:w="109"/>
        <w:gridCol w:w="109"/>
        <w:gridCol w:w="533"/>
        <w:gridCol w:w="1558"/>
        <w:gridCol w:w="275"/>
        <w:gridCol w:w="109"/>
        <w:gridCol w:w="109"/>
        <w:gridCol w:w="109"/>
        <w:gridCol w:w="427"/>
        <w:gridCol w:w="364"/>
        <w:gridCol w:w="881"/>
        <w:gridCol w:w="109"/>
        <w:gridCol w:w="109"/>
        <w:gridCol w:w="109"/>
        <w:gridCol w:w="393"/>
        <w:gridCol w:w="393"/>
        <w:gridCol w:w="571"/>
      </w:tblGrid>
      <w:tr>
        <w:trPr/>
        <w:tc>
          <w:tcPr>
            <w:tcW w:w="70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19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Derivatives</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 Aggregate 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Interest Cap / Swap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r>
      <w:tr>
        <w:trPr/>
        <w:tc>
          <w:tcPr>
            <w:tcW w:w="193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8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r>
      <w:tr>
        <w:trPr/>
        <w:tc>
          <w:tcPr>
            <w:tcW w:w="193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0.370 </w:t>
            </w:r>
          </w:p>
        </w:tc>
        <w:tc>
          <w:tcPr>
            <w:tcW w:w="8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30, 2026</w:t>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and presentation on our Consolidated Balance Sheets for derivatives as of March 31, 2023 and December 31, 2022 (in millions):</w:t>
      </w:r>
    </w:p>
    <w:tbl>
      <w:tblPr>
        <w:tblW w:w="10019" w:type="dxa"/>
        <w:jc w:val="left"/>
        <w:tblInd w:w="0" w:type="dxa"/>
        <w:tblCellMar>
          <w:top w:w="28" w:type="dxa"/>
          <w:left w:w="28" w:type="dxa"/>
          <w:bottom w:w="28" w:type="dxa"/>
          <w:right w:w="28" w:type="dxa"/>
        </w:tblCellMar>
      </w:tblPr>
      <w:tblGrid>
        <w:gridCol w:w="1412"/>
        <w:gridCol w:w="1236"/>
        <w:gridCol w:w="1251"/>
        <w:gridCol w:w="109"/>
        <w:gridCol w:w="109"/>
        <w:gridCol w:w="109"/>
        <w:gridCol w:w="464"/>
        <w:gridCol w:w="1125"/>
        <w:gridCol w:w="240"/>
        <w:gridCol w:w="240"/>
        <w:gridCol w:w="240"/>
        <w:gridCol w:w="240"/>
        <w:gridCol w:w="240"/>
        <w:gridCol w:w="1501"/>
        <w:gridCol w:w="342"/>
        <w:gridCol w:w="829"/>
        <w:gridCol w:w="178"/>
        <w:gridCol w:w="154"/>
      </w:tblGrid>
      <w:tr>
        <w:trPr/>
        <w:tc>
          <w:tcPr>
            <w:tcW w:w="1412"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7"/>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Derivative Instruments</w:t>
            </w:r>
          </w:p>
        </w:tc>
        <w:tc>
          <w:tcPr>
            <w:tcW w:w="3004" w:type="dxa"/>
            <w:gridSpan w:val="5"/>
            <w:tcBorders/>
            <w:shd w:fill="auto" w:val="clea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503" w:type="dxa"/>
            <w:gridSpan w:val="4"/>
            <w:tcBorders/>
            <w:shd w:fill="auto" w:val="clea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503" w:type="dxa"/>
            <w:gridSpan w:val="4"/>
            <w:tcBorders/>
            <w:shd w:fill="auto" w:val="clear"/>
          </w:tcPr>
          <w:p>
            <w:pPr>
              <w:pStyle w:val="TableContents"/>
              <w:spacing w:before="0" w:after="283"/>
              <w:rPr>
                <w:sz w:val="4"/>
                <w:szCs w:val="4"/>
              </w:rPr>
            </w:pPr>
            <w:r>
              <w:rPr>
                <w:sz w:val="4"/>
                <w:szCs w:val="4"/>
              </w:rPr>
            </w:r>
          </w:p>
        </w:tc>
      </w:tr>
      <w:tr>
        <w:trPr/>
        <w:tc>
          <w:tcPr>
            <w:tcW w:w="38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Assets</w:t>
            </w:r>
          </w:p>
        </w:tc>
        <w:tc>
          <w:tcPr>
            <w:tcW w:w="72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Interest rate cap contract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Interest rate cap contract</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Interest rate swap contracts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Interest rate swap contracts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designated derivative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3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________________ </w:t>
      </w:r>
    </w:p>
    <w:p>
      <w:pPr>
        <w:pStyle w:val="TextBody"/>
        <w:spacing w:lineRule="auto" w:line="288" w:before="0" w:after="0"/>
        <w:rPr/>
      </w:pPr>
      <w:r>
        <w:rPr>
          <w:rFonts w:ascii="Times New Roman;sans-serif" w:hAnsi="Times New Roman;sans-serif"/>
          <w:b w:val="false"/>
          <w:color w:val="000000"/>
          <w:sz w:val="16"/>
        </w:rPr>
        <w:t xml:space="preserve">(1) Included in </w:t>
      </w:r>
      <w:r>
        <w:rPr>
          <w:rFonts w:ascii="Times New Roman;sans-serif" w:hAnsi="Times New Roman;sans-serif"/>
          <w:b w:val="false"/>
          <w:i/>
          <w:color w:val="000000"/>
          <w:sz w:val="16"/>
        </w:rPr>
        <w:t>Prepaid expenses and other current assets</w:t>
      </w:r>
      <w:r>
        <w:rPr>
          <w:color w:val="000000"/>
        </w:rPr>
        <w:t xml:space="preserve"> </w:t>
      </w:r>
      <w:r>
        <w:rPr>
          <w:rFonts w:ascii="Times New Roman;sans-serif" w:hAnsi="Times New Roman;sans-serif"/>
          <w:b w:val="false"/>
          <w:color w:val="000000"/>
          <w:sz w:val="16"/>
        </w:rPr>
        <w:t>on our Consolidated Balance Sheets.</w:t>
      </w:r>
    </w:p>
    <w:p>
      <w:pPr>
        <w:pStyle w:val="TextBody"/>
        <w:spacing w:lineRule="auto" w:line="288" w:before="0" w:after="180"/>
        <w:rPr/>
      </w:pPr>
      <w:r>
        <w:rPr>
          <w:rFonts w:ascii="Times New Roman;sans-serif" w:hAnsi="Times New Roman;sans-serif"/>
          <w:b w:val="false"/>
          <w:color w:val="000000"/>
          <w:sz w:val="16"/>
        </w:rPr>
        <w:t xml:space="preserve">(2) Included in </w:t>
      </w:r>
      <w:r>
        <w:rPr>
          <w:rFonts w:ascii="Times New Roman;sans-serif" w:hAnsi="Times New Roman;sans-serif"/>
          <w:b w:val="false"/>
          <w:i/>
          <w:color w:val="000000"/>
          <w:sz w:val="16"/>
        </w:rPr>
        <w:t>Deferred costs and other assets, net of current portion</w:t>
      </w:r>
      <w:r>
        <w:rPr>
          <w:color w:val="000000"/>
        </w:rPr>
        <w:t xml:space="preserve"> </w:t>
      </w:r>
      <w:r>
        <w:rPr>
          <w:rFonts w:ascii="Times New Roman;sans-serif" w:hAnsi="Times New Roman;sans-serif"/>
          <w:b w:val="false"/>
          <w:color w:val="000000"/>
          <w:sz w:val="16"/>
        </w:rPr>
        <w:t>on our Consolidated Balance Sheets.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change in fair value of any derivative instruments was recorded, net of income tax, in </w:t>
      </w:r>
      <w:r>
        <w:rPr>
          <w:rFonts w:ascii="Times New Roman;sans-serif" w:hAnsi="Times New Roman;sans-serif"/>
          <w:b w:val="false"/>
          <w:i/>
          <w:color w:val="000000"/>
          <w:sz w:val="20"/>
        </w:rPr>
        <w:t>Accumulated other comprehensive income (loss)</w:t>
      </w:r>
      <w:r>
        <w:rPr>
          <w:color w:val="000000"/>
        </w:rPr>
        <w:t xml:space="preserve"> </w:t>
      </w:r>
      <w:r>
        <w:rPr>
          <w:rFonts w:ascii="Times New Roman;sans-serif" w:hAnsi="Times New Roman;sans-serif"/>
          <w:b w:val="false"/>
          <w:color w:val="000000"/>
          <w:sz w:val="20"/>
        </w:rPr>
        <w:t xml:space="preserve">on our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Times New Roman;sans-serif" w:hAnsi="Times New Roman;sans-serif"/>
          <w:b w:val="false"/>
          <w:i/>
          <w:color w:val="000000"/>
          <w:sz w:val="20"/>
        </w:rPr>
        <w:t>Interest expense, net</w:t>
      </w:r>
      <w:r>
        <w:rPr>
          <w:color w:val="000000"/>
        </w:rPr>
        <w:t xml:space="preserve"> </w:t>
      </w:r>
      <w:r>
        <w:rPr>
          <w:rFonts w:ascii="Times New Roman;sans-serif" w:hAnsi="Times New Roman;sans-serif"/>
          <w:b w:val="false"/>
          <w:color w:val="000000"/>
          <w:sz w:val="20"/>
        </w:rPr>
        <w:t>and as operating cash flows on our Consolidated Statements of Cash Flows in the period settled in cash. Income tax effects from changes in fair value of derivative instruments are recorded on our Consolidated Statements of Operations when the derivative instruments are settled. Over the next 12 months, we expect to reclassify approximately $21.6 million into interest income from AOCI.</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Company’s Consolidated Statements of Comprehensive Income (Loss) for amounts reclassified from AOCI into earnings related to the Company’s Derivative Instruments designated as cash flow hedging instruments for each of the reporting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11505"/>
                <wp:effectExtent l="0" t="0" r="0" b="0"/>
                <wp:wrapNone/>
                <wp:docPr id="33" name="Frame33"/>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10 - Fair Value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U.S. government, and other governmental securities as Level 2 within the fair value hierarchy. The fair value of our first term lien debt and Senior Notes as of March 31, 2023 was $597.8 million and $555.8 million, respectively, based on observable market prices in less active markets and categorized as Level 2 within the fair value measurement framework.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 term OIS rates and long term OIS swap rates).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11505"/>
                <wp:effectExtent l="0" t="0" r="0" b="0"/>
                <wp:wrapNone/>
                <wp:docPr id="34" name="Frame34"/>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10 - Fair Value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(in millions) of our financial assets and (liabilities) was determined using the following inputs:</w:t>
      </w:r>
    </w:p>
    <w:tbl>
      <w:tblPr>
        <w:tblW w:w="8019" w:type="dxa"/>
        <w:jc w:val="left"/>
        <w:tblInd w:w="0" w:type="dxa"/>
        <w:tblCellMar>
          <w:top w:w="28" w:type="dxa"/>
          <w:left w:w="28" w:type="dxa"/>
          <w:bottom w:w="28" w:type="dxa"/>
          <w:right w:w="28" w:type="dxa"/>
        </w:tblCellMar>
      </w:tblPr>
      <w:tblGrid>
        <w:gridCol w:w="1591"/>
        <w:gridCol w:w="1400"/>
        <w:gridCol w:w="1404"/>
        <w:gridCol w:w="109"/>
        <w:gridCol w:w="109"/>
        <w:gridCol w:w="109"/>
        <w:gridCol w:w="211"/>
        <w:gridCol w:w="616"/>
        <w:gridCol w:w="109"/>
        <w:gridCol w:w="109"/>
        <w:gridCol w:w="109"/>
        <w:gridCol w:w="109"/>
        <w:gridCol w:w="211"/>
        <w:gridCol w:w="616"/>
        <w:gridCol w:w="109"/>
        <w:gridCol w:w="109"/>
        <w:gridCol w:w="109"/>
        <w:gridCol w:w="109"/>
        <w:gridCol w:w="211"/>
        <w:gridCol w:w="406"/>
        <w:gridCol w:w="154"/>
      </w:tblGrid>
      <w:tr>
        <w:trPr/>
        <w:tc>
          <w:tcPr>
            <w:tcW w:w="1591"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39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Measured on a recurring basis: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governmental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and other assets, net of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contract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tbl>
      <w:tblPr>
        <w:tblW w:w="7913" w:type="dxa"/>
        <w:jc w:val="left"/>
        <w:tblInd w:w="0" w:type="dxa"/>
        <w:tblCellMar>
          <w:top w:w="28" w:type="dxa"/>
          <w:left w:w="28" w:type="dxa"/>
          <w:bottom w:w="28" w:type="dxa"/>
          <w:right w:w="28" w:type="dxa"/>
        </w:tblCellMar>
      </w:tblPr>
      <w:tblGrid>
        <w:gridCol w:w="1589"/>
        <w:gridCol w:w="1400"/>
        <w:gridCol w:w="1405"/>
        <w:gridCol w:w="109"/>
        <w:gridCol w:w="109"/>
        <w:gridCol w:w="109"/>
        <w:gridCol w:w="211"/>
        <w:gridCol w:w="511"/>
        <w:gridCol w:w="109"/>
        <w:gridCol w:w="109"/>
        <w:gridCol w:w="109"/>
        <w:gridCol w:w="109"/>
        <w:gridCol w:w="211"/>
        <w:gridCol w:w="616"/>
        <w:gridCol w:w="109"/>
        <w:gridCol w:w="109"/>
        <w:gridCol w:w="109"/>
        <w:gridCol w:w="109"/>
        <w:gridCol w:w="211"/>
        <w:gridCol w:w="406"/>
        <w:gridCol w:w="154"/>
      </w:tblGrid>
      <w:tr>
        <w:trPr/>
        <w:tc>
          <w:tcPr>
            <w:tcW w:w="1589"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39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Measured on a recurring basis: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governmental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contract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and other assets,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transfers between fair value measurements levels during the three months ended March 31, 2023.</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5 - Cash, Cash Equivalents, and Short-term Investments for further information regarding the fair value of our financial instruments. Refer to Note 9 - Derivatives and Hedging Activities for further information regarding the fair value of our derivative instruments.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11505"/>
                <wp:effectExtent l="0" t="0" r="0" b="0"/>
                <wp:wrapNone/>
                <wp:docPr id="35" name="Frame35"/>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Non-cancelable purchase obligations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related to outstanding non-cancelable purchase obligations with a term of 12 months or longer, refer to the amount disclosed in the audited financial statements in our 2022 Form 10-K. Amounts mainly relate to third-party cloud hosting and software as a service arrangements. For information regarding financing-related obligations, refer to Note 8 - Financing Arrangements. For information regarding lease-related obligations, refer to Note 13 - Leases.</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Sales and use tax</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Company has conducted an assessment of sales and use tax exposure in states where the Company has established nexus. Based on this assessment, the Company has recorded a liability for taxes owed and related penalties and interest in the amount of $3.9 million and $4.9 million at March 31, 2023 and December 31, 2022, respectively. This liability is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Contingent earnout payments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Dogpatch, the Company could be required to issue equity awards up to $3.7 million. Refer to Note 4 - Business Combinations for additional information.</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Deferred acquisition-related payments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Insent, the Company expects to pay an additional $3.0 million of which $1.2 million represents deferred consideration. Refer to Note 4 - Business Combinations for additional information.</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it is not possible to provide an estimated amount of any loss or range of loss that may occur with respect to these matters, including without limitation the matters described below.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The Company intends to vigorously defend against this lawsuit.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The Company intends to vigorously defend against this lawsuit.</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11505"/>
                <wp:effectExtent l="0" t="0" r="0" b="0"/>
                <wp:wrapNone/>
                <wp:docPr id="36" name="Frame36"/>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11 - Commitments and Contingencies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is now pending in the United States District Court for the Northern District of Illinois (Eastern Division). The Company intends to vigorously defend against this lawsuit.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a putative class action lawsuit was filed against Datanyze, LLC in the United States District Court for the Northern District of Ohio alleging Datanyze's use of Ohio residents names in a free trial violates the Ohio Right of Publicity Statute, and seeking statutory damages, costs, and attorneys’ fees. The Company intends to vigorously defend against this lawsuit.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12 - Earnings Per Share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discussed, in May 2022, following approval by the Company’s stockholders, the Company further amended and restated its Amended and Restated Certificate of Incorporation to eliminate the multiple classes of common stock and to rename the Company’s Class A common stock to “Common Stock”.</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following tables set forth the computation of basic and diluted net income per share of Class A </w:t>
      </w:r>
      <w:r>
        <w:rPr>
          <w:rFonts w:ascii="Times New Roman;sans-serif" w:hAnsi="Times New Roman;sans-serif"/>
          <w:b w:val="false"/>
          <w:color w:val="242424"/>
          <w:sz w:val="20"/>
        </w:rPr>
        <w:t xml:space="preserve">common stock or Common Stock, as applicable, </w:t>
      </w:r>
      <w:r>
        <w:rPr>
          <w:rFonts w:ascii="Times New Roman;sans-serif" w:hAnsi="Times New Roman;sans-serif"/>
          <w:b w:val="false"/>
          <w:color w:val="000000"/>
          <w:sz w:val="20"/>
        </w:rPr>
        <w:t>(in millions, except share and per share amounts):</w:t>
      </w:r>
    </w:p>
    <w:tbl>
      <w:tblPr>
        <w:tblW w:w="10205" w:type="dxa"/>
        <w:jc w:val="left"/>
        <w:tblInd w:w="0" w:type="dxa"/>
        <w:tblCellMar>
          <w:top w:w="28" w:type="dxa"/>
          <w:left w:w="28" w:type="dxa"/>
          <w:bottom w:w="28" w:type="dxa"/>
          <w:right w:w="28" w:type="dxa"/>
        </w:tblCellMar>
      </w:tblPr>
      <w:tblGrid>
        <w:gridCol w:w="2700"/>
        <w:gridCol w:w="2355"/>
        <w:gridCol w:w="2370"/>
        <w:gridCol w:w="704"/>
        <w:gridCol w:w="1491"/>
        <w:gridCol w:w="318"/>
        <w:gridCol w:w="109"/>
        <w:gridCol w:w="158"/>
      </w:tblGrid>
      <w:tr>
        <w:trPr/>
        <w:tc>
          <w:tcPr>
            <w:tcW w:w="2700" w:type="dxa"/>
            <w:tcBorders/>
            <w:shd w:fill="auto" w:val="clear"/>
            <w:vAlign w:val="center"/>
          </w:tcPr>
          <w:p>
            <w:pPr>
              <w:pStyle w:val="TableContents"/>
              <w:spacing w:before="0" w:after="283"/>
              <w:rPr>
                <w:sz w:val="4"/>
                <w:szCs w:val="4"/>
              </w:rPr>
            </w:pPr>
            <w:r>
              <w:rPr>
                <w:sz w:val="4"/>
                <w:szCs w:val="4"/>
              </w:rPr>
            </w:r>
          </w:p>
        </w:tc>
        <w:tc>
          <w:tcPr>
            <w:tcW w:w="2355" w:type="dxa"/>
            <w:tcBorders/>
            <w:shd w:fill="auto" w:val="clear"/>
            <w:vAlign w:val="center"/>
          </w:tcPr>
          <w:p>
            <w:pPr>
              <w:pStyle w:val="TableContents"/>
              <w:spacing w:before="0" w:after="283"/>
              <w:rPr>
                <w:sz w:val="4"/>
                <w:szCs w:val="4"/>
              </w:rPr>
            </w:pPr>
            <w:r>
              <w:rPr>
                <w:sz w:val="4"/>
                <w:szCs w:val="4"/>
              </w:rPr>
            </w:r>
          </w:p>
        </w:tc>
        <w:tc>
          <w:tcPr>
            <w:tcW w:w="237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per share attributable to common stockholders</w:t>
            </w:r>
          </w:p>
        </w:tc>
        <w:tc>
          <w:tcPr>
            <w:tcW w:w="2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2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0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2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Common Stock outstanding</w:t>
            </w:r>
          </w:p>
        </w:tc>
        <w:tc>
          <w:tcPr>
            <w:tcW w:w="21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403,408,487 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attributable to common stockholders</w:t>
            </w:r>
          </w:p>
        </w:tc>
        <w:tc>
          <w:tcPr>
            <w:tcW w:w="70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1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per share attributable to common stockholders</w:t>
            </w:r>
          </w:p>
        </w:tc>
        <w:tc>
          <w:tcPr>
            <w:tcW w:w="2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2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auto" w:val="clear"/>
            <w:vAlign w:val="center"/>
          </w:tcPr>
          <w:p>
            <w:pPr>
              <w:pStyle w:val="TableContents"/>
              <w:spacing w:before="0" w:after="283"/>
              <w:rPr>
                <w:sz w:val="4"/>
                <w:szCs w:val="4"/>
              </w:rPr>
            </w:pPr>
            <w:r>
              <w:rPr>
                <w:sz w:val="4"/>
                <w:szCs w:val="4"/>
              </w:rPr>
            </w:r>
          </w:p>
        </w:tc>
        <w:tc>
          <w:tcPr>
            <w:tcW w:w="25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auto" w:val="clear"/>
            <w:vAlign w:val="center"/>
          </w:tcPr>
          <w:p>
            <w:pPr>
              <w:pStyle w:val="TableContents"/>
              <w:spacing w:before="0" w:after="283"/>
              <w:rPr>
                <w:sz w:val="4"/>
                <w:szCs w:val="4"/>
              </w:rPr>
            </w:pPr>
            <w:r>
              <w:rPr>
                <w:sz w:val="4"/>
                <w:szCs w:val="4"/>
              </w:rPr>
            </w:r>
          </w:p>
        </w:tc>
        <w:tc>
          <w:tcPr>
            <w:tcW w:w="25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auto" w:val="clear"/>
            <w:vAlign w:val="center"/>
          </w:tcPr>
          <w:p>
            <w:pPr>
              <w:pStyle w:val="TableContents"/>
              <w:spacing w:before="0" w:after="283"/>
              <w:rPr>
                <w:sz w:val="4"/>
                <w:szCs w:val="4"/>
              </w:rPr>
            </w:pPr>
            <w:r>
              <w:rPr>
                <w:sz w:val="4"/>
                <w:szCs w:val="4"/>
              </w:rPr>
            </w:r>
          </w:p>
        </w:tc>
        <w:tc>
          <w:tcPr>
            <w:tcW w:w="25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earnings</w:t>
            </w:r>
          </w:p>
        </w:tc>
        <w:tc>
          <w:tcPr>
            <w:tcW w:w="70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2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used in basic computation</w:t>
            </w:r>
          </w:p>
        </w:tc>
        <w:tc>
          <w:tcPr>
            <w:tcW w:w="21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403,408,487 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weighted-average effect of dilutive securities exchangeable for Common Stock:</w:t>
            </w:r>
          </w:p>
        </w:tc>
        <w:tc>
          <w:tcPr>
            <w:tcW w:w="2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1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446,843 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auto" w:val="clear"/>
            <w:vAlign w:val="center"/>
          </w:tcPr>
          <w:p>
            <w:pPr>
              <w:pStyle w:val="TableContents"/>
              <w:spacing w:before="0" w:after="283"/>
              <w:rPr>
                <w:sz w:val="4"/>
                <w:szCs w:val="4"/>
              </w:rPr>
            </w:pPr>
            <w:r>
              <w:rPr>
                <w:sz w:val="4"/>
                <w:szCs w:val="4"/>
              </w:rPr>
            </w:r>
          </w:p>
        </w:tc>
        <w:tc>
          <w:tcPr>
            <w:tcW w:w="25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Options</w:t>
            </w:r>
          </w:p>
        </w:tc>
        <w:tc>
          <w:tcPr>
            <w:tcW w:w="21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66,687 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21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195,611 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used to calculate diluted net income (loss) per share</w:t>
            </w:r>
          </w:p>
        </w:tc>
        <w:tc>
          <w:tcPr>
            <w:tcW w:w="219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404,117,628 </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attributable to common stockholders</w:t>
            </w:r>
          </w:p>
        </w:tc>
        <w:tc>
          <w:tcPr>
            <w:tcW w:w="70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1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11505"/>
                <wp:effectExtent l="0" t="0" r="0" b="0"/>
                <wp:wrapNone/>
                <wp:docPr id="37" name="Frame37"/>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12 - Earnings Per Share (continued)</w:t>
      </w:r>
    </w:p>
    <w:p>
      <w:pPr>
        <w:pStyle w:val="TextBody"/>
        <w:spacing w:before="0" w:after="180"/>
        <w:ind w:left="0" w:right="0" w:firstLine="360"/>
        <w:jc w:val="both"/>
        <w:rPr/>
      </w:pPr>
      <w:r>
        <w:rPr/>
      </w:r>
    </w:p>
    <w:tbl>
      <w:tblPr>
        <w:tblW w:w="10205" w:type="dxa"/>
        <w:jc w:val="left"/>
        <w:tblInd w:w="0" w:type="dxa"/>
        <w:tblCellMar>
          <w:top w:w="28" w:type="dxa"/>
          <w:left w:w="28" w:type="dxa"/>
          <w:bottom w:w="28" w:type="dxa"/>
          <w:right w:w="28" w:type="dxa"/>
        </w:tblCellMar>
      </w:tblPr>
      <w:tblGrid>
        <w:gridCol w:w="2729"/>
        <w:gridCol w:w="2379"/>
        <w:gridCol w:w="2391"/>
        <w:gridCol w:w="703"/>
        <w:gridCol w:w="1433"/>
        <w:gridCol w:w="305"/>
        <w:gridCol w:w="109"/>
        <w:gridCol w:w="156"/>
      </w:tblGrid>
      <w:tr>
        <w:trPr/>
        <w:tc>
          <w:tcPr>
            <w:tcW w:w="2729" w:type="dxa"/>
            <w:tcBorders/>
            <w:shd w:fill="auto" w:val="clear"/>
            <w:vAlign w:val="center"/>
          </w:tcPr>
          <w:p>
            <w:pPr>
              <w:pStyle w:val="TableContents"/>
              <w:spacing w:before="0" w:after="283"/>
              <w:rPr>
                <w:sz w:val="4"/>
                <w:szCs w:val="4"/>
              </w:rPr>
            </w:pPr>
            <w:r>
              <w:rPr>
                <w:sz w:val="4"/>
                <w:szCs w:val="4"/>
              </w:rPr>
            </w:r>
          </w:p>
        </w:tc>
        <w:tc>
          <w:tcPr>
            <w:tcW w:w="2379" w:type="dxa"/>
            <w:tcBorders/>
            <w:shd w:fill="auto" w:val="clear"/>
            <w:vAlign w:val="center"/>
          </w:tcPr>
          <w:p>
            <w:pPr>
              <w:pStyle w:val="TableContents"/>
              <w:spacing w:before="0" w:after="283"/>
              <w:rPr>
                <w:sz w:val="4"/>
                <w:szCs w:val="4"/>
              </w:rPr>
            </w:pPr>
            <w:r>
              <w:rPr>
                <w:sz w:val="4"/>
                <w:szCs w:val="4"/>
              </w:rPr>
            </w:r>
          </w:p>
        </w:tc>
        <w:tc>
          <w:tcPr>
            <w:tcW w:w="239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(loss) per share attributable to common stockholders</w:t>
            </w:r>
          </w:p>
        </w:tc>
        <w:tc>
          <w:tcPr>
            <w:tcW w:w="2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2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net income (loss) attributable to ZoomInfo Technologies Inc.</w:t>
            </w:r>
          </w:p>
        </w:tc>
        <w:tc>
          <w:tcPr>
            <w:tcW w:w="70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2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outstanding</w:t>
            </w:r>
          </w:p>
        </w:tc>
        <w:tc>
          <w:tcPr>
            <w:tcW w:w="21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400,217,928 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attributable to common stockholders</w:t>
            </w:r>
          </w:p>
        </w:tc>
        <w:tc>
          <w:tcPr>
            <w:tcW w:w="70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(loss) per share attributable to common stockholders</w:t>
            </w:r>
          </w:p>
        </w:tc>
        <w:tc>
          <w:tcPr>
            <w:tcW w:w="2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2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vAlign w:val="center"/>
          </w:tcPr>
          <w:p>
            <w:pPr>
              <w:pStyle w:val="TableContents"/>
              <w:spacing w:before="0" w:after="283"/>
              <w:rPr>
                <w:sz w:val="4"/>
                <w:szCs w:val="4"/>
              </w:rPr>
            </w:pPr>
            <w:r>
              <w:rPr>
                <w:sz w:val="4"/>
                <w:szCs w:val="4"/>
              </w:rPr>
            </w:r>
          </w:p>
        </w:tc>
        <w:tc>
          <w:tcPr>
            <w:tcW w:w="24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vAlign w:val="center"/>
          </w:tcPr>
          <w:p>
            <w:pPr>
              <w:pStyle w:val="TableContents"/>
              <w:spacing w:before="0" w:after="283"/>
              <w:rPr>
                <w:sz w:val="4"/>
                <w:szCs w:val="4"/>
              </w:rPr>
            </w:pPr>
            <w:r>
              <w:rPr>
                <w:sz w:val="4"/>
                <w:szCs w:val="4"/>
              </w:rPr>
            </w:r>
          </w:p>
        </w:tc>
        <w:tc>
          <w:tcPr>
            <w:tcW w:w="24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vAlign w:val="center"/>
          </w:tcPr>
          <w:p>
            <w:pPr>
              <w:pStyle w:val="TableContents"/>
              <w:spacing w:before="0" w:after="283"/>
              <w:rPr>
                <w:sz w:val="4"/>
                <w:szCs w:val="4"/>
              </w:rPr>
            </w:pPr>
            <w:r>
              <w:rPr>
                <w:sz w:val="4"/>
                <w:szCs w:val="4"/>
              </w:rPr>
            </w:r>
          </w:p>
        </w:tc>
        <w:tc>
          <w:tcPr>
            <w:tcW w:w="24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earnings</w:t>
            </w:r>
          </w:p>
        </w:tc>
        <w:tc>
          <w:tcPr>
            <w:tcW w:w="70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2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used in basic computation</w:t>
            </w:r>
          </w:p>
        </w:tc>
        <w:tc>
          <w:tcPr>
            <w:tcW w:w="21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400,217,928 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weighted-average effect of dilutive securities exchangeable for Class A common stock:</w:t>
            </w:r>
          </w:p>
        </w:tc>
        <w:tc>
          <w:tcPr>
            <w:tcW w:w="2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1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2,677,597 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vAlign w:val="center"/>
          </w:tcPr>
          <w:p>
            <w:pPr>
              <w:pStyle w:val="TableContents"/>
              <w:spacing w:before="0" w:after="283"/>
              <w:rPr>
                <w:sz w:val="4"/>
                <w:szCs w:val="4"/>
              </w:rPr>
            </w:pPr>
            <w:r>
              <w:rPr>
                <w:sz w:val="4"/>
                <w:szCs w:val="4"/>
              </w:rPr>
            </w:r>
          </w:p>
        </w:tc>
        <w:tc>
          <w:tcPr>
            <w:tcW w:w="24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Class A Common Stock Options</w:t>
            </w:r>
          </w:p>
        </w:tc>
        <w:tc>
          <w:tcPr>
            <w:tcW w:w="21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242,963 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vAlign w:val="center"/>
          </w:tcPr>
          <w:p>
            <w:pPr>
              <w:pStyle w:val="TableContents"/>
              <w:spacing w:before="0" w:after="283"/>
              <w:rPr>
                <w:sz w:val="4"/>
                <w:szCs w:val="4"/>
              </w:rPr>
            </w:pPr>
            <w:r>
              <w:rPr>
                <w:sz w:val="4"/>
                <w:szCs w:val="4"/>
              </w:rPr>
            </w:r>
          </w:p>
        </w:tc>
        <w:tc>
          <w:tcPr>
            <w:tcW w:w="24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 used to calculate diluted net income (loss) per share</w:t>
            </w:r>
          </w:p>
        </w:tc>
        <w:tc>
          <w:tcPr>
            <w:tcW w:w="213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403,138,488 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attributable to common stockholders</w:t>
            </w:r>
          </w:p>
        </w:tc>
        <w:tc>
          <w:tcPr>
            <w:tcW w:w="703"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30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242424"/>
          <w:sz w:val="20"/>
        </w:rPr>
      </w:pPr>
      <w:r>
        <w:rPr>
          <w:rFonts w:ascii="Times New Roman;sans-serif" w:hAnsi="Times New Roman;sans-serif"/>
          <w:b w:val="false"/>
          <w:color w:val="242424"/>
          <w:sz w:val="20"/>
        </w:rPr>
        <w:t>The following weighted-average potentially dilutive securities were evaluated under the treasury stock method for potentially dilutive effects and have been excluded from diluted net loss per share in the periods presented due to their anti-dilutive effect:</w:t>
      </w:r>
    </w:p>
    <w:tbl>
      <w:tblPr>
        <w:tblW w:w="6297" w:type="dxa"/>
        <w:jc w:val="left"/>
        <w:tblInd w:w="0" w:type="dxa"/>
        <w:tblCellMar>
          <w:top w:w="28" w:type="dxa"/>
          <w:left w:w="28" w:type="dxa"/>
          <w:bottom w:w="28" w:type="dxa"/>
          <w:right w:w="28" w:type="dxa"/>
        </w:tblCellMar>
      </w:tblPr>
      <w:tblGrid>
        <w:gridCol w:w="878"/>
        <w:gridCol w:w="773"/>
        <w:gridCol w:w="778"/>
        <w:gridCol w:w="750"/>
        <w:gridCol w:w="331"/>
        <w:gridCol w:w="266"/>
        <w:gridCol w:w="266"/>
        <w:gridCol w:w="266"/>
        <w:gridCol w:w="266"/>
        <w:gridCol w:w="678"/>
        <w:gridCol w:w="298"/>
        <w:gridCol w:w="266"/>
        <w:gridCol w:w="109"/>
        <w:gridCol w:w="109"/>
        <w:gridCol w:w="109"/>
        <w:gridCol w:w="154"/>
      </w:tblGrid>
      <w:tr>
        <w:trPr/>
        <w:tc>
          <w:tcPr>
            <w:tcW w:w="87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9"/>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13,267,434 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5,983,638 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securities</w:t>
            </w:r>
          </w:p>
        </w:tc>
        <w:tc>
          <w:tcPr>
            <w:tcW w:w="108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13,267,434 </w:t>
            </w:r>
          </w:p>
        </w:tc>
        <w:tc>
          <w:tcPr>
            <w:tcW w:w="2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5,983,638 </w:t>
            </w:r>
          </w:p>
        </w:tc>
        <w:tc>
          <w:tcPr>
            <w:tcW w:w="2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13 - Leases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Company subleases two offices. The subleases have remaining lease terms of less than eight years. Sublease income, which is recorded as a reduction of rent expense and allocated to the appropriate financial statement line items to arrive at </w:t>
      </w:r>
      <w:r>
        <w:rPr>
          <w:rFonts w:ascii="Times New Roman;sans-serif" w:hAnsi="Times New Roman;sans-serif"/>
          <w:b w:val="false"/>
          <w:i/>
          <w:color w:val="000000"/>
          <w:sz w:val="20"/>
        </w:rPr>
        <w:t xml:space="preserve">Income from operations </w:t>
      </w:r>
      <w:r>
        <w:rPr>
          <w:rFonts w:ascii="Times New Roman;sans-serif" w:hAnsi="Times New Roman;sans-serif"/>
          <w:b w:val="false"/>
          <w:color w:val="000000"/>
          <w:sz w:val="20"/>
        </w:rPr>
        <w:t>on our Consolidated Statements of Operations, was immaterial for the three months ended March 31, 2023 and 2022.</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11505"/>
                <wp:effectExtent l="0" t="0" r="0" b="0"/>
                <wp:wrapNone/>
                <wp:docPr id="38" name="Frame38"/>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13 - Leases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additional details related to operating leases recorded on our Consolidated Balance Sheets as of March 31, 2023 and December 31, 2022:</w:t>
      </w:r>
    </w:p>
    <w:tbl>
      <w:tblPr>
        <w:tblW w:w="7322" w:type="dxa"/>
        <w:jc w:val="left"/>
        <w:tblInd w:w="0" w:type="dxa"/>
        <w:tblCellMar>
          <w:top w:w="28" w:type="dxa"/>
          <w:left w:w="28" w:type="dxa"/>
          <w:bottom w:w="28" w:type="dxa"/>
          <w:right w:w="28" w:type="dxa"/>
        </w:tblCellMar>
      </w:tblPr>
      <w:tblGrid>
        <w:gridCol w:w="1458"/>
        <w:gridCol w:w="1276"/>
        <w:gridCol w:w="1286"/>
        <w:gridCol w:w="109"/>
        <w:gridCol w:w="109"/>
        <w:gridCol w:w="109"/>
        <w:gridCol w:w="109"/>
        <w:gridCol w:w="109"/>
        <w:gridCol w:w="109"/>
        <w:gridCol w:w="109"/>
        <w:gridCol w:w="109"/>
        <w:gridCol w:w="109"/>
        <w:gridCol w:w="217"/>
        <w:gridCol w:w="526"/>
        <w:gridCol w:w="112"/>
        <w:gridCol w:w="109"/>
        <w:gridCol w:w="109"/>
        <w:gridCol w:w="109"/>
        <w:gridCol w:w="274"/>
        <w:gridCol w:w="665"/>
        <w:gridCol w:w="200"/>
      </w:tblGrid>
      <w:tr>
        <w:trPr/>
        <w:tc>
          <w:tcPr>
            <w:tcW w:w="145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was $4.0 million and $3.3 million for the three months ended March 31, 2023 and 2022, respectively.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9507" w:type="dxa"/>
        <w:jc w:val="left"/>
        <w:tblInd w:w="0" w:type="dxa"/>
        <w:tblCellMar>
          <w:top w:w="28" w:type="dxa"/>
          <w:left w:w="28" w:type="dxa"/>
          <w:bottom w:w="28" w:type="dxa"/>
          <w:right w:w="28" w:type="dxa"/>
        </w:tblCellMar>
      </w:tblPr>
      <w:tblGrid>
        <w:gridCol w:w="2400"/>
        <w:gridCol w:w="2103"/>
        <w:gridCol w:w="2126"/>
        <w:gridCol w:w="284"/>
        <w:gridCol w:w="547"/>
        <w:gridCol w:w="147"/>
        <w:gridCol w:w="147"/>
        <w:gridCol w:w="147"/>
        <w:gridCol w:w="147"/>
        <w:gridCol w:w="284"/>
        <w:gridCol w:w="547"/>
        <w:gridCol w:w="147"/>
        <w:gridCol w:w="109"/>
        <w:gridCol w:w="109"/>
        <w:gridCol w:w="109"/>
        <w:gridCol w:w="154"/>
      </w:tblGrid>
      <w:tr>
        <w:trPr/>
        <w:tc>
          <w:tcPr>
            <w:tcW w:w="2400"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212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3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97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 arising from obtaining right-of-use assets</w:t>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new and existing lease agreements and modifications</w:t>
            </w:r>
          </w:p>
        </w:tc>
        <w:tc>
          <w:tcPr>
            <w:tcW w:w="28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7481" w:type="dxa"/>
        <w:jc w:val="left"/>
        <w:tblInd w:w="0" w:type="dxa"/>
        <w:tblCellMar>
          <w:top w:w="28" w:type="dxa"/>
          <w:left w:w="28" w:type="dxa"/>
          <w:bottom w:w="28" w:type="dxa"/>
          <w:right w:w="28" w:type="dxa"/>
        </w:tblCellMar>
      </w:tblPr>
      <w:tblGrid>
        <w:gridCol w:w="1574"/>
        <w:gridCol w:w="1384"/>
        <w:gridCol w:w="1392"/>
        <w:gridCol w:w="279"/>
        <w:gridCol w:w="279"/>
        <w:gridCol w:w="701"/>
        <w:gridCol w:w="109"/>
        <w:gridCol w:w="109"/>
        <w:gridCol w:w="109"/>
        <w:gridCol w:w="314"/>
        <w:gridCol w:w="314"/>
        <w:gridCol w:w="917"/>
      </w:tblGrid>
      <w:tr>
        <w:trPr/>
        <w:tc>
          <w:tcPr>
            <w:tcW w:w="157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(in years)</w:t>
            </w:r>
          </w:p>
        </w:tc>
        <w:tc>
          <w:tcPr>
            <w:tcW w:w="125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43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5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70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91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11505"/>
                <wp:effectExtent l="0" t="0" r="0" b="0"/>
                <wp:wrapNone/>
                <wp:docPr id="39" name="Frame39"/>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13 - Leases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undiscounted future minimum lease payments under non-cancelable leases to the total lease liabilities recognized as of March 31, 2023 (in millions):</w:t>
      </w:r>
    </w:p>
    <w:tbl>
      <w:tblPr>
        <w:tblW w:w="6236" w:type="dxa"/>
        <w:jc w:val="left"/>
        <w:tblInd w:w="0" w:type="dxa"/>
        <w:tblCellMar>
          <w:top w:w="28" w:type="dxa"/>
          <w:left w:w="28" w:type="dxa"/>
          <w:bottom w:w="28" w:type="dxa"/>
          <w:right w:w="28" w:type="dxa"/>
        </w:tblCellMar>
      </w:tblPr>
      <w:tblGrid>
        <w:gridCol w:w="1627"/>
        <w:gridCol w:w="1434"/>
        <w:gridCol w:w="1438"/>
        <w:gridCol w:w="109"/>
        <w:gridCol w:w="109"/>
        <w:gridCol w:w="109"/>
        <w:gridCol w:w="339"/>
        <w:gridCol w:w="822"/>
        <w:gridCol w:w="249"/>
      </w:tblGrid>
      <w:tr>
        <w:trPr/>
        <w:tc>
          <w:tcPr>
            <w:tcW w:w="1627"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effects of discounting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does not include any legally binding minimum lease payments for leases signed but not yet commenced.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Expense associated with short term leases and variable lease costs were immaterial for the three months ended March 31, 2023 and 2022. The expense related to short-term leases reasonably reflected our short-term lease commitments.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Undiscounted lease payments under all leases executed and not yet commenced are anticipated to be $340.6 million, which are not included in the tabular disclosure of undiscounted future minimum lease payments under non-cancelable leases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14 - Equity-based Compensation</w:t>
      </w:r>
    </w:p>
    <w:p>
      <w:pPr>
        <w:pStyle w:val="TextBody"/>
        <w:spacing w:lineRule="auto" w:line="288" w:before="0" w:after="180"/>
        <w:ind w:left="0" w:right="0" w:firstLine="360"/>
        <w:jc w:val="both"/>
        <w:rPr/>
      </w:pPr>
      <w:r>
        <w:rPr>
          <w:rFonts w:ascii="Times New Roman;sans-serif" w:hAnsi="Times New Roman;sans-serif"/>
          <w:b/>
          <w:color w:val="000000"/>
          <w:sz w:val="20"/>
        </w:rPr>
        <w:t xml:space="preserve">2020 Omnibus Incentive Plan </w:t>
      </w:r>
      <w:r>
        <w:rPr>
          <w:rFonts w:ascii="Times New Roman;sans-serif" w:hAnsi="Times New Roman;sans-serif"/>
          <w:b w:val="false"/>
          <w:color w:val="000000"/>
          <w:sz w:val="20"/>
        </w:rPr>
        <w:t>- On May 26, 2020, the Board of Directors of the Company (the “Board”) adopted the ZoomInfo Technologies Inc. 2020 Omnibus Incentive Plan (the “Omnibus Plan”). The Omnibus Plan provides for potential grants of the following awards with respect to shares of the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aggregate number of shares of Common Stock that may be issued pursuant to awards under the Omnibus Plan shall not exceed 18,650,000 shares (including OpCo Units or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11505"/>
                <wp:effectExtent l="0" t="0" r="0" b="0"/>
                <wp:wrapNone/>
                <wp:docPr id="40" name="Frame40"/>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Note 14 - Equity-based Compensation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Incentive Units.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where indicated otherwise, the equity-based compensation awards described below are subject to time-based service requirements. For grants issued prior to June 2020, the service vesting condition is generally over four years with 50% vesting on the two years anniversary of the grant date of the award and the remainder vesting monthly thereafter. For awards made after May 2020 to existing employees, the service vesting condition is generally four years with 25% vesting on the one year anniversary of the grant date of the award and 6.25% vesting quarterly thereafter. For performance-based Restricted Stock Units issued in Q3 2022, the service vesting condition is one year and specified company performance targets. Certain additional grants have other vesting periods approved by the Compensation Committee of the Board.</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was as follows during the periods indicated:</w:t>
      </w:r>
    </w:p>
    <w:tbl>
      <w:tblPr>
        <w:tblW w:w="10205" w:type="dxa"/>
        <w:jc w:val="left"/>
        <w:tblInd w:w="0" w:type="dxa"/>
        <w:tblCellMar>
          <w:top w:w="28" w:type="dxa"/>
          <w:left w:w="28" w:type="dxa"/>
          <w:bottom w:w="28" w:type="dxa"/>
          <w:right w:w="28" w:type="dxa"/>
        </w:tblCellMar>
      </w:tblPr>
      <w:tblGrid>
        <w:gridCol w:w="872"/>
        <w:gridCol w:w="767"/>
        <w:gridCol w:w="769"/>
        <w:gridCol w:w="569"/>
        <w:gridCol w:w="558"/>
        <w:gridCol w:w="516"/>
        <w:gridCol w:w="176"/>
        <w:gridCol w:w="176"/>
        <w:gridCol w:w="176"/>
        <w:gridCol w:w="618"/>
        <w:gridCol w:w="1807"/>
        <w:gridCol w:w="319"/>
        <w:gridCol w:w="109"/>
        <w:gridCol w:w="109"/>
        <w:gridCol w:w="109"/>
        <w:gridCol w:w="821"/>
        <w:gridCol w:w="714"/>
        <w:gridCol w:w="1020"/>
      </w:tblGrid>
      <w:tr>
        <w:trPr/>
        <w:tc>
          <w:tcPr>
            <w:tcW w:w="87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r>
      <w:tr>
        <w:trPr/>
        <w:tc>
          <w:tcPr>
            <w:tcW w:w="2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52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4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beginning of period</w:t>
            </w:r>
          </w:p>
        </w:tc>
        <w:tc>
          <w:tcPr>
            <w:tcW w:w="11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10,377,568 </w:t>
            </w:r>
          </w:p>
        </w:tc>
        <w:tc>
          <w:tcPr>
            <w:tcW w:w="5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4,853,795 </w:t>
            </w:r>
          </w:p>
        </w:tc>
        <w:tc>
          <w:tcPr>
            <w:tcW w:w="102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8" w:type="dxa"/>
            <w:gridSpan w:val="3"/>
            <w:tcBorders/>
            <w:shd w:fill="auto" w:val="clear"/>
            <w:vAlign w:val="center"/>
          </w:tcPr>
          <w:p>
            <w:pPr>
              <w:pStyle w:val="TableContents"/>
              <w:spacing w:before="0" w:after="283"/>
              <w:rPr>
                <w:sz w:val="4"/>
                <w:szCs w:val="4"/>
              </w:rPr>
            </w:pPr>
            <w:r>
              <w:rPr>
                <w:sz w:val="4"/>
                <w:szCs w:val="4"/>
              </w:rPr>
            </w:r>
          </w:p>
        </w:tc>
        <w:tc>
          <w:tcPr>
            <w:tcW w:w="1643"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r>
      <w:tr>
        <w:trPr/>
        <w:tc>
          <w:tcPr>
            <w:tcW w:w="2408" w:type="dxa"/>
            <w:gridSpan w:val="3"/>
            <w:tcBorders/>
            <w:shd w:fill="auto" w:val="clear"/>
            <w:vAlign w:val="center"/>
          </w:tcPr>
          <w:p>
            <w:pPr>
              <w:pStyle w:val="TableContents"/>
              <w:spacing w:before="0" w:after="283"/>
              <w:rPr>
                <w:sz w:val="4"/>
                <w:szCs w:val="4"/>
              </w:rPr>
            </w:pPr>
            <w:r>
              <w:rPr>
                <w:sz w:val="4"/>
                <w:szCs w:val="4"/>
              </w:rPr>
            </w:r>
          </w:p>
        </w:tc>
        <w:tc>
          <w:tcPr>
            <w:tcW w:w="1643"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r>
      <w:tr>
        <w:trPr/>
        <w:tc>
          <w:tcPr>
            <w:tcW w:w="2408" w:type="dxa"/>
            <w:gridSpan w:val="3"/>
            <w:tcBorders/>
            <w:shd w:fill="auto" w:val="clear"/>
            <w:vAlign w:val="center"/>
          </w:tcPr>
          <w:p>
            <w:pPr>
              <w:pStyle w:val="TableContents"/>
              <w:spacing w:before="0" w:after="283"/>
              <w:rPr>
                <w:sz w:val="4"/>
                <w:szCs w:val="4"/>
              </w:rPr>
            </w:pPr>
            <w:r>
              <w:rPr>
                <w:sz w:val="4"/>
                <w:szCs w:val="4"/>
              </w:rPr>
            </w:r>
          </w:p>
        </w:tc>
        <w:tc>
          <w:tcPr>
            <w:tcW w:w="1643"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r>
      <w:tr>
        <w:trPr/>
        <w:tc>
          <w:tcPr>
            <w:tcW w:w="2408" w:type="dxa"/>
            <w:gridSpan w:val="3"/>
            <w:tcBorders/>
            <w:shd w:fill="auto" w:val="clear"/>
            <w:vAlign w:val="center"/>
          </w:tcPr>
          <w:p>
            <w:pPr>
              <w:pStyle w:val="TableContents"/>
              <w:spacing w:before="0" w:after="283"/>
              <w:rPr>
                <w:sz w:val="4"/>
                <w:szCs w:val="4"/>
              </w:rPr>
            </w:pPr>
            <w:r>
              <w:rPr>
                <w:sz w:val="4"/>
                <w:szCs w:val="4"/>
              </w:rPr>
            </w:r>
          </w:p>
        </w:tc>
        <w:tc>
          <w:tcPr>
            <w:tcW w:w="1643"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r>
      <w:tr>
        <w:trPr/>
        <w:tc>
          <w:tcPr>
            <w:tcW w:w="2408" w:type="dxa"/>
            <w:gridSpan w:val="3"/>
            <w:tcBorders/>
            <w:shd w:fill="auto" w:val="clear"/>
            <w:vAlign w:val="center"/>
          </w:tcPr>
          <w:p>
            <w:pPr>
              <w:pStyle w:val="TableContents"/>
              <w:spacing w:before="0" w:after="283"/>
              <w:rPr>
                <w:sz w:val="4"/>
                <w:szCs w:val="4"/>
              </w:rPr>
            </w:pPr>
            <w:r>
              <w:rPr>
                <w:sz w:val="4"/>
                <w:szCs w:val="4"/>
              </w:rPr>
            </w:r>
          </w:p>
        </w:tc>
        <w:tc>
          <w:tcPr>
            <w:tcW w:w="1643"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4,452,672 </w:t>
            </w:r>
          </w:p>
        </w:tc>
        <w:tc>
          <w:tcPr>
            <w:tcW w:w="5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1,650,785 </w:t>
            </w:r>
          </w:p>
        </w:tc>
        <w:tc>
          <w:tcPr>
            <w:tcW w:w="10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8" w:type="dxa"/>
            <w:gridSpan w:val="3"/>
            <w:tcBorders/>
            <w:shd w:fill="auto" w:val="clear"/>
            <w:vAlign w:val="center"/>
          </w:tcPr>
          <w:p>
            <w:pPr>
              <w:pStyle w:val="TableContents"/>
              <w:spacing w:before="0" w:after="283"/>
              <w:rPr>
                <w:sz w:val="4"/>
                <w:szCs w:val="4"/>
              </w:rPr>
            </w:pPr>
            <w:r>
              <w:rPr>
                <w:sz w:val="4"/>
                <w:szCs w:val="4"/>
              </w:rPr>
            </w:r>
          </w:p>
        </w:tc>
        <w:tc>
          <w:tcPr>
            <w:tcW w:w="1643"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(633,337)</w:t>
            </w:r>
          </w:p>
        </w:tc>
        <w:tc>
          <w:tcPr>
            <w:tcW w:w="5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(187,659)</w:t>
            </w:r>
          </w:p>
        </w:tc>
        <w:tc>
          <w:tcPr>
            <w:tcW w:w="10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(929,469)</w:t>
            </w:r>
          </w:p>
        </w:tc>
        <w:tc>
          <w:tcPr>
            <w:tcW w:w="5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(333,283)</w:t>
            </w:r>
          </w:p>
        </w:tc>
        <w:tc>
          <w:tcPr>
            <w:tcW w:w="10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end of period</w:t>
            </w:r>
          </w:p>
        </w:tc>
        <w:tc>
          <w:tcPr>
            <w:tcW w:w="1127"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13,267,434 </w:t>
            </w:r>
          </w:p>
        </w:tc>
        <w:tc>
          <w:tcPr>
            <w:tcW w:w="5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5,983,638 </w:t>
            </w:r>
          </w:p>
        </w:tc>
        <w:tc>
          <w:tcPr>
            <w:tcW w:w="10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issued shares of Restricted Stock in exchange for all unvested HoldCo Units, Class P Units, and LTIP Units owned directly by employees of the Company (refer to Note 1 - Organization and Background). The exchanged shares of Restricted Stock remain subject to the same service vesting requirements of the original units. Upon fulfillment of the original employment service conditions, the restrictions will be lifted, and the Restricted Stock will convert to unrestricted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 was as follows during the periods indicated:</w:t>
      </w:r>
    </w:p>
    <w:tbl>
      <w:tblPr>
        <w:tblW w:w="10205" w:type="dxa"/>
        <w:jc w:val="left"/>
        <w:tblInd w:w="0" w:type="dxa"/>
        <w:tblCellMar>
          <w:top w:w="28" w:type="dxa"/>
          <w:left w:w="28" w:type="dxa"/>
          <w:bottom w:w="28" w:type="dxa"/>
          <w:right w:w="28" w:type="dxa"/>
        </w:tblCellMar>
      </w:tblPr>
      <w:tblGrid>
        <w:gridCol w:w="910"/>
        <w:gridCol w:w="800"/>
        <w:gridCol w:w="803"/>
        <w:gridCol w:w="450"/>
        <w:gridCol w:w="442"/>
        <w:gridCol w:w="402"/>
        <w:gridCol w:w="181"/>
        <w:gridCol w:w="181"/>
        <w:gridCol w:w="181"/>
        <w:gridCol w:w="648"/>
        <w:gridCol w:w="1894"/>
        <w:gridCol w:w="334"/>
        <w:gridCol w:w="109"/>
        <w:gridCol w:w="109"/>
        <w:gridCol w:w="109"/>
        <w:gridCol w:w="825"/>
        <w:gridCol w:w="751"/>
        <w:gridCol w:w="1076"/>
      </w:tblGrid>
      <w:tr>
        <w:trPr/>
        <w:tc>
          <w:tcPr>
            <w:tcW w:w="91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r>
      <w:tr>
        <w:trPr/>
        <w:tc>
          <w:tcPr>
            <w:tcW w:w="2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w:t>
            </w:r>
          </w:p>
        </w:tc>
        <w:tc>
          <w:tcPr>
            <w:tcW w:w="54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7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w:t>
            </w:r>
          </w:p>
        </w:tc>
      </w:tr>
      <w:tr>
        <w:trPr/>
        <w:tc>
          <w:tcPr>
            <w:tcW w:w="25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beginning of period</w:t>
            </w:r>
          </w:p>
        </w:tc>
        <w:tc>
          <w:tcPr>
            <w:tcW w:w="89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858,560 </w:t>
            </w:r>
          </w:p>
        </w:tc>
        <w:tc>
          <w:tcPr>
            <w:tcW w:w="40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33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3,525,373 </w:t>
            </w:r>
          </w:p>
        </w:tc>
        <w:tc>
          <w:tcPr>
            <w:tcW w:w="107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3"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2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2" w:type="dxa"/>
            <w:gridSpan w:val="3"/>
            <w:tcBorders/>
            <w:shd w:fill="auto" w:val="clear"/>
            <w:vAlign w:val="center"/>
          </w:tcPr>
          <w:p>
            <w:pPr>
              <w:pStyle w:val="TableContents"/>
              <w:spacing w:before="0" w:after="283"/>
              <w:rPr>
                <w:sz w:val="4"/>
                <w:szCs w:val="4"/>
              </w:rPr>
            </w:pPr>
            <w:r>
              <w:rPr>
                <w:sz w:val="4"/>
                <w:szCs w:val="4"/>
              </w:rPr>
            </w:r>
          </w:p>
        </w:tc>
      </w:tr>
      <w:tr>
        <w:trPr/>
        <w:tc>
          <w:tcPr>
            <w:tcW w:w="2513"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2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2" w:type="dxa"/>
            <w:gridSpan w:val="3"/>
            <w:tcBorders/>
            <w:shd w:fill="auto" w:val="clear"/>
            <w:vAlign w:val="center"/>
          </w:tcPr>
          <w:p>
            <w:pPr>
              <w:pStyle w:val="TableContents"/>
              <w:spacing w:before="0" w:after="283"/>
              <w:rPr>
                <w:sz w:val="4"/>
                <w:szCs w:val="4"/>
              </w:rPr>
            </w:pPr>
            <w:r>
              <w:rPr>
                <w:sz w:val="4"/>
                <w:szCs w:val="4"/>
              </w:rPr>
            </w:r>
          </w:p>
        </w:tc>
      </w:tr>
      <w:tr>
        <w:trPr/>
        <w:tc>
          <w:tcPr>
            <w:tcW w:w="2513"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2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2" w:type="dxa"/>
            <w:gridSpan w:val="3"/>
            <w:tcBorders/>
            <w:shd w:fill="auto" w:val="clear"/>
            <w:vAlign w:val="center"/>
          </w:tcPr>
          <w:p>
            <w:pPr>
              <w:pStyle w:val="TableContents"/>
              <w:spacing w:before="0" w:after="283"/>
              <w:rPr>
                <w:sz w:val="4"/>
                <w:szCs w:val="4"/>
              </w:rPr>
            </w:pPr>
            <w:r>
              <w:rPr>
                <w:sz w:val="4"/>
                <w:szCs w:val="4"/>
              </w:rPr>
            </w:r>
          </w:p>
        </w:tc>
      </w:tr>
      <w:tr>
        <w:trPr/>
        <w:tc>
          <w:tcPr>
            <w:tcW w:w="2513"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2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2" w:type="dxa"/>
            <w:gridSpan w:val="3"/>
            <w:tcBorders/>
            <w:shd w:fill="auto" w:val="clear"/>
            <w:vAlign w:val="center"/>
          </w:tcPr>
          <w:p>
            <w:pPr>
              <w:pStyle w:val="TableContents"/>
              <w:spacing w:before="0" w:after="283"/>
              <w:rPr>
                <w:sz w:val="4"/>
                <w:szCs w:val="4"/>
              </w:rPr>
            </w:pPr>
            <w:r>
              <w:rPr>
                <w:sz w:val="4"/>
                <w:szCs w:val="4"/>
              </w:rPr>
            </w:r>
          </w:p>
        </w:tc>
      </w:tr>
      <w:tr>
        <w:trPr/>
        <w:tc>
          <w:tcPr>
            <w:tcW w:w="2513"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2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2" w:type="dxa"/>
            <w:gridSpan w:val="3"/>
            <w:tcBorders/>
            <w:shd w:fill="auto" w:val="clear"/>
            <w:vAlign w:val="center"/>
          </w:tcPr>
          <w:p>
            <w:pPr>
              <w:pStyle w:val="TableContents"/>
              <w:spacing w:before="0" w:after="283"/>
              <w:rPr>
                <w:sz w:val="4"/>
                <w:szCs w:val="4"/>
              </w:rPr>
            </w:pPr>
            <w:r>
              <w:rPr>
                <w:sz w:val="4"/>
                <w:szCs w:val="4"/>
              </w:rPr>
            </w:r>
          </w:p>
        </w:tc>
      </w:tr>
      <w:tr>
        <w:trPr/>
        <w:tc>
          <w:tcPr>
            <w:tcW w:w="2513"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2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2" w:type="dxa"/>
            <w:gridSpan w:val="3"/>
            <w:tcBorders/>
            <w:shd w:fill="auto" w:val="clear"/>
            <w:vAlign w:val="center"/>
          </w:tcPr>
          <w:p>
            <w:pPr>
              <w:pStyle w:val="TableContents"/>
              <w:spacing w:before="0" w:after="283"/>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(242,680)</w:t>
            </w:r>
          </w:p>
        </w:tc>
        <w:tc>
          <w:tcPr>
            <w:tcW w:w="4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(790,054)</w:t>
            </w:r>
          </w:p>
        </w:tc>
        <w:tc>
          <w:tcPr>
            <w:tcW w:w="10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w:t>
            </w:r>
          </w:p>
        </w:tc>
        <w:tc>
          <w:tcPr>
            <w:tcW w:w="4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(43,210)</w:t>
            </w:r>
          </w:p>
        </w:tc>
        <w:tc>
          <w:tcPr>
            <w:tcW w:w="10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end of period</w:t>
            </w:r>
          </w:p>
        </w:tc>
        <w:tc>
          <w:tcPr>
            <w:tcW w:w="89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609,147 </w:t>
            </w:r>
          </w:p>
        </w:tc>
        <w:tc>
          <w:tcPr>
            <w:tcW w:w="40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2,692,109 </w:t>
            </w:r>
          </w:p>
        </w:tc>
        <w:tc>
          <w:tcPr>
            <w:tcW w:w="10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11505"/>
                <wp:effectExtent l="0" t="0" r="0" b="0"/>
                <wp:wrapNone/>
                <wp:docPr id="41" name="Frame41"/>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Note 14 - Equity-based Compensation (continued)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Common Stock Options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activity was as follows during the period indicated: </w:t>
      </w:r>
    </w:p>
    <w:tbl>
      <w:tblPr>
        <w:tblW w:w="10205" w:type="dxa"/>
        <w:jc w:val="left"/>
        <w:tblInd w:w="0" w:type="dxa"/>
        <w:tblCellMar>
          <w:top w:w="28" w:type="dxa"/>
          <w:left w:w="28" w:type="dxa"/>
          <w:bottom w:w="28" w:type="dxa"/>
          <w:right w:w="28" w:type="dxa"/>
        </w:tblCellMar>
      </w:tblPr>
      <w:tblGrid>
        <w:gridCol w:w="1068"/>
        <w:gridCol w:w="937"/>
        <w:gridCol w:w="942"/>
        <w:gridCol w:w="413"/>
        <w:gridCol w:w="413"/>
        <w:gridCol w:w="226"/>
        <w:gridCol w:w="190"/>
        <w:gridCol w:w="190"/>
        <w:gridCol w:w="190"/>
        <w:gridCol w:w="561"/>
        <w:gridCol w:w="1639"/>
        <w:gridCol w:w="289"/>
        <w:gridCol w:w="109"/>
        <w:gridCol w:w="109"/>
        <w:gridCol w:w="109"/>
        <w:gridCol w:w="828"/>
        <w:gridCol w:w="820"/>
        <w:gridCol w:w="1172"/>
      </w:tblGrid>
      <w:tr>
        <w:trPr/>
        <w:tc>
          <w:tcPr>
            <w:tcW w:w="1068"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r>
      <w:tr>
        <w:trPr/>
        <w:tc>
          <w:tcPr>
            <w:tcW w:w="2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57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r>
      <w:tr>
        <w:trPr/>
        <w:tc>
          <w:tcPr>
            <w:tcW w:w="29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323,002 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417,085 </w:t>
            </w:r>
          </w:p>
        </w:tc>
        <w:tc>
          <w:tcPr>
            <w:tcW w:w="117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2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20" w:type="dxa"/>
            <w:gridSpan w:val="3"/>
            <w:tcBorders/>
            <w:shd w:fill="auto" w:val="clear"/>
            <w:vAlign w:val="center"/>
          </w:tcPr>
          <w:p>
            <w:pPr>
              <w:pStyle w:val="TableContents"/>
              <w:spacing w:before="0" w:after="283"/>
              <w:rPr>
                <w:sz w:val="4"/>
                <w:szCs w:val="4"/>
              </w:rPr>
            </w:pPr>
            <w:r>
              <w:rPr>
                <w:sz w:val="4"/>
                <w:szCs w:val="4"/>
              </w:rPr>
            </w:r>
          </w:p>
        </w:tc>
      </w:tr>
      <w:tr>
        <w:trPr/>
        <w:tc>
          <w:tcPr>
            <w:tcW w:w="294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2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20" w:type="dxa"/>
            <w:gridSpan w:val="3"/>
            <w:tcBorders/>
            <w:shd w:fill="auto" w:val="clear"/>
            <w:vAlign w:val="center"/>
          </w:tcPr>
          <w:p>
            <w:pPr>
              <w:pStyle w:val="TableContents"/>
              <w:spacing w:before="0" w:after="283"/>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(11,236)</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(14,790)</w:t>
            </w:r>
          </w:p>
        </w:tc>
        <w:tc>
          <w:tcPr>
            <w:tcW w:w="1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1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w:t>
            </w:r>
          </w:p>
        </w:tc>
        <w:tc>
          <w:tcPr>
            <w:tcW w:w="1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298,565 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395,503 </w:t>
            </w:r>
          </w:p>
        </w:tc>
        <w:tc>
          <w:tcPr>
            <w:tcW w:w="11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Options have a maximum contractual term of ten years. The aggregate intrinsic value and weighted average remaining contractual terms of Options outstanding and Options exercisable were as follows as of March 31, 2023.</w:t>
      </w:r>
    </w:p>
    <w:tbl>
      <w:tblPr>
        <w:tblW w:w="5923" w:type="dxa"/>
        <w:jc w:val="left"/>
        <w:tblInd w:w="0" w:type="dxa"/>
        <w:tblCellMar>
          <w:top w:w="28" w:type="dxa"/>
          <w:left w:w="28" w:type="dxa"/>
          <w:bottom w:w="28" w:type="dxa"/>
          <w:right w:w="28" w:type="dxa"/>
        </w:tblCellMar>
      </w:tblPr>
      <w:tblGrid>
        <w:gridCol w:w="1673"/>
        <w:gridCol w:w="1471"/>
        <w:gridCol w:w="1475"/>
        <w:gridCol w:w="357"/>
        <w:gridCol w:w="687"/>
        <w:gridCol w:w="260"/>
      </w:tblGrid>
      <w:tr>
        <w:trPr/>
        <w:tc>
          <w:tcPr>
            <w:tcW w:w="1673"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 (in millions)</w:t>
            </w:r>
          </w:p>
        </w:tc>
        <w:tc>
          <w:tcPr>
            <w:tcW w:w="130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Options outstanding</w:t>
            </w:r>
          </w:p>
        </w:tc>
        <w:tc>
          <w:tcPr>
            <w:tcW w:w="35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Options exercisable</w:t>
            </w:r>
          </w:p>
        </w:tc>
        <w:tc>
          <w:tcPr>
            <w:tcW w:w="35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 (in years)</w:t>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Options outstanding</w:t>
            </w:r>
          </w:p>
        </w:tc>
        <w:tc>
          <w:tcPr>
            <w:tcW w:w="13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years</w:t>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Options exercisable</w:t>
            </w:r>
          </w:p>
        </w:tc>
        <w:tc>
          <w:tcPr>
            <w:tcW w:w="13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years</w:t>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Options outstanding were issued at the time of the IPO in 2020. No additional options have been issued to date. The fair value of Common Stock Options granted at the time of the IPO was determined using the Black-Scholes option pricing model. We estimated the future stock price volatility based on the volatility of a set of publicly traded comparable companies with a look back period consistent with the expected term. The estimated life for the units was based on the expected hold period of private equity owners. The risk-free rate is based on the rate for a U.S. government security with the same estimated life at the time of grant.</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Board’s Compensation Committee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11505"/>
                <wp:effectExtent l="0" t="0" r="0" b="0"/>
                <wp:wrapNone/>
                <wp:docPr id="42" name="Frame42"/>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Note 14 - Equity-based Compensation (continued)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aggregate number of shares of the Common Stock that may be issued under the ESPP is no more than 7,500,000 shares (the “ESPP Plan Share Reserve”). The ESPP plan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ESPP purchase was determined using the Black-Scholes option pricing model. 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Company withheld $3.0 million worth of ESPP contributions for the three months ended March 31, 2023 on behalf of participating employees through payroll deductions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 No shares of Common Stock were purchased under the ESPP for the three months ended March 31, 2023. The Company recognized $1.2 million of equity-based compensation expense related to the ESPP for the three months ended March 31, 2023. For the three months ended March 31, 2022, no expense was recognized, no contributions were withheld, and no shares were purchased.</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HSKB Incentive Units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HSKB II exchanged their HoldCo Units and paired shares of Class B common stock of the Company for shares of Class A common stock of the Company pursuant to the terms of the limited liability company agreement of HoldCo. Subsequently, HSKB I exchanged their OpCo Units and paired shares of Class B common stock of the Company for shares of Class A common stock of the Company.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HSKB has issued LLC units to the employees of the Company (“HSKB Grant”) in the form of Class 1 units and Class 2 units. Such units may be exchangeable into one share of Common Stock upon vesting. HSKB awards are recorded as compensation expense of the Company in accordance with the measurement and recognition criteria of ASC 718 for awards made by economic interest holders to employees of the Company.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HSKB has also allocated $31.3 million to be paid in cash over three years from 2019 to 2021 if the holder of an HSKB Grant remains employed by the Company as of the payment date. This pool was further expanded in March 31, 2020, when HSKB allocated an additional $5.3 million to be paid out over three years, starting with March 31, 2020, to holders of HSKB Grants who received grants after the March 2018 Carlyle Investment, subject to the holder’s continued employment by the Company. HSKB has $0.9 million remaining to be paid through 2023.</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HSKB Phantom Units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common stock in the Company. In connection with the Reorganization Transactions, all HSKB Phantom Units were moved from HSKB I to HSKB II. Within 30 days of the later of the date upon which a Phantom Unit vests, HSKB II must settle the HSKB Phantom Unit in exchange for either (1) cash or (2) Common Stock as determined by the HSKB Manager, in each case, equal to the fair market value of such Common Unit at the time of such exchange.</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11505"/>
                <wp:effectExtent l="0" t="0" r="0" b="0"/>
                <wp:wrapNone/>
                <wp:docPr id="43" name="Frame43"/>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Note 14 - Equity-based Compensation (continued)</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Unamortized Equity-based Compensation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unamortized equity-based compensation costs related to each equity-based incentive award described above is the following:</w:t>
      </w:r>
    </w:p>
    <w:tbl>
      <w:tblPr>
        <w:tblW w:w="8958" w:type="dxa"/>
        <w:jc w:val="left"/>
        <w:tblInd w:w="0" w:type="dxa"/>
        <w:tblCellMar>
          <w:top w:w="28" w:type="dxa"/>
          <w:left w:w="28" w:type="dxa"/>
          <w:bottom w:w="28" w:type="dxa"/>
          <w:right w:w="28" w:type="dxa"/>
        </w:tblCellMar>
      </w:tblPr>
      <w:tblGrid>
        <w:gridCol w:w="1549"/>
        <w:gridCol w:w="1360"/>
        <w:gridCol w:w="1366"/>
        <w:gridCol w:w="211"/>
        <w:gridCol w:w="616"/>
        <w:gridCol w:w="109"/>
        <w:gridCol w:w="109"/>
        <w:gridCol w:w="109"/>
        <w:gridCol w:w="109"/>
        <w:gridCol w:w="999"/>
        <w:gridCol w:w="999"/>
        <w:gridCol w:w="1422"/>
      </w:tblGrid>
      <w:tr>
        <w:trPr/>
        <w:tc>
          <w:tcPr>
            <w:tcW w:w="1549"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 period in years)</w:t>
            </w:r>
          </w:p>
        </w:tc>
        <w:tc>
          <w:tcPr>
            <w:tcW w:w="936"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Service Period</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Options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2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2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2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HSKB Phantom Units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unamortized equity-based compensation cost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15 - Tax Receivable Agreements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that the ZoomInfo Tax Group actually realizes, or is deemed to realize in certain circumstances, as a result of utilization or deemed utilization of certain tax attributes and benefits covered by the Tax Receivable Agreements. The Company expects to benefit from the remaining 15.0% of the cash savings that it realizes.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attributes and benefits covered by the Exchange Tax Receivable Agreements include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attributes and benefits covered by the Reorganization Tax Receivable Agreement includes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reflected an increase in its share of the tax basis in the net assets of ZoomInfo HoldCo when OpCo Units were exchanged by Pre-IPO OpCo Unitholders. The Company treated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As of March 31, 2023 and December 31, 2022, the Company had a liability of $2,968.6 million and $2,978.7 million respectively, related to its projected obligations under the Tax Receivable Agreements. This liability, or a portion thereof, becomes payable once the tax attributes under the Tax Receivable Agreements reduces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Times New Roman;sans-serif" w:hAnsi="Times New Roman;sans-serif"/>
          <w:b w:val="false"/>
          <w:i/>
          <w:color w:val="000000"/>
          <w:sz w:val="20"/>
        </w:rPr>
        <w:t>Current portion of tax receivable agreements liability</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Tax receivable agreements liability, net of current portion</w:t>
      </w:r>
      <w:r>
        <w:rPr>
          <w:rFonts w:ascii="Times New Roman;sans-serif" w:hAnsi="Times New Roman;sans-serif"/>
          <w:b w:val="false"/>
          <w:color w:val="000000"/>
          <w:sz w:val="20"/>
        </w:rPr>
        <w:t xml:space="preserve">, respectively. During the three months ended March 31, 2023, no payment was made pursuant to the Tax Receivable Agreement. During the three months ended March 31, 2022, we paid a total of $5.0 million, pursuant to the Tax Receivable Agreements. During the three months ended March 31, 2023, we recognized a TRA measurement gain of $10.1 million principally due to updates to tax attributes as well as movements in our blended state tax rate resulting from legislation enacted in the first quarter of 2023 and changes in the apportionment of payroll, property and sales in the states in which we operate, within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 xml:space="preserve">on our Consolidated Statements of Operations. During the three months ended March 31, 2022, we recognized a TRA measurement loss of $0.9 million due to legislation passed in the first quarter of 2022 that impact our blended state tax rate within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on our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11505"/>
                <wp:effectExtent l="0" t="0" r="0" b="0"/>
                <wp:wrapNone/>
                <wp:docPr id="45" name="Frame45"/>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Note 16 - Income Taxes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provision for income taxes for the three months ended March 31, 2023 and March 31, 2022 was based on our projected annual effective tax rate for fiscal year 2023 and 2022, adjusted for specific items that are required to be recognized in the period in which they occur.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inclusive of items specific to the period, for the three months ended March 31, 2023 and 2022 was 34.8% and 67.6% respectively. The Company recorded income tax expense of $23.7 million and $13.0 million for the three months ended March 31, 2023 and 2022, respectively.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projected 2023 annual effective tax rate, differed from the U.S federal statutory rate of 21.0% due to U.S. state taxes, foreign taxes, non-deductible equity compensation expense, offset by research and development credits. Further, the Company’s annual effective tax rate included period specific costs resulting from a U.S. tax inclusion in a prior year under the global intangible low-taxed income rules that was realized due to a favorable tax ruling issued by the Israeli tax authorities, and shortfalls in tax-deductible equity compensation compared to amounts recognized in our financial accounts.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enacted the Inflation Reduction Act (“IRA”) of 2022, which, among other things, implemented a 15% minimum tax on book income of certain large corporations, a 1% excise tax on net stock repurchases, and several tax incentives to promote clean energy. We evaluated the provisions of the IRA and do not expect any material impact to our 2023 income tax provision.</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As of March 31, 2023, unrecognized tax benefits were $4.9 million, of which $3.9 million was a reduction of deferred tax assets and $1.0 million was included in </w:t>
      </w:r>
      <w:r>
        <w:rPr>
          <w:rFonts w:ascii="Times New Roman;sans-serif" w:hAnsi="Times New Roman;sans-serif"/>
          <w:b w:val="false"/>
          <w:i/>
          <w:color w:val="000000"/>
          <w:sz w:val="20"/>
        </w:rPr>
        <w:t>Other long-term liabilities</w:t>
      </w:r>
      <w:r>
        <w:rPr>
          <w:color w:val="000000"/>
        </w:rPr>
        <w:t xml:space="preserve"> </w:t>
      </w:r>
      <w:r>
        <w:rPr>
          <w:rFonts w:ascii="Times New Roman;sans-serif" w:hAnsi="Times New Roman;sans-serif"/>
          <w:b w:val="false"/>
          <w:color w:val="000000"/>
          <w:sz w:val="20"/>
        </w:rPr>
        <w:t>within our consolidated balance sheet. If recognized, the resulting tax benefit would affect income tax expense by $4.9 million. It is not anticipated any of the unrecognized tax benefit will be recognized within the next twelve months.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11505"/>
                <wp:effectExtent l="0" t="0" r="0" b="0"/>
                <wp:wrapNone/>
                <wp:docPr id="46" name="Frame46"/>
                <a:graphic xmlns:a="http://schemas.openxmlformats.org/drawingml/2006/main">
                  <a:graphicData uri="http://schemas.microsoft.com/office/word/2010/wordprocessingShape">
                    <wps:wsp>
                      <wps:cNvSpPr txBox="1"/>
                      <wps:spPr>
                        <a:xfrm>
                          <a:off x="0" y="0"/>
                          <a:ext cx="6480175" cy="611505"/>
                        </a:xfrm>
                        <a:prstGeom prst="rect"/>
                      </wps:spPr>
                      <wps:txb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financial statements and related notes included in our 2022 Form 10-K, the information included under “Management’s Discussion and Analysis of Financial Condition and Results of Operations” in Part II, Item 7 of our 2022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2022 Form 10-K.</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is a global leader in modern go-to-market software, data, and intelligence for sales, marketing, operations, and recruiting professionals.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RevOS – our modern, cloud-based operating system for revenue professionals – allows sales, marketing, operations, and recruiting teams to shorten sales cycles and increase win rates by delivering the right message to the right person at the right time, in the right way. We do this by delivering timely insights and offering services that make reaching prospects fast and easy.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formerly known as DiscoverOrg, was co-founded in 2007 by Founder and CEO Henry Schuck. He has led the company’s growth and profitability by efficiently developing innovative ways of gathering and improving our data and insights and using intelligent automation to put those insights into action.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Today, our company defines the modern go-to-market technology stack across three distinct layers that build upon each other: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Intelligence Layer is the foundation of our data-driven strategy. Our best-in-class data, curated through first- and third-party sources, includes billions of data points about companies and contacts, such as intent, hierarchy, location, and financial information.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Orchestration Layer integrates and enriches our data sources. At this stage, our products assign and route data, leads, and insights to the appropriate people. This creates a dataset that is continuously updated and can be used to power automated business workflows. Our services connect with major CRM providers.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Engagement Layer allows sales, marketing, operations, and recruiting professionals to put data-driven insights into action to identify and communicate with prospects and customers. In SalesOS, frontline teams, managers, and leaders use Engage for multi-touch and multi-channel sales engagement, as well as Chorus for call and web meeting recording, transcription, insight generation, and coaching. In MarketingOS, marketers drive awareness, lead generation, and deal acceleration campaigns through account-based marketing, advertising, and onsite conversion optimization solutions, along with ZoomInfo Chat for intelligent onsite experiences through live conversation and chatbots. In TalentOS, recruiters and talent acquisition professionals access a platform that helps them efficiently find candidates. Recruiters can filter and reach more good-fit candidates, use pipeline management tools to collaborate and organize the hiring process, and automate the candidate outreach process. In OperationsOS, our sales operations customers use a suite of products, services, and solutions to ingest, match, enrich, and connect data feeds into multiple systems.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substantially all of our revenue from sales of subscriptions to our platform. Subscriptions include the use of our platform and access to customer support. Subscriptions generally range from one to three years in length. Over 40% of customer contracts (based on annualized value) are multi-year agreements. We typically bill our customers at the beginning of each annual, semi-annual, or quarterly period and recognize revenue ratably over the term of the subscription period.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software to both new and existing customers. We price our subscriptions based on the functionality, users, and records under management that are included in each product edition. Our paid products are SalesOS, MarketingOS, OperationsOS, and TalentOS (with add-on options for some products), and we have a free Community Edition.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our market opportunity, we have built and continue to tune our efficient and comprehensive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Impact of Macroeconomic Conditions and COVID-19</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financial condition have and may continue to be impacted by adverse macroeconomic conditions. In addition, the ongoing COVID-19 pandemic continues to have unpredictable and rapidly shifting impacts on global financial markets, economies, and business practices. See “Risk Factors - Geopolitical Risks” in Part I, Item 1A of our 2022 Form 10-K for further discussion of the possible impact of these issues on our business.</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Term Loan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entered into an amendment to our existing First Lien Credit Agreement (the “Fifth Amendment”), pursuant to which the Company completed a repricing of its First Lien Term Loan Facility, which provided for an extension of the maturity date to February 28, 2030 and a decrease in the applicable margin rate by 0.25%. Under the terms of the Fifth Amendment, the Company is obligated to make principal payments in the amount of 0.25% of the aggregate outstanding amount each quarter.</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Revolving Credit Facility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Fifth Amendment, the Company also extended the maturity date of $213.0 million of our $250.0 million existing commitments of the first lien revolving credit facility to February 28, 2028. With respect to the $37.0 million commitments which were not extended, the maturity date is November 2, 2025.</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Board of Directors authorized a program to repurchase up to $100.0 million of the Company’s Common Stock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at its discretion and depend on a variety of factors, including legal requirements, price and economic and market conditions.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repurchased and subsequently retired 1,058,291 shares of Common Stock at an average price of $22.99, for an aggregate $24.3 million. As of March 31, 2023, $75.7 million remained available and authorized for repurchases under the Share Repurchase Program.</w:t>
      </w:r>
    </w:p>
    <w:p>
      <w:pPr>
        <w:pStyle w:val="TextBody"/>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Holding Company Reorganization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following approval by the Company’s stockholders, the Company further amended and restated its Amended and Restated Certification of Incorporation to eliminate the multiple classes of common stock and to rename the Company’s Class A common stock as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and future success of our business depends on many factors, including the following:</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Continuing to Acquire New Customers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that use our platform in the United States and around the world. The majority of revenue growth when comparing the three months ended March 31, 2023 to the three months ended March 31, 2022 was the result of new customers added over the last 12 months. Our operating results and growth prospects will depend in part on our ability to continue to attract new customers. Additionally, acquiring new customers strengthens the power of our contributory networks. We plan to continue to invest in our efficient go-to-market effort to acquire new customers.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Increasing Usage of Our Platform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expanding the value that we provide to our customers and the corresponding revenue generated as a result is an important measure of the health of our business, and we believe there is a significant opportunity to add additional users, data integration, and additional functionality within our existing customers. We monitor net revenue retention to measure the expanding value that we provide to our customers and the corresponding revenue growth. Net revenue retention is an annual metric that we calculate based on customers of ZoomInfo at the beginning of the year, and is calculated as: (a) the total ACV for those customers at the end of the year, divided by (b) the total ACV for those customers at the beginning of the year. Our net annual retention rate was 104% for the year ended December 31, 2022. In the near term, we expect our net retention rate to be adversely impacted by macroeconomic conditions. See section “Recent Developments - Impact of Macroeconomic Conditions and COVID-19”. We also measure our success in expanding relationships with existing customers by the number of customers that contract for more than $100,000 in ACV. As of March 31, 2023, we had 1,905 customers with over $100,000 in ACV.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Factors Affecting the Comparability of Our Results of Operations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Impact of Acquisitions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grow through both internal development and the acquisition of businesses that broaden and strengthen our platform. Acquisitions completed within the twelve months ending March 31, 2023 include Comparably, Inc. and Dogpatch Advisors, LLC in April 2022. Purchase accounting requires that certain assets acquired and liabilities assumed be recorded at fair value on the acquisition date. Prior to January 2022, revenue from contracts that were impacted by the estimate of fair value of the unearned revenue upon acquisition were recorded based on the fair value until such contract is terminated or renewed, which differed from the receipts received by the acquired company allocated over the service period for the same reporting periods. Effective January 1, 2022, the Company early adopted new accounting guidance which requires contract assets and contract liabilities acquired in a business combination to be recognized and measured in accordance with ASC 606, Revenue from Contracts with Customers, as if the acquirer had originated the contract. Refer to Note 2 - Basis of Presentation and Summary of Significant Accounting Policies to our unaudited consolidated financial statements included in Part I, Item 1 of this Form 10-Q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Adjusted Operating Income, Adjusted Operating Income Margin, and Adjusted Net Income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following table presents a reconciliation of </w:t>
      </w:r>
      <w:r>
        <w:rPr>
          <w:rFonts w:ascii="Times New Roman;sans-serif" w:hAnsi="Times New Roman;sans-serif"/>
          <w:b w:val="false"/>
          <w:i/>
          <w:color w:val="000000"/>
          <w:sz w:val="20"/>
        </w:rPr>
        <w:t>Net income</w:t>
      </w:r>
      <w:r>
        <w:rPr>
          <w:color w:val="000000"/>
        </w:rPr>
        <w:t xml:space="preserve"> </w:t>
      </w:r>
      <w:r>
        <w:rPr>
          <w:rFonts w:ascii="Times New Roman;sans-serif" w:hAnsi="Times New Roman;sans-serif"/>
          <w:b w:val="false"/>
          <w:color w:val="000000"/>
          <w:sz w:val="20"/>
        </w:rPr>
        <w:t xml:space="preserve">to Adjusted Net Income and </w:t>
      </w:r>
      <w:r>
        <w:rPr>
          <w:rFonts w:ascii="Times New Roman;sans-serif" w:hAnsi="Times New Roman;sans-serif"/>
          <w:b w:val="false"/>
          <w:i/>
          <w:color w:val="000000"/>
          <w:sz w:val="20"/>
        </w:rPr>
        <w:t>Income from operations</w:t>
      </w:r>
      <w:r>
        <w:rPr>
          <w:color w:val="000000"/>
        </w:rPr>
        <w:t xml:space="preserve"> </w:t>
      </w:r>
      <w:r>
        <w:rPr>
          <w:rFonts w:ascii="Times New Roman;sans-serif" w:hAnsi="Times New Roman;sans-serif"/>
          <w:b w:val="false"/>
          <w:color w:val="000000"/>
          <w:sz w:val="20"/>
        </w:rPr>
        <w:t>to Adjusted Operating Income for the periods presented:</w:t>
      </w:r>
    </w:p>
    <w:tbl>
      <w:tblPr>
        <w:tblW w:w="10205" w:type="dxa"/>
        <w:jc w:val="left"/>
        <w:tblInd w:w="0" w:type="dxa"/>
        <w:tblCellMar>
          <w:top w:w="28" w:type="dxa"/>
          <w:left w:w="28" w:type="dxa"/>
          <w:bottom w:w="28" w:type="dxa"/>
          <w:right w:w="28" w:type="dxa"/>
        </w:tblCellMar>
      </w:tblPr>
      <w:tblGrid>
        <w:gridCol w:w="2732"/>
        <w:gridCol w:w="2307"/>
        <w:gridCol w:w="2323"/>
        <w:gridCol w:w="237"/>
        <w:gridCol w:w="696"/>
        <w:gridCol w:w="122"/>
        <w:gridCol w:w="122"/>
        <w:gridCol w:w="122"/>
        <w:gridCol w:w="122"/>
        <w:gridCol w:w="237"/>
        <w:gridCol w:w="576"/>
        <w:gridCol w:w="122"/>
        <w:gridCol w:w="109"/>
        <w:gridCol w:w="109"/>
        <w:gridCol w:w="109"/>
        <w:gridCol w:w="160"/>
      </w:tblGrid>
      <w:tr>
        <w:trPr/>
        <w:tc>
          <w:tcPr>
            <w:tcW w:w="2732"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c>
          <w:tcPr>
            <w:tcW w:w="232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73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5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Expense from income taxes</w:t>
            </w:r>
          </w:p>
        </w:tc>
        <w:tc>
          <w:tcPr>
            <w:tcW w:w="9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w:t>
            </w:r>
          </w:p>
        </w:tc>
        <w:tc>
          <w:tcPr>
            <w:tcW w:w="9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Loss on debt modification and extinguishment</w:t>
            </w:r>
          </w:p>
        </w:tc>
        <w:tc>
          <w:tcPr>
            <w:tcW w:w="9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(less): Other expense (income), net</w:t>
            </w:r>
            <w:r>
              <w:rPr>
                <w:rFonts w:ascii="Times New Roman;sans-serif" w:hAnsi="Times New Roman;sans-serif"/>
                <w:b w:val="false"/>
                <w:color w:val="000000"/>
                <w:sz w:val="13"/>
              </w:rPr>
              <w:t>(a)</w:t>
            </w:r>
          </w:p>
        </w:tc>
        <w:tc>
          <w:tcPr>
            <w:tcW w:w="9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Impact of fair value adjustments to acquired unearned revenue</w:t>
            </w:r>
            <w:r>
              <w:rPr>
                <w:rFonts w:ascii="Times New Roman;sans-serif" w:hAnsi="Times New Roman;sans-serif"/>
                <w:b w:val="false"/>
                <w:color w:val="000000"/>
                <w:sz w:val="13"/>
              </w:rPr>
              <w:t>(b)</w:t>
            </w:r>
          </w:p>
        </w:tc>
        <w:tc>
          <w:tcPr>
            <w:tcW w:w="9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acquired technology</w:t>
            </w:r>
          </w:p>
        </w:tc>
        <w:tc>
          <w:tcPr>
            <w:tcW w:w="9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other acquired intangibles</w:t>
            </w:r>
          </w:p>
        </w:tc>
        <w:tc>
          <w:tcPr>
            <w:tcW w:w="9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Equity-based compensation</w:t>
            </w:r>
          </w:p>
        </w:tc>
        <w:tc>
          <w:tcPr>
            <w:tcW w:w="9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Restructuring and transaction-related expenses</w:t>
            </w:r>
            <w:r>
              <w:rPr>
                <w:rFonts w:ascii="Times New Roman;sans-serif" w:hAnsi="Times New Roman;sans-serif"/>
                <w:b w:val="false"/>
                <w:color w:val="000000"/>
                <w:sz w:val="13"/>
              </w:rPr>
              <w:t>(c)</w:t>
            </w:r>
          </w:p>
        </w:tc>
        <w:tc>
          <w:tcPr>
            <w:tcW w:w="9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Integration costs and acquisition-related expenses</w:t>
            </w:r>
            <w:r>
              <w:rPr>
                <w:rFonts w:ascii="Times New Roman;sans-serif" w:hAnsi="Times New Roman;sans-serif"/>
                <w:b w:val="false"/>
                <w:color w:val="000000"/>
                <w:sz w:val="13"/>
              </w:rPr>
              <w:t>(d)</w:t>
            </w:r>
          </w:p>
        </w:tc>
        <w:tc>
          <w:tcPr>
            <w:tcW w:w="9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Operating Income</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expense, net</w:t>
            </w:r>
          </w:p>
        </w:tc>
        <w:tc>
          <w:tcPr>
            <w:tcW w:w="93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(add): Other expense (income), net, excluding TRA liability remeasurement (benefit) expense</w:t>
            </w:r>
          </w:p>
        </w:tc>
        <w:tc>
          <w:tcPr>
            <w:tcW w:w="9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Expense from income taxes</w:t>
            </w:r>
          </w:p>
        </w:tc>
        <w:tc>
          <w:tcPr>
            <w:tcW w:w="9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Tax impacts of adjustments to net income</w:t>
            </w:r>
          </w:p>
        </w:tc>
        <w:tc>
          <w:tcPr>
            <w:tcW w:w="9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Net Income</w:t>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Shares for Adjusted Net Income Per Share</w:t>
            </w:r>
            <w:r>
              <w:rPr>
                <w:rFonts w:ascii="Times New Roman;sans-serif" w:hAnsi="Times New Roman;sans-serif"/>
                <w:b w:val="false"/>
                <w:color w:val="000000"/>
                <w:sz w:val="13"/>
              </w:rPr>
              <w:t>(e)</w:t>
            </w:r>
          </w:p>
        </w:tc>
        <w:tc>
          <w:tcPr>
            <w:tcW w:w="9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w:t>
            </w:r>
          </w:p>
        </w:tc>
        <w:tc>
          <w:tcPr>
            <w:tcW w:w="23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(a)Primarily represents revaluations on tax receivable agreement liability and foreign exchange remeasurement gains and losses.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(c)Represents costs directly associated with acquisition or disposal activities, including employee severance and termination benefits, contract termination fees and penalties, and other exit or disposal costs. For the three months ended March 31, 2023, this expense is primarily related to costs pursuant to the 2021 and 2022 acquisitions. For the three months ended March 31, 2022, this expense related primarily to transition and retention payments related to 2021 acquisitions.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(d)Represents costs directly associated with integration activities for acquisitions and acquisition-related compensation, which includes transaction bonuses and retention awards. For the three months ended March 31, 2022, this expense related to retention awards from the acquisitions of Clickagy and Everstring, and professional fees related to integration projects. This expense is included in cost of service, sales and marketing expense, research and development expense, and general and administrative expense as follows:</w:t>
      </w:r>
    </w:p>
    <w:tbl>
      <w:tblPr>
        <w:tblW w:w="7154" w:type="dxa"/>
        <w:jc w:val="left"/>
        <w:tblInd w:w="0" w:type="dxa"/>
        <w:tblCellMar>
          <w:top w:w="28" w:type="dxa"/>
          <w:left w:w="28" w:type="dxa"/>
          <w:bottom w:w="28" w:type="dxa"/>
          <w:right w:w="28" w:type="dxa"/>
        </w:tblCellMar>
      </w:tblPr>
      <w:tblGrid>
        <w:gridCol w:w="1548"/>
        <w:gridCol w:w="1358"/>
        <w:gridCol w:w="1369"/>
        <w:gridCol w:w="273"/>
        <w:gridCol w:w="567"/>
        <w:gridCol w:w="152"/>
        <w:gridCol w:w="152"/>
        <w:gridCol w:w="152"/>
        <w:gridCol w:w="152"/>
        <w:gridCol w:w="273"/>
        <w:gridCol w:w="525"/>
        <w:gridCol w:w="152"/>
        <w:gridCol w:w="109"/>
        <w:gridCol w:w="109"/>
        <w:gridCol w:w="109"/>
        <w:gridCol w:w="154"/>
      </w:tblGrid>
      <w:tr>
        <w:trPr/>
        <w:tc>
          <w:tcPr>
            <w:tcW w:w="1548"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99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Total integration costs and acquisition-related compensation</w:t>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(e)Diluted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 Shares and grants issued in conjunction with the IPO were assumed to be issued at the beginning of the period.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Operating Income Margin as Adjusted Operating Income divided by the sum of revenue and the impact of fair value adjustments to acquired unearned revenue.</w:t>
      </w:r>
    </w:p>
    <w:tbl>
      <w:tblPr>
        <w:tblW w:w="8038" w:type="dxa"/>
        <w:jc w:val="left"/>
        <w:tblInd w:w="0" w:type="dxa"/>
        <w:tblCellMar>
          <w:top w:w="28" w:type="dxa"/>
          <w:left w:w="28" w:type="dxa"/>
          <w:bottom w:w="28" w:type="dxa"/>
          <w:right w:w="28" w:type="dxa"/>
        </w:tblCellMar>
      </w:tblPr>
      <w:tblGrid>
        <w:gridCol w:w="1867"/>
        <w:gridCol w:w="1639"/>
        <w:gridCol w:w="1654"/>
        <w:gridCol w:w="335"/>
        <w:gridCol w:w="173"/>
        <w:gridCol w:w="431"/>
        <w:gridCol w:w="173"/>
        <w:gridCol w:w="173"/>
        <w:gridCol w:w="173"/>
        <w:gridCol w:w="335"/>
        <w:gridCol w:w="173"/>
        <w:gridCol w:w="431"/>
        <w:gridCol w:w="109"/>
        <w:gridCol w:w="109"/>
        <w:gridCol w:w="109"/>
        <w:gridCol w:w="154"/>
      </w:tblGrid>
      <w:tr>
        <w:trPr/>
        <w:tc>
          <w:tcPr>
            <w:tcW w:w="1867"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165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93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Income from operations</w:t>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Operating Income</w:t>
            </w:r>
          </w:p>
        </w:tc>
        <w:tc>
          <w:tcPr>
            <w:tcW w:w="3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Impact of fair value adjustments to acquired unearned revenue</w:t>
            </w:r>
          </w:p>
        </w:tc>
        <w:tc>
          <w:tcPr>
            <w:tcW w:w="9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adjusted operating margin calculation</w:t>
            </w:r>
          </w:p>
        </w:tc>
        <w:tc>
          <w:tcPr>
            <w:tcW w:w="335"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Income Margin</w:t>
            </w:r>
          </w:p>
        </w:tc>
        <w:tc>
          <w:tcPr>
            <w:tcW w:w="50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22 </w:t>
            </w:r>
          </w:p>
        </w:tc>
        <w:tc>
          <w:tcPr>
            <w:tcW w:w="43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13 </w:t>
            </w:r>
          </w:p>
        </w:tc>
        <w:tc>
          <w:tcPr>
            <w:tcW w:w="43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Operating Income Margin</w:t>
            </w:r>
          </w:p>
        </w:tc>
        <w:tc>
          <w:tcPr>
            <w:tcW w:w="5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4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39 </w:t>
            </w:r>
          </w:p>
        </w:tc>
        <w:tc>
          <w:tcPr>
            <w:tcW w:w="4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for the three months ended March 31, 2023 was $120.3 million and represented an Adjusted Operating Income Margin of 40%. Adjusted Operating Income for the three months ended March 31, 2022 was $95.7 million and represented an Adjusted Operating Income Margin of 39%. The increase of $24.6 million, or 26%, was driven primarily from the growth in revenue driven by additional customers and increasing revenue from existing customers. Adjusted Operating Income Margin increased to 40% in the three months ended March 31, 2023 from 39% in the three months ended March 31, 2022 due to slower headcount growth relative to revenue growth.</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EBITDA is defined as earnings before debt-related costs, including interest and loss on debt modification and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to Adjusted EBITDA for the periods presented:</w:t>
      </w:r>
    </w:p>
    <w:tbl>
      <w:tblPr>
        <w:tblW w:w="8649" w:type="dxa"/>
        <w:jc w:val="left"/>
        <w:tblInd w:w="0" w:type="dxa"/>
        <w:tblCellMar>
          <w:top w:w="28" w:type="dxa"/>
          <w:left w:w="28" w:type="dxa"/>
          <w:bottom w:w="28" w:type="dxa"/>
          <w:right w:w="28" w:type="dxa"/>
        </w:tblCellMar>
      </w:tblPr>
      <w:tblGrid>
        <w:gridCol w:w="2088"/>
        <w:gridCol w:w="1837"/>
        <w:gridCol w:w="1850"/>
        <w:gridCol w:w="241"/>
        <w:gridCol w:w="706"/>
        <w:gridCol w:w="124"/>
        <w:gridCol w:w="124"/>
        <w:gridCol w:w="124"/>
        <w:gridCol w:w="124"/>
        <w:gridCol w:w="241"/>
        <w:gridCol w:w="585"/>
        <w:gridCol w:w="124"/>
        <w:gridCol w:w="109"/>
        <w:gridCol w:w="109"/>
        <w:gridCol w:w="109"/>
        <w:gridCol w:w="154"/>
      </w:tblGrid>
      <w:tr>
        <w:trPr/>
        <w:tc>
          <w:tcPr>
            <w:tcW w:w="2088" w:type="dxa"/>
            <w:tcBorders/>
            <w:shd w:fill="auto" w:val="clear"/>
            <w:vAlign w:val="center"/>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Expense from income taxes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Loss on debt modification and extinguishment</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Depreciation</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acquired technology</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other acquired intangibles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EBITDA</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(less): Other expense (income), net</w:t>
            </w:r>
            <w:r>
              <w:rPr>
                <w:rFonts w:ascii="Times New Roman;sans-serif" w:hAnsi="Times New Roman;sans-serif"/>
                <w:b w:val="false"/>
                <w:color w:val="000000"/>
                <w:sz w:val="13"/>
              </w:rPr>
              <w:t>(a)</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Impact of fair value adjustments to acquired unearned revenue</w:t>
            </w:r>
            <w:r>
              <w:rPr>
                <w:rFonts w:ascii="Times New Roman;sans-serif" w:hAnsi="Times New Roman;sans-serif"/>
                <w:b w:val="false"/>
                <w:color w:val="000000"/>
                <w:sz w:val="13"/>
              </w:rPr>
              <w:t>(b)</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Equity-based compensation expense</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Restructuring and transaction related expenses</w:t>
            </w:r>
            <w:r>
              <w:rPr>
                <w:rFonts w:ascii="Times New Roman;sans-serif" w:hAnsi="Times New Roman;sans-serif"/>
                <w:b w:val="false"/>
                <w:color w:val="000000"/>
                <w:sz w:val="13"/>
              </w:rPr>
              <w:t>(c)</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Integration costs and acquisition-related expenses</w:t>
            </w:r>
            <w:r>
              <w:rPr>
                <w:rFonts w:ascii="Times New Roman;sans-serif" w:hAnsi="Times New Roman;sans-serif"/>
                <w:b w:val="false"/>
                <w:color w:val="000000"/>
                <w:sz w:val="13"/>
              </w:rPr>
              <w:t>(d)</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EBITDA</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(a)Primarily represents revaluations on tax receivable agreement liability and foreign exchange remeasurement gains and losses.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pStyle w:val="TextBody"/>
        <w:spacing w:lineRule="auto" w:line="288" w:before="0" w:after="0"/>
        <w:ind w:left="0" w:right="0" w:hanging="360"/>
        <w:jc w:val="both"/>
        <w:rPr/>
      </w:pPr>
      <w:r>
        <w:rPr>
          <w:rFonts w:ascii="Times New Roman;sans-serif" w:hAnsi="Times New Roman;sans-serif"/>
          <w:b w:val="false"/>
          <w:i/>
          <w:color w:val="000000"/>
          <w:sz w:val="16"/>
        </w:rPr>
        <w:t>(c)</w:t>
      </w:r>
      <w:r>
        <w:rPr>
          <w:rFonts w:ascii="Times New Roman;sans-serif" w:hAnsi="Times New Roman;sans-serif"/>
          <w:b w:val="false"/>
          <w:color w:val="000000"/>
          <w:sz w:val="16"/>
        </w:rPr>
        <w:t>Represents costs directly associated with acquisition or disposal activities, including employee severance and termination benefits, contract termination fees and penalties, and other exit or disposal costs. For three months ended March 31, 2023, this expense is primarily related to costs pursuant to the 2021 and 2022 acquisitions. For the three months ended March 31, 2022, this expense related primarily to transition and retention payments related to 2021 acquisitions.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(d)Represents costs directly associated with integration activities for acquisitions and acquisition-related compensation, which includes transaction bonuses and retention awards. For the three months ended March 31, 2022, this expense related to retention awards from the acquisitions of Clickagy and Everstring, and professional fees related to integration projects. This expense is included in cost of service, sales and marketing expense, research and development expense, and general and administrative expense as follows:</w:t>
      </w:r>
    </w:p>
    <w:tbl>
      <w:tblPr>
        <w:tblW w:w="7154" w:type="dxa"/>
        <w:jc w:val="left"/>
        <w:tblInd w:w="0" w:type="dxa"/>
        <w:tblCellMar>
          <w:top w:w="28" w:type="dxa"/>
          <w:left w:w="28" w:type="dxa"/>
          <w:bottom w:w="28" w:type="dxa"/>
          <w:right w:w="28" w:type="dxa"/>
        </w:tblCellMar>
      </w:tblPr>
      <w:tblGrid>
        <w:gridCol w:w="1548"/>
        <w:gridCol w:w="1358"/>
        <w:gridCol w:w="1369"/>
        <w:gridCol w:w="273"/>
        <w:gridCol w:w="567"/>
        <w:gridCol w:w="152"/>
        <w:gridCol w:w="152"/>
        <w:gridCol w:w="152"/>
        <w:gridCol w:w="152"/>
        <w:gridCol w:w="273"/>
        <w:gridCol w:w="525"/>
        <w:gridCol w:w="152"/>
        <w:gridCol w:w="109"/>
        <w:gridCol w:w="109"/>
        <w:gridCol w:w="109"/>
        <w:gridCol w:w="154"/>
      </w:tblGrid>
      <w:tr>
        <w:trPr/>
        <w:tc>
          <w:tcPr>
            <w:tcW w:w="1548"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99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integration costs and acquisition-related compensation</w:t>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three months ended March 31, 2023 was $125.1 million, an increase of $26.0 million, or 26%, relative to the three months ended March 31, 2022. This increase was driven primarily from the growth in revenue and additional customers in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99%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Cost of Service</w:t>
      </w:r>
    </w:p>
    <w:p>
      <w:pPr>
        <w:pStyle w:val="TextBody"/>
        <w:spacing w:lineRule="auto" w:line="288" w:before="0" w:after="180"/>
        <w:ind w:left="0" w:right="0" w:firstLine="360"/>
        <w:jc w:val="both"/>
        <w:rPr/>
      </w:pPr>
      <w:r>
        <w:rPr>
          <w:rFonts w:ascii="Times New Roman;sans-serif" w:hAnsi="Times New Roman;sans-serif"/>
          <w:b w:val="false"/>
          <w:i/>
          <w:color w:val="000000"/>
          <w:sz w:val="20"/>
        </w:rPr>
        <w:t xml:space="preserve">Cost of service, excluding amortization of acquired technology. </w:t>
      </w:r>
      <w:r>
        <w:rPr>
          <w:rFonts w:ascii="Times New Roman;sans-serif" w:hAnsi="Times New Roman;sans-serif"/>
          <w:b w:val="false"/>
          <w:color w:val="000000"/>
          <w:sz w:val="20"/>
        </w:rPr>
        <w:t>Cost of service, excluding amortization of acquired technology includes direct expenses 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continue to invest in costs of service and that costs of service as a percentage of revenue modestly decrease as we realize operating leverage in the business.</w:t>
      </w:r>
    </w:p>
    <w:p>
      <w:pPr>
        <w:pStyle w:val="TextBody"/>
        <w:spacing w:lineRule="auto" w:line="288" w:before="0" w:after="180"/>
        <w:ind w:left="0" w:right="0" w:firstLine="360"/>
        <w:jc w:val="both"/>
        <w:rPr/>
      </w:pPr>
      <w:r>
        <w:rPr>
          <w:rFonts w:ascii="Times New Roman;sans-serif" w:hAnsi="Times New Roman;sans-serif"/>
          <w:b w:val="false"/>
          <w:i/>
          <w:color w:val="000000"/>
          <w:sz w:val="20"/>
        </w:rPr>
        <w:t xml:space="preserve">Amortization of acquired technology. </w:t>
      </w:r>
      <w:r>
        <w:rPr>
          <w:rFonts w:ascii="Times New Roman;sans-serif" w:hAnsi="Times New Roman;sans-serif"/>
          <w:b w:val="false"/>
          <w:color w:val="000000"/>
          <w:sz w:val="20"/>
        </w:rPr>
        <w:t>Amortization of acquired technology includes amortization expense for technology acquired in business combinations.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amortization of acquired technology will increase if we make additional acquisitions in the future.</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research and development, general and administrative, restructuring and transaction expenses, and amortization of acquired intangibles (other than acquired technology).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pStyle w:val="TextBody"/>
        <w:spacing w:lineRule="auto" w:line="288" w:before="0" w:after="180"/>
        <w:ind w:left="0" w:right="0" w:firstLine="360"/>
        <w:jc w:val="both"/>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contract acquisition costs.</w:t>
      </w:r>
    </w:p>
    <w:p>
      <w:pPr>
        <w:pStyle w:val="TextBody"/>
        <w:spacing w:lineRule="auto" w:line="288" w:before="0" w:after="180"/>
        <w:ind w:left="0" w:right="0" w:firstLine="360"/>
        <w:jc w:val="both"/>
        <w:rPr/>
      </w:pP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Research and development expenses support our efforts to enhance our existing platform and develop new software products. 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 term, but will modestly decrease in the long term as we drive efficiencies in that organization.</w:t>
      </w:r>
    </w:p>
    <w:p>
      <w:pPr>
        <w:pStyle w:val="TextBody"/>
        <w:spacing w:lineRule="auto" w:line="288" w:before="0" w:after="180"/>
        <w:ind w:left="0" w:right="0" w:firstLine="360"/>
        <w:jc w:val="both"/>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expenses primarily consist of employee-related costs such as salaries, bonuses, equity-based 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as a percentage of revenue to modestly decrease as we realize operating leverage in the business.</w:t>
      </w:r>
    </w:p>
    <w:p>
      <w:pPr>
        <w:pStyle w:val="TextBody"/>
        <w:spacing w:lineRule="auto" w:line="288" w:before="0" w:after="180"/>
        <w:ind w:left="0" w:right="0" w:firstLine="360"/>
        <w:jc w:val="both"/>
        <w:rPr/>
      </w:pPr>
      <w:r>
        <w:rPr>
          <w:rFonts w:ascii="Times New Roman;sans-serif" w:hAnsi="Times New Roman;sans-serif"/>
          <w:b w:val="false"/>
          <w:i/>
          <w:color w:val="000000"/>
          <w:sz w:val="20"/>
        </w:rPr>
        <w:t>Amortization of other acquired intangibles</w:t>
      </w:r>
      <w:r>
        <w:rPr>
          <w:rFonts w:ascii="Times New Roman;sans-serif" w:hAnsi="Times New Roman;sans-serif"/>
          <w:b w:val="false"/>
          <w:color w:val="000000"/>
          <w:sz w:val="20"/>
        </w:rPr>
        <w:t>. Amortization of acquired intangibles primarily consists of amortization of customer relationships, trade names, and brand portfolios.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amortization of other acquired intangibles will increase if we make additional acquisitions in the future.</w:t>
      </w:r>
    </w:p>
    <w:p>
      <w:pPr>
        <w:pStyle w:val="TextBody"/>
        <w:spacing w:lineRule="auto" w:line="288" w:before="0" w:after="180"/>
        <w:ind w:left="0" w:right="0" w:firstLine="360"/>
        <w:jc w:val="both"/>
        <w:rPr/>
      </w:pPr>
      <w:r>
        <w:rPr>
          <w:rFonts w:ascii="Times New Roman;sans-serif" w:hAnsi="Times New Roman;sans-serif"/>
          <w:b w:val="false"/>
          <w:i/>
          <w:color w:val="000000"/>
          <w:sz w:val="20"/>
        </w:rPr>
        <w:t>Restructuring and transaction-related expenses.</w:t>
      </w:r>
      <w:r>
        <w:rPr>
          <w:color w:val="000000"/>
        </w:rPr>
        <w:t xml:space="preserve"> </w:t>
      </w:r>
      <w:r>
        <w:rPr>
          <w:rFonts w:ascii="Times New Roman;sans-serif" w:hAnsi="Times New Roman;sans-serif"/>
          <w:b w:val="false"/>
          <w:color w:val="000000"/>
          <w:sz w:val="20"/>
        </w:rPr>
        <w:t>Restructuring and transaction expenses primarily consist of various restructuring and acquisition 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restructuring and transaction expenses will be correlated with future acquisition activity or strategic restructuring activities, which could be greater than or less than our historic levels.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represents the interest payable on our debt obligations and the amortization of debt discounts and debt issuance costs, less interest income.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interest expense could be impacted by changes in variable interest rates or the issuance of additional debt.</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Loss on Debt Modification and Extinguishment</w:t>
      </w:r>
    </w:p>
    <w:p>
      <w:pPr>
        <w:pStyle w:val="TextBody"/>
        <w:spacing w:lineRule="auto" w:line="288" w:before="0" w:after="180"/>
        <w:ind w:left="0" w:right="0" w:firstLine="360"/>
        <w:jc w:val="both"/>
        <w:rPr/>
      </w:pPr>
      <w:r>
        <w:rPr>
          <w:rFonts w:ascii="Times New Roman;sans-serif" w:hAnsi="Times New Roman;sans-serif"/>
          <w:b w:val="false"/>
          <w:i/>
          <w:color w:val="000000"/>
          <w:sz w:val="20"/>
        </w:rPr>
        <w:t>Loss on debt modification and extinguishment</w:t>
      </w:r>
      <w:r>
        <w:rPr>
          <w:color w:val="000000"/>
        </w:rPr>
        <w:t xml:space="preserve"> </w:t>
      </w:r>
      <w:r>
        <w:rPr>
          <w:rFonts w:ascii="Times New Roman;sans-serif" w:hAnsi="Times New Roman;sans-serif"/>
          <w:b w:val="false"/>
          <w:color w:val="000000"/>
          <w:sz w:val="20"/>
        </w:rPr>
        <w:t>consists of prepayment penalties and impairment of deferred financing costs associated with the modification or extinguishment of debt, as well as new fees incurred with third parties in connection with debt modifications.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losses related to debt extinguishment will only occur if we extinguish indebtedness before the contractual repayment dates.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88" w:before="0" w:after="180"/>
        <w:ind w:left="0" w:right="0" w:firstLine="360"/>
        <w:jc w:val="both"/>
        <w:rPr/>
      </w:pP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consists primarily of the revaluation of tax receivable agreement liabilities and foreign currency realized and unrealized gains and losses related to the impact of transactions denominated in a foreign currency.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existing tax law including changes to the corporate income tax rates and the Company’s state tax footprint could lead to substantial revaluations of the tax receivable agreement liability recorded through other income and expense, net.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magnitude of other income and expenses, net may increase as we expand operations internationally and add complexity to our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ZoomInfo Technologies Inc. is treated as a U.S. corporation for U.S. federal, state, and local income tax purposes. Accordingly, a provision for income taxes will be recorded for the anticipated tax consequences of our reported results of operations for federal, state and local, and foreign income taxes. In addition to tax expenses, we also will make payments under the tax receivable agreements, which we expect to be significant.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results of operations for the three months ended March 31, 2023 and 2022: </w:t>
      </w:r>
    </w:p>
    <w:tbl>
      <w:tblPr>
        <w:tblW w:w="6795" w:type="dxa"/>
        <w:jc w:val="left"/>
        <w:tblInd w:w="0" w:type="dxa"/>
        <w:tblCellMar>
          <w:top w:w="28" w:type="dxa"/>
          <w:left w:w="28" w:type="dxa"/>
          <w:bottom w:w="28" w:type="dxa"/>
          <w:right w:w="28" w:type="dxa"/>
        </w:tblCellMar>
      </w:tblPr>
      <w:tblGrid>
        <w:gridCol w:w="1417"/>
        <w:gridCol w:w="1243"/>
        <w:gridCol w:w="1255"/>
        <w:gridCol w:w="230"/>
        <w:gridCol w:w="672"/>
        <w:gridCol w:w="119"/>
        <w:gridCol w:w="119"/>
        <w:gridCol w:w="119"/>
        <w:gridCol w:w="119"/>
        <w:gridCol w:w="230"/>
        <w:gridCol w:w="672"/>
        <w:gridCol w:w="119"/>
        <w:gridCol w:w="109"/>
        <w:gridCol w:w="109"/>
        <w:gridCol w:w="109"/>
        <w:gridCol w:w="154"/>
      </w:tblGrid>
      <w:tr>
        <w:trPr/>
        <w:tc>
          <w:tcPr>
            <w:tcW w:w="1417"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Cost of service</w:t>
            </w:r>
            <w:r>
              <w:rPr>
                <w:rFonts w:ascii="Times New Roman;sans-serif" w:hAnsi="Times New Roman;sans-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transaction-related expenses</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 and extinguishment</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equity-based compensation expense as follows:</w:t>
      </w:r>
    </w:p>
    <w:tbl>
      <w:tblPr>
        <w:tblW w:w="5894" w:type="dxa"/>
        <w:jc w:val="left"/>
        <w:tblInd w:w="0" w:type="dxa"/>
        <w:tblCellMar>
          <w:top w:w="28" w:type="dxa"/>
          <w:left w:w="28" w:type="dxa"/>
          <w:bottom w:w="28" w:type="dxa"/>
          <w:right w:w="28" w:type="dxa"/>
        </w:tblCellMar>
      </w:tblPr>
      <w:tblGrid>
        <w:gridCol w:w="1092"/>
        <w:gridCol w:w="958"/>
        <w:gridCol w:w="965"/>
        <w:gridCol w:w="251"/>
        <w:gridCol w:w="598"/>
        <w:gridCol w:w="140"/>
        <w:gridCol w:w="140"/>
        <w:gridCol w:w="140"/>
        <w:gridCol w:w="140"/>
        <w:gridCol w:w="251"/>
        <w:gridCol w:w="598"/>
        <w:gridCol w:w="140"/>
        <w:gridCol w:w="109"/>
        <w:gridCol w:w="109"/>
        <w:gridCol w:w="109"/>
        <w:gridCol w:w="154"/>
      </w:tblGrid>
      <w:tr>
        <w:trPr/>
        <w:tc>
          <w:tcPr>
            <w:tcW w:w="109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9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8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equity-based compensation expense</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rPr>
          <w:rFonts w:ascii="Times New Roman;sans-serif" w:hAnsi="Times New Roman;sans-serif"/>
          <w:b/>
          <w:i/>
          <w:color w:val="000000"/>
          <w:sz w:val="20"/>
        </w:rPr>
      </w:pPr>
      <w:r>
        <w:rPr>
          <w:rFonts w:ascii="Times New Roman;sans-serif" w:hAnsi="Times New Roman;sans-serif"/>
          <w:b/>
          <w:i/>
          <w:color w:val="000000"/>
          <w:sz w:val="20"/>
        </w:rPr>
        <w:t>Three Months Ended March 31, 2023 and Three Months Ended March 31, 2022</w:t>
      </w:r>
    </w:p>
    <w:p>
      <w:pPr>
        <w:pStyle w:val="TextBody"/>
        <w:spacing w:lineRule="auto" w:line="288" w:before="0" w:after="180"/>
        <w:ind w:left="0" w:right="0" w:firstLine="360"/>
        <w:jc w:val="both"/>
        <w:rPr/>
      </w:pPr>
      <w:r>
        <w:rPr>
          <w:rFonts w:ascii="Times New Roman;sans-serif" w:hAnsi="Times New Roman;sans-serif"/>
          <w:b w:val="false"/>
          <w:i/>
          <w:color w:val="000000"/>
          <w:sz w:val="20"/>
        </w:rPr>
        <w:t>Revenue</w:t>
      </w:r>
      <w:r>
        <w:rPr>
          <w:rFonts w:ascii="Times New Roman;sans-serif" w:hAnsi="Times New Roman;sans-serif"/>
          <w:b w:val="false"/>
          <w:color w:val="000000"/>
          <w:sz w:val="20"/>
        </w:rPr>
        <w:t>. Revenue was $300.7 million for the three months ended March 31, 2023, an increase of $59.0 million, or 24%, as compared to $241.7 million for the three months ended March 31, 2022. This increase was primarily due to the addition of new customers over the past 12 months and net expansion with existing customers. Revenue from acquired products in the first 12 months post-acquisition contributed $3.6 million for the three months ended March 31, 2023.</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360"/>
        <w:jc w:val="both"/>
        <w:rPr/>
      </w:pPr>
      <w:r>
        <w:rPr>
          <w:rFonts w:ascii="Times New Roman;sans-serif" w:hAnsi="Times New Roman;sans-serif"/>
          <w:b w:val="false"/>
          <w:i/>
          <w:color w:val="000000"/>
          <w:sz w:val="20"/>
        </w:rPr>
        <w:t>Cost of Service.</w:t>
      </w:r>
      <w:r>
        <w:rPr>
          <w:color w:val="000000"/>
        </w:rPr>
        <w:t xml:space="preserve"> </w:t>
      </w:r>
      <w:r>
        <w:rPr>
          <w:rFonts w:ascii="Times New Roman;sans-serif" w:hAnsi="Times New Roman;sans-serif"/>
          <w:b w:val="false"/>
          <w:color w:val="000000"/>
          <w:sz w:val="20"/>
        </w:rPr>
        <w:t>Cost of service was $45.5 million for the three months ended March 31, 2023, an increase of $1.5 million, or 3%, as compared to $44.0 million for the three months ended March 31, 2022. The increase was primarily due to additional headcount, related salaries and benefit expenses, and additional cloud computing infrastructure to support new and growing customers.</w:t>
      </w:r>
    </w:p>
    <w:p>
      <w:pPr>
        <w:pStyle w:val="TextBody"/>
        <w:spacing w:lineRule="auto" w:line="288" w:before="0" w:after="180"/>
        <w:ind w:left="0" w:right="0" w:firstLine="360"/>
        <w:jc w:val="both"/>
        <w:rPr/>
      </w:pPr>
      <w:r>
        <w:rPr>
          <w:rFonts w:ascii="Times New Roman;sans-serif" w:hAnsi="Times New Roman;sans-serif"/>
          <w:b w:val="false"/>
          <w:i/>
          <w:color w:val="000000"/>
          <w:sz w:val="20"/>
        </w:rPr>
        <w:t>Operating Expenses.</w:t>
      </w:r>
      <w:r>
        <w:rPr>
          <w:color w:val="000000"/>
        </w:rPr>
        <w:t xml:space="preserve"> </w:t>
      </w:r>
      <w:r>
        <w:rPr>
          <w:rFonts w:ascii="Times New Roman;sans-serif" w:hAnsi="Times New Roman;sans-serif"/>
          <w:b w:val="false"/>
          <w:color w:val="000000"/>
          <w:sz w:val="20"/>
        </w:rPr>
        <w:t>Operating expenses were $188.9 million for the three months ended March 31, 2023, an increase of $23.6 million, or 14%, as compared to $165.3 million for the three months ended March 31, 2022. Excluding equity-based compensation expenses, operating expenses were $155.3 million for the three months ended March 31, 2023, an increase of $27.9 million, or 22%, as compared to $127.4 million for the three months ended March 31, 2022. The increase excluding equity-based compensation was primarily due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sales and marketing expense (excluding equity-based compensation) of $15.7 million, or 23%, to $83.7 million for the three months ended March 31, 2023, due primarily to additional headcount and related salaries and benefits expenses added to drive continued incremental sales, as well as additional commission expense and amortization of deferred commissions related to obtaining contracts with customers;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research and development expense (excluding equity-based compensation) of $5.4 million, or 18%, to $35.4 million for the three months ended March 31, 2023, due primarily to additional headcount and related salaries and benefits expenses added to support continued innovation of our services and acquired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general and administrative expense (excluding equity-based compensation) of $8.9 million, or 41%, to $30.5 million for the three months ended March 31, 2023, due primarily to increased accruals for bad debt and additional headcount and related salaries and benefits expenses to support the larger organization;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amortization of acquired intangibles expense of $0.3 million, or 6%, to $5.6 million for the three months ended March 31, 2023, due to amortization expense related to intangible assets from 2022 acquisitions;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restructuring and transaction-related expense of $0.1 million for the three months ended March 31, 2023. This represented a decrease of $2.4 million, or 96%, as compared to expense of $2.5 million for the three months ended March 31, 2022, which were primarily comprised of costs incurred related to 2021 acquisitions.</w:t>
      </w:r>
    </w:p>
    <w:p>
      <w:pPr>
        <w:pStyle w:val="TextBody"/>
        <w:spacing w:lineRule="auto" w:line="288" w:before="0" w:after="180"/>
        <w:ind w:left="0" w:right="0" w:firstLine="360"/>
        <w:jc w:val="both"/>
        <w:rPr/>
      </w:pPr>
      <w:r>
        <w:rPr>
          <w:rFonts w:ascii="Times New Roman;sans-serif" w:hAnsi="Times New Roman;sans-serif"/>
          <w:b w:val="false"/>
          <w:i/>
          <w:color w:val="000000"/>
          <w:sz w:val="20"/>
        </w:rPr>
        <w:t>Equity-based Compensation Expense</w:t>
      </w:r>
      <w:r>
        <w:rPr>
          <w:rFonts w:ascii="Times New Roman;sans-serif" w:hAnsi="Times New Roman;sans-serif"/>
          <w:b w:val="false"/>
          <w:color w:val="000000"/>
          <w:sz w:val="20"/>
        </w:rPr>
        <w:t>. Equity-based compensation expense was $37.7 million for the three months ended March 31, 2023, a decrease of $4.8 million, or 11%, as compared to $42.5 million for the three months ended March 31, 2022, primarily due to slower headcount growth and higher forfeitures of unvested awards.</w:t>
      </w:r>
    </w:p>
    <w:p>
      <w:pPr>
        <w:pStyle w:val="TextBody"/>
        <w:spacing w:lineRule="auto" w:line="288" w:before="0" w:after="180"/>
        <w:ind w:left="0" w:right="0" w:firstLine="360"/>
        <w:jc w:val="both"/>
        <w:rPr/>
      </w:pP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Other income was $14.0 million for the three months ended March 31, 2023, an increase of $15.4 million, as compared to other expense of $1.4 million for the three months ended March 31, 2022, primarily due to a TRA remeasurement gain recognized in 2023.</w:t>
      </w:r>
    </w:p>
    <w:p>
      <w:pPr>
        <w:pStyle w:val="TextBody"/>
        <w:spacing w:lineRule="auto" w:line="288" w:before="0" w:after="180"/>
        <w:ind w:left="0" w:right="0" w:firstLine="360"/>
        <w:jc w:val="both"/>
        <w:rPr/>
      </w:pP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Interest expense, net was $9.9 million for the three months ended March 31, 2023, a decrease of $1.9 million, or 16%, as compared to $11.8 million for the three months ended March 31, 2022. The decrease was primarily due to increases in deposit rates that drove incremental interest income.</w:t>
      </w:r>
    </w:p>
    <w:p>
      <w:pPr>
        <w:pStyle w:val="TextBody"/>
        <w:spacing w:lineRule="auto" w:line="288" w:before="0" w:after="180"/>
        <w:ind w:left="0" w:right="0" w:firstLine="360"/>
        <w:jc w:val="both"/>
        <w:rPr/>
      </w:pPr>
      <w:r>
        <w:rPr>
          <w:rFonts w:ascii="Times New Roman;sans-serif" w:hAnsi="Times New Roman;sans-serif"/>
          <w:b w:val="false"/>
          <w:i/>
          <w:color w:val="000000"/>
          <w:sz w:val="20"/>
        </w:rPr>
        <w:t>Income Tax Expense</w:t>
      </w:r>
      <w:r>
        <w:rPr>
          <w:rFonts w:ascii="Times New Roman;sans-serif" w:hAnsi="Times New Roman;sans-serif"/>
          <w:b w:val="false"/>
          <w:color w:val="000000"/>
          <w:sz w:val="20"/>
        </w:rPr>
        <w:t>. Expense from income taxes for the three months ended March 31, 2023 was $23.7 million, representing an effective tax rate of 34.8%, as compared to expense from income taxes of $13.0 million for the three months ended March 31, 2022, representing an effective tax rate of 67.6%. The decrease in the effective tax rate was primarily due to a reduction in non-deductible equity-based compensation in 2023 compared to 2022. The current quarter's effective tax rate largely exceeds the U.S. federal statutory rate due to U.S. state taxes, foreign taxes, non-deductible equity compensation expense, offset by research and development credits.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$474.0 million of cash and cash equivalents, $141.8 million of short-term investments, and $250.0 million available under our first lien revolving credit facility. We have financed our operations primarily through cash generated from operations.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invoice our subscription customers annually, semi-annually, or quarterly in advance of our subscription services.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March 31, 2023, we had unearned revenue of $451.4 million, of which $449.0 million was recorded as a current liability and is expected to be recorded as revenue in the next 12 months, provided all other revenue recognition criteria have been met.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2022 Form 10-K.</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Historical Cash Flows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9788" w:type="dxa"/>
        <w:jc w:val="left"/>
        <w:tblInd w:w="0" w:type="dxa"/>
        <w:tblCellMar>
          <w:top w:w="28" w:type="dxa"/>
          <w:left w:w="28" w:type="dxa"/>
          <w:bottom w:w="28" w:type="dxa"/>
          <w:right w:w="28" w:type="dxa"/>
        </w:tblCellMar>
      </w:tblPr>
      <w:tblGrid>
        <w:gridCol w:w="2121"/>
        <w:gridCol w:w="1863"/>
        <w:gridCol w:w="1880"/>
        <w:gridCol w:w="109"/>
        <w:gridCol w:w="109"/>
        <w:gridCol w:w="226"/>
        <w:gridCol w:w="226"/>
        <w:gridCol w:w="439"/>
        <w:gridCol w:w="1281"/>
        <w:gridCol w:w="226"/>
        <w:gridCol w:w="109"/>
        <w:gridCol w:w="109"/>
        <w:gridCol w:w="109"/>
        <w:gridCol w:w="211"/>
        <w:gridCol w:w="616"/>
        <w:gridCol w:w="154"/>
      </w:tblGrid>
      <w:tr>
        <w:trPr/>
        <w:tc>
          <w:tcPr>
            <w:tcW w:w="2121"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and 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(used in) Operating Activities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operations was $108.6 million for the three months ended March 31, 2023 as a result of net income of $44.5 million, adjusted by non-cash charges of $104.2 million and the change in our operating assets net of operating liabilities of $40.1 million. The non-cash charges are primarily comprised of equity-based compensation of $37.7 million, a decrease in deferred tax assets net of deferred tax liabilities of $27.9 million, depreciation and amortization of $20.9 million, amortization of deferred commission costs of $18.8 million, and provision for bad debt expense of $6.1 million, partially offset by tax receivable agreement remeasurement of $10.1 million. The change in operating assets net of operating liabilities was primarily the result of a decrease in accrued expenses and other liabilities of $34.0 million, an increase in deferred costs and other assets of $16.4 million, a decrease in accounts payable of $10.3 million. an increase in prepaid expenses and other current assets of $9.9 million, partially offset by an increase in unearned revenue of $31.5 million.</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operations was $105.0 million for the three months ended March 31, 2022 as a result of a net income of $6.2 million, adjusted by non-cash charges of $89.3 million and partially offset by the change in our operating assets net of operating liabilities of $9.5 million. The non-cash charges were primarily comprised of equity-based compensation of $42.5 million, depreciation and amortization of $20.0 million, amortization of deferred commission costs of $14.1 million, and a decrease in deferred tax assets net of deferred tax liabilities of $10.7 million. The change in operating assets net of operating liabilities was primarily the result of an increase in unearned revenue of $41.9 million, and a decrease in accounts receivable of $20.1 million, partially offset by a decrease in accrued expenses and other liabilities of $29.4 million, and an increase in deferred costs and other assets of $18.6 million.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three months ended March 31, 2023, and 2022, we incurred the following cash expenditures:</w:t>
      </w:r>
    </w:p>
    <w:tbl>
      <w:tblPr>
        <w:tblW w:w="7528" w:type="dxa"/>
        <w:jc w:val="left"/>
        <w:tblInd w:w="0" w:type="dxa"/>
        <w:tblCellMar>
          <w:top w:w="28" w:type="dxa"/>
          <w:left w:w="28" w:type="dxa"/>
          <w:bottom w:w="28" w:type="dxa"/>
          <w:right w:w="28" w:type="dxa"/>
        </w:tblCellMar>
      </w:tblPr>
      <w:tblGrid>
        <w:gridCol w:w="1839"/>
        <w:gridCol w:w="1616"/>
        <w:gridCol w:w="1630"/>
        <w:gridCol w:w="253"/>
        <w:gridCol w:w="614"/>
        <w:gridCol w:w="131"/>
        <w:gridCol w:w="131"/>
        <w:gridCol w:w="131"/>
        <w:gridCol w:w="131"/>
        <w:gridCol w:w="253"/>
        <w:gridCol w:w="614"/>
        <w:gridCol w:w="185"/>
      </w:tblGrid>
      <w:tr>
        <w:trPr/>
        <w:tc>
          <w:tcPr>
            <w:tcW w:w="1839"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99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expense</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Restructuring and transaction-related expenses paid in cash</w:t>
            </w:r>
            <w:r>
              <w:rPr>
                <w:rFonts w:ascii="Times New Roman;sans-serif" w:hAnsi="Times New Roman;sans-serif"/>
                <w:b w:val="false"/>
                <w:color w:val="000000"/>
                <w:sz w:val="13"/>
              </w:rPr>
              <w:t>(a)</w:t>
            </w:r>
          </w:p>
        </w:tc>
        <w:tc>
          <w:tcPr>
            <w:tcW w:w="25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
        </w:rPr>
      </w:pPr>
      <w:r>
        <w:rPr>
          <w:rFonts w:ascii="Times New Roman;sans-serif" w:hAnsi="Times New Roman;sans-serif"/>
          <w:b w:val="false"/>
          <w:color w:val="000000"/>
          <w:sz w:val="2"/>
        </w:rPr>
        <w:t>$18.7</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(a)Represents cash payments directly associated with acquisition or disposal activities, including employee severance and termination benefits, contract termination fees and penalties, and other exit or disposal costs. For the three months ended March 31, 2023, these payments related primarily to legal costs paid related to 2021 and 2022 acquisitions and Waltham sublease costs. For the three months ended March 31, 2022, these payments related primarily to transaction bonuses paid related to 2021 acquisitions.</w:t>
      </w:r>
    </w:p>
    <w:p>
      <w:pPr>
        <w:pStyle w:val="TextBody"/>
        <w:spacing w:before="0" w:after="0"/>
        <w:ind w:left="0" w:right="0" w:hanging="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pStyle w:val="TextBody"/>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(used in) Investing Activities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three months ended March 31, 2023 was $19.6 million, consisting of purchases of short-term investments of $63.6 million, purchases of property and equipment and other assets of $6.4 million, partially offset by maturities of short-term investments of $50.4 million.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three months ended March 31, 2022 was $8.6 million, consisting of purchases of short-term investments of $11.1 million, the purchase of a convertible note receivable of $10.0 million, and purchases of property and equipment and other assets of $6.6 million, partially offset by maturities of short-term investments of $17.0 million, and cash received from prior acquisition deposits of $2.1 million.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grow and invest in our business, we expect to continue to invest in property and equipment and opportunistically pursue acquisitions.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(used in) Financing Activities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for the three months ended March 31, 2023 was $29.3 million, primarily comprised of payments relating to the repurchase of common stock of $21.9 million, payments of taxes related to net share settlement of equity awards of $4.1 million, payments of debt issuance and modification costs of $2.0 million, and repayment of debt of $1.5 million, partially offset by proceeds from exercise of stock options of $0.2 million.</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for the three months ended March 31, 2022 was $10.3 million, primarily comprised of payments related to our tax receivable agreements of $5.0 million, payments of taxes related to net share settlement of equity awards of $3.8 million, payments of deferred consideration of $1.1 million. payments of issuance fees from prior transactions of $0.7 million, partially offset by proceeds from exercise of stock options of $0.3 million.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8 - Financing Arrangements of our consolidated financial statements for additional information related to each of our borrowings.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Debt Obligations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has a remaining balance of $598.5 million with respect to its first lien term loans. The Company is obligated to make principal payments in the amount of 0.25% of the aggregate outstanding amount each quarter, with the remaining balance due at the contractual maturity date of February 28, 2030. As of March 31, 2023, the aggregate remaining balance of $650.0 million of 3.875% Senior Notes is due, in its entirety, at the contractual maturity date of February 1, 2029. Interest on the Senior Notes is payable semi-annually in arrears beginning on August 1, 2021. The foregoing currently represent the only existing required future debt principal repayment obligations that will require future uses of the Company’s cash.</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term debt has a variable interest rate whereby the Company can elect to use a Base Rate or SOFR plus an applicable rate. The applicable rate is 1.75% for Base Rate loans or 2.75% for SOFR loans, plus a credit spread adjustment of 0.1%, depending on the Company’s leverage. The first lien revolving credit facility, which had no amount outstanding as of March 31, 2023, has a variable interest rate whereby the Company can elect to use a Base Rate or SOFR plus an applicable rate. The applicable margin is 1.00% to 1.25% for Base Rate loans or 2.10% to 2.35% for SOFR loans, depending on the Company’s leverage. The effective interest rate on the first lien debt was 7.36% and 7.38% as of March 31, 2023 and December 31, 2022, respectively.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March 31, 2023 was $491.4 million. Our total net leverage ratio to Adjusted EBITDA as of March 31, 2023 was 1.3x.</w:t>
      </w:r>
    </w:p>
    <w:tbl>
      <w:tblPr>
        <w:tblW w:w="7386" w:type="dxa"/>
        <w:jc w:val="left"/>
        <w:tblInd w:w="0" w:type="dxa"/>
        <w:tblCellMar>
          <w:top w:w="28" w:type="dxa"/>
          <w:left w:w="28" w:type="dxa"/>
          <w:bottom w:w="28" w:type="dxa"/>
          <w:right w:w="28" w:type="dxa"/>
        </w:tblCellMar>
      </w:tblPr>
      <w:tblGrid>
        <w:gridCol w:w="2260"/>
        <w:gridCol w:w="1994"/>
        <w:gridCol w:w="2001"/>
        <w:gridCol w:w="211"/>
        <w:gridCol w:w="766"/>
        <w:gridCol w:w="154"/>
      </w:tblGrid>
      <w:tr>
        <w:trPr/>
        <w:tc>
          <w:tcPr>
            <w:tcW w:w="2260"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 except leverage ratios)</w:t>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 restricted cash, and short-term investments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Twelve Months (TTM) Adjusted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leverage ratio to Adjusted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1.3x</w:t>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first lien net leverage ratio is defined in the agreement governing our existing first lien credit facilities (the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March 31, 2023 was $535.4 million. Our consolidated first lien net leverage ratio as of March 31, 2023 was -0.0x.</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tbl>
      <w:tblPr>
        <w:tblW w:w="5991" w:type="dxa"/>
        <w:jc w:val="left"/>
        <w:tblInd w:w="0" w:type="dxa"/>
        <w:tblCellMar>
          <w:top w:w="28" w:type="dxa"/>
          <w:left w:w="28" w:type="dxa"/>
          <w:bottom w:w="28" w:type="dxa"/>
          <w:right w:w="28" w:type="dxa"/>
        </w:tblCellMar>
      </w:tblPr>
      <w:tblGrid>
        <w:gridCol w:w="1810"/>
        <w:gridCol w:w="1597"/>
        <w:gridCol w:w="1603"/>
        <w:gridCol w:w="211"/>
        <w:gridCol w:w="616"/>
        <w:gridCol w:w="154"/>
      </w:tblGrid>
      <w:tr>
        <w:trPr/>
        <w:tc>
          <w:tcPr>
            <w:tcW w:w="1810"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6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 except leverage ratios)</w:t>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maturity of First Lien indebtedness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 and short-term investments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first lien net leverage ratio</w:t>
            </w:r>
          </w:p>
        </w:tc>
        <w:tc>
          <w:tcPr>
            <w:tcW w:w="98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-0.0x</w:t>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March 31, 2023 was $535.4 million. Our total net leverage ratio to Cash EBITDA as of March 31, 2023 was 1.2x.</w:t>
      </w:r>
    </w:p>
    <w:tbl>
      <w:tblPr>
        <w:tblW w:w="7386" w:type="dxa"/>
        <w:jc w:val="left"/>
        <w:tblInd w:w="0" w:type="dxa"/>
        <w:tblCellMar>
          <w:top w:w="28" w:type="dxa"/>
          <w:left w:w="28" w:type="dxa"/>
          <w:bottom w:w="28" w:type="dxa"/>
          <w:right w:w="28" w:type="dxa"/>
        </w:tblCellMar>
      </w:tblPr>
      <w:tblGrid>
        <w:gridCol w:w="2260"/>
        <w:gridCol w:w="1994"/>
        <w:gridCol w:w="2001"/>
        <w:gridCol w:w="211"/>
        <w:gridCol w:w="766"/>
        <w:gridCol w:w="154"/>
      </w:tblGrid>
      <w:tr>
        <w:trPr/>
        <w:tc>
          <w:tcPr>
            <w:tcW w:w="2260"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 except leverage ratios)</w:t>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 restricted cash, and short-term investments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leverage ratio to Cash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1.2x</w:t>
            </w:r>
          </w:p>
        </w:tc>
      </w:tr>
    </w:tbl>
    <w:tbl>
      <w:tblPr>
        <w:tblW w:w="8039" w:type="dxa"/>
        <w:jc w:val="left"/>
        <w:tblInd w:w="0" w:type="dxa"/>
        <w:tblCellMar>
          <w:top w:w="28" w:type="dxa"/>
          <w:left w:w="28" w:type="dxa"/>
          <w:bottom w:w="28" w:type="dxa"/>
          <w:right w:w="28" w:type="dxa"/>
        </w:tblCellMar>
      </w:tblPr>
      <w:tblGrid>
        <w:gridCol w:w="2086"/>
        <w:gridCol w:w="1834"/>
        <w:gridCol w:w="1855"/>
        <w:gridCol w:w="487"/>
        <w:gridCol w:w="1422"/>
        <w:gridCol w:w="355"/>
      </w:tblGrid>
      <w:tr>
        <w:trPr/>
        <w:tc>
          <w:tcPr>
            <w:tcW w:w="2086" w:type="dxa"/>
            <w:tcBorders/>
            <w:shd w:fill="auto" w:val="clear"/>
            <w:vAlign w:val="center"/>
          </w:tcPr>
          <w:p>
            <w:pPr>
              <w:pStyle w:val="TableContents"/>
              <w:spacing w:before="0" w:after="283"/>
              <w:rPr>
                <w:sz w:val="4"/>
                <w:szCs w:val="4"/>
              </w:rPr>
            </w:pPr>
            <w:r>
              <w:rPr>
                <w:sz w:val="4"/>
                <w:szCs w:val="4"/>
              </w:rPr>
            </w:r>
          </w:p>
        </w:tc>
        <w:tc>
          <w:tcPr>
            <w:tcW w:w="1834"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Trailing Twelve Months as of</w:t>
            </w:r>
          </w:p>
        </w:tc>
      </w:tr>
      <w:tr>
        <w:trPr/>
        <w:tc>
          <w:tcPr>
            <w:tcW w:w="57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48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35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Expense from income taxes</w:t>
            </w:r>
          </w:p>
        </w:tc>
        <w:tc>
          <w:tcPr>
            <w:tcW w:w="19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w:t>
            </w:r>
          </w:p>
        </w:tc>
        <w:tc>
          <w:tcPr>
            <w:tcW w:w="1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Loss on debt modification and extinguishment</w:t>
            </w:r>
          </w:p>
        </w:tc>
        <w:tc>
          <w:tcPr>
            <w:tcW w:w="19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Depreciation</w:t>
            </w:r>
          </w:p>
        </w:tc>
        <w:tc>
          <w:tcPr>
            <w:tcW w:w="1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acquired technology</w:t>
            </w:r>
          </w:p>
        </w:tc>
        <w:tc>
          <w:tcPr>
            <w:tcW w:w="19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other acquired intangibles</w:t>
            </w:r>
          </w:p>
        </w:tc>
        <w:tc>
          <w:tcPr>
            <w:tcW w:w="1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48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3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(less): Other expense (income), net</w:t>
            </w:r>
            <w:r>
              <w:rPr>
                <w:rFonts w:ascii="Times New Roman;sans-serif" w:hAnsi="Times New Roman;sans-serif"/>
                <w:b w:val="false"/>
                <w:color w:val="000000"/>
                <w:sz w:val="13"/>
              </w:rPr>
              <w:t>(a)</w:t>
            </w:r>
          </w:p>
        </w:tc>
        <w:tc>
          <w:tcPr>
            <w:tcW w:w="1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Impact of fair value adjustments to acquired unearned revenue</w:t>
            </w:r>
            <w:r>
              <w:rPr>
                <w:rFonts w:ascii="Times New Roman;sans-serif" w:hAnsi="Times New Roman;sans-serif"/>
                <w:b w:val="false"/>
                <w:color w:val="000000"/>
                <w:sz w:val="13"/>
              </w:rPr>
              <w:t>(b)</w:t>
            </w:r>
          </w:p>
        </w:tc>
        <w:tc>
          <w:tcPr>
            <w:tcW w:w="19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Equity-based compensation expense</w:t>
            </w:r>
          </w:p>
        </w:tc>
        <w:tc>
          <w:tcPr>
            <w:tcW w:w="1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Restructuring and transaction related expenses</w:t>
            </w:r>
            <w:r>
              <w:rPr>
                <w:rFonts w:ascii="Times New Roman;sans-serif" w:hAnsi="Times New Roman;sans-serif"/>
                <w:b w:val="false"/>
                <w:color w:val="000000"/>
                <w:sz w:val="13"/>
              </w:rPr>
              <w:t>(c)</w:t>
            </w:r>
          </w:p>
        </w:tc>
        <w:tc>
          <w:tcPr>
            <w:tcW w:w="19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Add: Integration costs and acquisition-related expenses</w:t>
            </w:r>
            <w:r>
              <w:rPr>
                <w:rFonts w:ascii="Times New Roman;sans-serif" w:hAnsi="Times New Roman;sans-serif"/>
                <w:b w:val="false"/>
                <w:color w:val="000000"/>
                <w:sz w:val="13"/>
              </w:rPr>
              <w:t>(d)</w:t>
            </w:r>
          </w:p>
        </w:tc>
        <w:tc>
          <w:tcPr>
            <w:tcW w:w="1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48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3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Unearned revenue adjustment</w:t>
            </w:r>
          </w:p>
        </w:tc>
        <w:tc>
          <w:tcPr>
            <w:tcW w:w="1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(less): Cash rent adjustment</w:t>
            </w:r>
          </w:p>
        </w:tc>
        <w:tc>
          <w:tcPr>
            <w:tcW w:w="19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(less): Other lender adjustments</w:t>
            </w:r>
          </w:p>
        </w:tc>
        <w:tc>
          <w:tcPr>
            <w:tcW w:w="1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EBITDA</w:t>
            </w:r>
          </w:p>
        </w:tc>
        <w:tc>
          <w:tcPr>
            <w:tcW w:w="48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3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(a)Primarily represents revaluations on tax receivable agreement liability and foreign exchange remeasurement gains and losses.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(c)Represents costs directly associated with acquisition or disposal activities, including employee severance and termination benefits, contract termination fees and penalties, and other exit or disposal costs. For the trailing twelve months ended March 31, 2023, this expense related primarily to cost incurred pursuant to the 2021 and 2022 acquisitions.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(d)Represents costs directly associated with integration activities for acquisitions and acquisition-related compensation, which includes transaction bonuses and retention awards. For the trailing twelve months ended March 31, 2023, this expense related primarily to transition and retention payments pursuant to the 2021 and 2022 acquisitions. This expense is included in cost of service, sales and marketing expense, research and development expense, and general and administrative expense as follows:</w:t>
      </w:r>
    </w:p>
    <w:tbl>
      <w:tblPr>
        <w:tblW w:w="6540" w:type="dxa"/>
        <w:jc w:val="left"/>
        <w:tblInd w:w="0" w:type="dxa"/>
        <w:tblCellMar>
          <w:top w:w="28" w:type="dxa"/>
          <w:left w:w="28" w:type="dxa"/>
          <w:bottom w:w="28" w:type="dxa"/>
          <w:right w:w="28" w:type="dxa"/>
        </w:tblCellMar>
      </w:tblPr>
      <w:tblGrid>
        <w:gridCol w:w="1544"/>
        <w:gridCol w:w="1359"/>
        <w:gridCol w:w="1372"/>
        <w:gridCol w:w="609"/>
        <w:gridCol w:w="1173"/>
        <w:gridCol w:w="483"/>
      </w:tblGrid>
      <w:tr>
        <w:trPr/>
        <w:tc>
          <w:tcPr>
            <w:tcW w:w="1544"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Trailing Twelve Months as of</w:t>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48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7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7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4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7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48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integration costs and acquisition-related compensation</w:t>
            </w:r>
          </w:p>
        </w:tc>
        <w:tc>
          <w:tcPr>
            <w:tcW w:w="6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4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 xml:space="preserve">Tax Receivable Agreements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attributes and benefits covered by the Exchange Tax Receivable Agreements include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attributes and benefits covered by the Reorganization Tax Receivable Agreement include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each case, these increases in existing tax basis and tax basis adjustments generated over time may increase the ZoomInfo Tax Group’s depreciation and amortization deductions for tax purposes and, therefore, may reduce the amount of tax that the ZoomInfo Tax Group would otherwise be required to pay in the future, although the IRS may challenge all or part of the validity of that tax basis, and a court could sustain such a challenge.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ZoomInfo Tax Group’s allocable share of existing tax basis acquired in the IPO and the increase in the ZoomInfo Tax Group’s allocable share of existing tax basis and the tax basis adjustments upon exchanges of OpCo Units for shares of Common Stock may also decrease gains (or increase losses) on future dispositions of certain capital assets to the extent tax basis is allocated to those capital assets. The ZoomInfo Tax Group expects to benefit from the remaining 15% of realized cash tax benefits.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 tax receivable agreements not been entered into and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The term of each tax receivable agreement will continue until all such tax benefits have been utilized or expired, unless (i) ZoomInfo Tax Group exercises its right to terminate one or both tax receivable agreements for an amount based on the agreed payments remaining to be made under the agreement, (ii) ZoomInfo Tax Group breaches any of its material obligations under one or both tax receivable agreements in which case all obligations (including any additional interest due relating to any deferred payments) generally will be accelerated and due as if ZoomInfo Tax Group had exercised its right to terminate the tax receivable agreements, or (iii) there is a change of control of ZoomInfo Tax Group,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the amount and timing of our income, and situations where no net benefit is received from the tax attributes.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OpCo Units for shares of Common Stock and our expected utilization of certain tax attributes, the payments that ZoomInfo Tax Group may make under the tax receivable agreements will be substantial. As of March 31, 2023, the Company had a liability of $2,968.6 million related to its projected obligations under the Tax Receivable Agreements in connection with the Reorganization Transactions and OpCo Units. During the three months ended March 31, 2023, no payment was made pursuant to the Tax Receivable Agreements. During the three months ended March 31, 2022, we paid a total of $5.0 million, pursuant to the Tax Receivable Agreements. The payments under the tax receivable agreements are not conditioned upon continued ownership of us by the exchanging holders of OpCo Units. Refer to Note 15 - Tax Receivable Agreements to our unaudited consolidated financial statements included in Part I, Item 1 of this Form 10-Q for additional information.</w:t>
      </w: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Board of Directors authorized a program to repurchase up to $100.0 million of the Company’s Common Stock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at its discretion and depend on a variety of factors, including legal requirements, price and economic and market conditions.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additional operating leases for office space that have not yet commenced with anticipated undiscounted future lease payments of $340.6 million. Refer to Note 13 - Leases of the notes to our unaudited consolidated financial statements included elsewhere in this Quarterly Report on Form 10-Q for further details.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above and in Note 11 -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2 - Basis of Presentation and Summary of Significant Accounting Policies of our consolidated financial statements included in Part I, Item 1 of this Form 10-Q regarding recently issued accounting pronouncements.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United States and internationally, and we are exposed to market risk in the ordinary course of business.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Inflation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Geopolitical Risks” in Part I, Item 1A of our 2022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subject to market risk from interest rate fluctuations on our first lien term loan, which bears a variable interest rate based on SOFR. As of March 31, 2023, the total principal balance outstanding was $598.5 million. We have implemented a hedging strategy to mitigate the interest rate risk by entering into certain derivative instruments (refer to Note 8 - Financing Arrangements of our consolidated financial statements included in Part I, Item 1 of this Form 10-Q). Based on the outstanding balances and interest rates of our debt as of March 31, 2023, a hypothetical relative increase or decrease in our effective interest rate by 100 basis points or 1% would have caused an immaterial corresponding change over the next 12 months.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we have dedesignated certain cash flow hedging relationships due to repricing of the terms and partial prepayment of the outstanding principal of our first lien term loan since loan inception. As of March 31, 2023, all cash flow hedging relationships are designated as accounting hedges.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March 31, 2023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no change in our internal control over financial reporting (as defined in Rules 13a-15(f) and 15d-15(f) under the Exchange Act) occurred that has materially affected, or is reasonably likely to materially affect, our internal control over financial reporting.</w:t>
      </w:r>
    </w:p>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certain legal and regulatory proceedings, please read “Legal Matters” in Note 11 (Commitments and Contingencies) to our unaudited consolidated financial statements included in Part I, Item 1 of this Form 10-Q, which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2022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300" w:before="300" w:after="180"/>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shares of Common Stock purchased by the Company during the periods indicated:</w:t>
      </w:r>
    </w:p>
    <w:tbl>
      <w:tblPr>
        <w:tblW w:w="10205" w:type="dxa"/>
        <w:jc w:val="left"/>
        <w:tblInd w:w="0" w:type="dxa"/>
        <w:tblCellMar>
          <w:top w:w="28" w:type="dxa"/>
          <w:left w:w="28" w:type="dxa"/>
          <w:bottom w:w="28" w:type="dxa"/>
          <w:right w:w="28" w:type="dxa"/>
        </w:tblCellMar>
      </w:tblPr>
      <w:tblGrid>
        <w:gridCol w:w="476"/>
        <w:gridCol w:w="344"/>
        <w:gridCol w:w="348"/>
        <w:gridCol w:w="109"/>
        <w:gridCol w:w="109"/>
        <w:gridCol w:w="109"/>
        <w:gridCol w:w="632"/>
        <w:gridCol w:w="444"/>
        <w:gridCol w:w="446"/>
        <w:gridCol w:w="109"/>
        <w:gridCol w:w="109"/>
        <w:gridCol w:w="109"/>
        <w:gridCol w:w="291"/>
        <w:gridCol w:w="828"/>
        <w:gridCol w:w="162"/>
        <w:gridCol w:w="109"/>
        <w:gridCol w:w="109"/>
        <w:gridCol w:w="109"/>
        <w:gridCol w:w="860"/>
        <w:gridCol w:w="696"/>
        <w:gridCol w:w="698"/>
        <w:gridCol w:w="109"/>
        <w:gridCol w:w="109"/>
        <w:gridCol w:w="109"/>
        <w:gridCol w:w="639"/>
        <w:gridCol w:w="1520"/>
        <w:gridCol w:w="513"/>
      </w:tblGrid>
      <w:tr>
        <w:trPr/>
        <w:tc>
          <w:tcPr>
            <w:tcW w:w="47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 in millions, except average price per share)</w:t>
            </w:r>
          </w:p>
        </w:tc>
      </w:tr>
      <w:tr>
        <w:trPr/>
        <w:tc>
          <w:tcPr>
            <w:tcW w:w="116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8"/>
              </w:rPr>
              <w:t>Total Number of Shares Purchased as Part of Publicly Announced Plans or Programs</w:t>
            </w:r>
            <w:r>
              <w:rPr>
                <w:rFonts w:ascii="Times New Roman;sans-serif" w:hAnsi="Times New Roman;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(or Approximate Dollar Value) of Shares that May Yet be Purchased Under the Plan or Programs</w:t>
            </w:r>
          </w:p>
        </w:tc>
      </w:tr>
      <w:tr>
        <w:trPr/>
        <w:tc>
          <w:tcPr>
            <w:tcW w:w="1168"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through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9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1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through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9,133 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through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1,067,234 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1,058,291 </w:t>
            </w:r>
          </w:p>
        </w:tc>
        <w:tc>
          <w:tcPr>
            <w:tcW w:w="6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5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1,076,367 </w:t>
            </w:r>
          </w:p>
        </w:tc>
        <w:tc>
          <w:tcPr>
            <w:tcW w:w="446"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1,058,291 </w:t>
            </w:r>
          </w:p>
        </w:tc>
        <w:tc>
          <w:tcPr>
            <w:tcW w:w="69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51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pStyle w:val="TextBody"/>
        <w:spacing w:lineRule="auto" w:line="288"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(2) In March 2023, the Board of Directors authorized a program to repurchase up to $100.0 million of the Company’s Common Stock (the “Share Repurchase Program”). The Share Repurchase Program was announced on March 14, 2023. The Share Repurchase Program has no time limits and could be suspended or discontinued completely at any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tbl>
      <w:tblPr>
        <w:tblW w:w="10205" w:type="dxa"/>
        <w:jc w:val="left"/>
        <w:tblInd w:w="0" w:type="dxa"/>
        <w:tblCellMar>
          <w:top w:w="28" w:type="dxa"/>
          <w:left w:w="28" w:type="dxa"/>
          <w:bottom w:w="28" w:type="dxa"/>
          <w:right w:w="28" w:type="dxa"/>
        </w:tblCellMar>
      </w:tblPr>
      <w:tblGrid>
        <w:gridCol w:w="320"/>
        <w:gridCol w:w="281"/>
        <w:gridCol w:w="282"/>
        <w:gridCol w:w="1852"/>
        <w:gridCol w:w="1852"/>
        <w:gridCol w:w="1856"/>
        <w:gridCol w:w="448"/>
        <w:gridCol w:w="448"/>
        <w:gridCol w:w="449"/>
        <w:gridCol w:w="449"/>
        <w:gridCol w:w="449"/>
        <w:gridCol w:w="450"/>
        <w:gridCol w:w="311"/>
        <w:gridCol w:w="311"/>
        <w:gridCol w:w="447"/>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Report or Registration Statement</w:t>
            </w:r>
          </w:p>
        </w:tc>
        <w:tc>
          <w:tcPr>
            <w:tcW w:w="13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SEC File or Registration Number</w:t>
            </w:r>
          </w:p>
        </w:tc>
        <w:tc>
          <w:tcPr>
            <w:tcW w:w="10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Reference</w:t>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
              <w:r>
                <w:rPr>
                  <w:rStyle w:val="InternetLink"/>
                  <w:rFonts w:ascii="Times New Roman;sans-serif" w:hAnsi="Times New Roman;sans-serif"/>
                  <w:b w:val="false"/>
                  <w:color w:val="0000FF"/>
                  <w:sz w:val="16"/>
                  <w:u w:val="single"/>
                </w:rPr>
                <w:t>Second Amended and Restated Certificate of Incorporation of ZoomInfo Technologies Inc.</w:t>
              </w:r>
            </w:hyperlink>
          </w:p>
        </w:tc>
        <w:tc>
          <w:tcPr>
            <w:tcW w:w="1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May 19, 2022</w:t>
            </w:r>
          </w:p>
        </w:tc>
        <w:tc>
          <w:tcPr>
            <w:tcW w:w="13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0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16"/>
                  <w:u w:val="single"/>
                </w:rPr>
                <w:t>Amended and Restated Bylaws of ZoomInfo New</w:t>
              </w:r>
            </w:hyperlink>
            <w:hyperlink r:id="rId4">
              <w:r>
                <w:rPr>
                  <w:rStyle w:val="InternetLink"/>
                  <w:rFonts w:ascii="Times New Roman;sans-serif" w:hAnsi="Times New Roman;sans-serif"/>
                  <w:b w:val="false"/>
                  <w:color w:val="0000FF"/>
                  <w:sz w:val="20"/>
                  <w:u w:val="single"/>
                </w:rPr>
                <w:t>C</w:t>
              </w:r>
            </w:hyperlink>
            <w:hyperlink r:id="rId5">
              <w:r>
                <w:rPr>
                  <w:rStyle w:val="InternetLink"/>
                  <w:rFonts w:ascii="Times New Roman;sans-serif" w:hAnsi="Times New Roman;sans-serif"/>
                  <w:b w:val="false"/>
                  <w:color w:val="0000FF"/>
                  <w:sz w:val="16"/>
                  <w:u w:val="single"/>
                </w:rPr>
                <w:t>o Inc.</w:t>
              </w:r>
            </w:hyperlink>
          </w:p>
        </w:tc>
        <w:tc>
          <w:tcPr>
            <w:tcW w:w="1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November 1, 2021</w:t>
            </w:r>
          </w:p>
        </w:tc>
        <w:tc>
          <w:tcPr>
            <w:tcW w:w="13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0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Fonts w:ascii="Times New Roman;sans-serif" w:hAnsi="Times New Roman;sans-serif"/>
                  <w:b w:val="false"/>
                  <w:color w:val="0000FF"/>
                  <w:sz w:val="16"/>
                  <w:u w:val="single"/>
                </w:rPr>
                <w:t xml:space="preserve">Indenture, dated as of February 2, 2021, by and among ZoomInfo Technologies LLC, ZoomInfo Finance Corp., the guarantors named on the signature pages thereto, and Wells Fargo National Association, as trustee </w:t>
              </w:r>
            </w:hyperlink>
          </w:p>
        </w:tc>
        <w:tc>
          <w:tcPr>
            <w:tcW w:w="1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July 15, 2021</w:t>
            </w:r>
          </w:p>
        </w:tc>
        <w:tc>
          <w:tcPr>
            <w:tcW w:w="13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0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Times New Roman;sans-serif" w:hAnsi="Times New Roman;sans-serif"/>
                  <w:b w:val="false"/>
                  <w:color w:val="0000FF"/>
                  <w:sz w:val="16"/>
                  <w:u w:val="single"/>
                </w:rPr>
                <w:t>Supplemental Indenture, dated as of July 15, 2021, by and among ZoomInfo Technologies LLC, ZoomInfo Finance Corp., the guarantors named on the signature pages thereto, and Wells Fargo National Association, as trustee</w:t>
              </w:r>
            </w:hyperlink>
          </w:p>
        </w:tc>
        <w:tc>
          <w:tcPr>
            <w:tcW w:w="1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July 15, 2021</w:t>
            </w:r>
          </w:p>
        </w:tc>
        <w:tc>
          <w:tcPr>
            <w:tcW w:w="13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0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 of 3.875% Senior Note due 2029 (included in Exhibit 4.1)</w:t>
            </w:r>
          </w:p>
        </w:tc>
        <w:tc>
          <w:tcPr>
            <w:tcW w:w="1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July 15, 2021</w:t>
            </w:r>
          </w:p>
        </w:tc>
        <w:tc>
          <w:tcPr>
            <w:tcW w:w="13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0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zi-ex101x20230501.htm">
              <w:r>
                <w:rPr>
                  <w:rStyle w:val="InternetLink"/>
                  <w:rFonts w:ascii="Times New Roman;sans-serif" w:hAnsi="Times New Roman;sans-serif"/>
                  <w:b w:val="false"/>
                  <w:color w:val="0000FF"/>
                  <w:sz w:val="16"/>
                  <w:u w:val="single"/>
                </w:rPr>
                <w:t>Form of Performance Restricted Stock Unit Agreement under 2020 Omnibus Incentive Plan</w:t>
              </w:r>
            </w:hyperlink>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zi-ex102x20230501.htm">
              <w:r>
                <w:rPr>
                  <w:rStyle w:val="InternetLink"/>
                  <w:rFonts w:ascii="Times New Roman;sans-serif" w:hAnsi="Times New Roman;sans-serif"/>
                  <w:b w:val="false"/>
                  <w:color w:val="0000FF"/>
                  <w:sz w:val="16"/>
                  <w:u w:val="single"/>
                </w:rPr>
                <w:t>Employment Agreement, dated as of April 21, 2023, between ZoomInfo Technologies LLC and Ali Dasdan</w:t>
              </w:r>
            </w:hyperlink>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
              <w:r>
                <w:rPr>
                  <w:rStyle w:val="InternetLink"/>
                  <w:rFonts w:ascii="Times New Roman;sans-serif" w:hAnsi="Times New Roman;sans-serif"/>
                  <w:b w:val="false"/>
                  <w:color w:val="0000FF"/>
                  <w:sz w:val="16"/>
                  <w:u w:val="single"/>
                </w:rPr>
                <w:t>Amendment No. 5 to First Lien Credit Agreement, dated February 28, 2023, by and among ZoomInfo, LLC (f/k/a DiscoverOrg, LLC), a Delaware limited liability company (the “Borrower”), ZoomInfo Technologies LLC, a Delaware limited liability company (the “Co-Borrower”), ZoomInfo Midco LLC (f/k/a DiscoverOrg Midco, LLC), a Delaware limited liability company (“Holdings”), the other guarantors party thereto, each lender and L/C issuer party thereto, and Morgan Stanley Senior Funding, Inc., as administrative agent, collateral agent and L/C issuer</w:t>
              </w:r>
            </w:hyperlink>
          </w:p>
        </w:tc>
        <w:tc>
          <w:tcPr>
            <w:tcW w:w="1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March 2, 2023</w:t>
            </w:r>
          </w:p>
        </w:tc>
        <w:tc>
          <w:tcPr>
            <w:tcW w:w="13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0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zi-ex311x20230501.htm">
              <w:r>
                <w:rPr>
                  <w:rStyle w:val="InternetLink"/>
                  <w:rFonts w:ascii="Times New Roman;sans-serif" w:hAnsi="Times New Roman;sans-serif"/>
                  <w:b w:val="false"/>
                  <w:color w:val="0000FF"/>
                  <w:sz w:val="16"/>
                  <w:u w:val="single"/>
                </w:rPr>
                <w:t>Certification of Principal Executive Officer pursuant to Exchange Act Rules 13a-14(a) and 15d-14(a), as adopted pursuant to Section 302 of the Sarbanes-Oxley Act of 2002.</w:t>
              </w:r>
            </w:hyperlink>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zi-ex312x20230501.htm">
              <w:r>
                <w:rPr>
                  <w:rStyle w:val="InternetLink"/>
                  <w:rFonts w:ascii="Times New Roman;sans-serif" w:hAnsi="Times New Roman;sans-serif"/>
                  <w:b w:val="false"/>
                  <w:color w:val="0000FF"/>
                  <w:sz w:val="16"/>
                  <w:u w:val="single"/>
                </w:rPr>
                <w:t>Certification of Principal Financial Officer pursuant to Exchange Act Rules 13a-14(a) and 15d-14(a), as adopted pursuant to Section 302 of the Sarbanes-Oxley Act of 2002.</w:t>
              </w:r>
            </w:hyperlink>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zi-ex321x20230501.htm">
              <w:r>
                <w:rPr>
                  <w:rStyle w:val="InternetLink"/>
                  <w:rFonts w:ascii="Times New Roman;sans-serif" w:hAnsi="Times New Roman;sans-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w:t>
            </w:r>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5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color w:val="000000"/>
        </w:rPr>
      </w:pPr>
      <w:r>
        <w:rPr>
          <w:color w:val="000000"/>
        </w:rPr>
        <w:t xml:space="preserve">† </w:t>
      </w:r>
      <w:r>
        <w:rPr>
          <w:rFonts w:ascii="Times New Roman;sans-serif" w:hAnsi="Times New Roman;sans-serif"/>
          <w:b w:val="false"/>
          <w:color w:val="000000"/>
          <w:sz w:val="16"/>
        </w:rPr>
        <w:t>Management contract or compensatory plan or arrangement.</w:t>
      </w:r>
    </w:p>
    <w:p>
      <w:pPr>
        <w:pStyle w:val="TextBody"/>
        <w:spacing w:lineRule="auto" w:line="288" w:before="0" w:after="180"/>
        <w:jc w:val="both"/>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16"/>
        </w:rPr>
        <w:t>Filed herewith.</w:t>
      </w:r>
    </w:p>
    <w:p>
      <w:pPr>
        <w:pStyle w:val="TextBody"/>
        <w:spacing w:lineRule="auto" w:line="288"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 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180"/>
        <w:jc w:val="both"/>
        <w:rPr/>
      </w:pPr>
      <w:hyperlink w:anchor="i6a5e6dde1bec44149fc3a16ed4c02afc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079" w:type="dxa"/>
        <w:jc w:val="right"/>
        <w:tblInd w:w="0" w:type="dxa"/>
        <w:tblCellMar>
          <w:top w:w="28" w:type="dxa"/>
          <w:left w:w="28" w:type="dxa"/>
          <w:bottom w:w="28" w:type="dxa"/>
          <w:right w:w="28" w:type="dxa"/>
        </w:tblCellMar>
      </w:tblPr>
      <w:tblGrid>
        <w:gridCol w:w="535"/>
        <w:gridCol w:w="470"/>
        <w:gridCol w:w="470"/>
        <w:gridCol w:w="1343"/>
        <w:gridCol w:w="1343"/>
        <w:gridCol w:w="1918"/>
      </w:tblGrid>
      <w:tr>
        <w:trPr/>
        <w:tc>
          <w:tcPr>
            <w:tcW w:w="535"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918" w:type="dxa"/>
            <w:tcBorders/>
            <w:shd w:fill="auto" w:val="clear"/>
            <w:vAlign w:val="center"/>
          </w:tcPr>
          <w:p>
            <w:pPr>
              <w:pStyle w:val="TableContents"/>
              <w:spacing w:before="0" w:after="283"/>
              <w:rPr>
                <w:sz w:val="4"/>
                <w:szCs w:val="4"/>
              </w:rPr>
            </w:pPr>
            <w:r>
              <w:rPr>
                <w:sz w:val="4"/>
                <w:szCs w:val="4"/>
              </w:rPr>
            </w:r>
          </w:p>
        </w:tc>
      </w:tr>
      <w:tr>
        <w:trPr/>
        <w:tc>
          <w:tcPr>
            <w:tcW w:w="607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ZOOMINFO TECHNOLOGIES INC.</w:t>
            </w:r>
          </w:p>
        </w:tc>
      </w:tr>
      <w:tr>
        <w:trPr/>
        <w:tc>
          <w:tcPr>
            <w:tcW w:w="1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/s/ P. Cameron Hyzer</w:t>
            </w:r>
          </w:p>
        </w:tc>
      </w:tr>
      <w:tr>
        <w:trPr/>
        <w:tc>
          <w:tcPr>
            <w:tcW w:w="1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 Cameron Hyzer </w:t>
              <w:br/>
              <w:t>Title: Chief Financial Officer   </w:t>
            </w:r>
          </w:p>
        </w:tc>
      </w:tr>
      <w:tr>
        <w:trPr/>
        <w:tc>
          <w:tcPr>
            <w:tcW w:w="1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Officer and Authorized Signatory) </w:t>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Date: May 1,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jc w:val="both"/>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40" w:before="480" w:after="283"/>
        <w:jc w:val="center"/>
        <w:rPr>
          <w:rFonts w:ascii="Times New Roman;sans-serif" w:hAnsi="Times New Roman;sans-serif"/>
          <w:b/>
          <w:color w:val="000000"/>
          <w:sz w:val="24"/>
        </w:rPr>
      </w:pPr>
      <w:r>
        <w:rPr>
          <w:rFonts w:ascii="Times New Roman;sans-serif" w:hAnsi="Times New Roman;sans-serif"/>
          <w:b/>
          <w:color w:val="000000"/>
          <w:sz w:val="24"/>
        </w:rPr>
        <w:t>PERFORMANCE STOCK UNIT GRANT NOTICE</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UNDER THE</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ZOOMINFO TECHNOLOGIES INC.</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2020 OMNIBUS INCENTIVE PLAN</w:t>
      </w:r>
    </w:p>
    <w:p>
      <w:pPr>
        <w:pStyle w:val="TextBody"/>
        <w:spacing w:lineRule="auto" w:line="240" w:before="0" w:after="240"/>
        <w:ind w:left="0" w:right="0" w:firstLine="720"/>
        <w:jc w:val="both"/>
        <w:rPr/>
      </w:pPr>
      <w:r>
        <w:rPr>
          <w:rFonts w:ascii="Times New Roman;sans-serif" w:hAnsi="Times New Roman;sans-serif"/>
          <w:b w:val="false"/>
          <w:color w:val="000000"/>
          <w:sz w:val="24"/>
        </w:rPr>
        <w:t>ZoomInfo Technologies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pursuant to its 2020 Omnibus Incentive Plan, as it may be amended and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hereby grants to the Participant set forth below the number of performance-vesting Restricted Stock Units set forth below (the “</w:t>
      </w:r>
      <w:r>
        <w:rPr>
          <w:rFonts w:ascii="Times New Roman;sans-serif" w:hAnsi="Times New Roman;sans-serif"/>
          <w:b w:val="false"/>
          <w:color w:val="000000"/>
          <w:sz w:val="24"/>
          <w:u w:val="single"/>
        </w:rPr>
        <w:t>Performance Stock Units</w:t>
      </w:r>
      <w:r>
        <w:rPr>
          <w:color w:val="000000"/>
        </w:rPr>
        <w:t>”</w:t>
      </w:r>
      <w:r>
        <w:rPr>
          <w:rFonts w:ascii="Times New Roman;sans-serif" w:hAnsi="Times New Roman;sans-serif"/>
          <w:b w:val="false"/>
          <w:color w:val="000000"/>
          <w:sz w:val="24"/>
        </w:rPr>
        <w:t>). The Performance Stock Units are subject to all of the terms and conditions as set forth in this Performance Stock Unit Grant Notice (the “</w:t>
      </w:r>
      <w:r>
        <w:rPr>
          <w:rFonts w:ascii="Times New Roman;sans-serif" w:hAnsi="Times New Roman;sans-serif"/>
          <w:b w:val="false"/>
          <w:color w:val="000000"/>
          <w:sz w:val="24"/>
          <w:u w:val="single"/>
        </w:rPr>
        <w:t>Grant Notice</w:t>
      </w:r>
      <w:r>
        <w:rPr>
          <w:color w:val="000000"/>
        </w:rPr>
        <w:t>”</w:t>
      </w:r>
      <w:r>
        <w:rPr>
          <w:rFonts w:ascii="Times New Roman;sans-serif" w:hAnsi="Times New Roman;sans-serif"/>
          <w:b w:val="false"/>
          <w:color w:val="000000"/>
          <w:sz w:val="24"/>
        </w:rPr>
        <w:t>), the Performance Stock Unit Agreement (attached hereto or previously provided to the Participant in connection with a prior grant) (the “</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and together with the Grant Notice, the “</w:t>
      </w:r>
      <w:r>
        <w:rPr>
          <w:rFonts w:ascii="Times New Roman;sans-serif" w:hAnsi="Times New Roman;sans-serif"/>
          <w:b w:val="false"/>
          <w:color w:val="000000"/>
          <w:sz w:val="24"/>
          <w:u w:val="single"/>
        </w:rPr>
        <w:t>Award Agreement</w:t>
      </w:r>
      <w:r>
        <w:rPr>
          <w:color w:val="000000"/>
        </w:rPr>
        <w:t>”</w:t>
      </w:r>
      <w:r>
        <w:rPr>
          <w:rFonts w:ascii="Times New Roman;sans-serif" w:hAnsi="Times New Roman;sans-serif"/>
          <w:b w:val="false"/>
          <w:color w:val="000000"/>
          <w:sz w:val="24"/>
        </w:rPr>
        <w:t>), and in the Plan, all of which are incorporated herein in their entirety. Capitalized terms not otherwise defined herein shall have the meaning set forth in the Plan.</w:t>
      </w:r>
    </w:p>
    <w:tbl>
      <w:tblPr>
        <w:tblW w:w="10205" w:type="dxa"/>
        <w:jc w:val="left"/>
        <w:tblInd w:w="0" w:type="dxa"/>
        <w:tblCellMar>
          <w:top w:w="28" w:type="dxa"/>
          <w:left w:w="28" w:type="dxa"/>
          <w:bottom w:w="28" w:type="dxa"/>
          <w:right w:w="28" w:type="dxa"/>
        </w:tblCellMar>
      </w:tblPr>
      <w:tblGrid>
        <w:gridCol w:w="700"/>
        <w:gridCol w:w="615"/>
        <w:gridCol w:w="619"/>
        <w:gridCol w:w="2499"/>
        <w:gridCol w:w="2388"/>
        <w:gridCol w:w="3384"/>
      </w:tblGrid>
      <w:tr>
        <w:trPr/>
        <w:tc>
          <w:tcPr>
            <w:tcW w:w="70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499" w:type="dxa"/>
            <w:tcBorders/>
            <w:shd w:fill="auto" w:val="clear"/>
            <w:vAlign w:val="center"/>
          </w:tcPr>
          <w:p>
            <w:pPr>
              <w:pStyle w:val="TableContents"/>
              <w:spacing w:before="0" w:after="283"/>
              <w:rPr>
                <w:sz w:val="4"/>
                <w:szCs w:val="4"/>
              </w:rPr>
            </w:pPr>
            <w:r>
              <w:rPr>
                <w:sz w:val="4"/>
                <w:szCs w:val="4"/>
              </w:rPr>
            </w:r>
          </w:p>
        </w:tc>
        <w:tc>
          <w:tcPr>
            <w:tcW w:w="2388" w:type="dxa"/>
            <w:tcBorders/>
            <w:shd w:fill="auto" w:val="clear"/>
            <w:vAlign w:val="center"/>
          </w:tcPr>
          <w:p>
            <w:pPr>
              <w:pStyle w:val="TableContents"/>
              <w:spacing w:before="0" w:after="283"/>
              <w:rPr>
                <w:sz w:val="4"/>
                <w:szCs w:val="4"/>
              </w:rPr>
            </w:pPr>
            <w:r>
              <w:rPr>
                <w:sz w:val="4"/>
                <w:szCs w:val="4"/>
              </w:rPr>
            </w:r>
          </w:p>
        </w:tc>
        <w:tc>
          <w:tcPr>
            <w:tcW w:w="338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827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###PARTICIPANT_NAME###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Date of Grant:</w:t>
            </w:r>
          </w:p>
        </w:tc>
        <w:tc>
          <w:tcPr>
            <w:tcW w:w="827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###GRANT_DATE###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Vesting Commencement Date:</w:t>
            </w:r>
          </w:p>
        </w:tc>
        <w:tc>
          <w:tcPr>
            <w:tcW w:w="827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###ALTERNATIVE_VEST_BASE_DATE###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Number of Performance Stock Units:</w:t>
            </w:r>
          </w:p>
        </w:tc>
        <w:tc>
          <w:tcPr>
            <w:tcW w:w="827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###TOTAL_AWARDS###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Vesting Schedule:</w:t>
            </w:r>
          </w:p>
        </w:tc>
        <w:tc>
          <w:tcPr>
            <w:tcW w:w="8271"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pPr>
            <w:r>
              <w:rPr>
                <w:rFonts w:ascii="Times New Roman;sans-serif" w:hAnsi="Times New Roman;sans-serif"/>
                <w:b w:val="false"/>
                <w:color w:val="000000"/>
                <w:sz w:val="24"/>
              </w:rPr>
              <w:t xml:space="preserve">The Performance Stock Units will be one hundred percent (100%) unvested as of the Date of Grant. Subject to the Participant’s continued Service Relationship (as defined below) with the Company through the Vesting Date (as defined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attached hereto), the Performance Stock Units shall vest on the Vesting Date based on the Company’s achievement of the performance goal(s) set forth and described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For purposes of this Award Agreement, the term “</w:t>
            </w:r>
            <w:r>
              <w:rPr>
                <w:rFonts w:ascii="Times New Roman;sans-serif" w:hAnsi="Times New Roman;sans-serif"/>
                <w:b w:val="false"/>
                <w:color w:val="000000"/>
                <w:sz w:val="24"/>
                <w:u w:val="single"/>
              </w:rPr>
              <w:t>Service Relationship</w:t>
            </w:r>
            <w:r>
              <w:rPr>
                <w:color w:val="000000"/>
              </w:rPr>
              <w:t xml:space="preserve">” </w:t>
            </w:r>
            <w:r>
              <w:rPr>
                <w:rFonts w:ascii="Times New Roman;sans-serif" w:hAnsi="Times New Roman;sans-serif"/>
                <w:b w:val="false"/>
                <w:color w:val="000000"/>
                <w:sz w:val="24"/>
              </w:rPr>
              <w:t>means any relationship as a full-time or part-time employee, officer, non-employee director, consultant or advisor of the Company or any successor entity (e.g., a Service Relationship shall be deemed to continue without interruption in the event an individual’s status changes from full-time employee to part-time employee or consultant).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09"/>
        <w:gridCol w:w="449"/>
        <w:gridCol w:w="450"/>
        <w:gridCol w:w="2669"/>
        <w:gridCol w:w="2531"/>
        <w:gridCol w:w="3597"/>
      </w:tblGrid>
      <w:tr>
        <w:trPr/>
        <w:tc>
          <w:tcPr>
            <w:tcW w:w="5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2669"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3597" w:type="dxa"/>
            <w:tcBorders/>
            <w:shd w:fill="auto" w:val="clear"/>
            <w:vAlign w:val="center"/>
          </w:tcPr>
          <w:p>
            <w:pPr>
              <w:pStyle w:val="TableContents"/>
              <w:spacing w:before="0" w:after="283"/>
              <w:rPr>
                <w:sz w:val="4"/>
                <w:szCs w:val="4"/>
              </w:rPr>
            </w:pPr>
            <w:r>
              <w:rPr>
                <w:sz w:val="4"/>
                <w:szCs w:val="4"/>
              </w:rPr>
            </w:r>
          </w:p>
        </w:tc>
      </w:tr>
      <w:tr>
        <w:trPr/>
        <w:tc>
          <w:tcPr>
            <w:tcW w:w="1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7"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pPr>
            <w:r>
              <w:rPr>
                <w:rFonts w:ascii="Times New Roman;sans-serif" w:hAnsi="Times New Roman;sans-serif"/>
                <w:b w:val="false"/>
                <w:color w:val="000000"/>
                <w:sz w:val="24"/>
              </w:rPr>
              <w:t xml:space="preserve">If a Change in Control occurs and the Participant’s Service Relationship continues through the Change in Control, the unvested Performance Stock Units shall become vested, upon the Change in Control, as follows: If the closing price payable per share of the Company common stock upon the Change of Control is at least 50% higher than the closing price of the Company’s common stock on the Date of Grant, then 100% of the unvested Performance Stock Units through and including the current Performance Year (as defined in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shall vest and any remaining Performance Stock Units scheduled to vest in future Performance Years shall be cancelled. If the price payable per share of the Company common stock upon the Change of Control is less than 50% higher than the closing price of the Company’s common stock on the Date of Grant, then all unvested Performance Stock Units shall be cancelled upon the Change in Control.</w:t>
            </w:r>
          </w:p>
        </w:tc>
      </w:tr>
      <w:tr>
        <w:trPr/>
        <w:tc>
          <w:tcPr>
            <w:tcW w:w="1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Dividend Equivalents:</w:t>
            </w:r>
          </w:p>
        </w:tc>
        <w:tc>
          <w:tcPr>
            <w:tcW w:w="87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Performance Stock Units shall be credited with dividend equivalent payments to be paid in cash (without interest) on the corresponding vesting dates, as provided in Section 14(c) (iii) of the Plan.</w:t>
            </w:r>
          </w:p>
        </w:tc>
      </w:tr>
    </w:tbl>
    <w:p>
      <w:pPr>
        <w:pStyle w:val="TextBody"/>
        <w:spacing w:before="0" w:after="0"/>
        <w:rPr/>
      </w:pPr>
      <w:r>
        <w:br w:type="page"/>
      </w: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ZOOMINFO TECHNOLOGIES INC.</w:t>
      </w:r>
    </w:p>
    <w:p>
      <w:pPr>
        <w:pStyle w:val="TextBody"/>
        <w:spacing w:before="0" w:after="240"/>
        <w:rPr/>
      </w:pPr>
      <w:r>
        <w:rPr/>
      </w:r>
    </w:p>
    <w:p>
      <w:pPr>
        <w:pStyle w:val="TextBody"/>
        <w:spacing w:before="0" w:after="240"/>
        <w:rPr/>
      </w:pPr>
      <w:r>
        <w:rPr/>
      </w:r>
    </w:p>
    <w:p>
      <w:pPr>
        <w:pStyle w:val="TextBody"/>
        <w:spacing w:before="0" w:after="240"/>
        <w:rPr/>
      </w:pPr>
      <w:r>
        <w:rPr/>
        <w:drawing>
          <wp:inline distT="0" distB="63500" distL="0" distR="0">
            <wp:extent cx="1362075" cy="361950"/>
            <wp:effectExtent l="0" t="0" r="0" b="0"/>
            <wp:docPr id="7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 descr=""/>
                    <pic:cNvPicPr>
                      <a:picLocks noChangeAspect="1" noChangeArrowheads="1"/>
                    </pic:cNvPicPr>
                  </pic:nvPicPr>
                  <pic:blipFill>
                    <a:blip r:embed="rId9"/>
                    <a:stretch>
                      <a:fillRect/>
                    </a:stretch>
                  </pic:blipFill>
                  <pic:spPr bwMode="auto">
                    <a:xfrm>
                      <a:off x="0" y="0"/>
                      <a:ext cx="1362075" cy="361950"/>
                    </a:xfrm>
                    <a:prstGeom prst="rect">
                      <a:avLst/>
                    </a:prstGeom>
                  </pic:spPr>
                </pic:pic>
              </a:graphicData>
            </a:graphic>
          </wp:inline>
        </w:drawing>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By: Henry Schuck</w:t>
        <w:br/>
        <w:t>Title: Chief Executive Officer</w:t>
      </w:r>
    </w:p>
    <w:p>
      <w:pPr>
        <w:pStyle w:val="TextBody"/>
        <w:spacing w:lineRule="auto" w:line="240" w:before="0" w:after="480"/>
        <w:jc w:val="both"/>
        <w:rPr>
          <w:rFonts w:ascii="Times New Roman;sans-serif" w:hAnsi="Times New Roman;sans-serif"/>
          <w:b/>
          <w:color w:val="000000"/>
          <w:sz w:val="24"/>
        </w:rPr>
      </w:pPr>
      <w:r>
        <w:rPr>
          <w:rFonts w:ascii="Times New Roman;sans-serif" w:hAnsi="Times New Roman;sans-serif"/>
          <w:b/>
          <w:color w:val="000000"/>
          <w:sz w:val="24"/>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pStyle w:val="TextBody"/>
        <w:spacing w:lineRule="auto" w:line="240" w:before="0" w:after="480"/>
        <w:jc w:val="both"/>
        <w:rPr/>
      </w:pPr>
      <w:r>
        <w:rPr>
          <w:rFonts w:ascii="Times New Roman;sans-serif" w:hAnsi="Times New Roman;sans-serif"/>
          <w:b w:val="false"/>
          <w:color w:val="000000"/>
          <w:sz w:val="24"/>
        </w:rPr>
        <w:t>PARTICIPANT</w:t>
      </w:r>
      <w:r>
        <w:rPr>
          <w:rFonts w:ascii="Times New Roman;sans-serif" w:hAnsi="Times New Roman;sans-serif"/>
          <w:b w:val="false"/>
          <w:color w:val="000000"/>
          <w:sz w:val="16"/>
        </w:rPr>
        <w:t>1</w:t>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###PARTICIPANT_NAME###</w:t>
        <w:br/>
        <w:br/>
        <w:t>###ACCEPTANCE_DATE###</w:t>
      </w:r>
    </w:p>
    <w:p>
      <w:pPr>
        <w:pStyle w:val="TextBody"/>
        <w:spacing w:lineRule="auto" w:line="240"/>
        <w:ind w:left="0" w:right="0" w:hanging="360"/>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To the extent that the Company has established, either itself or through a third-party plan administrator, the ability to accept this award electronically, such acceptance shall constitute the Participant’s signature hereto.</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STOCK UNIT AGREEMENT</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UNDER THE</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ZOOMINFO TECHNOLOGIES INC.</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2020 OMNIBUS INCENTIVE PLAN</w:t>
      </w:r>
    </w:p>
    <w:p>
      <w:pPr>
        <w:pStyle w:val="TextBody"/>
        <w:spacing w:lineRule="auto" w:line="240" w:before="0" w:after="240"/>
        <w:ind w:left="0" w:right="0" w:firstLine="720"/>
        <w:jc w:val="both"/>
        <w:rPr/>
      </w:pPr>
      <w:r>
        <w:rPr>
          <w:rFonts w:ascii="Times New Roman;sans-serif" w:hAnsi="Times New Roman;sans-serif"/>
          <w:b w:val="false"/>
          <w:color w:val="000000"/>
          <w:sz w:val="24"/>
        </w:rPr>
        <w:t>Pursuant to the Performance Stock Unit Grant Notice (the “</w:t>
      </w:r>
      <w:r>
        <w:rPr>
          <w:rFonts w:ascii="Times New Roman;sans-serif" w:hAnsi="Times New Roman;sans-serif"/>
          <w:b w:val="false"/>
          <w:color w:val="000000"/>
          <w:sz w:val="24"/>
          <w:u w:val="single"/>
        </w:rPr>
        <w:t>Grant Notice</w:t>
      </w:r>
      <w:r>
        <w:rPr>
          <w:color w:val="000000"/>
        </w:rPr>
        <w:t>”</w:t>
      </w:r>
      <w:r>
        <w:rPr>
          <w:rFonts w:ascii="Times New Roman;sans-serif" w:hAnsi="Times New Roman;sans-serif"/>
          <w:b w:val="false"/>
          <w:color w:val="000000"/>
          <w:sz w:val="24"/>
        </w:rPr>
        <w:t>) delivered to the Participant (as defined in the Grant Notice), and subject to the terms of this Performance Stock Unit Agreement (this “</w:t>
      </w:r>
      <w:r>
        <w:rPr>
          <w:rFonts w:ascii="Times New Roman;sans-serif" w:hAnsi="Times New Roman;sans-serif"/>
          <w:b w:val="false"/>
          <w:color w:val="000000"/>
          <w:sz w:val="24"/>
          <w:u w:val="single"/>
        </w:rPr>
        <w:t>Performance Stock Unit Agreement</w:t>
      </w:r>
      <w:r>
        <w:rPr>
          <w:color w:val="000000"/>
        </w:rPr>
        <w:t>”</w:t>
      </w:r>
      <w:r>
        <w:rPr>
          <w:rFonts w:ascii="Times New Roman;sans-serif" w:hAnsi="Times New Roman;sans-serif"/>
          <w:b w:val="false"/>
          <w:color w:val="000000"/>
          <w:sz w:val="24"/>
        </w:rPr>
        <w:t>) and the ZoomInfo Technologies Inc. 2020 Omnibus Incentive Plan, as it may be amended and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ZoomInfo Technologies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the Participant agree as follows. Capitalized terms not otherwise defined herein shall have the same meaning as set forth in the Plan.</w:t>
      </w:r>
    </w:p>
    <w:p>
      <w:pPr>
        <w:pStyle w:val="TextBody"/>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Grant of Performance Stock Units</w:t>
      </w:r>
      <w:r>
        <w:rPr>
          <w:rFonts w:ascii="Times New Roman;sans-serif" w:hAnsi="Times New Roman;sans-serif"/>
          <w:b w:val="false"/>
          <w:color w:val="000000"/>
          <w:sz w:val="24"/>
        </w:rPr>
        <w:t>. Subject to the terms and conditions set forth herein and in the Plan, the Company hereby grants to the Participant the number of Performance Stock Units provided in the Grant Notice (with each Performance Stock Unit representing an unfunded, unsecured right to receive one share of Common Stock).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pStyle w:val="TextBody"/>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Vesting</w:t>
      </w:r>
      <w:r>
        <w:rPr>
          <w:rFonts w:ascii="Times New Roman;sans-serif" w:hAnsi="Times New Roman;sans-serif"/>
          <w:b w:val="false"/>
          <w:color w:val="000000"/>
          <w:sz w:val="24"/>
        </w:rPr>
        <w:t>. Subject to the conditions contained herein and in the Plan, the Performance Stock Units shall vest as provided in the Grant Notice.</w:t>
      </w:r>
    </w:p>
    <w:p>
      <w:pPr>
        <w:pStyle w:val="TextBody"/>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Settlement of Performance Stock Units</w:t>
      </w:r>
      <w:r>
        <w:rPr>
          <w:rFonts w:ascii="Times New Roman;sans-serif" w:hAnsi="Times New Roman;sans-serif"/>
          <w:b w:val="false"/>
          <w:color w:val="000000"/>
          <w:sz w:val="24"/>
        </w:rPr>
        <w:t>. Subject to any election by the Committee pursuant to Section 8(d)(ii) of the Plan, including, but not limited to, arranging a mandatory “sell to cover” on Participant’s behalf (without further authorization), the Company will deliver to the Participant, without charge, as soon as reasonably practicable (and, in any event, within two and one-half months) following the applicable vesting date, one share of Common Stock for each Performance Stock Unit (as adjusted under the Plan, as applicable) which becomes vested hereunder and such vested Performance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w:t>
      </w:r>
    </w:p>
    <w:p>
      <w:pPr>
        <w:pStyle w:val="TextBody"/>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Treatment of Performance Stock Units Upon Termination</w:t>
      </w:r>
      <w:r>
        <w:rPr>
          <w:rFonts w:ascii="Times New Roman;sans-serif" w:hAnsi="Times New Roman;sans-serif"/>
          <w:b w:val="false"/>
          <w:color w:val="000000"/>
          <w:sz w:val="24"/>
        </w:rPr>
        <w:t>. The provisions of Section 8(c)(ii) of the Plan are incorporated herein by reference and made a part hereof.</w:t>
      </w:r>
    </w:p>
    <w:p>
      <w:pPr>
        <w:pStyle w:val="TextBody"/>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Company; Participant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term “Company” as used in this Performance Stock Unit Agreement with reference to employment shall include the Company and its Subsidiaries.</w:t>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14(b) of the Plan, the word “Participant” shall be deemed to include such person or persons.</w:t>
      </w:r>
    </w:p>
    <w:p>
      <w:pPr>
        <w:pStyle w:val="TextBody"/>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Non-Transferability</w:t>
      </w:r>
      <w:r>
        <w:rPr>
          <w:rFonts w:ascii="Times New Roman;sans-serif" w:hAnsi="Times New Roman;sans-serif"/>
          <w:b w:val="false"/>
          <w:color w:val="000000"/>
          <w:sz w:val="24"/>
        </w:rPr>
        <w:t>. The Performance Stock Units are not transferable by the Participant except to Permitted Transferees in 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pStyle w:val="TextBody"/>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Rights as Shareholder</w:t>
      </w:r>
      <w:r>
        <w:rPr>
          <w:rFonts w:ascii="Times New Roman;sans-serif" w:hAnsi="Times New Roman;sans-serif"/>
          <w:b w:val="false"/>
          <w:color w:val="000000"/>
          <w:sz w:val="24"/>
        </w:rPr>
        <w:t>. The Participant or a Permitted Transferee of the Performance Stock Units shall have no rights as a 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Tax Withholding</w:t>
      </w:r>
      <w:r>
        <w:rPr>
          <w:rFonts w:ascii="Times New Roman;sans-serif" w:hAnsi="Times New Roman;sans-serif"/>
          <w:b w:val="false"/>
          <w:color w:val="000000"/>
          <w:sz w:val="24"/>
        </w:rPr>
        <w:t>. The provisions of Section 14(d) of the Plan are incorporated herein by reference and made a part hereof. Without limiting the Company’s rights to satisfy withholding obligations as described under Section 14(d) of the Plan, the Participant hereby authorizes the Company to satisfy the applicable tax withholding obligations from proceeds of the sale of shares of Common Stock issuable in respect of the Performance Stock Units through a mandatory sale arranged by the Company (on Participant’s behalf pursuant to this authorization).</w:t>
      </w:r>
    </w:p>
    <w:p>
      <w:pPr>
        <w:pStyle w:val="TextBody"/>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Notice</w:t>
      </w:r>
      <w:r>
        <w:rPr>
          <w:rFonts w:ascii="Times New Roman;sans-serif" w:hAnsi="Times New Roman;sans-serif"/>
          <w:b w:val="false"/>
          <w:color w:val="000000"/>
          <w:sz w:val="24"/>
        </w:rPr>
        <w:t xml:space="preserve">. Every notice or other communication relating to this Performance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No Right to Continued Service</w:t>
      </w:r>
      <w:r>
        <w:rPr>
          <w:rFonts w:ascii="Times New Roman;sans-serif" w:hAnsi="Times New Roman;sans-serif"/>
          <w:b w:val="false"/>
          <w:color w:val="000000"/>
          <w:sz w:val="24"/>
        </w:rPr>
        <w:t>. This Performance Stock Unit Agreement does not confer upon the Participant any right to continue as an employee or other service provider to the Company.</w:t>
      </w:r>
    </w:p>
    <w:p>
      <w:pPr>
        <w:pStyle w:val="TextBody"/>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Performance Stock Unit Agreement shall be binding upon the heirs, executors, administrators and successors of the parties hereto.</w:t>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Waiver and Amendments</w:t>
      </w:r>
      <w:r>
        <w:rPr>
          <w:rFonts w:ascii="Times New Roman;sans-serif" w:hAnsi="Times New Roman;sans-serif"/>
          <w:b w:val="false"/>
          <w:color w:val="000000"/>
          <w:sz w:val="24"/>
        </w:rPr>
        <w:t xml:space="preserve">. Except as otherwise set forth in Section 13 of the Plan, any waiver, alteration, amendment or modification of any of the terms of this Performance Stock Unit Agreement shall be valid only if made in writing and signed by the parties hereto;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Clawback/Forfeiture</w:t>
      </w:r>
      <w:r>
        <w:rPr>
          <w:rFonts w:ascii="Times New Roman;sans-serif" w:hAnsi="Times New Roman;sans-serif"/>
          <w:b w:val="false"/>
          <w:color w:val="000000"/>
          <w:sz w:val="24"/>
        </w:rPr>
        <w:t>. Notwithstanding anything to the contrary contained herein or in the Plan, if the Participant has engaged in or engages in any Detrimental Activity, then the Committee may, in its sole discretion, take actions permitted under the Plan, including: (a) canceling the Performance Stock Units, or (b) requiring that the Participant forfeit any gain realized on the disposition of any shares of Common Stock received in settlement of any Performance Stock Units, and repay such gain to the Company. In addition, if the Participant receives any amount in excess of what the Participant should have received under the terms of this Performance Stock Unit Agreement for any reason (including without limitation by reason of a financial restatement, mistake in calculations or other administrative error), then the Participant shall be required to repay any such excess amount to the Company. Without limiting the foregoing, all or a portion of the Performance Stock Units shall be subject to reduction, cancellation, forfeiture or recoupment to the extent necessary to comply with applicable law or with any clawback policy that may be adopted by the Company in the future including, without limitation, any such policy required to comply with the final SEC rules and/or Nasdaq Stock Market listing standards with respect to recoupment adopted pursuant to the Dodd-Frank Wall Street Reform and Consumer Protection Act. In the event that any award granted pursuant to this Agreement becomes subject to recoupment pursuant to any policy, the Company may utilize any method of recovery specified in any such policy in connection with any award recoupments required or permitted under any such policy.</w:t>
      </w:r>
    </w:p>
    <w:p>
      <w:pPr>
        <w:pStyle w:val="TextBody"/>
        <w:spacing w:lineRule="auto" w:line="240" w:before="0" w:after="24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Prior Agreements; Restrictive Covenants</w:t>
      </w:r>
      <w:r>
        <w:rPr>
          <w:rFonts w:ascii="Times New Roman;sans-serif" w:hAnsi="Times New Roman;sans-serif"/>
          <w:b w:val="false"/>
          <w:color w:val="000000"/>
          <w:sz w:val="24"/>
        </w:rPr>
        <w:t xml:space="preserve">. The Participant shall execute and return to the Company a copy of the Restrictive Covenant Agreement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spacing w:lineRule="auto" w:line="240" w:before="0" w:after="24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pStyle w:val="TextBody"/>
        <w:spacing w:lineRule="auto" w:line="240" w:before="0" w:after="24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Plan</w:t>
      </w:r>
      <w:r>
        <w:rPr>
          <w:rFonts w:ascii="Times New Roman;sans-serif" w:hAnsi="Times New Roman;sans-serif"/>
          <w:b w:val="false"/>
          <w:color w:val="000000"/>
          <w:sz w:val="24"/>
        </w:rPr>
        <w:t>. The terms and provisions of the Plan are incorporated herein by reference. In the event of a conflict or inconsistency between the terms and provisions of the Plan and the provisions of this Performance Stock Unit Agreement (including the Grant Notice), the Plan shall govern and control.</w:t>
      </w:r>
    </w:p>
    <w:p>
      <w:pPr>
        <w:pStyle w:val="TextBody"/>
        <w:spacing w:lineRule="auto" w:line="240" w:before="0" w:after="24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Section 409A</w:t>
      </w:r>
      <w:r>
        <w:rPr>
          <w:rFonts w:ascii="Times New Roman;sans-serif" w:hAnsi="Times New Roman;sans-serif"/>
          <w:b w:val="false"/>
          <w:color w:val="000000"/>
          <w:sz w:val="24"/>
        </w:rPr>
        <w:t>. It is intended that the Performance Stock Units granted hereunder shall be exempt from Section 409A of the Code, if applicable, pursuant to the “short-term deferral” rule applicable to such section, as set forth in the regulations or other guidance published by the Internal Revenue Service thereunder.</w:t>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the Participant’s 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spacing w:lineRule="auto" w:line="240" w:before="0" w:after="240"/>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Electronic Delivery and Acceptance</w:t>
      </w:r>
      <w:r>
        <w:rPr>
          <w:rFonts w:ascii="Times New Roman;sans-serif" w:hAnsi="Times New Roman;sans-serif"/>
          <w:b w:val="false"/>
          <w:color w:val="000000"/>
          <w:sz w:val="24"/>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spacing w:lineRule="auto" w:line="240" w:before="0" w:after="240"/>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Additional Terms for Non-U.S. Participants</w:t>
      </w:r>
      <w:r>
        <w:rPr>
          <w:rFonts w:ascii="Times New Roman;sans-serif" w:hAnsi="Times New Roman;sans-serif"/>
          <w:b w:val="false"/>
          <w:color w:val="000000"/>
          <w:sz w:val="24"/>
        </w:rPr>
        <w:t xml:space="preserve">. Notwithstanding anything to the contrary herein, if the Participant resides and/or works outside of the United States, the Participant shall be subject to the Additional Terms and Conditions for Non-U.S. Participants attached hereto as </w:t>
      </w:r>
      <w:r>
        <w:rPr>
          <w:rFonts w:ascii="Times New Roman;sans-serif" w:hAnsi="Times New Roman;sans-serif"/>
          <w:b w:val="false"/>
          <w:color w:val="000000"/>
          <w:sz w:val="24"/>
          <w:u w:val="single"/>
        </w:rPr>
        <w:t>Addendum A</w:t>
      </w:r>
      <w:r>
        <w:rPr>
          <w:color w:val="000000"/>
        </w:rPr>
        <w:t xml:space="preserve"> </w:t>
      </w:r>
      <w:r>
        <w:rPr>
          <w:rFonts w:ascii="Times New Roman;sans-serif" w:hAnsi="Times New Roman;sans-serif"/>
          <w:b w:val="false"/>
          <w:color w:val="000000"/>
          <w:sz w:val="24"/>
        </w:rPr>
        <w:t xml:space="preserve">and to any Country-Specific Terms and Conditions attached hereto as </w:t>
      </w:r>
      <w:r>
        <w:rPr>
          <w:rFonts w:ascii="Times New Roman;sans-serif" w:hAnsi="Times New Roman;sans-serif"/>
          <w:b w:val="false"/>
          <w:color w:val="000000"/>
          <w:sz w:val="24"/>
          <w:u w:val="single"/>
        </w:rPr>
        <w:t>Addendum B</w:t>
      </w:r>
      <w:r>
        <w:rPr>
          <w:rFonts w:ascii="Times New Roman;sans-serif" w:hAnsi="Times New Roman;sans-serif"/>
          <w:b w:val="false"/>
          <w:color w:val="000000"/>
          <w:sz w:val="24"/>
        </w:rPr>
        <w:t>. If the Participant is a citizen or resident of a country (or is considered as such for local law purposes) other than the one in which the Participant is currently residing or working or if the Participant relocates to one of the countries included in the Country-Specific Terms and Conditions after the grant of the Performance Stock Units, the special terms and conditions for such country will apply to the Participant to the extent the Company determines that the application of such terms and conditions is necessary or advisable in order to comply with local law or facilitate the administration of the Plan. The Additional Terms and Conditions for Non-U.S. Participants and the Country-Specific Terms and Conditions constitute part of this Performance Stock Unit Agreement and are incorporated herein by reference.</w:t>
      </w:r>
    </w:p>
    <w:p>
      <w:pPr>
        <w:pStyle w:val="TextBody"/>
        <w:spacing w:lineRule="auto" w:line="240" w:before="0" w:after="240"/>
        <w:jc w:val="both"/>
        <w:rPr/>
      </w:pPr>
      <w:r>
        <w:rPr>
          <w:rFonts w:ascii="Times New Roman;sans-serif" w:hAnsi="Times New Roman;sans-serif"/>
          <w:b w:val="false"/>
          <w:color w:val="000000"/>
          <w:sz w:val="24"/>
        </w:rPr>
        <w:t>21.</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Performance Stock Unit Agreement, the Grant Notice and the Plan constitute the entire agreement of the parties hereto in respect of the subject matter contained herein and supersede all prior agreements and understandings of the parties, oral and written, with respect to such subject matter.</w:t>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ADDENDUM A </w:t>
      </w:r>
    </w:p>
    <w:p>
      <w:pPr>
        <w:pStyle w:val="TextBody"/>
        <w:spacing w:before="0" w:after="0"/>
        <w:ind w:left="0" w:right="0" w:firstLine="72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ADDITIONAL TERMS AND CONDITIONS FOR NON-U.S. PARTICIPANTS</w:t>
      </w:r>
    </w:p>
    <w:p>
      <w:pPr>
        <w:pStyle w:val="TextBody"/>
        <w:spacing w:before="0" w:after="0"/>
        <w:rPr/>
      </w:pPr>
      <w:r>
        <w:rPr/>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Addendum A includes additional terms and conditions that govern the Performance Stock Units granted to the Participant if the Participant works or resides outside of the United States.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but not defined herein are defined in the Plan or the Performance Stock Unit Agreement and have the meanings set forth therein.</w:t>
      </w:r>
    </w:p>
    <w:p>
      <w:pPr>
        <w:pStyle w:val="TextBody"/>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Termination of Employment</w:t>
      </w:r>
      <w:r>
        <w:rPr>
          <w:rFonts w:ascii="Times New Roman;sans-serif" w:hAnsi="Times New Roman;sans-serif"/>
          <w:b w:val="false"/>
          <w:color w:val="000000"/>
          <w:sz w:val="24"/>
        </w:rPr>
        <w:t>. For purposes of the Performance Stock Unit Agreement and the Plan, including Section 4 of the Performance Stock Unit Agreement and Section 8(c)(ii) of the Plan, the date of the Participant’s Termination shall be deemed to be the date on which the Participant ceases to be actively employed by the Service Recipient, which shall not be extended by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an employee of the Service Recipient for purposes of the Performance Stock Unit Agreement without reference to any other agreement, written or oral, including the Participant’s contract of employment, if applicable.</w:t>
      </w:r>
    </w:p>
    <w:p>
      <w:pPr>
        <w:pStyle w:val="TextBody"/>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No Acquired Right</w:t>
      </w:r>
      <w:r>
        <w:rPr>
          <w:rFonts w:ascii="Times New Roman;sans-serif" w:hAnsi="Times New Roman;sans-serif"/>
          <w:b w:val="false"/>
          <w:color w:val="000000"/>
          <w:sz w:val="24"/>
        </w:rPr>
        <w:t>. The Participant acknowledges and agrees that:</w:t>
      </w:r>
    </w:p>
    <w:p>
      <w:pPr>
        <w:pStyle w:val="TextBody"/>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pStyle w:val="TextBody"/>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Participant is voluntarily participating in the Plan.</w:t>
      </w:r>
    </w:p>
    <w:p>
      <w:pPr>
        <w:pStyle w:val="TextBody"/>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Performance Stock Units (and any similar awards the Company may in the future grant to the Participant, even if such awards are made repeatedly or regularly, and regardless of their amount) and the shares of Common Stock acquired under the Plan (i) are wholly discretionary and occasional, are not a term or condition of employment and do not form part of a contract of employment, or any other working arrangement, between the Participant and the Company, the Service Recipient or any Subsidiary, (ii) do not create any contractual entitlement to receive future awards under the Plan or benefits in lieu thereof and are not intended to replace any pension rights or compensation, as applicable, and (iii) do not form part of normal or expected salary or remuneration for purposes of determining pension payments or any other purposes, including without limitation termination indemnities, severance, resignation, payment in lieu of notice, redundancy, end of service payments, bonuses, long-term service awards, pension or retirement benefits, welfare benefits or similar payments, if applicable.</w:t>
      </w:r>
    </w:p>
    <w:p>
      <w:pPr>
        <w:pStyle w:val="TextBody"/>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Performance Stock Units and the shares of Common Stock acquired under the Plan are not intended to replace any pension rights or compensation.</w:t>
      </w:r>
    </w:p>
    <w:p>
      <w:pPr>
        <w:pStyle w:val="TextBody"/>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In the event that the Participant is an employee and the Participant’s employer is not the Company, the grant of the Performance Stock Units and any similar awards the Company may grant in the future to the Participant will not be interpreted to form an employment contract or relationship with the Company and, furthermore, the grant of the Performance Stock Units and any similar awards the Company may grant in the future to the Participant will not be interpreted to form an employment contract with the Service Recipient or any Subsidiary.</w:t>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future value of the underlying shares of Common Stock is unknown and cannot be predicted with certainty. The Company shall not be liable for any foreign exchange rate fluctuation between the Participant’s local currency and the United States Dollar that may affect the value of the Performance Stock Units or the shares of Common Stock.</w:t>
      </w:r>
    </w:p>
    <w:p>
      <w:pPr>
        <w:pStyle w:val="TextBody"/>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Participant shall have no rights, claim or entitlement to compensation or damages as a result of the Participant’s cessation of employment or service for any reason whatsoever, whether or not later found to be invalid or in breach of contract or local labor law, insofar as these rights, claim or entitlement arise or may arise from the Participant’s ceasing to have rights under the Performance Stock Units as a result of such cessation or loss or diminution in value of the Performance Stock Units or any of the shares of Common Stock issuable under the Performance Stock Units as a result of such cessation, and the Participant irrevocably releases the Company and its Subsidiaries from any such rights, entitlement or claim that may arise. If, notwithstanding the foregoing, any such right or claim is found by a court of competent jurisdiction to have arisen, then, by signing the Performance Stock Unit Agreement, the Participant shall be deemed to have irrevocably waived the Participant’s entitlement to pursue such rights or claim.</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Foreign Asset/Account and Tax Reporting Requirements; Exchange Controls</w:t>
      </w:r>
      <w:r>
        <w:rPr>
          <w:rFonts w:ascii="Times New Roman;sans-serif" w:hAnsi="Times New Roman;sans-serif"/>
          <w:b w:val="false"/>
          <w:color w:val="000000"/>
          <w:sz w:val="24"/>
        </w:rPr>
        <w:t>. The Participant may be subject to foreign asset/account, exchange control and/or tax reporting requirements as a result of the vesting of the Performance Stock Units, the acquisition, holding and/or transfer of shares of Common Stock or cash (including dividends and the proceeds arising from the sale of shares) from the Participant’s participation in the Plan and/or the opening and maintaining of a brokerage or bank account in connection with the Plan. The Participant may be required to report such assets, accounts, account balances and values, any cross-border transactions, and/or related transactions to the applicable authorities in the Participant’s country and the Participant may be required to report any acquisition or sale of shares of Common Stock and any taxable income attributable to the Performance Stock Units to the applicable tax authority or other authority in the Participant’s country (including on the Participant’s annual tax return, if applicable). The Participant may also be required to repatriate sales proceeds or other funds received as a result of the Participant’s participation in the Plan to the Participant’s country through a designated bank or broker and/or within a certain period of time after receipt. The Participant acknowledges that the Participant is responsible for ensuring compliance with any applicable foreign asset/account, exchange control and tax reporting and other requirements and should consult the Participant’s own personal tax and legal advisors, as applicable, on these matters.</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Data Protection (Jurisdictions other than European Union/European Economic Area/United Kingdom)</w:t>
      </w:r>
      <w:r>
        <w:rPr>
          <w:rFonts w:ascii="Times New Roman;sans-serif" w:hAnsi="Times New Roman;sans-serif"/>
          <w:b/>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color w:val="000000"/>
          <w:sz w:val="24"/>
        </w:rPr>
        <w:t>In order to facilitate the Participant’s participation in the Plan and the administration of the Performance Stock Units, it will be necessary for contractual and legal purposes for the Company (or the Service Recipient or their payroll administrators) to collect, hold and process certain personal information and sensitive personal information about the Participant (including, without limitation, the Participant’s name, home address, telephone number, date of birth, nationality, social insurance or other identification number and job title and details of the Performance Stock Units and other awards granted, cancelled, exercised, vested, unvested or outstanding and shares of Common Stock held by the Participant). The Participant consents explicitly, willingly, and unambiguously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 Subsidiaries and other third parties (collectively, the “</w:t>
      </w:r>
      <w:r>
        <w:rPr>
          <w:rFonts w:ascii="Times New Roman;sans-serif" w:hAnsi="Times New Roman;sans-serif"/>
          <w:b/>
          <w:color w:val="000000"/>
          <w:sz w:val="24"/>
          <w:u w:val="single"/>
        </w:rPr>
        <w:t>Data Recipients</w:t>
      </w:r>
      <w:r>
        <w:rPr>
          <w:color w:val="000000"/>
        </w:rPr>
        <w:t>”</w:t>
      </w:r>
      <w:r>
        <w:rPr>
          <w:rFonts w:ascii="Times New Roman;sans-serif" w:hAnsi="Times New Roman;sans-serif"/>
          <w:b/>
          <w:color w:val="000000"/>
          <w:sz w:val="24"/>
        </w:rPr>
        <w:t>) insofar as is reasonably necessary to implement, administer and manage the Plan and the Performance Stock Units. The Participant authorizes the Data Recipients to receive, possess, use, retain and transfer the data for the purposes of implementing, administering and managing the Plan and the Performance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lower standard of data privacy laws and protections than the Participant’s country.</w:t>
      </w:r>
    </w:p>
    <w:p>
      <w:pPr>
        <w:pStyle w:val="TextBody"/>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rPr>
        <w:t>The Data Recipients will treat the Participant’s personal data as private and confidential and will not disclose such data for purposes other than the management and administration of the Plan and the Performance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w:t>
      </w:r>
    </w:p>
    <w:p>
      <w:pPr>
        <w:pStyle w:val="TextBody"/>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color w:val="000000"/>
          <w:sz w:val="24"/>
        </w:rPr>
        <w:t>The Participant understands that the Participant may, at any time, make a request to view the Participant’s personal data, require any necessary corrections to it or withdraw the consents herein in writing by contacting the Company and that these rights are subject to legal restrictions but acknowledges that without the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Performance Stock Units or any future awards under the Plan.</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Data Protection (European Union/European Economic Area/United Kingdom)</w:t>
      </w:r>
      <w:r>
        <w:rPr>
          <w:rFonts w:ascii="Times New Roman;sans-serif" w:hAnsi="Times New Roman;sans-serif"/>
          <w:b/>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color w:val="000000"/>
          <w:sz w:val="24"/>
        </w:rPr>
        <w:t>In order to facilitate the Participant’s participation in the Plan and the administration of the Performance Stock Units, it will be necessary for contractual, legitimate interest and legal purposes for the Company (or the Service Recipient or their payroll administrators) to collect, hold and process certain personal data and, where required for legal purposes with the Participant’s freely given consent, any special category personal data about the Participant. Such personal data includes, without limitation, the Participant’s name, home address, telephone number, date of birth, nationality, social insurance or other identification number and job title and details of the Performance Stock Units and other awards granted, cancelled, exercised, vested, unvested or outstanding and shares of Common Stock held by the Participant. The Participant hereby acknowledges and agrees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their Subsidiaries and other third parties (collectively, the “</w:t>
      </w:r>
      <w:r>
        <w:rPr>
          <w:rFonts w:ascii="Times New Roman;sans-serif" w:hAnsi="Times New Roman;sans-serif"/>
          <w:b/>
          <w:color w:val="000000"/>
          <w:sz w:val="24"/>
          <w:u w:val="single"/>
        </w:rPr>
        <w:t>Data Recipients</w:t>
      </w:r>
      <w:r>
        <w:rPr>
          <w:color w:val="000000"/>
        </w:rPr>
        <w:t>”</w:t>
      </w:r>
      <w:r>
        <w:rPr>
          <w:rFonts w:ascii="Times New Roman;sans-serif" w:hAnsi="Times New Roman;sans-serif"/>
          <w:b/>
          <w:color w:val="000000"/>
          <w:sz w:val="24"/>
        </w:rPr>
        <w:t>) insofar as is reasonably necessary to implement, administer and manage the Plan and the Performance Stock Units. The Participant understands that the Data Recipients will receive, possess, use, retain and transfer the data for the purposes of implementing, administering and managing the Plan and the Performance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different or lower standard of data privacy laws and protections than the Participant’s country.</w:t>
      </w:r>
    </w:p>
    <w:p>
      <w:pPr>
        <w:pStyle w:val="TextBody"/>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rPr>
        <w:t>The Data Recipients will treat the Participant’s personal data as private and confidential and will not disclose such data for purposes other than the management and administration of the Plan and the Performance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 and for legal requirements thereafter. The Participant shall notify the Company of any changes to the Participant’s personal data.</w:t>
      </w:r>
    </w:p>
    <w:p>
      <w:pPr>
        <w:pStyle w:val="TextBody"/>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color w:val="000000"/>
          <w:sz w:val="24"/>
        </w:rPr>
        <w:t>The Participant understands that the Participant may, at any time, exercise the rights granted to the Participant by the Data Protection Laws (as defined below) and other applicable data protection laws including the right to make a request to access or be provided with a copy of the Participant’s personal data, request additional information about the storage and processing of the data, request that the personal data is restricted or otherwise object to its processing by the Company, require any necessary corrections to it or withdraw any consents provided by the Participant in writing by contacting the Company and that these rights are subject to legal restrictions. The Participant acknowledges that without the Company’s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Performance Stock Units or any future awards under the Plan. The Participant is referred to the privacy notice provided by the employing Subsidiary for further information about the processing of the Participant’s personal data and rights under applicable data protection laws.</w:t>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color w:val="000000"/>
          <w:sz w:val="24"/>
        </w:rPr>
        <w:t>For the purpose of this Section 5, “</w:t>
      </w:r>
      <w:r>
        <w:rPr>
          <w:rFonts w:ascii="Times New Roman;sans-serif" w:hAnsi="Times New Roman;sans-serif"/>
          <w:b/>
          <w:color w:val="000000"/>
          <w:sz w:val="24"/>
          <w:u w:val="single"/>
        </w:rPr>
        <w:t>Data Protection Laws</w:t>
      </w:r>
      <w:r>
        <w:rPr>
          <w:color w:val="000000"/>
        </w:rPr>
        <w:t xml:space="preserve">” </w:t>
      </w:r>
      <w:r>
        <w:rPr>
          <w:rFonts w:ascii="Times New Roman;sans-serif" w:hAnsi="Times New Roman;sans-serif"/>
          <w:b/>
          <w:color w:val="000000"/>
          <w:sz w:val="24"/>
        </w:rPr>
        <w:t>means any law, enactment, regulation or order concerning the processing of personal data including the Data Protection Act 2018 (“</w:t>
      </w:r>
      <w:r>
        <w:rPr>
          <w:rFonts w:ascii="Times New Roman;sans-serif" w:hAnsi="Times New Roman;sans-serif"/>
          <w:b/>
          <w:color w:val="000000"/>
          <w:sz w:val="24"/>
          <w:u w:val="single"/>
        </w:rPr>
        <w:t>DPA</w:t>
      </w:r>
      <w:r>
        <w:rPr>
          <w:color w:val="000000"/>
        </w:rPr>
        <w:t>”</w:t>
      </w:r>
      <w:r>
        <w:rPr>
          <w:rFonts w:ascii="Times New Roman;sans-serif" w:hAnsi="Times New Roman;sans-serif"/>
          <w:b/>
          <w:color w:val="000000"/>
          <w:sz w:val="24"/>
        </w:rPr>
        <w:t>), the General Data Protection Regulation (Regulation (EU) 2016/679) (the “</w:t>
      </w:r>
      <w:r>
        <w:rPr>
          <w:rFonts w:ascii="Times New Roman;sans-serif" w:hAnsi="Times New Roman;sans-serif"/>
          <w:b/>
          <w:color w:val="000000"/>
          <w:sz w:val="24"/>
          <w:u w:val="single"/>
        </w:rPr>
        <w:t>GDPR</w:t>
      </w:r>
      <w:r>
        <w:rPr>
          <w:color w:val="000000"/>
        </w:rPr>
        <w:t>”</w:t>
      </w:r>
      <w:r>
        <w:rPr>
          <w:rFonts w:ascii="Times New Roman;sans-serif" w:hAnsi="Times New Roman;sans-serif"/>
          <w:b/>
          <w:color w:val="000000"/>
          <w:sz w:val="24"/>
        </w:rPr>
        <w:t>), the GDPR as it forms part of retained EU law (as defined in the European Union (Withdrawal) Act 2018), the Privacy and Electronic Communications Regulations (EC Directive) Regulations 2003 (“</w:t>
      </w:r>
      <w:r>
        <w:rPr>
          <w:rFonts w:ascii="Times New Roman;sans-serif" w:hAnsi="Times New Roman;sans-serif"/>
          <w:b/>
          <w:color w:val="000000"/>
          <w:sz w:val="24"/>
          <w:u w:val="single"/>
        </w:rPr>
        <w:t>PECR</w:t>
      </w:r>
      <w:r>
        <w:rPr>
          <w:color w:val="000000"/>
        </w:rPr>
        <w:t>”</w:t>
      </w:r>
      <w:r>
        <w:rPr>
          <w:rFonts w:ascii="Times New Roman;sans-serif" w:hAnsi="Times New Roman;sans-serif"/>
          <w:b/>
          <w:color w:val="000000"/>
          <w:sz w:val="24"/>
        </w:rPr>
        <w:t>), and any subordinate legislation or statutory codes of practice implemented in connection with the DPA, GDPR, PECR and any law that is intended to supplement, amend or replace the foregoing together with any other applicable law in any jurisdiction that regulates the collection, protection or processing of personal data as may come into effect from time to time.</w:t>
      </w:r>
    </w:p>
    <w:p>
      <w:pPr>
        <w:pStyle w:val="TextBody"/>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Withholding; Responsibility for Taxes</w:t>
      </w:r>
      <w:r>
        <w:rPr>
          <w:rFonts w:ascii="Times New Roman;sans-serif" w:hAnsi="Times New Roman;sans-serif"/>
          <w:b w:val="false"/>
          <w:color w:val="000000"/>
          <w:sz w:val="24"/>
        </w:rPr>
        <w:t>. This provision supplements Section 8 of the Performance Stock Unit Agreement and Section 14(d) of the Plan.</w:t>
      </w:r>
    </w:p>
    <w:p>
      <w:pPr>
        <w:pStyle w:val="TextBody"/>
        <w:spacing w:lineRule="auto" w:line="240" w:before="0" w:after="240"/>
        <w:ind w:left="0" w:right="0" w:firstLine="720"/>
        <w:jc w:val="both"/>
        <w:rPr/>
      </w:pPr>
      <w:r>
        <w:rPr>
          <w:rFonts w:ascii="Times New Roman;sans-serif" w:hAnsi="Times New Roman;sans-serif"/>
          <w:b w:val="false"/>
          <w:color w:val="000000"/>
          <w:sz w:val="24"/>
        </w:rPr>
        <w:t>For purposes of Section 8 of the Performance Stock Unit Agreement, applicable tax withholding obligations shall include applicable income taxes, employment taxes, social insurance, social security, national insurance contribution, payroll taxes, contributions, levies, payment on account obligations or other amounts (collectively, “</w:t>
      </w:r>
      <w:r>
        <w:rPr>
          <w:rFonts w:ascii="Times New Roman;sans-serif" w:hAnsi="Times New Roman;sans-serif"/>
          <w:b w:val="false"/>
          <w:color w:val="000000"/>
          <w:sz w:val="24"/>
          <w:u w:val="single"/>
        </w:rPr>
        <w:t>Applicable Taxes</w:t>
      </w:r>
      <w:r>
        <w:rPr>
          <w:color w:val="000000"/>
        </w:rPr>
        <w:t>”</w:t>
      </w:r>
      <w:r>
        <w:rPr>
          <w:rFonts w:ascii="Times New Roman;sans-serif" w:hAnsi="Times New Roman;sans-serif"/>
          <w:b w:val="false"/>
          <w:color w:val="000000"/>
          <w:sz w:val="24"/>
        </w:rPr>
        <w:t>) required to be collected, withheld or accounted for with respect to the grant or vesting of the Performance Stock Units. The Participant acknowledges that regardless of any action the Company (or the Service Recipient) takes, the ultimate liability for the Applicable Taxes is and remains the Participant’s responsibility and that the Company (and the Service Recipient) (i) make no representations or undertakings regarding the treatment of any Applicable Taxes in connection with any aspect of the Performance Stock Units, including the grant, vesting or settlement of the Performance Stock Units, and the subsequent sale of any shares of Common Stock acquired at settlement; and (ii) do not commit to structure the terms of the grant or any aspect of the Performance Stock Units to reduce or eliminate the Participant’s liability for any Applicable Taxes. Further, if the Participant is subject to taxation in more than one jurisdiction between the Date of Grant and the date of any relevant taxable or tax withholding event, as applicable, the Participant acknowledges that the Company and/or the Service Recipient (or former Service Recipient, as applicable) may be required to withhold or account for Applicable Taxes (if any) in more than one jurisdiction.</w:t>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ADDENDUM B </w:t>
      </w:r>
    </w:p>
    <w:p>
      <w:pPr>
        <w:pStyle w:val="TextBody"/>
        <w:spacing w:before="0" w:after="0"/>
        <w:ind w:left="0" w:right="0" w:firstLine="720"/>
        <w:jc w:val="center"/>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COUNTRY-SPECIFIC TERMS AND CONDITIONS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These Country-Specific Terms and Conditions include additional terms and conditions and disclosures (if any) that govern the Performance Stock Units granted to the Participant under the Plan if the Participant resides or works in one of the countries listed below. Capitalized terms used but not defined in these Country-Specific Terms and Conditions are defined in the Plan or the Performance Stock Unit Agreement and have the meanings set forth therein.</w:t>
      </w:r>
    </w:p>
    <w:p>
      <w:pPr>
        <w:pStyle w:val="TextBody"/>
        <w:spacing w:lineRule="auto" w:line="240"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Australia</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Offer Document</w:t>
      </w:r>
    </w:p>
    <w:p>
      <w:pPr>
        <w:pStyle w:val="TextBody"/>
        <w:spacing w:lineRule="auto" w:line="240" w:before="0" w:after="240"/>
        <w:jc w:val="both"/>
        <w:rPr/>
      </w:pPr>
      <w:r>
        <w:rPr>
          <w:color w:val="000000"/>
        </w:rPr>
        <w:t>    </w:t>
      </w:r>
      <w:r>
        <w:rPr>
          <w:rFonts w:ascii="Times New Roman;sans-serif" w:hAnsi="Times New Roman;sans-serif"/>
          <w:b w:val="false"/>
          <w:color w:val="000000"/>
          <w:sz w:val="24"/>
        </w:rPr>
        <w:t>The information below (the “</w:t>
      </w:r>
      <w:r>
        <w:rPr>
          <w:rFonts w:ascii="Times New Roman;sans-serif" w:hAnsi="Times New Roman;sans-serif"/>
          <w:b w:val="false"/>
          <w:color w:val="000000"/>
          <w:sz w:val="24"/>
          <w:u w:val="single"/>
        </w:rPr>
        <w:t>Offer Document</w:t>
      </w:r>
      <w:r>
        <w:rPr>
          <w:color w:val="000000"/>
        </w:rPr>
        <w:t>”</w:t>
      </w:r>
      <w:r>
        <w:rPr>
          <w:rFonts w:ascii="Times New Roman;sans-serif" w:hAnsi="Times New Roman;sans-serif"/>
          <w:b w:val="false"/>
          <w:color w:val="000000"/>
          <w:sz w:val="24"/>
        </w:rPr>
        <w:t>) sets out information regarding the participation of Australian resident employees of the Company and its Australian subsidiaries in the Plan.</w: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Offer Document</w:t>
      </w:r>
    </w:p>
    <w:tbl>
      <w:tblPr>
        <w:tblW w:w="10205" w:type="dxa"/>
        <w:jc w:val="left"/>
        <w:tblInd w:w="0" w:type="dxa"/>
        <w:tblCellMar>
          <w:top w:w="28" w:type="dxa"/>
          <w:left w:w="28" w:type="dxa"/>
          <w:bottom w:w="28" w:type="dxa"/>
          <w:right w:w="28" w:type="dxa"/>
        </w:tblCellMar>
      </w:tblPr>
      <w:tblGrid>
        <w:gridCol w:w="3267"/>
        <w:gridCol w:w="2872"/>
        <w:gridCol w:w="4066"/>
      </w:tblGrid>
      <w:tr>
        <w:trPr/>
        <w:tc>
          <w:tcPr>
            <w:tcW w:w="3267"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Investment in securities involves a degree of risk and there is no guarantee of the future value of, or returns from, securities the Participant may acquire under the Plan. Employees who elect to participate in the Plan should consider all risk factors relevant to the acquisition of securities under the Plan as set out in this document and any associated documents. </w:t>
            </w:r>
          </w:p>
          <w:p>
            <w:pPr>
              <w:pStyle w:val="TableContents"/>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The information contained in this document and any associated documents is general information only. It is not advice or information specific to the Participant’s objectives, financial situation or needs. Australian employees should consider obtaining their own financial product advice from an independent person who is licensed by the Australian Securities and Investments Commission to give advice about participation in the Plan.</w:t>
            </w:r>
          </w:p>
        </w:tc>
      </w:tr>
    </w:tbl>
    <w:p>
      <w:pPr>
        <w:pStyle w:val="TextBody"/>
        <w:spacing w:before="0" w:after="240"/>
        <w:jc w:val="both"/>
        <w:rPr/>
      </w:pPr>
      <w:r>
        <w:rPr/>
      </w:r>
    </w:p>
    <w:p>
      <w:pPr>
        <w:pStyle w:val="TextBody"/>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color w:val="000000"/>
          <w:sz w:val="24"/>
        </w:rPr>
        <w:t>OFFER AND TERMS OF PARTICIPATION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Offer Document relates to an invitation by the Company to eligible employees in Australia to participate in the Plan.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terms of the Participant’s participation are set out in the Plan, the Prospectus, the Performance Stock Unit Agreement and this Offer Document.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By participating in the Plan, the Participant will be bound by terms set out in the Plan, the Prospectus, the Performance Stock Unit Agreement and this Offer Document.</w:t>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color w:val="000000"/>
          <w:sz w:val="24"/>
        </w:rPr>
        <w:t>HOW CAN A PARTICIPANT ASCERTAIN THE CURRENT MARKET PRICE OF SHARES UNDERLYING THE PERFORMANCE STOCK UNIT AWARD IN AUSTRALIAN DOLLARS?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could, from time to time, ascertain the market price of a share of Common Stock by obtaining that price from the NASDAQ website, the Company website or The Wall Street Journal, and multiplying that price by a published exchange rate to convert U.S. Dollars into Australian Dollars, to determine the Australian dollar equivalent of that current market price.</w:t>
      </w:r>
    </w:p>
    <w:p>
      <w:pPr>
        <w:pStyle w:val="TextBody"/>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color w:val="000000"/>
          <w:sz w:val="24"/>
        </w:rPr>
        <w:t>RISKS OF ACQUIRING AND HOLDING SHARES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Acquiring and holding shares of Common Stock involves risk. These risks include that:</w:t>
      </w:r>
    </w:p>
    <w:p>
      <w:pPr>
        <w:pStyle w:val="TextBody"/>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There is no guarantee that the shares of Common Stock will grow in value - they may decline in value. Stock markets are subject to fluctuations and the price of shares can rise and fall, depending upon the Company’s performance and other internal and external factors.</w:t>
      </w:r>
    </w:p>
    <w:p>
      <w:pPr>
        <w:pStyle w:val="TextBody"/>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There is no assurance that the Company will pay dividends even if its earnings increase.</w:t>
      </w:r>
    </w:p>
    <w:p>
      <w:pPr>
        <w:pStyle w:val="TextBody"/>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There are tax implications involved in acquiring and holding shares of Common Stock and the tax regime applying to the Participant may change.</w:t>
      </w:r>
    </w:p>
    <w:p>
      <w:pPr>
        <w:pStyle w:val="TextBody"/>
        <w:spacing w:lineRule="auto" w:line="240" w:before="0" w:after="240"/>
        <w:rPr/>
      </w:pPr>
      <w:r>
        <w:rPr>
          <w:rFonts w:ascii="Times New Roman;sans-serif" w:hAnsi="Times New Roman;sans-serif"/>
          <w:b w:val="false"/>
          <w:color w:val="000000"/>
          <w:sz w:val="24"/>
          <w:u w:val="single"/>
        </w:rPr>
        <w:t>Tax Deferred Scheme</w:t>
      </w:r>
      <w:r>
        <w:rPr>
          <w:rFonts w:ascii="Times New Roman;sans-serif" w:hAnsi="Times New Roman;sans-serif"/>
          <w:b w:val="false"/>
          <w:color w:val="000000"/>
          <w:sz w:val="24"/>
        </w:rPr>
        <w:t>. Subdivision 83A-C of the Income Tax Assessment Act 1997 (Cth) applies to the scheme (subject to the requirements of applicable Australian tax legislation).</w:t>
      </w:r>
    </w:p>
    <w:p>
      <w:pPr>
        <w:pStyle w:val="TextBody"/>
        <w:spacing w:lineRule="auto" w:line="240" w:before="0" w:after="240"/>
        <w:rPr/>
      </w:pPr>
      <w:r>
        <w:rPr>
          <w:rFonts w:ascii="Times New Roman;sans-serif" w:hAnsi="Times New Roman;sans-serif"/>
          <w:b w:val="false"/>
          <w:color w:val="000000"/>
          <w:sz w:val="24"/>
          <w:u w:val="single"/>
        </w:rPr>
        <w:t>Data Privacy</w:t>
      </w:r>
      <w:r>
        <w:rPr>
          <w:rFonts w:ascii="Times New Roman;sans-serif" w:hAnsi="Times New Roman;sans-serif"/>
          <w:b w:val="false"/>
          <w:color w:val="000000"/>
          <w:sz w:val="24"/>
        </w:rPr>
        <w:t>. The following supplements Section 4 of Addendum A of the Performance Stock Unit Agreement:</w:t>
      </w:r>
    </w:p>
    <w:p>
      <w:pPr>
        <w:pStyle w:val="TextBody"/>
        <w:spacing w:lineRule="auto" w:line="240" w:before="0" w:after="240"/>
        <w:ind w:left="0" w:right="0" w:firstLine="810"/>
        <w:jc w:val="both"/>
        <w:rPr/>
      </w:pPr>
      <w:r>
        <w:rPr>
          <w:rFonts w:ascii="Times New Roman;sans-serif" w:hAnsi="Times New Roman;sans-serif"/>
          <w:b w:val="false"/>
          <w:color w:val="000000"/>
          <w:sz w:val="24"/>
        </w:rPr>
        <w:t>(i) The Participant understands that recipients of the data described in Section 4 of Addendum A of the Performance Stock Unit Agreement (the “</w:t>
      </w:r>
      <w:r>
        <w:rPr>
          <w:rFonts w:ascii="Times New Roman;sans-serif" w:hAnsi="Times New Roman;sans-serif"/>
          <w:b w:val="false"/>
          <w:color w:val="000000"/>
          <w:sz w:val="24"/>
          <w:u w:val="single"/>
        </w:rPr>
        <w:t>Data</w:t>
      </w:r>
      <w:r>
        <w:rPr>
          <w:color w:val="000000"/>
        </w:rPr>
        <w:t>”</w:t>
      </w:r>
      <w:r>
        <w:rPr>
          <w:rFonts w:ascii="Times New Roman;sans-serif" w:hAnsi="Times New Roman;sans-serif"/>
          <w:b w:val="false"/>
          <w:color w:val="000000"/>
          <w:sz w:val="24"/>
        </w:rPr>
        <w:t>) may be located in the United States.</w:t>
      </w:r>
    </w:p>
    <w:p>
      <w:pPr>
        <w:pStyle w:val="TextBody"/>
        <w:spacing w:lineRule="auto" w:line="240" w:before="0" w:after="240"/>
        <w:ind w:left="0" w:right="0" w:firstLine="810"/>
        <w:jc w:val="both"/>
        <w:rPr/>
      </w:pPr>
      <w:r>
        <w:rPr>
          <w:rFonts w:ascii="Times New Roman;sans-serif" w:hAnsi="Times New Roman;sans-serif"/>
          <w:b w:val="false"/>
          <w:color w:val="000000"/>
          <w:sz w:val="24"/>
        </w:rPr>
        <w:t>(ii) The Participant understands that, by consenting to the disclosure of the Data to recipients located overseas, Australian Privacy Principle (“</w:t>
      </w:r>
      <w:r>
        <w:rPr>
          <w:rFonts w:ascii="Times New Roman;sans-serif" w:hAnsi="Times New Roman;sans-serif"/>
          <w:b w:val="false"/>
          <w:color w:val="000000"/>
          <w:sz w:val="24"/>
          <w:u w:val="single"/>
        </w:rPr>
        <w:t>APP</w:t>
      </w:r>
      <w:r>
        <w:rPr>
          <w:color w:val="000000"/>
        </w:rPr>
        <w:t>”</w:t>
      </w:r>
      <w:r>
        <w:rPr>
          <w:rFonts w:ascii="Times New Roman;sans-serif" w:hAnsi="Times New Roman;sans-serif"/>
          <w:b w:val="false"/>
          <w:color w:val="000000"/>
          <w:sz w:val="24"/>
        </w:rPr>
        <w:t>) 8.1 will not apply to the disclosure and as a result the Company and the Service Recipient will not be accountable under the Privacy Act 1988 (Cth) and the Participant may not be able to seek redress under the Privacy Act 1988 (Cth) in respect of this Data.</w:t>
      </w:r>
    </w:p>
    <w:p>
      <w:pPr>
        <w:pStyle w:val="TextBody"/>
        <w:spacing w:lineRule="auto" w:line="240" w:before="0" w:after="240"/>
        <w:ind w:left="0" w:right="0" w:firstLine="810"/>
        <w:jc w:val="both"/>
        <w:rPr>
          <w:rFonts w:ascii="Times New Roman;sans-serif" w:hAnsi="Times New Roman;sans-serif"/>
          <w:b w:val="false"/>
          <w:color w:val="000000"/>
          <w:sz w:val="24"/>
        </w:rPr>
      </w:pPr>
      <w:r>
        <w:rPr>
          <w:rFonts w:ascii="Times New Roman;sans-serif" w:hAnsi="Times New Roman;sans-serif"/>
          <w:b w:val="false"/>
          <w:color w:val="000000"/>
          <w:sz w:val="24"/>
        </w:rPr>
        <w:t>(iii) The Participant acknowledges that the privacy policy of the Service Recipient contains information about how the Participant may access the Data about the Participant that it holds and seek the correction of such Data. It also contains information about how the Participant may complain about a breach of the APPs and how the Service Recipient will deal with such a complaint.</w:t>
      </w:r>
    </w:p>
    <w:p>
      <w:pPr>
        <w:pStyle w:val="TextBody"/>
        <w:spacing w:lineRule="auto" w:line="240" w:before="0" w:after="240"/>
        <w:rPr>
          <w:rFonts w:ascii="Times New Roman;sans-serif" w:hAnsi="Times New Roman;sans-serif"/>
          <w:b/>
          <w:color w:val="000000"/>
          <w:sz w:val="24"/>
          <w:u w:val="single"/>
        </w:rPr>
      </w:pPr>
      <w:r>
        <w:rPr>
          <w:rFonts w:ascii="Times New Roman;sans-serif" w:hAnsi="Times New Roman;sans-serif"/>
          <w:b/>
          <w:color w:val="000000"/>
          <w:sz w:val="24"/>
          <w:u w:val="single"/>
        </w:rPr>
        <w:t>Canada (Ontario)</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Award Payable Only in Shares </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discretion in the Plan or anything to the contrary in the Performance Stock Unit Agreement, including Section 8(d) of the Plan, the grant of the Performance Stock Units does not provide the Participant any right to receive a cash payment and the Performance Stock Units may be settled only by delivery of shares of Common Stock.</w:t>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Securities Law Information</w:t>
      </w:r>
    </w:p>
    <w:p>
      <w:pPr>
        <w:pStyle w:val="TextBody"/>
        <w:spacing w:lineRule="auto" w:line="240" w:before="0" w:after="240"/>
        <w:ind w:left="0" w:right="0" w:firstLine="720"/>
        <w:jc w:val="both"/>
        <w:rPr/>
      </w:pPr>
      <w:r>
        <w:rPr>
          <w:rFonts w:ascii="Times New Roman;sans-serif" w:hAnsi="Times New Roman;sans-serif"/>
          <w:b w:val="false"/>
          <w:color w:val="000000"/>
          <w:sz w:val="24"/>
        </w:rPr>
        <w:t>Shares of Common Stock acquired under the Plan are subject to certain restrictions on resale imposed by Canadian provincial and territorial securities laws, as applicable. Notwithstanding any other provision of the Plan to the contrary, any transfer or resale of any shares of Common Stock acquired by the Participant pursuant to the Plan must be in accordance with the resale rules under applicable Canadian provincial and territorial securities laws, including Ontario Securities Commission Rule 72-503 Distributions Outside Canada (“</w:t>
      </w:r>
      <w:r>
        <w:rPr>
          <w:rFonts w:ascii="Times New Roman;sans-serif" w:hAnsi="Times New Roman;sans-serif"/>
          <w:b w:val="false"/>
          <w:color w:val="000000"/>
          <w:sz w:val="24"/>
          <w:u w:val="single"/>
        </w:rPr>
        <w:t>72-503</w:t>
      </w:r>
      <w:r>
        <w:rPr>
          <w:color w:val="000000"/>
        </w:rPr>
        <w:t>”</w:t>
      </w:r>
      <w:r>
        <w:rPr>
          <w:rFonts w:ascii="Times New Roman;sans-serif" w:hAnsi="Times New Roman;sans-serif"/>
          <w:b w:val="false"/>
          <w:color w:val="000000"/>
          <w:sz w:val="24"/>
        </w:rPr>
        <w:t>), if the Participant is a resident in the Province of Ontario. In Ontario, the prospectus requirement does not apply to the first trade of shares of Common Stock issued in connection with the Performance Stock Units, provided the conditions set forth in section 2.8 of 72-503 are satisfied. The shares of Common Stock acquired under the Plan may not be transferred or sold in Canada or to a Canadian resident other than in accordance with applicable provincial or territorial securities laws. The Participant is advised to consult the Participant’s own legal advisor prior to any resale of shares of Common Stock.</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3 of Addendum A of the Performance Stock Unit Agreement is amended to add the following to the end of Section 4(a): In connection therewith, it is possible that personal data may be disclosed to governments, courts or law enforcement or regulatory agencies in that other country in accordance with the laws of that country.</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Termination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Performance Stock Unit Agreement and the Plan, including Section 4 of the Performance Stock Unit Agreement and Section 8(c)(ii) of the Plan, the date of the Participant’s Termination shall be deemed to be the date on which the Participant ceases to be actively employed by the Service Recipient, which term “actively employed” shall include any period for which the Participant is deemed to be actively employed for purposes of applicable employment standards legislation, and shall exclude any other period of non-working notice of termination or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actively employed for purposes of the Performance Stock Unit Agreement and the Plan without reference to any other agreement, written or oral, including the Participant’s contract of employment, if applicable.</w:t>
      </w:r>
    </w:p>
    <w:p>
      <w:pPr>
        <w:pStyle w:val="TextBody"/>
        <w:spacing w:lineRule="auto" w:line="240"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India</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Notification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Participant’s participation in the Plan and purchase of shares of Common Stock is subject to and conditional upon the Participant’s compliance with all applicable laws including but not limited to the (Indian) Foreign Exchange Management Act, 1999 and the regulations thereunder, as amended.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must repatriate any proceeds from the sale of shares of Common Stock acquired under the Plan and any dividends on such shares to India within the stipulated period. The Participant should consult the Participant’s own advisor with respect to such requirements.</w:t>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Israel</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Additional Terms and Conditions</w:t>
      </w:r>
    </w:p>
    <w:p>
      <w:pPr>
        <w:pStyle w:val="TextBody"/>
        <w:spacing w:lineRule="auto" w:line="240" w:before="0" w:after="240"/>
        <w:ind w:left="0" w:right="0" w:firstLine="720"/>
        <w:jc w:val="both"/>
        <w:rPr/>
      </w:pPr>
      <w:r>
        <w:rPr>
          <w:rFonts w:ascii="Times New Roman;sans-serif" w:hAnsi="Times New Roman;sans-serif"/>
          <w:b w:val="false"/>
          <w:color w:val="000000"/>
          <w:sz w:val="24"/>
        </w:rPr>
        <w:t>The Performance Stock Units are granted to the Participant pursuant to the Israeli Appendix to the Plan (the “</w:t>
      </w:r>
      <w:r>
        <w:rPr>
          <w:rFonts w:ascii="Times New Roman;sans-serif" w:hAnsi="Times New Roman;sans-serif"/>
          <w:b w:val="false"/>
          <w:color w:val="000000"/>
          <w:sz w:val="24"/>
          <w:u w:val="single"/>
        </w:rPr>
        <w:t>Israel Appendix</w:t>
      </w:r>
      <w:r>
        <w:rPr>
          <w:color w:val="000000"/>
        </w:rPr>
        <w:t>”</w:t>
      </w:r>
      <w:r>
        <w:rPr>
          <w:rFonts w:ascii="Times New Roman;sans-serif" w:hAnsi="Times New Roman;sans-serif"/>
          <w:b w:val="false"/>
          <w:color w:val="000000"/>
          <w:sz w:val="24"/>
        </w:rPr>
        <w:t>) and are subject to the terms and conditions as stated in the Israel Appendix, the Plan and the Performance Stock Unit Agreement, including this Addendum B. All capitalized terms that are not defined herein shall have the meanings defined in the Plan and the Israel Appendix.</w:t>
      </w:r>
    </w:p>
    <w:p>
      <w:pPr>
        <w:pStyle w:val="TextBody"/>
        <w:spacing w:lineRule="auto" w:line="240" w:before="0" w:after="240"/>
        <w:ind w:left="0" w:right="0" w:firstLine="720"/>
        <w:jc w:val="both"/>
        <w:rPr/>
      </w:pPr>
      <w:r>
        <w:rPr>
          <w:rFonts w:ascii="Times New Roman;sans-serif" w:hAnsi="Times New Roman;sans-serif"/>
          <w:b w:val="false"/>
          <w:color w:val="000000"/>
          <w:sz w:val="24"/>
        </w:rPr>
        <w:t>The Participant agrees to be bound by the terms of the Israel Appendix, which describes the requirements for compliance with the “capital gains track” under Section 102 of the Israeli Income Tax Ordinance (New Version) 1961, as now in effect or as hereafter amended (“</w:t>
      </w:r>
      <w:r>
        <w:rPr>
          <w:rFonts w:ascii="Times New Roman;sans-serif" w:hAnsi="Times New Roman;sans-serif"/>
          <w:b w:val="false"/>
          <w:color w:val="000000"/>
          <w:sz w:val="24"/>
          <w:u w:val="single"/>
        </w:rPr>
        <w:t>Section 102</w:t>
      </w:r>
      <w:r>
        <w:rPr>
          <w:color w:val="000000"/>
        </w:rPr>
        <w:t>”</w:t>
      </w:r>
      <w:r>
        <w:rPr>
          <w:rFonts w:ascii="Times New Roman;sans-serif" w:hAnsi="Times New Roman;sans-serif"/>
          <w:b w:val="false"/>
          <w:color w:val="000000"/>
          <w:sz w:val="24"/>
        </w:rPr>
        <w:t>), and the rules promulgated thereunder. The Participant agrees that the Participant’s participation in the Plan is subject to the provisions of Section 102, the Trust Agreement entered into between the Company and the Trustee and the provisions of any ruling obtained by the Company from the ITA; provided however, that notwithstanding the foregoing, the Company, its affiliates and successors are under no duty to take any action or ensure, and no representation or commitment is made, with respect to the qualification of the shares of Common Stock received under the Plan for any particular tax treatment, including as a Capital Gain Award.</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Privacy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understands and agrees that the Participant's consent to the data privacy provisions in the General (All Countries) Section also expressly includes possible further transfers of Data thereafter to the recipients described in such section.</w:t>
      </w:r>
    </w:p>
    <w:p>
      <w:pPr>
        <w:pStyle w:val="TextBody"/>
        <w:spacing w:lineRule="auto" w:line="240"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UK</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Sub-Plan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Performance Stock Units are granted subject to the Sub-Plan for U.K. Employees and all references to the Plan shall include the Sub-Plan.</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Award Payable Only in Common Stock </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discretion in the Plan or anything to the contrary in the Performance Stock Unit Agreement or the Plan, including Section 8(d) of the Plan, the grant of the Performance Stock Units does not provide the Participant any right to receive a cash payment and the Performance Stock Units may be settled only in shares of Common Stock.</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Termination of Service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has no right to compensation or damages on account of any loss in respect of Performance Stock Units under the Plan where the loss arises or is claimed to arise in whole or part from: (a) the termination of the Participant’s office or employment; or (b) notice to terminate the Participant’s office or employment. This exclusion of liability shall apply however termination of office or employment, or the giving of notice, is caused, and however compensation or damages are claimed. For the purpose of the Plan, the implied duty of trust and confidence is expressly excluded.</w:t>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Taxes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agrees to indemnify the Company and the Service Recipient (as applicable) for any Applicable Taxes that may be payable with respect to the full number of shares of Common Stock vested and issued (including those shares of Common Stock that are deemed issued).</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Employer NIC </w:t>
      </w:r>
    </w:p>
    <w:p>
      <w:pPr>
        <w:pStyle w:val="TextBody"/>
        <w:spacing w:lineRule="auto" w:line="240" w:before="0" w:after="240"/>
        <w:jc w:val="both"/>
        <w:rPr/>
      </w:pPr>
      <w:r>
        <w:rPr>
          <w:color w:val="000000"/>
        </w:rPr>
        <w:t>    </w:t>
      </w:r>
      <w:r>
        <w:rPr>
          <w:rFonts w:ascii="Times New Roman;sans-serif" w:hAnsi="Times New Roman;sans-serif"/>
          <w:b w:val="false"/>
          <w:color w:val="000000"/>
          <w:sz w:val="24"/>
        </w:rPr>
        <w:t>As a condition to the issuance of shares of Common Stock under the Performance Stock Units, the Company may require the Participant to agree to accept all liability for and pay all secondary Class 1 National Insurance Contributions, and (and to the extent lawful for the Participant to bear the cost) any employer’s health and social care levy or similar payments, which would otherwise be payable by the Company or the Service Recipient (or any successor or any affiliate employing or previously employing the Participant) with respect to the issuance of shares of Common stock under the Performance Stock Units or any other event giving rise to taxation under the Performance Stock Units (the “</w:t>
      </w:r>
      <w:r>
        <w:rPr>
          <w:rFonts w:ascii="Times New Roman;sans-serif" w:hAnsi="Times New Roman;sans-serif"/>
          <w:b w:val="false"/>
          <w:color w:val="000000"/>
          <w:sz w:val="24"/>
          <w:u w:val="single"/>
        </w:rPr>
        <w:t>Employer NIC</w:t>
      </w:r>
      <w:r>
        <w:rPr>
          <w:color w:val="000000"/>
        </w:rPr>
        <w:t>”</w:t>
      </w:r>
      <w:r>
        <w:rPr>
          <w:rFonts w:ascii="Times New Roman;sans-serif" w:hAnsi="Times New Roman;sans-serif"/>
          <w:b w:val="false"/>
          <w:color w:val="000000"/>
          <w:sz w:val="24"/>
        </w:rPr>
        <w:t>). The Participant agrees that the Participant will execute, within the time period specified by the Company, a joint election (the “</w:t>
      </w:r>
      <w:r>
        <w:rPr>
          <w:rFonts w:ascii="Times New Roman;sans-serif" w:hAnsi="Times New Roman;sans-serif"/>
          <w:b w:val="false"/>
          <w:color w:val="000000"/>
          <w:sz w:val="24"/>
          <w:u w:val="single"/>
        </w:rPr>
        <w:t>Joint Election</w:t>
      </w:r>
      <w:r>
        <w:rPr>
          <w:color w:val="000000"/>
        </w:rPr>
        <w:t>”</w:t>
      </w:r>
      <w:r>
        <w:rPr>
          <w:rFonts w:ascii="Times New Roman;sans-serif" w:hAnsi="Times New Roman;sans-serif"/>
          <w:b w:val="false"/>
          <w:color w:val="000000"/>
          <w:sz w:val="24"/>
        </w:rPr>
        <w:t>) provided by the Company and any other consent or elections required to effect the transfer of the Employer NIC. The Participant further agrees to execute such other joint elections and any other consent or elections as may be required between the Participant and any successor to the Company and/or the Service Recipient. The Participant further agrees that the Company and/or the Service Recipient may collect the Employer NIC by any of the means set forth in the Joint Election or other applicable consent or election.</w:t>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before="0" w:after="0"/>
        <w:rPr/>
      </w:pPr>
      <w:r>
        <w:rPr/>
      </w:r>
    </w:p>
    <w:p>
      <w:pPr>
        <w:pStyle w:val="TextBody"/>
        <w:spacing w:lineRule="auto" w:line="240"/>
        <w:jc w:val="center"/>
        <w:rPr>
          <w:rFonts w:ascii="Times New Roman;sans-serif" w:hAnsi="Times New Roman;sans-serif"/>
          <w:b/>
          <w:color w:val="000000"/>
          <w:sz w:val="24"/>
        </w:rPr>
      </w:pPr>
      <w:r>
        <w:rPr>
          <w:rFonts w:ascii="Times New Roman;sans-serif" w:hAnsi="Times New Roman;sans-serif"/>
          <w:b/>
          <w:color w:val="000000"/>
          <w:sz w:val="24"/>
        </w:rPr>
        <w:t>APPLICABLE PERFORMANCE SHARE UNIT VESTING SCHEDULE AND PERFORMANCE METRICS</w:t>
      </w:r>
      <w:r>
        <w:br w:type="page"/>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RESTRICTIVE COVENANT AGREEMENT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10.2</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520" w:before="84" w:after="283"/>
        <w:jc w:val="center"/>
        <w:rPr>
          <w:rFonts w:ascii="Times New Roman;sans-serif" w:hAnsi="Times New Roman;sans-serif"/>
          <w:b/>
          <w:color w:val="000000"/>
          <w:sz w:val="24"/>
        </w:rPr>
      </w:pPr>
      <w:r>
        <w:rPr>
          <w:rFonts w:ascii="Times New Roman;sans-serif" w:hAnsi="Times New Roman;sans-serif"/>
          <w:b/>
          <w:color w:val="000000"/>
          <w:sz w:val="24"/>
        </w:rPr>
        <w:t xml:space="preserve">ZOOMINFO TECHNOLOGIES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spacing w:before="0" w:after="0"/>
        <w:jc w:val="center"/>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THIS EMPLOYMENT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by and between ZoomInfo Technologies LLC, a Delaware limited liability company, on the one hand, and Ali Dasdan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on the other, as of April 21,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The Company and Executive are referred to herein individually as a “Party” and, collectively, as the “Parties.”</w:t>
      </w:r>
    </w:p>
    <w:p>
      <w:pPr>
        <w:pStyle w:val="TextBody"/>
        <w:spacing w:before="0" w:after="0"/>
        <w:ind w:left="0" w:right="0" w:firstLine="719"/>
        <w:jc w:val="both"/>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would like to continue to engage the services of Executive on a full-time basis, and Executive would like to continue to be so engaged;</w:t>
      </w:r>
    </w:p>
    <w:p>
      <w:pPr>
        <w:pStyle w:val="TextBody"/>
        <w:spacing w:before="10" w:after="283"/>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and Executive have agreed on terms for such services and compensation therefor; and</w:t>
      </w:r>
    </w:p>
    <w:p>
      <w:pPr>
        <w:pStyle w:val="TextBody"/>
        <w:spacing w:before="10" w:after="283"/>
        <w:rPr/>
      </w:pPr>
      <w:r>
        <w:rPr/>
      </w:r>
    </w:p>
    <w:p>
      <w:pPr>
        <w:pStyle w:val="TextBody"/>
        <w:spacing w:lineRule="auto" w:line="240" w:before="1"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and Executive wish to enter into a formal written agreement to document such relationship in order to set forth, among other matters (a) Executive’s services and compensation therefor, (b) the nature of Executive’s employment by the Company, (c) the Company’s exclusive ownership of and right to designs, inventions, trade secrets, and proprietary and confidential information relating to the Company, and (d) the resolution of all disputes, claims and any other matters in question arising out of or relating to the Parties’ employment relationship.</w:t>
      </w:r>
    </w:p>
    <w:p>
      <w:pPr>
        <w:pStyle w:val="TextBody"/>
        <w:spacing w:before="10" w:after="283"/>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promises and mutual covenants set forth herein and for other good and valuable consideration, the receipt and sufficiency of which are hereby acknowledged, the Parties agree as follows:</w:t>
      </w:r>
    </w:p>
    <w:p>
      <w:pPr>
        <w:pStyle w:val="TextBody"/>
        <w:spacing w:before="10" w:after="283"/>
        <w:rPr/>
      </w:pPr>
      <w:r>
        <w:rPr/>
      </w:r>
    </w:p>
    <w:p>
      <w:pPr>
        <w:pStyle w:val="TextBody"/>
        <w:spacing w:lineRule="auto" w:line="240" w:before="0" w:after="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Employment Term</w:t>
      </w:r>
      <w:r>
        <w:rPr>
          <w:rFonts w:ascii="Times New Roman;sans-serif" w:hAnsi="Times New Roman;sans-serif"/>
          <w:b w:val="false"/>
          <w:color w:val="000000"/>
          <w:sz w:val="24"/>
        </w:rPr>
        <w:t>. Executive’s employment pursuant to this Agreement shall be effective as of the effective date of the Effective Date and shall continue until terminated as provided in Section 4 below. The period during which Executive is employed by the Company hereunder is hereinafter referred to as the “</w:t>
      </w:r>
      <w:r>
        <w:rPr>
          <w:rFonts w:ascii="Times New Roman;sans-serif" w:hAnsi="Times New Roman;sans-serif"/>
          <w:b w:val="false"/>
          <w:color w:val="000000"/>
          <w:sz w:val="24"/>
          <w:u w:val="single"/>
        </w:rPr>
        <w:t>Employment Term</w:t>
      </w:r>
      <w:r>
        <w:rPr>
          <w:rFonts w:ascii="Times New Roman;sans-serif" w:hAnsi="Times New Roman;sans-serif"/>
          <w:b w:val="false"/>
          <w:color w:val="000000"/>
          <w:sz w:val="24"/>
        </w:rPr>
        <w:t>.” The last day of Executive’s employment with the Company is hereinafter referred to as the “</w:t>
      </w:r>
      <w:r>
        <w:rPr>
          <w:rFonts w:ascii="Times New Roman;sans-serif" w:hAnsi="Times New Roman;sans-serif"/>
          <w:b w:val="false"/>
          <w:color w:val="000000"/>
          <w:sz w:val="24"/>
          <w:u w:val="single"/>
        </w:rPr>
        <w:t>Termination Date</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hanging="721"/>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Title; Duties; Reporting</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(a)Executive shall continue to be employed by the Company as Chief Technology Officer. Executive’s authority and responsibilities shall be those customary to the role of Chief Technology Officer. Executive’s duties shall include overseeing the Company’s engineering and technology functions, assisting the Chief Executive Officer in executing the Company’s technology development strategies, and performing any such other tasks as may be assigned from time to time by the Chief Executive Officer. Executive shall devote substantially all of Executive’s business time (excluding periods of vacation and other approved leaves of absence) to the performance of his duties with the Company.</w:t>
      </w:r>
    </w:p>
    <w:p>
      <w:pPr>
        <w:pStyle w:val="TextBody"/>
        <w:spacing w:before="0" w:after="0"/>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(b)During the Employment Term, Executive shall report to the Company’s Chief Executive Officer.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(c)Executive shall devote Executive’s best efforts to Executive’s performance of Executive’s duties hereunder and shall not engage in any other business or employment that would prevent Executive from fully and satisfactorily performing the services required by the Company or that would result in a conflict of interest. Executive shall perform Executive’s duties, responsibilities, and functions for the Company to the best of Executive’s abilities in a diligent, trustworthy, businesslike, and efficient manner. Executive’s duties will be determined by the Company and may include activities for the benefit of the Company’s subsidiaries or affiliates. Executive shall perform his duties applying Executive’s fiduciary duty to the Company in accordance with laws, the provisions of this Agreement, the Company’s organizational documents, and general directives and specific instructions given to Executive by the Company from time to time. Executive will also abide by all Company policies and procedures as may be in effect from time to time, including, without limitation, those set forth in the applicable Employee Handbook.</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 xml:space="preserve">(d)The principal place of Executive’s employment shall be Saratoga, CA or otherwise designated as remote;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Executive may be required to travel on Company business and to work out of other of the Company’s offices from time to time. Executive may work remotely with prior approval of the Company.</w:t>
      </w:r>
    </w:p>
    <w:p>
      <w:pPr>
        <w:pStyle w:val="TextBody"/>
        <w:spacing w:before="11" w:after="283"/>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(e)Executive agrees that (i) Executive’s title, position, salary, responsibilities, education, professional certifications, and background, as they relate to Executive’s employment by the Company under this Agreement, classify Executive as an “Exempt” employee and “Regular Full-Time” for purposes of all state and federal laws that relate to overtime pay and other employment law and policy matters; (ii) Executive shall receive only the compensation and benefits described herein; and (iii) Executive shall not be eligible for or receive any extra overtime or other special payment or compensation under this Agreement, including, without limitation, for hours of work performed outside of regular business hours, on holidays or otherwise.</w:t>
      </w:r>
    </w:p>
    <w:p>
      <w:pPr>
        <w:pStyle w:val="TextBody"/>
        <w:spacing w:before="10"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3.</w:t>
      </w:r>
      <w:r>
        <w:rPr>
          <w:rFonts w:ascii="Times New Roman;sans-serif" w:hAnsi="Times New Roman;sans-serif"/>
          <w:b/>
          <w:color w:val="000000"/>
          <w:sz w:val="24"/>
          <w:u w:val="single"/>
        </w:rPr>
        <w:t>Compensation and Benefits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(a)</w:t>
      </w:r>
      <w:r>
        <w:rPr>
          <w:rFonts w:ascii="Times New Roman;sans-serif" w:hAnsi="Times New Roman;sans-serif"/>
          <w:b/>
          <w:color w:val="000000"/>
          <w:sz w:val="24"/>
        </w:rPr>
        <w:t>Base Salary</w:t>
      </w:r>
      <w:r>
        <w:rPr>
          <w:rFonts w:ascii="Times New Roman;sans-serif" w:hAnsi="Times New Roman;sans-serif"/>
          <w:b w:val="false"/>
          <w:color w:val="000000"/>
          <w:sz w:val="24"/>
        </w:rPr>
        <w:t>. During the Employment Term, Executive’s base salary shall be paid at a rate of 450,000.00 US Dollars per annum (the “</w:t>
      </w:r>
      <w:r>
        <w:rPr>
          <w:rFonts w:ascii="Times New Roman;sans-serif" w:hAnsi="Times New Roman;sans-serif"/>
          <w:b w:val="false"/>
          <w:color w:val="000000"/>
          <w:sz w:val="24"/>
          <w:u w:val="single"/>
        </w:rPr>
        <w:t>Base Salary</w:t>
      </w:r>
      <w:r>
        <w:rPr>
          <w:color w:val="000000"/>
        </w:rPr>
        <w:t>”</w:t>
      </w:r>
      <w:r>
        <w:rPr>
          <w:rFonts w:ascii="Times New Roman;sans-serif" w:hAnsi="Times New Roman;sans-serif"/>
          <w:b w:val="false"/>
          <w:color w:val="000000"/>
          <w:sz w:val="24"/>
        </w:rPr>
        <w:t>), payable in regular installments in accordance with the Company’s general payroll practices.</w:t>
      </w:r>
    </w:p>
    <w:p>
      <w:pPr>
        <w:pStyle w:val="TextBody"/>
        <w:spacing w:before="9"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(b)</w:t>
      </w:r>
      <w:r>
        <w:rPr>
          <w:rFonts w:ascii="Times New Roman;sans-serif" w:hAnsi="Times New Roman;sans-serif"/>
          <w:b/>
          <w:color w:val="000000"/>
          <w:sz w:val="24"/>
        </w:rPr>
        <w:t>Annual Performance Bonus</w:t>
      </w:r>
      <w:r>
        <w:rPr>
          <w:rFonts w:ascii="Times New Roman;sans-serif" w:hAnsi="Times New Roman;sans-serif"/>
          <w:b w:val="false"/>
          <w:color w:val="000000"/>
          <w:sz w:val="24"/>
        </w:rPr>
        <w:t>. In respect of each fiscal year of the Company occurring during the Employment Term, Executive shall be eligible for an annual cash incentive bonus (the “</w:t>
      </w:r>
      <w:r>
        <w:rPr>
          <w:rFonts w:ascii="Times New Roman;sans-serif" w:hAnsi="Times New Roman;sans-serif"/>
          <w:b w:val="false"/>
          <w:color w:val="000000"/>
          <w:sz w:val="24"/>
          <w:u w:val="single"/>
        </w:rPr>
        <w:t>Annual Bonus</w:t>
      </w:r>
      <w:r>
        <w:rPr>
          <w:color w:val="000000"/>
        </w:rPr>
        <w:t>”</w:t>
      </w:r>
      <w:r>
        <w:rPr>
          <w:rFonts w:ascii="Times New Roman;sans-serif" w:hAnsi="Times New Roman;sans-serif"/>
          <w:b w:val="false"/>
          <w:color w:val="000000"/>
          <w:sz w:val="24"/>
        </w:rPr>
        <w:t>) with a target bonus amount of 50% of the Base Salary (the “Target Bonus Amount”). The actual Annual Bonus amount paid will be based upon the achievement of specific performance for such fiscal year, as approved by the Compensation Committee of the Company’s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The Annual Bonus shall otherwise be subject to the terms and conditions of the annual bonus plan adopted by the Board or the Compensation Committee, under which bonuses are generally payable to senior executives of the Company, as in effect from time to time. The Annual Bonus shall be paid to Executive at the same time as annual bonuses are generally payable to other senior executives of the Company, but in no event later than March 15th of the calendar year immediately following the calendar year in which the fiscal year to which such Annual Bonus relates ended.</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34060"/>
                <wp:effectExtent l="0" t="0" r="0" b="0"/>
                <wp:wrapNone/>
                <wp:docPr id="94" name="Frame93"/>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40" w:before="1" w:after="283"/>
        <w:ind w:left="0" w:right="0" w:firstLine="719"/>
        <w:jc w:val="both"/>
        <w:rPr/>
      </w:pPr>
      <w:r>
        <w:rPr>
          <w:rFonts w:ascii="Times New Roman;sans-serif" w:hAnsi="Times New Roman;sans-serif"/>
          <w:b w:val="false"/>
          <w:color w:val="000000"/>
          <w:sz w:val="24"/>
        </w:rPr>
        <w:t>(c)</w:t>
      </w:r>
      <w:r>
        <w:rPr>
          <w:rFonts w:ascii="Times New Roman;sans-serif" w:hAnsi="Times New Roman;sans-serif"/>
          <w:b/>
          <w:color w:val="000000"/>
          <w:sz w:val="24"/>
        </w:rPr>
        <w:t>Other Benefits</w:t>
      </w:r>
      <w:r>
        <w:rPr>
          <w:rFonts w:ascii="Times New Roman;sans-serif" w:hAnsi="Times New Roman;sans-serif"/>
          <w:b w:val="false"/>
          <w:color w:val="000000"/>
          <w:sz w:val="24"/>
        </w:rPr>
        <w:t>. During the Employment Term, Executive shall be entitled to participate in all employee benefit plans, practices, programs and perquisite arrangements provided generally to the most senior executives of the Company, as in effect from time to time (collectively, “</w:t>
      </w:r>
      <w:r>
        <w:rPr>
          <w:rFonts w:ascii="Times New Roman;sans-serif" w:hAnsi="Times New Roman;sans-serif"/>
          <w:b w:val="false"/>
          <w:color w:val="000000"/>
          <w:sz w:val="24"/>
          <w:u w:val="single"/>
        </w:rPr>
        <w:t>Employee Benefit Plans</w:t>
      </w:r>
      <w:r>
        <w:rPr>
          <w:color w:val="000000"/>
        </w:rPr>
        <w:t>”</w:t>
      </w:r>
      <w:r>
        <w:rPr>
          <w:rFonts w:ascii="Times New Roman;sans-serif" w:hAnsi="Times New Roman;sans-serif"/>
          <w:b w:val="false"/>
          <w:color w:val="000000"/>
          <w:sz w:val="24"/>
        </w:rPr>
        <w:t>), on a basis which is no less favorable than is provided to other similarly situated employees of the Company, to the extent consistent with applicable law and the terms of applicable Employee Benefit Plans. The Company reserves the right to amend or cancel any Employee Benefit Plans at any time in its sole discretion, subject to the terms of such Employee Benefit Plan and applicable law.</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(d)</w:t>
      </w:r>
      <w:r>
        <w:rPr>
          <w:rFonts w:ascii="Times New Roman;sans-serif" w:hAnsi="Times New Roman;sans-serif"/>
          <w:b/>
          <w:color w:val="000000"/>
          <w:sz w:val="24"/>
        </w:rPr>
        <w:t>Vacation</w:t>
      </w:r>
      <w:r>
        <w:rPr>
          <w:rFonts w:ascii="Times New Roman;sans-serif" w:hAnsi="Times New Roman;sans-serif"/>
          <w:b w:val="false"/>
          <w:color w:val="000000"/>
          <w:sz w:val="24"/>
        </w:rPr>
        <w:t>. During the Employment Term, Executive shall be entitled to paid vacation in accordance with the Company’s vacation policies applicable to Exempt employees, as in effect from time to time. Executive shall obtain advance written approval for vacation from the Company. Executive’s vacation days shall be taken at such time or times during the applicable year as may be mutually agreed upon by Executive and the Company, thereby taking into consideration the needs of the Company and the personal wishes of Executive. The Company reserves the right to grant additional vacation time or to deny any request for vacation or time-off at its sole discretion, unless the leave is for illness or other exigent circumstances or is otherwise authorized by law.</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(e)</w:t>
      </w:r>
      <w:r>
        <w:rPr>
          <w:rFonts w:ascii="Times New Roman;sans-serif" w:hAnsi="Times New Roman;sans-serif"/>
          <w:b/>
          <w:color w:val="000000"/>
          <w:sz w:val="24"/>
        </w:rPr>
        <w:t>Withholding Taxes</w:t>
      </w:r>
      <w:r>
        <w:rPr>
          <w:rFonts w:ascii="Times New Roman;sans-serif" w:hAnsi="Times New Roman;sans-serif"/>
          <w:b w:val="false"/>
          <w:color w:val="000000"/>
          <w:sz w:val="24"/>
        </w:rPr>
        <w:t>. All amounts payable to Executive as compensation hereunder, including any bonuses or other monetary incentives, shall be subject to such federal, state and local taxes as may be required to be withheld pursuant to any applicable law or regulation.</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(f)</w:t>
      </w:r>
      <w:r>
        <w:rPr>
          <w:rFonts w:ascii="Times New Roman;sans-serif" w:hAnsi="Times New Roman;sans-serif"/>
          <w:b/>
          <w:color w:val="000000"/>
          <w:sz w:val="24"/>
        </w:rPr>
        <w:t>Expense Reimbursement</w:t>
      </w:r>
      <w:r>
        <w:rPr>
          <w:rFonts w:ascii="Times New Roman;sans-serif" w:hAnsi="Times New Roman;sans-serif"/>
          <w:b w:val="false"/>
          <w:color w:val="000000"/>
          <w:sz w:val="24"/>
        </w:rPr>
        <w:t>. Executive shall be reimbursed for reasonable out-of- pocket expenses incurred by Executive in the furtherance of the Company’s business, provided Executive obtains all required approvals and submits all required verification as provided by Company policy.</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(g)</w:t>
      </w:r>
      <w:r>
        <w:rPr>
          <w:rFonts w:ascii="Times New Roman;sans-serif" w:hAnsi="Times New Roman;sans-serif"/>
          <w:b/>
          <w:color w:val="000000"/>
          <w:sz w:val="24"/>
        </w:rPr>
        <w:t>Equity Compensation</w:t>
      </w:r>
      <w:r>
        <w:rPr>
          <w:rFonts w:ascii="Times New Roman;sans-serif" w:hAnsi="Times New Roman;sans-serif"/>
          <w:b w:val="false"/>
          <w:color w:val="000000"/>
          <w:sz w:val="24"/>
        </w:rPr>
        <w:t>. Executive will be eligible to receive equity awards under the Company’s 2020 Omnibus Incentive Plan (the “</w:t>
      </w:r>
      <w:r>
        <w:rPr>
          <w:rFonts w:ascii="Times New Roman;sans-serif" w:hAnsi="Times New Roman;sans-serif"/>
          <w:b w:val="false"/>
          <w:color w:val="000000"/>
          <w:sz w:val="24"/>
          <w:u w:val="single"/>
        </w:rPr>
        <w:t>OIP</w:t>
      </w:r>
      <w:r>
        <w:rPr>
          <w:color w:val="000000"/>
        </w:rPr>
        <w:t>”</w:t>
      </w:r>
      <w:r>
        <w:rPr>
          <w:rFonts w:ascii="Times New Roman;sans-serif" w:hAnsi="Times New Roman;sans-serif"/>
          <w:b w:val="false"/>
          <w:color w:val="000000"/>
          <w:sz w:val="24"/>
        </w:rPr>
        <w:t>) and to participate in any future long- term incentive programs made generally available to the Company’s senior executives as determined by the Board.</w:t>
      </w:r>
    </w:p>
    <w:p>
      <w:pPr>
        <w:pStyle w:val="TextBody"/>
        <w:spacing w:before="10" w:after="283"/>
        <w:rPr/>
      </w:pPr>
      <w:r>
        <w:rPr/>
      </w:r>
    </w:p>
    <w:p>
      <w:pPr>
        <w:pStyle w:val="TextBody"/>
        <w:spacing w:lineRule="auto" w:line="240" w:before="1" w:after="283"/>
        <w:ind w:left="0" w:right="0" w:hanging="721"/>
        <w:rPr/>
      </w:pPr>
      <w:r>
        <w:rPr>
          <w:rFonts w:ascii="Times New Roman;sans-serif" w:hAnsi="Times New Roman;sans-serif"/>
          <w:b w:val="false"/>
          <w:color w:val="000000"/>
          <w:sz w:val="24"/>
        </w:rPr>
        <w:t>4.</w:t>
      </w:r>
      <w:r>
        <w:rPr>
          <w:rFonts w:ascii="Times New Roman;sans-serif" w:hAnsi="Times New Roman;sans-serif"/>
          <w:b/>
          <w:color w:val="000000"/>
          <w:sz w:val="24"/>
          <w:u w:val="single"/>
        </w:rPr>
        <w:t>Termination of Employment</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 xml:space="preserve">(a)The Employment Term and Executive’s employment hereunder may be terminated by either the Company or Executive at any time and for any reason;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unless otherwise provided herein, either party shall be required to give the other party at least 30 days’ advance written notice of any termination of Executive’s employment (and provided further that the Company shall be entitled to pay Executive Base Salary payments in lieu of such notice period). Upon termination of Executive’s employment during the Employment Term, Executive shall be entitled to the compensation and benefits described in this Section and shall have no further rights to any compensation or any other benefits from the Company or any of its affiliates,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Executive’s rights with respect to any equity awards in the Company as may be approved by the Board shall, except as provided in this Section 4, be governed by the terms and conditions of the OIP and/or any other documents pursuant to which such equity awards have been granted.</w:t>
      </w:r>
    </w:p>
    <w:p>
      <w:pPr>
        <w:pStyle w:val="TextBody"/>
        <w:spacing w:before="8" w:after="283"/>
        <w:rPr/>
      </w:pPr>
      <w:r>
        <w:rPr/>
      </w:r>
    </w:p>
    <w:p>
      <w:pPr>
        <w:pStyle w:val="TextBody"/>
        <w:spacing w:lineRule="auto" w:line="273" w:before="0" w:after="0"/>
        <w:ind w:left="0" w:right="0" w:firstLine="719"/>
        <w:jc w:val="both"/>
        <w:rPr/>
      </w:pPr>
      <w:r>
        <w:rPr>
          <w:rFonts w:ascii="Times New Roman;sans-serif" w:hAnsi="Times New Roman;sans-serif"/>
          <w:b w:val="false"/>
          <w:color w:val="000000"/>
          <w:sz w:val="24"/>
        </w:rPr>
        <w:t>(b)</w:t>
      </w:r>
      <w:r>
        <w:rPr>
          <w:rFonts w:ascii="Times New Roman;sans-serif" w:hAnsi="Times New Roman;sans-serif"/>
          <w:b/>
          <w:color w:val="000000"/>
          <w:sz w:val="24"/>
        </w:rPr>
        <w:t>Termination by the Company for Cause or by Executive Without Good Reason</w:t>
      </w:r>
      <w:r>
        <w:rPr>
          <w:rFonts w:ascii="Times New Roman;sans-serif" w:hAnsi="Times New Roman;sans-serif"/>
          <w:b w:val="false"/>
          <w:color w:val="000000"/>
          <w:sz w:val="24"/>
        </w:rPr>
        <w:t>. Executive’s employment hereunder may be terminated by the Company for Cause, or by Executive without Good Reason. If Executive’s employment is terminated by the Company for Cause, or by Executive without Good Reason, Executive shall be entitled to receive: (i) any accrued but unpaid Base Salary; and (ii) reimbursement for unreimbursed business expenses properly incurred by Executive ((i) and (ii) together, the “</w:t>
      </w:r>
      <w:r>
        <w:rPr>
          <w:rFonts w:ascii="Times New Roman;sans-serif" w:hAnsi="Times New Roman;sans-serif"/>
          <w:b w:val="false"/>
          <w:color w:val="000000"/>
          <w:sz w:val="24"/>
          <w:u w:val="single"/>
        </w:rPr>
        <w:t>Accrued Amounts</w:t>
      </w:r>
      <w:r>
        <w:rPr>
          <w:color w:val="000000"/>
        </w:rPr>
        <w:t>”</w:t>
      </w:r>
      <w:r>
        <w:rPr>
          <w:rFonts w:ascii="Times New Roman;sans-serif" w:hAnsi="Times New Roman;sans-serif"/>
          <w:b w:val="false"/>
          <w:color w:val="000000"/>
          <w:sz w:val="24"/>
        </w:rPr>
        <w:t>).</w:t>
      </w:r>
    </w:p>
    <w:p>
      <w:pPr>
        <w:pStyle w:val="TextBody"/>
        <w:spacing w:before="3"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34060"/>
                <wp:effectExtent l="0" t="0" r="0" b="0"/>
                <wp:wrapNone/>
                <wp:docPr id="95" name="Frame94"/>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40" w:before="0" w:after="0"/>
        <w:ind w:left="0" w:right="0" w:firstLine="719"/>
        <w:jc w:val="both"/>
        <w:rPr/>
      </w:pPr>
      <w:r>
        <w:rPr>
          <w:rFonts w:ascii="Times New Roman;sans-serif" w:hAnsi="Times New Roman;sans-serif"/>
          <w:b w:val="false"/>
          <w:color w:val="000000"/>
          <w:sz w:val="24"/>
        </w:rPr>
        <w:t>(c)</w:t>
      </w:r>
      <w:r>
        <w:rPr>
          <w:rFonts w:ascii="Times New Roman;sans-serif" w:hAnsi="Times New Roman;sans-serif"/>
          <w:b/>
          <w:color w:val="000000"/>
          <w:sz w:val="24"/>
        </w:rPr>
        <w:t>Termination by the Company Without Cause or by Executive for Good Reason</w:t>
      </w:r>
      <w:r>
        <w:rPr>
          <w:rFonts w:ascii="Times New Roman;sans-serif" w:hAnsi="Times New Roman;sans-serif"/>
          <w:b w:val="false"/>
          <w:color w:val="000000"/>
          <w:sz w:val="24"/>
        </w:rPr>
        <w:t xml:space="preserve">. The Employment Term and Executive’s employment hereunder may be terminated by the Company without Cause or by Executive for Good Reason. In the event of such a termination (subject to Section 4(d) below), Executive shall be entitled to receive (A) the Accrued Amounts, and (B) the Severance Amount (as provided below);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Executive shall be entitled to receive the Severance Amount only if (i) Executive has materially complied with, and is in compliance in all material respects with, Sections 5, 6, and 7 of this Agreement, and (ii) Executive executes a general release of all claims and rights that Executive may have against the Company and its related entities and their respective equityholders, members, officers, directors, managers and employees relating to Executive’s employment and/or termination, in a form substantially similar to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within 45 days following the Termination Date, and does not revoke the Release within any applicable revocation period. The Severance Amount shall equal six months of the Base Salary rate as of the Termination Date, payable in a single lump sum. The cash termination payments described in this Section shall be paid to Executive within 60 days following the Termination Date, provided that if the period during which Executive may sign the Release straddles two calendar years, then such cash termination payments shall be paid to Executive in the second of such calendar years.</w:t>
      </w:r>
    </w:p>
    <w:p>
      <w:pPr>
        <w:pStyle w:val="TextBody"/>
        <w:spacing w:before="6" w:after="283"/>
        <w:rPr/>
      </w:pPr>
      <w:r>
        <w:rPr/>
      </w:r>
    </w:p>
    <w:p>
      <w:pPr>
        <w:pStyle w:val="TextBody"/>
        <w:spacing w:lineRule="auto" w:line="240" w:before="1" w:after="283"/>
        <w:ind w:left="0" w:right="0" w:hanging="721"/>
        <w:rPr/>
      </w:pPr>
      <w:r>
        <w:rPr>
          <w:rFonts w:ascii="Times New Roman;sans-serif" w:hAnsi="Times New Roman;sans-serif"/>
          <w:b w:val="false"/>
          <w:color w:val="000000"/>
          <w:sz w:val="24"/>
        </w:rPr>
        <w:t>(d)</w:t>
      </w:r>
      <w:r>
        <w:rPr>
          <w:rFonts w:ascii="Times New Roman;sans-serif" w:hAnsi="Times New Roman;sans-serif"/>
          <w:b/>
          <w:color w:val="000000"/>
          <w:sz w:val="24"/>
          <w:u w:val="single"/>
        </w:rPr>
        <w:t>Death or Disability</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39"/>
        <w:jc w:val="both"/>
        <w:rPr>
          <w:rFonts w:ascii="Times New Roman;sans-serif" w:hAnsi="Times New Roman;sans-serif"/>
          <w:b w:val="false"/>
          <w:color w:val="000000"/>
          <w:sz w:val="24"/>
        </w:rPr>
      </w:pPr>
      <w:r>
        <w:rPr>
          <w:rFonts w:ascii="Times New Roman;sans-serif" w:hAnsi="Times New Roman;sans-serif"/>
          <w:b w:val="false"/>
          <w:color w:val="000000"/>
          <w:sz w:val="24"/>
        </w:rPr>
        <w:t>(i)Executive’s employment hereunder shall terminate automatically upon Executive’s death during the Employment Term, and the Company may terminate Executive’s employment on account of Executive’s Disability.</w:t>
      </w:r>
    </w:p>
    <w:p>
      <w:pPr>
        <w:pStyle w:val="TextBody"/>
        <w:spacing w:before="10" w:after="283"/>
        <w:rPr/>
      </w:pPr>
      <w:r>
        <w:rPr/>
      </w:r>
    </w:p>
    <w:p>
      <w:pPr>
        <w:pStyle w:val="TextBody"/>
        <w:spacing w:lineRule="auto" w:line="240" w:before="0" w:after="0"/>
        <w:ind w:left="0" w:right="0" w:firstLine="1439"/>
        <w:jc w:val="both"/>
        <w:rPr>
          <w:rFonts w:ascii="Times New Roman;sans-serif" w:hAnsi="Times New Roman;sans-serif"/>
          <w:b w:val="false"/>
          <w:color w:val="000000"/>
          <w:sz w:val="24"/>
        </w:rPr>
      </w:pPr>
      <w:r>
        <w:rPr>
          <w:rFonts w:ascii="Times New Roman;sans-serif" w:hAnsi="Times New Roman;sans-serif"/>
          <w:b w:val="false"/>
          <w:color w:val="000000"/>
          <w:sz w:val="24"/>
        </w:rPr>
        <w:t>(ii)If Executive’s employment is terminated during the Employment Term on account of Executive’s death or Disability, Executive (or Executive’s estate and/or beneficiaries, as the case may be) shall be entitled to receive the Accrued Amounts plus the expected amount of Executive’s Annual Performance Bonus for the year in which such termination occurs, pro-rated through the Termination Date.</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(e)</w:t>
      </w:r>
      <w:r>
        <w:rPr>
          <w:rFonts w:ascii="Times New Roman;sans-serif" w:hAnsi="Times New Roman;sans-serif"/>
          <w:b/>
          <w:color w:val="000000"/>
          <w:sz w:val="24"/>
        </w:rPr>
        <w:t xml:space="preserve">Resignation of All Other Positions. </w:t>
      </w:r>
      <w:r>
        <w:rPr>
          <w:rFonts w:ascii="Times New Roman;sans-serif" w:hAnsi="Times New Roman;sans-serif"/>
          <w:b w:val="false"/>
          <w:color w:val="000000"/>
          <w:sz w:val="24"/>
        </w:rPr>
        <w:t>Upon termination of Executive’s employment hereunder for any reason, Executive agrees to resign from all positions that Executive holds as an officer or member of a board (or a committee thereof) of the Company or any of its affiliates.</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(f)</w:t>
      </w:r>
      <w:r>
        <w:rPr>
          <w:rFonts w:ascii="Times New Roman;sans-serif" w:hAnsi="Times New Roman;sans-serif"/>
          <w:b/>
          <w:color w:val="000000"/>
          <w:sz w:val="24"/>
          <w:u w:val="single"/>
        </w:rPr>
        <w:t>Section 280G</w:t>
      </w:r>
      <w:r>
        <w:rPr>
          <w:rFonts w:ascii="Times New Roman;sans-serif" w:hAnsi="Times New Roman;sans-serif"/>
          <w:b w:val="false"/>
          <w:color w:val="000000"/>
          <w:sz w:val="24"/>
        </w:rPr>
        <w:t>. Notwithstanding anything in this Agreement to the contrary, if the payments and benefits to be afforded to Executive under Section 4 hereof (the “</w:t>
      </w:r>
      <w:r>
        <w:rPr>
          <w:rFonts w:ascii="Times New Roman;sans-serif" w:hAnsi="Times New Roman;sans-serif"/>
          <w:b w:val="false"/>
          <w:color w:val="000000"/>
          <w:sz w:val="24"/>
          <w:u w:val="single"/>
        </w:rPr>
        <w:t>Severance</w:t>
      </w:r>
      <w:r>
        <w:rPr>
          <w:color w:val="000000"/>
        </w:rPr>
        <w:t xml:space="preserve"> </w:t>
      </w:r>
      <w:r>
        <w:rPr>
          <w:rFonts w:ascii="Times New Roman;sans-serif" w:hAnsi="Times New Roman;sans-serif"/>
          <w:b w:val="false"/>
          <w:color w:val="000000"/>
          <w:sz w:val="24"/>
          <w:u w:val="single"/>
        </w:rPr>
        <w:t>Benefits</w:t>
      </w:r>
      <w:r>
        <w:rPr>
          <w:color w:val="000000"/>
        </w:rPr>
        <w:t>”</w:t>
      </w:r>
      <w:r>
        <w:rPr>
          <w:rFonts w:ascii="Times New Roman;sans-serif" w:hAnsi="Times New Roman;sans-serif"/>
          <w:b w:val="false"/>
          <w:color w:val="000000"/>
          <w:sz w:val="24"/>
        </w:rPr>
        <w:t>) either alone or together with other payments and benefits which Executive has the right receive from the Company (or any affiliate) would constitute a “parachute payment” under Section 280G of the Internal Revenue Code of 1986, as amended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and but for this Section 4(f), would be subject to the excise tax imposed by Section 4999 of the (the “</w:t>
      </w:r>
      <w:r>
        <w:rPr>
          <w:rFonts w:ascii="Times New Roman;sans-serif" w:hAnsi="Times New Roman;sans-serif"/>
          <w:b w:val="false"/>
          <w:color w:val="000000"/>
          <w:sz w:val="24"/>
          <w:u w:val="single"/>
        </w:rPr>
        <w:t>Excise Tax</w:t>
      </w:r>
      <w:r>
        <w:rPr>
          <w:color w:val="000000"/>
        </w:rPr>
        <w:t>”</w:t>
      </w:r>
      <w:r>
        <w:rPr>
          <w:rFonts w:ascii="Times New Roman;sans-serif" w:hAnsi="Times New Roman;sans-serif"/>
          <w:b w:val="false"/>
          <w:color w:val="000000"/>
          <w:sz w:val="24"/>
        </w:rPr>
        <w:t>), then the Severance Benefits shall be reduced (the “</w:t>
      </w:r>
      <w:r>
        <w:rPr>
          <w:rFonts w:ascii="Times New Roman;sans-serif" w:hAnsi="Times New Roman;sans-serif"/>
          <w:b w:val="false"/>
          <w:color w:val="000000"/>
          <w:sz w:val="24"/>
          <w:u w:val="single"/>
        </w:rPr>
        <w:t>Benefit Reduction</w:t>
      </w:r>
      <w:r>
        <w:rPr>
          <w:color w:val="000000"/>
        </w:rPr>
        <w:t>”</w:t>
      </w:r>
      <w:r>
        <w:rPr>
          <w:rFonts w:ascii="Times New Roman;sans-serif" w:hAnsi="Times New Roman;sans-serif"/>
          <w:b w:val="false"/>
          <w:color w:val="000000"/>
          <w:sz w:val="24"/>
        </w:rPr>
        <w:t xml:space="preserve">) by the minimum amount necessary to result in no portion of the Severance Benefits being subject to the Excise Tax,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Benefit Reduction shall only occur if such reduction would result in Executive’s “Net After-Tax Amount” attributable to the Severance Benefits being greater than it would be if no Benefit Reduction was effected. For this purpose, “Net After-Tax Amount” shall mean the net amount of Severance Benefits Executive is entitled under this Agreement after giving effect to all federal, state and local taxes which would be applicable to such payments and benefits, including but not limited to, the Excise Tax. Nothing contained herein shall result in the reduction of any payments or benefits to which Executive may be entitled upon termination of employment and/or a change in control other than as specified in this Section 4(f), or a reduction in the Severance Benefits below zero.</w:t>
      </w:r>
    </w:p>
    <w:p>
      <w:pPr>
        <w:pStyle w:val="TextBody"/>
        <w:spacing w:before="0" w:after="0"/>
        <w:ind w:left="0" w:right="0" w:firstLine="1079"/>
        <w:jc w:val="both"/>
        <w:rPr/>
      </w:pPr>
      <w:r>
        <w:rPr/>
      </w:r>
    </w:p>
    <w:p>
      <w:pPr>
        <w:pStyle w:val="TextBody"/>
        <w:spacing w:before="0" w:after="0"/>
        <w:jc w:val="both"/>
        <w:rPr/>
      </w:pPr>
      <w:r>
        <w:rPr/>
      </w:r>
    </w:p>
    <w:p>
      <w:pPr>
        <w:pStyle w:val="TextBody"/>
        <w:spacing w:before="0" w:after="0"/>
        <w:jc w:val="both"/>
        <w:rPr/>
      </w:pPr>
      <w:r>
        <w:rPr/>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34060"/>
                <wp:effectExtent l="0" t="0" r="0" b="0"/>
                <wp:wrapNone/>
                <wp:docPr id="96" name="Frame95"/>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40" w:before="0" w:after="0"/>
        <w:ind w:left="0" w:right="0" w:hanging="721"/>
        <w:rPr/>
      </w:pPr>
      <w:r>
        <w:rPr>
          <w:rFonts w:ascii="Times New Roman;sans-serif" w:hAnsi="Times New Roman;sans-serif"/>
          <w:b w:val="false"/>
          <w:color w:val="000000"/>
          <w:sz w:val="24"/>
        </w:rPr>
        <w:t>(g)</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(i)For purposes of this Agreement,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 xml:space="preserve">shall mean: (1) Executive’s willful and continued failure to perform Executive’s duties (other than any such failure resulting from incapacity due to physical or mental illness); (2) Executive’s willful and continued failure to comply with any valid and legal directive of the Board; (3) Executive’s engagement in fraud, embezzlement, or other illegal or gross misconduct, which is, in each case, materially injurious to the Company or its affiliates; (4) Executive’s conviction of or plea of guilty or no contest to a crime that constitutes a felony or a crime that constitutes a misdemeanor involving moral turpitude; (5) Executive’s willful and continued violation of a material policy of the Company; or (6) Executive’s willful and material breach of any material obligation under this Agreement or any other written agreement between Executive and the Company. Except for a failure, breach, or refusal which, by its nature, cannot reasonably be expected to be cured, Executive shall have 20 business days from the delivery of written notice by the Company within which to cure any acts constituting Cause;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the Company reasonably expects irreparable injury from a delay of 20 business days, the Company may give Executive notice of such shorter period within which to cure as is reasonable under the circumstances, which may include the termination of Executive’s employment without notice and with immediate effect. For purposes of the definition, no act, or failure to act, by Executive shall be considered “willful” unless done, or omitted, by him in bad faith, or without a reasonable belief that such act or omission was in the best interests of the Company and its affiliates.</w:t>
      </w:r>
    </w:p>
    <w:p>
      <w:pPr>
        <w:pStyle w:val="TextBody"/>
        <w:spacing w:before="10" w:after="283"/>
        <w:rPr/>
      </w:pPr>
      <w:r>
        <w:rPr/>
      </w:r>
    </w:p>
    <w:p>
      <w:pPr>
        <w:pStyle w:val="TextBody"/>
        <w:spacing w:lineRule="auto" w:line="240" w:before="1" w:after="283"/>
        <w:ind w:left="0" w:right="0" w:firstLine="1439"/>
        <w:jc w:val="both"/>
        <w:rPr/>
      </w:pPr>
      <w:r>
        <w:rPr>
          <w:rFonts w:ascii="Times New Roman;sans-serif" w:hAnsi="Times New Roman;sans-serif"/>
          <w:b w:val="false"/>
          <w:color w:val="000000"/>
          <w:sz w:val="24"/>
        </w:rPr>
        <w:t>(ii)For purposes of this Agreement,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mean Executive’s inability, due to physical or mental incapacity, to perform the essential functions of his job for 180 consecutive days. Any question as to the existence of Executive’s Disability as to which Executive and the Company cannot agree shall be determined by a qualified, mutually agreed upon independent physician. The determination of Disability made in writing to the Company and Executive shall be final and conclusive for all purposes of this Agreement.</w:t>
      </w:r>
    </w:p>
    <w:p>
      <w:pPr>
        <w:pStyle w:val="TextBody"/>
        <w:spacing w:before="10"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(iii)For purposes of this Agreement, “</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shall mean any of the following: (1) any material breach by the Company of any material provision of this Agreement during the employment term without Executive’s written consent; (2) any change in Executive’s title, or any material diminution of Executive’s duties, responsibilities, or status in a manner not consistent with this Agreement, without Executive’s consent; (3) reduction of Executive’s Base Salary, without Executive’s consent; (4) relocation of Executive’s principal place of business that will require Executive to travel a materially greater distance on a regular basis (as compared with Executive’s prior practice) without Executive’s consent; or (5) the failure of a successor in interest to the Company (whether by merger, stock purchase, or acquisition of all or substantially all of the Company’s assets) to assume this Agreement within 15 days of such transaction. Executive cannot terminate Executive’s employment for Good Reason unless Executive has provided written notice to the Company of the existence of the circumstances providing grounds for termination for Good Reason within 30 days of the first occurrence of applicable grounds, and the Company has had a least 30 days from the date on which such notice is provided to cure such circumstances. If the Company fails to cure, and Executive does not resign for Good Reason within 20 days following the expiration of the Company’s cure period, then Executive will be deemed to have waived his right to terminate for Good Reason with respect to the grounds asserted.</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34060"/>
                <wp:effectExtent l="0" t="0" r="0" b="0"/>
                <wp:wrapNone/>
                <wp:docPr id="97" name="Frame96"/>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40" w:before="0" w:after="0"/>
        <w:ind w:left="0" w:right="0" w:hanging="721"/>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Trade Secrets and Confidential Information; Confidentiality of Employment Terms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(a)Executive acknowledges and agrees that, as a result of Executive’s employment, Executive will have access to trade secrets and other confidential and/or proprietary information of the Company, its customers, clients and vendors (“</w:t>
      </w:r>
      <w:r>
        <w:rPr>
          <w:rFonts w:ascii="Times New Roman;sans-serif" w:hAnsi="Times New Roman;sans-serif"/>
          <w:b w:val="false"/>
          <w:color w:val="000000"/>
          <w:sz w:val="24"/>
          <w:u w:val="single"/>
        </w:rPr>
        <w:t>Trade Secrets and Confidential</w:t>
      </w:r>
      <w:r>
        <w:rPr>
          <w:color w:val="000000"/>
        </w:rPr>
        <w:t xml:space="preserve"> </w:t>
      </w:r>
      <w:r>
        <w:rPr>
          <w:rFonts w:ascii="Times New Roman;sans-serif" w:hAnsi="Times New Roman;sans-serif"/>
          <w:b w:val="false"/>
          <w:color w:val="000000"/>
          <w:sz w:val="24"/>
          <w:u w:val="single"/>
        </w:rPr>
        <w:t>Information</w:t>
      </w:r>
      <w:r>
        <w:rPr>
          <w:color w:val="000000"/>
        </w:rPr>
        <w:t>”</w:t>
      </w:r>
      <w:r>
        <w:rPr>
          <w:rFonts w:ascii="Times New Roman;sans-serif" w:hAnsi="Times New Roman;sans-serif"/>
          <w:b w:val="false"/>
          <w:color w:val="000000"/>
          <w:sz w:val="24"/>
        </w:rPr>
        <w:t xml:space="preserve">). Such Trade Secrets and Confidential Information and other such information includes, but is not limited to, any and all: (i) customers, clients and vendors, and client, customer, supplier and vendor lists; (ii) accounting and business methods; (iii) services or products and the marketing of such services and products; (iv) fees, costs and pricing structures; (v) designs; (vi) analyses; (vii) drawings, photographs and reports; (viii) computer software, including operating systems, applications and program listings; (ix) flow charts, manuals and documentation; databases and database access and manipulation methods, tools and software; (xi) inventions, devices, new developments, methods, tools and processes, whether patentable or unpatentable and whether or not reduced to practice; (xii) copyrightable works; (xiii) technology and trade secrets; (xiv) templates, forms and formatting tools; (xv) specifications; (xvi) analysis reporting and analysis methods and processes; and (xvii) all similar and related information, in whatever form. The Company acknowledges that this protection only extends to confidential information and not publicly available and generally known or available information or information not protectable from non-disclosure under the applicable law. Executive agrees that Executive shall not, either directly or indirectly, disclose or use at any time, whether during Executive’s employment with the Company or for a period of three years thereafter, any Trade Secrets and Confidential Information, except to the extent that such disclosure or use is necessary for Executive to perform Executive’s duties pursuant to this Agreement or otherwise with respect to the Company’s business;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in the event of a disclosure of any Trade Secrets and Confidential Information that Executive is requested or demanded to make under the guise of law, Executive must give the Company prompt written notice of any order, subpoena or other notice or information that relates to such a request or demand for disclosure compelled by law such that the Company will have sufficient opportunity to challenge the requested disclosure in advance of disclosure by Executive, and further provided that Executive shall (1) not disclose any more information than the minimum disclosure that is in fact required by law, and (2) cooperate fully with all efforts by the Company to obtain a protective order or similar confidentiality treatment for all such information prior to making any such disclosure.</w:t>
      </w:r>
    </w:p>
    <w:p>
      <w:pPr>
        <w:pStyle w:val="TextBody"/>
        <w:spacing w:before="0" w:after="0"/>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(b)Executive covenants and agrees that, other than acknowledging the existence of an employer-employee relationship between the Company and Executive and as otherwise required by law (subject to the terms of Section 5(a) above), Executive shall not at any time divulge, directly or indirectly, any of the terms of this Agreement to any person or entity other than Executive’s legal counsel and Certified Public Accountant.</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(c)Upon the Company’s request at any time, or upon the Company’s termination of Executive’s employment with the Company, Executive will return to the Company all originals and copies of Trade Secrets and Confidential Information. Executive’s obligations under this Agreement supplement, but do not supersede, cancel, or limit, other obligations Executive has to the Company or rights or remedies of the Company, including those under the Defend Trade Secrets Act (“</w:t>
      </w:r>
      <w:r>
        <w:rPr>
          <w:rFonts w:ascii="Times New Roman;sans-serif" w:hAnsi="Times New Roman;sans-serif"/>
          <w:b w:val="false"/>
          <w:color w:val="000000"/>
          <w:sz w:val="24"/>
          <w:u w:val="single"/>
        </w:rPr>
        <w:t>DTSA</w:t>
      </w:r>
      <w:r>
        <w:rPr>
          <w:color w:val="000000"/>
        </w:rPr>
        <w:t>”</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(d)Executive acknowledges that the DTSA provides civil and criminal immunity for any disclosure of Trade Secrets and Confidential Information to his attorney, the government, or in a court filing under seal, so long as the purpose is for reporting or investigating a suspected violation of law. Executive further acknowledges that if he files a lawsuit for retaliation by virtue of reporting a suspected violation of the law, he may use Trade Secrets and Confidential Information in that anti-retaliation lawsuit.</w:t>
      </w:r>
    </w:p>
    <w:p>
      <w:pPr>
        <w:pStyle w:val="TextBody"/>
        <w:spacing w:before="11"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34060"/>
                <wp:effectExtent l="0" t="0" r="0" b="0"/>
                <wp:wrapNone/>
                <wp:docPr id="98" name="Frame97"/>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40" w:before="0" w:after="0"/>
        <w:ind w:left="0" w:right="0" w:hanging="721"/>
        <w:rPr/>
      </w:pPr>
      <w:r>
        <w:rPr>
          <w:rFonts w:ascii="Times New Roman;sans-serif" w:hAnsi="Times New Roman;sans-serif"/>
          <w:b w:val="false"/>
          <w:color w:val="000000"/>
          <w:sz w:val="24"/>
        </w:rPr>
        <w:t>6.</w:t>
      </w:r>
      <w:r>
        <w:rPr>
          <w:rFonts w:ascii="Times New Roman;sans-serif" w:hAnsi="Times New Roman;sans-serif"/>
          <w:b/>
          <w:color w:val="000000"/>
          <w:sz w:val="24"/>
          <w:u w:val="single"/>
        </w:rPr>
        <w:t>Restricted Activities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(a)</w:t>
      </w:r>
      <w:r>
        <w:rPr>
          <w:rFonts w:ascii="Times New Roman;sans-serif" w:hAnsi="Times New Roman;sans-serif"/>
          <w:b/>
          <w:color w:val="000000"/>
          <w:sz w:val="24"/>
        </w:rPr>
        <w:t>Non-Solicitation of Customers</w:t>
      </w:r>
      <w:r>
        <w:rPr>
          <w:rFonts w:ascii="Times New Roman;sans-serif" w:hAnsi="Times New Roman;sans-serif"/>
          <w:b w:val="false"/>
          <w:color w:val="000000"/>
          <w:sz w:val="24"/>
        </w:rPr>
        <w:t>. During the Employment Term, without limiting Executive’s obligations and duties as an employee under applicable law, and for a period of 24 months running consecutively from the Termination Date (whether Executive’s employment is terminated for any reason or no reason), Executive shall not directly or indirectly: (i) solicit or divert any business or any customer (actual or potential) from the Company or assist any person, group or entity in doing so or attempting to do so; or (ii) cause or seek to cause any person, group or entity to refrain from dealing or doing business with the Company or assist any person, group or entity in doing so or attempting to do so.</w:t>
      </w:r>
    </w:p>
    <w:p>
      <w:pPr>
        <w:pStyle w:val="TextBody"/>
        <w:spacing w:before="10"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(b)</w:t>
      </w:r>
      <w:r>
        <w:rPr>
          <w:rFonts w:ascii="Times New Roman;sans-serif" w:hAnsi="Times New Roman;sans-serif"/>
          <w:b/>
          <w:color w:val="000000"/>
          <w:sz w:val="24"/>
        </w:rPr>
        <w:t>Non-Solicitation of Executives</w:t>
      </w:r>
      <w:r>
        <w:rPr>
          <w:rFonts w:ascii="Times New Roman;sans-serif" w:hAnsi="Times New Roman;sans-serif"/>
          <w:b w:val="false"/>
          <w:color w:val="000000"/>
          <w:sz w:val="24"/>
        </w:rPr>
        <w:t>. During the Employment Term, without limiting Executive’s obligations and duties as an employee under applicable law, and for a period of 24 months running consecutively from the Termination Date (whether Executive’s employment is terminated for any reason or no reason), Executive shall not, directly or indirectly, for Executive’s own account or on behalf of any other person or entity, solicit, encourage, entice, or cause, or attempt to solicit, encourage, entice or cause, any employee or contractor of the Company or any Company Party to: (i) breach or modify any provision of such employee’s employment agreement with the Company or any Company Party; (ii) reduce or change the quality or quantity or availability of such employee’s services to the Company or any Company Party; or (iii) terminate such employee’s employment with the Company or any Company Party.</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(c)</w:t>
      </w:r>
      <w:r>
        <w:rPr>
          <w:rFonts w:ascii="Times New Roman;sans-serif" w:hAnsi="Times New Roman;sans-serif"/>
          <w:b/>
          <w:color w:val="000000"/>
          <w:sz w:val="24"/>
        </w:rPr>
        <w:t>Non-Competition</w:t>
      </w:r>
      <w:r>
        <w:rPr>
          <w:rFonts w:ascii="Times New Roman;sans-serif" w:hAnsi="Times New Roman;sans-serif"/>
          <w:b w:val="false"/>
          <w:color w:val="000000"/>
          <w:sz w:val="24"/>
        </w:rPr>
        <w:t>. Executive acknowledges and agrees that due to his position and responsibilities with the Company, Executive will have access to Trade Secrets and Confidential Information. Because of the Company’s protectable interest, and the good and valuable consideration offered to Executive during the Employment Term, Executive agrees and covenants that during the Employment Term and until the later of 12 months following the Termination Date or 24 months following the effective date of the Company’s initial public offering, he will not, directly or indirectly, engage in any “</w:t>
      </w:r>
      <w:r>
        <w:rPr>
          <w:rFonts w:ascii="Times New Roman;sans-serif" w:hAnsi="Times New Roman;sans-serif"/>
          <w:b w:val="false"/>
          <w:color w:val="000000"/>
          <w:sz w:val="24"/>
          <w:u w:val="single"/>
        </w:rPr>
        <w:t>Prohibited Activity</w:t>
      </w:r>
      <w:r>
        <w:rPr>
          <w:color w:val="000000"/>
        </w:rPr>
        <w:t xml:space="preserve">” </w:t>
      </w:r>
      <w:r>
        <w:rPr>
          <w:rFonts w:ascii="Times New Roman;sans-serif" w:hAnsi="Times New Roman;sans-serif"/>
          <w:b w:val="false"/>
          <w:color w:val="000000"/>
          <w:sz w:val="24"/>
        </w:rPr>
        <w:t>anywhere that the Company does business. Prohibited Activity is defined as any activity Executive engages in that is the same or similar to the business of the Company, including, without limitation, the business of gathering, cataloging, cleansing, filtering, organizing, or providing business contact information, firmographic or technographic information on business organizations, or predictive purchase intent data for use in sales, marketing, or recruiting, or any activity in which Executive contributes Executive’s knowledge, directly or indirectly, in whole or in part, as an employee, employer, operator, manager, advisor, consultant, contractor, agent, partner, director, stockholder, officer, volunteer, intern, or any other similar capacity to an entity engaged in the same or similar business of the Company. Prohibited Activity also includes activity that may require or inevitably require disclosure of trade secrets, proprietary information or Trade Secrets and Confidential Information.</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(d)</w:t>
      </w:r>
      <w:r>
        <w:rPr>
          <w:rFonts w:ascii="Times New Roman;sans-serif" w:hAnsi="Times New Roman;sans-serif"/>
          <w:b/>
          <w:color w:val="000000"/>
          <w:sz w:val="24"/>
        </w:rPr>
        <w:t>Non-Disparagement</w:t>
      </w:r>
      <w:r>
        <w:rPr>
          <w:rFonts w:ascii="Times New Roman;sans-serif" w:hAnsi="Times New Roman;sans-serif"/>
          <w:b w:val="false"/>
          <w:color w:val="000000"/>
          <w:sz w:val="24"/>
        </w:rPr>
        <w:t>. Executive covenants and agrees that for the longest period legally enforceable, he shall not disparage the image or reputation of the Company or any of its subsidiaries or affiliates and their officers, senior management employees and professional employees. The Company covenants and agrees that it (i) shall not, in any official or Company- sanctioned statement, disparage the image or reputation of Executive; and (ii) shall instruct its officers, directors and senior management employees not to disparage the image or reputation of Executive.</w:t>
      </w:r>
    </w:p>
    <w:p>
      <w:pPr>
        <w:pStyle w:val="TextBody"/>
        <w:spacing w:before="11"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34060"/>
                <wp:effectExtent l="0" t="0" r="0" b="0"/>
                <wp:wrapNone/>
                <wp:docPr id="99" name="Frame98"/>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40" w:before="0" w:after="0"/>
        <w:ind w:left="0" w:right="0" w:firstLine="719"/>
        <w:jc w:val="both"/>
        <w:rPr/>
      </w:pPr>
      <w:r>
        <w:rPr>
          <w:rFonts w:ascii="Times New Roman;sans-serif" w:hAnsi="Times New Roman;sans-serif"/>
          <w:b w:val="false"/>
          <w:color w:val="000000"/>
          <w:sz w:val="24"/>
        </w:rPr>
        <w:t>(e)</w:t>
      </w:r>
      <w:r>
        <w:rPr>
          <w:rFonts w:ascii="Times New Roman;sans-serif" w:hAnsi="Times New Roman;sans-serif"/>
          <w:b/>
          <w:color w:val="000000"/>
          <w:sz w:val="24"/>
        </w:rPr>
        <w:t>Permitted Activities</w:t>
      </w:r>
      <w:r>
        <w:rPr>
          <w:rFonts w:ascii="Times New Roman;sans-serif" w:hAnsi="Times New Roman;sans-serif"/>
          <w:b w:val="false"/>
          <w:color w:val="000000"/>
          <w:sz w:val="24"/>
        </w:rPr>
        <w:t xml:space="preserve">. Notwithstanding any language in this Agreement to the contrary, nothing in this Agreement prohibits or impedes Executive from reporting possible violations of federal law or regulation to any governmental agency or entity, including but not limited to the Department of Justice, the Securities and Exchange Commission, the Congress, and any agency Inspector General, otherwise communicating, cooperating, or filing a complaint with or making other disclosures or complaints to any such agency or entity that are protected under the whistleblower provisions of federal law or regulation;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in each case such communications and disclosures are consistent with applicable law. Executive does not need the prior authorization of the Company to make any such reports or disclosures and Executive is not required to notify the Company that Executive has made such reports or disclosures. Notwithstanding the foregoing, under no circumstance is Executive authorized to disclose any information covered by the Company’s attorney-client privilege or attorney work product or the Company’s trade secrets without prior written consent of the Company. An individual shall not be held criminally or civilly liable under any U.S. federal or state trade secret law for the disclosure of a trade secret that is made (i) in confidence to a U.S. federal, state, or local government official or to an attorney solely for the purpose of reporting or investigating a suspected violation of law, or (ii)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pStyle w:val="TextBody"/>
        <w:spacing w:before="0" w:after="0"/>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(f)In the event that Executive shall breach any of the provisions of Section 6(a)-(d), or in the event that any such breach is threatened by Executive, in addition to and without limiting or waiving any other of the Company’s rights under this Agreement or any remedies available to the Company at law or in equity, the Company shall be entitled to immediate injunctive relief in any court, domestic or foreign, having the capacity to grant such relief, without the necessity of posting a bond, to restrain any such breach or threatened breach and to enforce the provisions of these Sections. Executive acknowledges and agrees that there is no adequate remedy at law for any such breach or threatened breach and, in the event that any action or proceeding is brought seeking injunctive relief, Executive shall be estopped from asserting as a defense thereto that there is an adequate remedy at law.</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(g)Executive acknowledges and agrees that (i) the foregoing restrictions and the duration and scope thereof as set forth in Section 6(a)-(d) (collectively, the “</w:t>
      </w:r>
      <w:r>
        <w:rPr>
          <w:rFonts w:ascii="Times New Roman;sans-serif" w:hAnsi="Times New Roman;sans-serif"/>
          <w:b w:val="false"/>
          <w:color w:val="000000"/>
          <w:sz w:val="24"/>
          <w:u w:val="single"/>
        </w:rPr>
        <w:t>Restrictions</w:t>
      </w:r>
      <w:r>
        <w:rPr>
          <w:color w:val="000000"/>
        </w:rPr>
        <w:t>”</w:t>
      </w:r>
      <w:r>
        <w:rPr>
          <w:rFonts w:ascii="Times New Roman;sans-serif" w:hAnsi="Times New Roman;sans-serif"/>
          <w:b w:val="false"/>
          <w:color w:val="000000"/>
          <w:sz w:val="24"/>
        </w:rPr>
        <w:t>) are agreed with respect to all of the circumstances reasonable and necessary for the protection of the Company and its business, and the Restrictions do not preclude Executive from earning a livelihood, nor do the Restrictions unreasonably impose limitations on Executive’s ability to earn a living, (ii) the potential harm to the Company of the non-enforcement of the Restrictions outweighs any harm to Executive of the enforcement of the Restrictions by injunction or otherwise, and (iii) that none of the rights, damages or other consideration set forth in Section 6(c), or any specific enforcement or injunction rights that the Company may have under this Agreement, shall limit, restrict or affect any other rights the Company may have, or any recovery the Company may be entitled to obtain, from any party, under any theory, or with respect to any agreement or relationship, including any such rights or potential recovery the Company may have pursuant to the other provisions of this Agreement.</w:t>
      </w:r>
    </w:p>
    <w:p>
      <w:pPr>
        <w:pStyle w:val="TextBody"/>
        <w:spacing w:before="11"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34060"/>
                <wp:effectExtent l="0" t="0" r="0" b="0"/>
                <wp:wrapNone/>
                <wp:docPr id="100" name="Frame99"/>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40" w:before="0" w:after="0"/>
        <w:ind w:left="0" w:right="0" w:firstLine="719"/>
        <w:rPr>
          <w:rFonts w:ascii="Times New Roman;sans-serif" w:hAnsi="Times New Roman;sans-serif"/>
          <w:b w:val="false"/>
          <w:color w:val="000000"/>
          <w:sz w:val="24"/>
        </w:rPr>
      </w:pPr>
      <w:r>
        <w:rPr>
          <w:rFonts w:ascii="Times New Roman;sans-serif" w:hAnsi="Times New Roman;sans-serif"/>
          <w:b w:val="false"/>
          <w:color w:val="000000"/>
          <w:sz w:val="24"/>
        </w:rPr>
        <w:t>(h)The Restrictions will be construed as a series of separate covenants, one for each country, city, state, or similar subdivision in any part of the world where the Company does business. If in any judicial proceeding or arbitration, a court or arbitrator refuses to enforce any of these separate covenants (or any part of a covenant), then the unenforceable covenant (or part) will be eliminated from this Agreement to the extent necessary to permit the remaining separate covenants (or portions) to be enforced. In the event that the provisions of this section are deemed to exceed the time, geographic, or scope limitations permitted by law, then the provisions will be reformed to the maximum time, geographic, or scope limitations permitted by law.</w:t>
      </w:r>
    </w:p>
    <w:p>
      <w:pPr>
        <w:pStyle w:val="TextBody"/>
        <w:spacing w:before="0" w:after="0"/>
        <w:rPr/>
      </w:pPr>
      <w:r>
        <w:rPr/>
      </w:r>
    </w:p>
    <w:p>
      <w:pPr>
        <w:pStyle w:val="TextBody"/>
        <w:spacing w:lineRule="auto" w:line="240" w:before="1" w:after="283"/>
        <w:ind w:left="0" w:right="0" w:hanging="721"/>
        <w:rPr/>
      </w:pPr>
      <w:r>
        <w:rPr>
          <w:rFonts w:ascii="Times New Roman;sans-serif" w:hAnsi="Times New Roman;sans-serif"/>
          <w:b w:val="false"/>
          <w:color w:val="000000"/>
          <w:sz w:val="24"/>
        </w:rPr>
        <w:t>7.</w:t>
      </w:r>
      <w:r>
        <w:rPr>
          <w:rFonts w:ascii="Times New Roman;sans-serif" w:hAnsi="Times New Roman;sans-serif"/>
          <w:b/>
          <w:color w:val="000000"/>
          <w:sz w:val="24"/>
          <w:u w:val="single"/>
        </w:rPr>
        <w:t>Inventions and Patents</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(a)</w:t>
      </w:r>
      <w:r>
        <w:rPr>
          <w:rFonts w:ascii="Times New Roman;sans-serif" w:hAnsi="Times New Roman;sans-serif"/>
          <w:b/>
          <w:color w:val="000000"/>
          <w:sz w:val="24"/>
        </w:rPr>
        <w:t>Inventions Defined</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Inventions</w:t>
      </w:r>
      <w:r>
        <w:rPr>
          <w:color w:val="000000"/>
        </w:rPr>
        <w:t xml:space="preserve">” </w:t>
      </w:r>
      <w:r>
        <w:rPr>
          <w:rFonts w:ascii="Times New Roman;sans-serif" w:hAnsi="Times New Roman;sans-serif"/>
          <w:b w:val="false"/>
          <w:color w:val="000000"/>
          <w:sz w:val="24"/>
        </w:rPr>
        <w:t>means inventions, original works of authorship, developments, concepts, improvements, designs, discoveries, ideas, know-how, trademarks, and trade secrets, whether or not patentable or registrable under copyright or similar laws, that Executive may solely or jointly author, conceive, develop, or reduce to practice.</w:t>
      </w:r>
    </w:p>
    <w:p>
      <w:pPr>
        <w:pStyle w:val="TextBody"/>
        <w:spacing w:before="9"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(b)</w:t>
      </w:r>
      <w:r>
        <w:rPr>
          <w:rFonts w:ascii="Times New Roman;sans-serif" w:hAnsi="Times New Roman;sans-serif"/>
          <w:b/>
          <w:color w:val="000000"/>
          <w:sz w:val="24"/>
        </w:rPr>
        <w:t>Assignment of Inventions and Works Made for Hire</w:t>
      </w:r>
      <w:r>
        <w:rPr>
          <w:rFonts w:ascii="Times New Roman;sans-serif" w:hAnsi="Times New Roman;sans-serif"/>
          <w:b w:val="false"/>
          <w:color w:val="000000"/>
          <w:sz w:val="24"/>
        </w:rPr>
        <w:t>. Executive will promptly make a full written disclosure to the Company, will hold in trust for the sole right and benefit of the Company, and will assign to the Company, or its designee, all of Executive’s right, title and interest (including all related intellectual property rights and the right to sue and collect payment for past, present and future infringement) in all Inventions that Executive creates during the Employment Term (the “</w:t>
      </w:r>
      <w:r>
        <w:rPr>
          <w:rFonts w:ascii="Times New Roman;sans-serif" w:hAnsi="Times New Roman;sans-serif"/>
          <w:b w:val="false"/>
          <w:color w:val="000000"/>
          <w:sz w:val="24"/>
          <w:u w:val="single"/>
        </w:rPr>
        <w:t>Company Inventions</w:t>
      </w:r>
      <w:r>
        <w:rPr>
          <w:color w:val="000000"/>
        </w:rPr>
        <w:t>”</w:t>
      </w:r>
      <w:r>
        <w:rPr>
          <w:rFonts w:ascii="Times New Roman;sans-serif" w:hAnsi="Times New Roman;sans-serif"/>
          <w:b w:val="false"/>
          <w:color w:val="000000"/>
          <w:sz w:val="24"/>
        </w:rPr>
        <w:t>). In addition, all original works of authorship that are made by Executive (solely or jointly with others) within the scope of and during the period of the Employment Term and that are protectable by copyright are “works made for hire,” as that term is defined in the United States Copyright Act, and, in accordance, the Company will be considered the author of these works. Executive agrees that this assignment includes the present conveyance to the Company of ownership of Inventions that are not yet in existence.</w:t>
      </w:r>
    </w:p>
    <w:p>
      <w:pPr>
        <w:pStyle w:val="TextBody"/>
        <w:spacing w:lineRule="auto" w:line="240" w:before="80" w:after="283"/>
        <w:ind w:left="0" w:right="0" w:firstLine="719"/>
        <w:jc w:val="both"/>
        <w:rPr/>
      </w:pPr>
      <w:r>
        <w:rPr>
          <w:rFonts w:ascii="Times New Roman;sans-serif" w:hAnsi="Times New Roman;sans-serif"/>
          <w:b w:val="false"/>
          <w:color w:val="000000"/>
          <w:sz w:val="24"/>
        </w:rPr>
        <w:t>(c)</w:t>
      </w:r>
      <w:r>
        <w:rPr>
          <w:rFonts w:ascii="Times New Roman;sans-serif" w:hAnsi="Times New Roman;sans-serif"/>
          <w:b/>
          <w:color w:val="000000"/>
          <w:sz w:val="24"/>
        </w:rPr>
        <w:t>Exception to Assignments</w:t>
      </w:r>
      <w:r>
        <w:rPr>
          <w:rFonts w:ascii="Times New Roman;sans-serif" w:hAnsi="Times New Roman;sans-serif"/>
          <w:b w:val="false"/>
          <w:color w:val="000000"/>
          <w:sz w:val="24"/>
        </w:rPr>
        <w:t>. Notwithstanding any other provision in this Section to the contrary, Executive is not obligated to assign or offer to assign to the Company any of Executive’s rights, title or interest in an Invention for which no equipment, supplies, facilities or trade secret information of the Company was used and that was developed entirely on Executive’s own time, unless (i) the Invention relates (A) at the time of conception or reduction to practice of the Invention, to the business of the Company, or (B) to the Company’s actual or demonstrably anticipated research or development, or (ii) the Invention results from any work performed by Executive for the Company. This notice is intended to satisfy any applicable requirements of the Revised Code of Washington Section 49.44.140.</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(d)</w:t>
      </w:r>
      <w:r>
        <w:rPr>
          <w:rFonts w:ascii="Times New Roman;sans-serif" w:hAnsi="Times New Roman;sans-serif"/>
          <w:b/>
          <w:color w:val="000000"/>
          <w:sz w:val="24"/>
        </w:rPr>
        <w:t>Inventions Retained and Licensed</w:t>
      </w:r>
      <w:r>
        <w:rPr>
          <w:rFonts w:ascii="Times New Roman;sans-serif" w:hAnsi="Times New Roman;sans-serif"/>
          <w:b w:val="false"/>
          <w:color w:val="000000"/>
          <w:sz w:val="24"/>
        </w:rPr>
        <w:t>. Executive has attached to this Agreement a list describing all Inventions that were made by Executive prior to the Employment Term, that relate to the Company’s proposed business, products, or research and development, and that are not assigned to the Company under this Agreement (collectively, “</w:t>
      </w:r>
      <w:r>
        <w:rPr>
          <w:rFonts w:ascii="Times New Roman;sans-serif" w:hAnsi="Times New Roman;sans-serif"/>
          <w:b w:val="false"/>
          <w:color w:val="000000"/>
          <w:sz w:val="24"/>
          <w:u w:val="single"/>
        </w:rPr>
        <w:t>Prior Inventions</w:t>
      </w:r>
      <w:r>
        <w:rPr>
          <w:color w:val="000000"/>
        </w:rPr>
        <w:t>”</w:t>
      </w:r>
      <w:r>
        <w:rPr>
          <w:rFonts w:ascii="Times New Roman;sans-serif" w:hAnsi="Times New Roman;sans-serif"/>
          <w:b w:val="false"/>
          <w:color w:val="000000"/>
          <w:sz w:val="24"/>
        </w:rPr>
        <w:t>). If no list is attached or if no Prior Inventions are listed, Executive represents that there are no Prior Inventions. Furthermore, Executive represents and warrants that the inclusion of any Prior Inventions will not materially affect Executive’s ability to perform all obligations under this Agreement. If, in the course of the Employment Term, Executive incorporates into a the Company product, process or machine an Invention owned by Executive or in which Executive has an interest, the Company is granted a nonexclusive, royalty-free, irrevocable, perpetual, transferrable, worldwide license (with right to sublicense) to make, have modify, use, import, offer for sale, sell, reproduce, distribute, modify, adapt, prepare derivative works of, display, perform and otherwise exploit the Invention without restriction of any kind.</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(e)</w:t>
      </w:r>
      <w:r>
        <w:rPr>
          <w:rFonts w:ascii="Times New Roman;sans-serif" w:hAnsi="Times New Roman;sans-serif"/>
          <w:b/>
          <w:color w:val="000000"/>
          <w:sz w:val="24"/>
        </w:rPr>
        <w:t>Third-Party Inventions</w:t>
      </w:r>
      <w:r>
        <w:rPr>
          <w:rFonts w:ascii="Times New Roman;sans-serif" w:hAnsi="Times New Roman;sans-serif"/>
          <w:b w:val="false"/>
          <w:color w:val="000000"/>
          <w:sz w:val="24"/>
        </w:rPr>
        <w:t>. Executive will not incorporate any original work of authorship, development, concept, improvement or trade secret owned, in whole or in part, by any third party, into any Company Invention without the Company’s prior written permission.</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34060"/>
                <wp:effectExtent l="0" t="0" r="0" b="0"/>
                <wp:wrapNone/>
                <wp:docPr id="101" name="Frame100"/>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40" w:before="1" w:after="283"/>
        <w:ind w:left="0" w:right="0" w:firstLine="719"/>
        <w:jc w:val="both"/>
        <w:rPr/>
      </w:pPr>
      <w:r>
        <w:rPr>
          <w:rFonts w:ascii="Times New Roman;sans-serif" w:hAnsi="Times New Roman;sans-serif"/>
          <w:b w:val="false"/>
          <w:color w:val="000000"/>
          <w:sz w:val="24"/>
        </w:rPr>
        <w:t>(f)</w:t>
      </w:r>
      <w:r>
        <w:rPr>
          <w:rFonts w:ascii="Times New Roman;sans-serif" w:hAnsi="Times New Roman;sans-serif"/>
          <w:b/>
          <w:color w:val="000000"/>
          <w:sz w:val="24"/>
        </w:rPr>
        <w:t>Moral Rights</w:t>
      </w:r>
      <w:r>
        <w:rPr>
          <w:rFonts w:ascii="Times New Roman;sans-serif" w:hAnsi="Times New Roman;sans-serif"/>
          <w:b w:val="false"/>
          <w:color w:val="000000"/>
          <w:sz w:val="24"/>
        </w:rPr>
        <w:t>. Any assignment to the Company of the Company Inventions includes all rights of attribution, paternity, integrity, modification, disclosure and withdrawal and any other rights throughout the world that may be known as or referred to as “moral rights,” “artist’s rights,” or the like (collectively, “</w:t>
      </w:r>
      <w:r>
        <w:rPr>
          <w:rFonts w:ascii="Times New Roman;sans-serif" w:hAnsi="Times New Roman;sans-serif"/>
          <w:b w:val="false"/>
          <w:color w:val="000000"/>
          <w:sz w:val="24"/>
          <w:u w:val="single"/>
        </w:rPr>
        <w:t>Moral Rights</w:t>
      </w:r>
      <w:r>
        <w:rPr>
          <w:color w:val="000000"/>
        </w:rPr>
        <w:t>”</w:t>
      </w:r>
      <w:r>
        <w:rPr>
          <w:rFonts w:ascii="Times New Roman;sans-serif" w:hAnsi="Times New Roman;sans-serif"/>
          <w:b w:val="false"/>
          <w:color w:val="000000"/>
          <w:sz w:val="24"/>
        </w:rPr>
        <w:t>). To the extent that Moral Rights cannot be assigned under applicable law, Executive hereby waives and agrees not to enforce any and all Moral Rights, including any limitation on subsequent modification, to the extent permitted under applicable law.</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(g)</w:t>
      </w:r>
      <w:r>
        <w:rPr>
          <w:rFonts w:ascii="Times New Roman;sans-serif" w:hAnsi="Times New Roman;sans-serif"/>
          <w:b/>
          <w:color w:val="000000"/>
          <w:sz w:val="24"/>
        </w:rPr>
        <w:t>Marketing of the Company Inventions</w:t>
      </w:r>
      <w:r>
        <w:rPr>
          <w:rFonts w:ascii="Times New Roman;sans-serif" w:hAnsi="Times New Roman;sans-serif"/>
          <w:b w:val="false"/>
          <w:color w:val="000000"/>
          <w:sz w:val="24"/>
        </w:rPr>
        <w:t>. The decision whether or not to commercialize or market any Company Invention developed by Executive solely or jointly with others is within the Company’s sole discretion and for the Company’s sole benefit. Neither the Company nor any other entity will pay Executive a royalty as a result of the Company’s efforts to commercialize or market any Company Invention.</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(h)</w:t>
      </w:r>
      <w:r>
        <w:rPr>
          <w:rFonts w:ascii="Times New Roman;sans-serif" w:hAnsi="Times New Roman;sans-serif"/>
          <w:b/>
          <w:color w:val="000000"/>
          <w:sz w:val="24"/>
        </w:rPr>
        <w:t>Maintenance of Records</w:t>
      </w:r>
      <w:r>
        <w:rPr>
          <w:rFonts w:ascii="Times New Roman;sans-serif" w:hAnsi="Times New Roman;sans-serif"/>
          <w:b w:val="false"/>
          <w:color w:val="000000"/>
          <w:sz w:val="24"/>
        </w:rPr>
        <w:t>. Executive will keep and maintain adequate and current written records of all the Company Inventions. These records will be in the form of notes, sketches, drawings, electronic files, laboratory notebooks, and any other format that may be specified by the Company. At all times, the records will be available to the Company, and remain the sole property of the Company.</w:t>
      </w:r>
    </w:p>
    <w:p>
      <w:pPr>
        <w:pStyle w:val="TextBody"/>
        <w:spacing w:lineRule="auto" w:line="240" w:before="80" w:after="283"/>
        <w:ind w:left="0" w:right="0" w:firstLine="719"/>
        <w:jc w:val="both"/>
        <w:rPr/>
      </w:pPr>
      <w:r>
        <w:rPr>
          <w:rFonts w:ascii="Times New Roman;sans-serif" w:hAnsi="Times New Roman;sans-serif"/>
          <w:b w:val="false"/>
          <w:color w:val="000000"/>
          <w:sz w:val="24"/>
        </w:rPr>
        <w:t>(i)</w:t>
      </w:r>
      <w:r>
        <w:rPr>
          <w:rFonts w:ascii="Times New Roman;sans-serif" w:hAnsi="Times New Roman;sans-serif"/>
          <w:b/>
          <w:color w:val="000000"/>
          <w:sz w:val="24"/>
        </w:rPr>
        <w:t>Further Assurances</w:t>
      </w:r>
      <w:r>
        <w:rPr>
          <w:rFonts w:ascii="Times New Roman;sans-serif" w:hAnsi="Times New Roman;sans-serif"/>
          <w:b w:val="false"/>
          <w:color w:val="000000"/>
          <w:sz w:val="24"/>
        </w:rPr>
        <w:t>. Executive will assist the Company, or its designee, at the Company’s expense, in every proper way to secure and protect the Company’s rights in the Company Inventions and any related copyrights, patents, mask work rights, or other intellectual property rights in any and all countries. Executive will disclose to the Company all pertinent information and data. Executive will execute all applications, specifications, oaths, assignments, and all other instruments that the Company deems necessary in order to apply for and obtain these rights and in order to deliver, assign and convey to the Company, its successors, assigns and nominees the sole and exclusive rights, title and interest in and to the Company Inventions, and any related copyrights, patents, mask work rights or other intellectual property rights. The Company will testify in a suit or other proceeding relating to such the Company Inventions and any rights relating thereto. Executive’s obligation to execute or cause to be executed, when it is in Executive’s power to do so, any instrument or papers will continue after the termination of this Agreement.</w:t>
      </w:r>
    </w:p>
    <w:p>
      <w:pPr>
        <w:pStyle w:val="TextBody"/>
        <w:spacing w:before="11" w:after="283"/>
        <w:rPr/>
      </w:pPr>
      <w:r>
        <w:rPr/>
      </w:r>
    </w:p>
    <w:p>
      <w:pPr>
        <w:pStyle w:val="TextBody"/>
        <w:spacing w:lineRule="auto" w:line="240" w:before="0" w:after="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provided for herein shall be in writing and shall be deemed to have been given or made when personally delivered or delivered by reputable overnight courier service and deemed delivered in the case of courier service upon confirmation of receipt of the delivery or affirmative rejection thereof.</w:t>
      </w:r>
    </w:p>
    <w:p>
      <w:pPr>
        <w:pStyle w:val="TextBody"/>
        <w:spacing w:before="10" w:after="283"/>
        <w:rPr/>
      </w:pPr>
      <w:r>
        <w:rPr/>
      </w:r>
    </w:p>
    <w:p>
      <w:pPr>
        <w:pStyle w:val="TextBody"/>
        <w:spacing w:lineRule="auto" w:line="240" w:before="0" w:after="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In case any one or more of the provisions contained in this Agreement for any reason shall be held to be invalid, illegal or unenforceable in any respect under any applicable law or rule in any jurisdiction, any such provision(s) shall be severed, but only to the minimum extent necessary to comply with applicable laws and rules. Such invalidity, illegality or unenforceability shall not affect any other portion of the same provision or of any other provision of this Agreement or any action in any other jurisdiction. In addition to the foregoing, if one or more of the provisions contained in this Agreement shall for any reason be held to be excessively broad or unreasonable as to the period, scope or geographical area so as to be unenforceable at law, such provision or provisions shall be modified or substituted by the appropriate judicial or governing body so as to cover the maximum period, scope or geographical area permitted by applicable law.</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34060"/>
                <wp:effectExtent l="0" t="0" r="0" b="0"/>
                <wp:wrapNone/>
                <wp:docPr id="102" name="Frame101"/>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40" w:before="1" w:after="283"/>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Complete Agreement</w:t>
      </w:r>
      <w:r>
        <w:rPr>
          <w:rFonts w:ascii="Times New Roman;sans-serif" w:hAnsi="Times New Roman;sans-serif"/>
          <w:b w:val="false"/>
          <w:color w:val="000000"/>
          <w:sz w:val="24"/>
        </w:rPr>
        <w:t>. This Agreement is fully integrated and embodies the complete agreement and understanding between the Parties regarding Executive’s employment with the Company and supersedes and preempts any prior understandings, offers, agreements or representations by or between the Parties, written or oral, which may have related to the subject matter hereof in any way. No modification or amendment to this Agreement, nor any waiver of any rights under this Agreement, will be effective unless in writing signed by both Parties. Any subsequent change or changes in Executive’s duties, obligations, rights or compensation will not affect the validity or scope of this Agreement.</w:t>
      </w:r>
    </w:p>
    <w:p>
      <w:pPr>
        <w:pStyle w:val="TextBody"/>
        <w:spacing w:before="10" w:after="283"/>
        <w:rPr/>
      </w:pPr>
      <w:r>
        <w:rPr/>
      </w:r>
    </w:p>
    <w:p>
      <w:pPr>
        <w:pStyle w:val="TextBody"/>
        <w:spacing w:lineRule="auto" w:line="240" w:before="0" w:after="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No Strict Construction</w:t>
      </w:r>
      <w:r>
        <w:rPr>
          <w:rFonts w:ascii="Times New Roman;sans-serif" w:hAnsi="Times New Roman;sans-serif"/>
          <w:b w:val="false"/>
          <w:color w:val="000000"/>
          <w:sz w:val="24"/>
        </w:rPr>
        <w:t>. The language used in this Agreement shall be deemed to be the language chosen by the Parties to express their mutual intent, and no rule of strict construction shall be applied against any party hereto, including the drafter hereof.</w:t>
      </w:r>
    </w:p>
    <w:p>
      <w:pPr>
        <w:pStyle w:val="TextBody"/>
        <w:spacing w:before="10" w:after="283"/>
        <w:rPr/>
      </w:pPr>
      <w:r>
        <w:rPr/>
      </w:r>
    </w:p>
    <w:p>
      <w:pPr>
        <w:pStyle w:val="TextBody"/>
        <w:spacing w:lineRule="auto" w:line="240" w:before="1" w:after="283"/>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Construction</w:t>
      </w:r>
      <w:r>
        <w:rPr>
          <w:rFonts w:ascii="Times New Roman;sans-serif" w:hAnsi="Times New Roman;sans-serif"/>
          <w:b w:val="false"/>
          <w:color w:val="000000"/>
          <w:sz w:val="24"/>
        </w:rPr>
        <w:t>. The headings and enumeration used in this Agreement are for ease of reference only and shall not affect the interpretation of any provision. References to the singular shall include the plural and vice-versa, except when the context requires otherwise. All uses of the word “or” herein are as a logical disjunction unless otherwise specified.</w:t>
      </w:r>
    </w:p>
    <w:p>
      <w:pPr>
        <w:pStyle w:val="TextBody"/>
        <w:spacing w:before="10" w:after="283"/>
        <w:rPr/>
      </w:pPr>
      <w:r>
        <w:rPr/>
      </w:r>
    </w:p>
    <w:p>
      <w:pPr>
        <w:pStyle w:val="TextBody"/>
        <w:spacing w:lineRule="auto" w:line="240" w:before="0" w:after="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Not a Partnership; Successors and Assigns</w:t>
      </w:r>
      <w:r>
        <w:rPr>
          <w:rFonts w:ascii="Times New Roman;sans-serif" w:hAnsi="Times New Roman;sans-serif"/>
          <w:b w:val="false"/>
          <w:color w:val="000000"/>
          <w:sz w:val="24"/>
        </w:rPr>
        <w:t>. This Agreement forms an employer- employee relationship between Executive, as such, and the Company, as employer, and shall not form or be deemed to form a partnership or joint venture or any other relationship. Executive may not assign Executive’s rights or delegate Executive’s duties or obligations hereunder without the prior written consent of the Company. This Agreement and the benefit of each agreement and obligations of Executive hereunder may be freely assigned to and enforced by all successors and assigns of the Company, in its sole discretion, and such agreements and obligations shall operate and remain binding notwithstanding the termination of this Agreement.</w:t>
      </w:r>
    </w:p>
    <w:p>
      <w:pPr>
        <w:pStyle w:val="TextBody"/>
        <w:spacing w:before="10" w:after="283"/>
        <w:rPr/>
      </w:pPr>
      <w:r>
        <w:rPr/>
      </w:r>
    </w:p>
    <w:p>
      <w:pPr>
        <w:pStyle w:val="TextBody"/>
        <w:spacing w:lineRule="auto" w:line="240" w:before="0" w:after="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Company Party Defined</w:t>
      </w:r>
      <w:r>
        <w:rPr>
          <w:rFonts w:ascii="Times New Roman;sans-serif" w:hAnsi="Times New Roman;sans-serif"/>
          <w:b w:val="false"/>
          <w:color w:val="000000"/>
          <w:sz w:val="24"/>
        </w:rPr>
        <w:t>. For purposes of this Agreement, the “Company Parties” collectively (and, individually, a “</w:t>
      </w:r>
      <w:r>
        <w:rPr>
          <w:rFonts w:ascii="Times New Roman;sans-serif" w:hAnsi="Times New Roman;sans-serif"/>
          <w:b w:val="false"/>
          <w:color w:val="000000"/>
          <w:sz w:val="24"/>
          <w:u w:val="single"/>
        </w:rPr>
        <w:t>Company Party</w:t>
      </w:r>
      <w:r>
        <w:rPr>
          <w:color w:val="000000"/>
        </w:rPr>
        <w:t>”</w:t>
      </w:r>
      <w:r>
        <w:rPr>
          <w:rFonts w:ascii="Times New Roman;sans-serif" w:hAnsi="Times New Roman;sans-serif"/>
          <w:b w:val="false"/>
          <w:color w:val="000000"/>
          <w:sz w:val="24"/>
        </w:rPr>
        <w:t>) means the Company, and its subsidiaries and affiliates, and each and every other entity which is in control of, controlled by or directly or indirectly under common control with the Company. Any and all such entities and individuals is an intended third-party beneficiary of this Agreement. Should Executive be employed by or transferred to a successor, or to a member, subsidiary, affiliate or other related entity, this Agreement shall continue in full force and effect as part of the terms of Executive’s employment.</w:t>
      </w:r>
    </w:p>
    <w:p>
      <w:pPr>
        <w:pStyle w:val="TextBody"/>
        <w:spacing w:before="11" w:after="283"/>
        <w:rPr/>
      </w:pPr>
      <w:r>
        <w:rPr/>
      </w:r>
    </w:p>
    <w:p>
      <w:pPr>
        <w:pStyle w:val="TextBody"/>
        <w:spacing w:lineRule="auto" w:line="240" w:before="0" w:after="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Choice of Law</w:t>
      </w:r>
      <w:r>
        <w:rPr>
          <w:rFonts w:ascii="Times New Roman;sans-serif" w:hAnsi="Times New Roman;sans-serif"/>
          <w:b w:val="false"/>
          <w:color w:val="000000"/>
          <w:sz w:val="24"/>
        </w:rPr>
        <w:t>. This Agreement, and all of the rights and obligations of the parties hereto in connection with the employment relationship established hereby, shall be governed by and construed in accordance with the substantive laws of the State of Washington without giving effect to principles relating to conflicts of law.</w:t>
      </w:r>
    </w:p>
    <w:p>
      <w:pPr>
        <w:pStyle w:val="TextBody"/>
        <w:spacing w:before="10" w:after="283"/>
        <w:rPr/>
      </w:pPr>
      <w:r>
        <w:rPr/>
      </w:r>
    </w:p>
    <w:p>
      <w:pPr>
        <w:pStyle w:val="TextBody"/>
        <w:spacing w:lineRule="auto" w:line="240" w:before="0" w:after="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Amendment and Waiver</w:t>
      </w:r>
      <w:r>
        <w:rPr>
          <w:rFonts w:ascii="Times New Roman;sans-serif" w:hAnsi="Times New Roman;sans-serif"/>
          <w:b w:val="false"/>
          <w:color w:val="000000"/>
          <w:sz w:val="24"/>
        </w:rPr>
        <w:t>. The provisions of this Agreement may be amended or waived only with the written consent of both the Company and Executive, and no course of conduct or course of dealing or failure or delay by any party hereto in enforcing or exercising any of the provisions of this Agreement shall affect the validity, binding effect or enforceability of this Agreement or be deemed to be an implied waiver of any provision of this Agreement. No waiver or indulgence by the Company or any Company Party of any failure by Executive to keep or perform any promise or condition of this Agreement shall be a waiver of any preceding or succeeding breach of the same or any other promise or condition. No waiver by the Company or any Company Party of any right shall be construed as a waiver of any other right. No Company Party shall be required to give notice to enforce strict adherence to all terms of this Agreement.</w:t>
      </w:r>
    </w:p>
    <w:p>
      <w:pPr>
        <w:pStyle w:val="TextBody"/>
        <w:spacing w:before="11"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34060"/>
                <wp:effectExtent l="0" t="0" r="0" b="0"/>
                <wp:wrapNone/>
                <wp:docPr id="103" name="Frame102"/>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Dispute Resolution</w:t>
      </w:r>
      <w:r>
        <w:rPr>
          <w:rFonts w:ascii="Times New Roman;sans-serif" w:hAnsi="Times New Roman;sans-serif"/>
          <w:b w:val="false"/>
          <w:color w:val="000000"/>
          <w:sz w:val="24"/>
        </w:rPr>
        <w:t xml:space="preserve">. The parties agree to solely arbitrate all grievances, disputes, claims, or causes of action arising out of this Agreement or Executive’s employment with the Company, including claims Executive may have against the Company or against its officers, directors, supervisors, managers, employees or agents, unless arbitration is otherwise prohibited by law. Claims for violation of any federal, state or local statute, including, but not limited to, Title VII of the Civil Rights Act of 1964, the Civil Rights Act of 1991, the Age Discrimination in Employment Act of 1967, the Americans with Disabilities Act of 1990, the Family Medical Leave Act, and the Fair Labor Standards Act, and alleged wage and hour violations, including, but not limited to, claims for overtime, unpaid wages, and claims involving meal and rest breaks shall all be subject to this arbitration clause;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this arbitration clause does not cover claims for sexual harassment or sexual assault brought under federal, state or local law. All claims subject to arbitration shall be settled by final and binding arbitration in accordance with the employment dispute resolution rules of the American Arbitration Association (“</w:t>
      </w:r>
      <w:r>
        <w:rPr>
          <w:rFonts w:ascii="Times New Roman;sans-serif" w:hAnsi="Times New Roman;sans-serif"/>
          <w:b w:val="false"/>
          <w:color w:val="000000"/>
          <w:sz w:val="24"/>
          <w:u w:val="single"/>
        </w:rPr>
        <w:t>AAA</w:t>
      </w:r>
      <w:r>
        <w:rPr>
          <w:color w:val="000000"/>
        </w:rPr>
        <w:t>”</w:t>
      </w:r>
      <w:r>
        <w:rPr>
          <w:rFonts w:ascii="Times New Roman;sans-serif" w:hAnsi="Times New Roman;sans-serif"/>
          <w:b w:val="false"/>
          <w:color w:val="000000"/>
          <w:sz w:val="24"/>
        </w:rPr>
        <w:t xml:space="preserve">) in effect at the time the demand for arbitration is made. Accordingly, the parties are not permitted to pursue court action regarding claims that are subject to arbitration. Such arbitration shall be filed with the AAA and shall be heard before a single neutral arbitrator, who shall be selected as provided in AAA’s Rules and Procedures. Any arbitration filed by Executive shall be heard in Vancouver, Washington;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arbitration in Vancouver, Washington is impractical because Executive’s employment for the Company is located more than 100 miles from Vancouver, Washington, the arbitration may be held in the County and State where Executive last resided during Executive’s employment for the Company. The Company shall be responsible for the arbitrator’s fees and expenses in excess of any reasonable filing fee with the AAA;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each party shall pay its own costs and attorneys’ fees, if 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further, that if Executive prevails in any dispute regarding Executive’s rights under this Agreement, then the Company will reimburse his reasonable legal fees and expenses. The arbitrator shall issue a written decision that contains the essential findings and conclusions on which the decision is based. The arbitrator’s remedial authority shall be no greater than that which is available under the statutory or common law theory asserted. Judgment upon any award rendered by the arbitrator may be entered in any court with appropriate jurisdiction. Neither this agreement to arbitrate nor any demand for arbitration shall waive or otherwise affect the Company’s right to obtain any provisional remedy, including, without limitation, injunctive relief for unfair competition, the use or unauthorized disclosure or misappropriation of trade secrets, the disclosure of any other confidential information or the violation of the confidentiality or other provisions of Section 6(a)-(d) or Section 7 of this Agreement. Executive and the Company intend and agree that class action and representative action procedures are hereby waived and shall not be asserted, nor will they apply, in any arbitration pursuant to this agreement. EXECUTIVE AND THE COMPANY UNDERSTAND AND ACKNOWLEDGE THAT BY SIGNING THIS AGREEMENT, THE PARTIES ARE GIVING UP THE RIGHT TO A JURY TRIAL AND TO A TRIAL IN A COURT OF LAW.</w:t>
      </w:r>
    </w:p>
    <w:p>
      <w:pPr>
        <w:pStyle w:val="TextBody"/>
        <w:spacing w:before="0" w:after="0"/>
        <w:rPr/>
      </w:pPr>
      <w:r>
        <w:rPr/>
      </w:r>
    </w:p>
    <w:p>
      <w:pPr>
        <w:pStyle w:val="TextBody"/>
        <w:spacing w:lineRule="auto" w:line="240" w:before="0" w:after="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Cooperation with Regard to Litigation</w:t>
      </w:r>
      <w:r>
        <w:rPr>
          <w:rFonts w:ascii="Times New Roman;sans-serif" w:hAnsi="Times New Roman;sans-serif"/>
          <w:b w:val="false"/>
          <w:color w:val="000000"/>
          <w:sz w:val="24"/>
        </w:rPr>
        <w:t>. Executive agrees to cooperate with the Company during the term of this Agreement and thereafter (including following termination of Executive’s employment for any reason or for no reason). Without limiting the foregoing, Executive shall be available to testify on behalf of the Company or its affiliates, in any action, suit or proceeding, whether civil, criminal, administrative or investigative, and to assist the Company or any of its affiliates in any such action, suit or proceeding, by providing information and meeting and consulting with its counsel and representatives. Reasonable out-of-pocket expenses incurred by Executive in compliance with this Section shall be reimbursed by the Company.</w:t>
      </w:r>
    </w:p>
    <w:p>
      <w:pPr>
        <w:pStyle w:val="TextBody"/>
        <w:spacing w:before="11" w:after="283"/>
        <w:rPr/>
      </w:pPr>
      <w:r>
        <w:rPr/>
      </w:r>
    </w:p>
    <w:p>
      <w:pPr>
        <w:pStyle w:val="TextBody"/>
        <w:spacing w:lineRule="auto" w:line="240" w:before="0" w:after="0"/>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Agreement may be executed in separate counterparts, each of which is deemed to be an original and all of which taken together constitute one and the same agreement. Any counterpart may be executed by facsimile or electronic signature and such facsimile or electronic signature shall be deemed an original.</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34060"/>
                <wp:effectExtent l="0" t="0" r="0" b="0"/>
                <wp:wrapNone/>
                <wp:docPr id="104" name="Frame103"/>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Compliance with Section 409A</w:t>
      </w:r>
      <w:r>
        <w:rPr>
          <w:rFonts w:ascii="Times New Roman;sans-serif" w:hAnsi="Times New Roman;sans-serif"/>
          <w:b w:val="false"/>
          <w:color w:val="000000"/>
          <w:sz w:val="24"/>
        </w:rPr>
        <w:t>. Notwithstanding any other provision of this Agreement to the contrary, the provision, time and manner of payment or distribution of all compensation and benefits provided by this Agreement that constitute nonqualified deferred compensation subject to and not exempted from the requirements of Section 409A of the Code (“</w:t>
      </w:r>
      <w:r>
        <w:rPr>
          <w:rFonts w:ascii="Times New Roman;sans-serif" w:hAnsi="Times New Roman;sans-serif"/>
          <w:b w:val="false"/>
          <w:color w:val="000000"/>
          <w:sz w:val="24"/>
          <w:u w:val="single"/>
        </w:rPr>
        <w:t>Section 409A Deferred</w:t>
      </w:r>
      <w:r>
        <w:rPr>
          <w:color w:val="000000"/>
        </w:rPr>
        <w:t xml:space="preserve"> </w:t>
      </w:r>
      <w:r>
        <w:rPr>
          <w:rFonts w:ascii="Times New Roman;sans-serif" w:hAnsi="Times New Roman;sans-serif"/>
          <w:b w:val="false"/>
          <w:color w:val="000000"/>
          <w:sz w:val="24"/>
          <w:u w:val="single"/>
        </w:rPr>
        <w:t>Compensation</w:t>
      </w:r>
      <w:r>
        <w:rPr>
          <w:color w:val="000000"/>
        </w:rPr>
        <w:t>”</w:t>
      </w:r>
      <w:r>
        <w:rPr>
          <w:rFonts w:ascii="Times New Roman;sans-serif" w:hAnsi="Times New Roman;sans-serif"/>
          <w:b w:val="false"/>
          <w:color w:val="000000"/>
          <w:sz w:val="24"/>
        </w:rPr>
        <w:t>) shall be subject to, limited by and construed in accordance with the requirements of Section 409A and all regulations and other guidance promulgated by the Secretary of the Treasury pursuant to such Section (such Section, regulations and other guidance being referred to herein as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including the following:</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(a)</w:t>
      </w:r>
      <w:r>
        <w:rPr>
          <w:rFonts w:ascii="Times New Roman;sans-serif" w:hAnsi="Times New Roman;sans-serif"/>
          <w:b/>
          <w:color w:val="000000"/>
          <w:sz w:val="24"/>
        </w:rPr>
        <w:t>Separation from Service</w:t>
      </w:r>
      <w:r>
        <w:rPr>
          <w:rFonts w:ascii="Times New Roman;sans-serif" w:hAnsi="Times New Roman;sans-serif"/>
          <w:b w:val="false"/>
          <w:color w:val="000000"/>
          <w:sz w:val="24"/>
        </w:rPr>
        <w:t>. Payments and benefits constituting Section 409A Deferred Compensation otherwise payable or provided pursuant to Section 4 upon Executive’s termination of employment shall be paid or provided only at the time of a termination of Executive’s employment that constitutes a Separation from Service. For the purposes of this Agreement, a “Separation from Service” is a separation from service within the meaning of Treasury Regulation Section 1.409A-1(h).</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(b)</w:t>
      </w:r>
      <w:r>
        <w:rPr>
          <w:rFonts w:ascii="Times New Roman;sans-serif" w:hAnsi="Times New Roman;sans-serif"/>
          <w:b/>
          <w:color w:val="000000"/>
          <w:sz w:val="24"/>
        </w:rPr>
        <w:t>Six-Month Delay Applicable to Specified Employees</w:t>
      </w:r>
      <w:r>
        <w:rPr>
          <w:rFonts w:ascii="Times New Roman;sans-serif" w:hAnsi="Times New Roman;sans-serif"/>
          <w:b w:val="false"/>
          <w:color w:val="000000"/>
          <w:sz w:val="24"/>
        </w:rPr>
        <w:t>. If, at the time of a Separation from Service of Executive, Executive is a “specified employee” within the meaning of Section 409A(a)(2)(B)(i) (a “</w:t>
      </w:r>
      <w:r>
        <w:rPr>
          <w:rFonts w:ascii="Times New Roman;sans-serif" w:hAnsi="Times New Roman;sans-serif"/>
          <w:b w:val="false"/>
          <w:color w:val="000000"/>
          <w:sz w:val="24"/>
          <w:u w:val="single"/>
        </w:rPr>
        <w:t>Specified Employee</w:t>
      </w:r>
      <w:r>
        <w:rPr>
          <w:color w:val="000000"/>
        </w:rPr>
        <w:t>”</w:t>
      </w:r>
      <w:r>
        <w:rPr>
          <w:rFonts w:ascii="Times New Roman;sans-serif" w:hAnsi="Times New Roman;sans-serif"/>
          <w:b w:val="false"/>
          <w:color w:val="000000"/>
          <w:sz w:val="24"/>
        </w:rPr>
        <w:t>), then any payments and benefits constituting Section 409A Deferred Compensation to be paid or provided pursuant to Section 4 upon the Separation from Service of Executive shall be paid or provided commencing on the later of (i) the date that is six months after the date of such Separation from Service or, if earlier, the date of death of Executive (in either case, the “</w:t>
      </w:r>
      <w:r>
        <w:rPr>
          <w:rFonts w:ascii="Times New Roman;sans-serif" w:hAnsi="Times New Roman;sans-serif"/>
          <w:b w:val="false"/>
          <w:color w:val="000000"/>
          <w:sz w:val="24"/>
          <w:u w:val="single"/>
        </w:rPr>
        <w:t>Delayed Payment Date</w:t>
      </w:r>
      <w:r>
        <w:rPr>
          <w:color w:val="000000"/>
        </w:rPr>
        <w:t>”</w:t>
      </w:r>
      <w:r>
        <w:rPr>
          <w:rFonts w:ascii="Times New Roman;sans-serif" w:hAnsi="Times New Roman;sans-serif"/>
          <w:b w:val="false"/>
          <w:color w:val="000000"/>
          <w:sz w:val="24"/>
        </w:rPr>
        <w:t>), or (ii) the date or dates on which such Section 409A Deferred Compensation would otherwise be paid or provided in accordance with Section 4. All such amounts that would, but for this Section 20(b), become payable prior to the Delayed Payment Date shall be accumulated and paid on the Delayed Payment Date.</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(c)</w:t>
      </w:r>
      <w:r>
        <w:rPr>
          <w:rFonts w:ascii="Times New Roman;sans-serif" w:hAnsi="Times New Roman;sans-serif"/>
          <w:b/>
          <w:color w:val="000000"/>
          <w:sz w:val="24"/>
        </w:rPr>
        <w:t>Stock-Based Awards</w:t>
      </w:r>
      <w:r>
        <w:rPr>
          <w:rFonts w:ascii="Times New Roman;sans-serif" w:hAnsi="Times New Roman;sans-serif"/>
          <w:b w:val="false"/>
          <w:color w:val="000000"/>
          <w:sz w:val="24"/>
        </w:rPr>
        <w:t xml:space="preserve">. The vesting of any stock-based compensation awards which constitute Section 409A Deferred Compensation and are held by Executive, if Executive is a Specified Executive, shall be accelerated in accordance with this Agreement to the extent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payment in settlement of any such awards shall occur on the Delayed Payment Date, to the extent required pursuant to Section 20(b).</w:t>
      </w:r>
    </w:p>
    <w:p>
      <w:pPr>
        <w:pStyle w:val="TextBody"/>
        <w:spacing w:before="10"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(d)</w:t>
      </w:r>
      <w:r>
        <w:rPr>
          <w:rFonts w:ascii="Times New Roman;sans-serif" w:hAnsi="Times New Roman;sans-serif"/>
          <w:b/>
          <w:color w:val="000000"/>
          <w:sz w:val="24"/>
        </w:rPr>
        <w:t>Installments</w:t>
      </w:r>
      <w:r>
        <w:rPr>
          <w:rFonts w:ascii="Times New Roman;sans-serif" w:hAnsi="Times New Roman;sans-serif"/>
          <w:b w:val="false"/>
          <w:color w:val="000000"/>
          <w:sz w:val="24"/>
        </w:rPr>
        <w:t>. Executive’s right to receive any installment payments payable hereunder shall be treated as a right to receive a series of separate payments and, accordingly, each such installment payment shall at all times be considered a separate and distinct payment for purposes of Section 409A.</w:t>
      </w:r>
    </w:p>
    <w:p>
      <w:pPr>
        <w:pStyle w:val="TextBody"/>
        <w:spacing w:before="9"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(e)</w:t>
      </w:r>
      <w:r>
        <w:rPr>
          <w:rFonts w:ascii="Times New Roman;sans-serif" w:hAnsi="Times New Roman;sans-serif"/>
          <w:b/>
          <w:color w:val="000000"/>
          <w:sz w:val="24"/>
        </w:rPr>
        <w:t>Reimbursements</w:t>
      </w:r>
      <w:r>
        <w:rPr>
          <w:rFonts w:ascii="Times New Roman;sans-serif" w:hAnsi="Times New Roman;sans-serif"/>
          <w:b w:val="false"/>
          <w:color w:val="000000"/>
          <w:sz w:val="24"/>
        </w:rPr>
        <w:t>. To the extent that any reimbursements payable to Executive pursuant to this Agreement are subject to the provisions of Section 409A, such reimbursements shall be paid to Executive no later than December 31 of the year following the year in which the cost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34060"/>
                <wp:effectExtent l="0" t="0" r="0" b="0"/>
                <wp:wrapNone/>
                <wp:docPr id="105" name="Frame104"/>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240" w:before="0" w:after="0"/>
        <w:ind w:left="0" w:right="0" w:firstLine="719"/>
        <w:jc w:val="both"/>
        <w:rPr/>
      </w:pPr>
      <w:r>
        <w:rPr>
          <w:rFonts w:ascii="Times New Roman;sans-serif" w:hAnsi="Times New Roman;sans-serif"/>
          <w:b w:val="false"/>
          <w:color w:val="000000"/>
          <w:sz w:val="24"/>
        </w:rPr>
        <w:t>(f)</w:t>
      </w:r>
      <w:r>
        <w:rPr>
          <w:rFonts w:ascii="Times New Roman;sans-serif" w:hAnsi="Times New Roman;sans-serif"/>
          <w:b/>
          <w:color w:val="000000"/>
          <w:sz w:val="24"/>
        </w:rPr>
        <w:t>Rights of the Company; Release of Liability</w:t>
      </w:r>
      <w:r>
        <w:rPr>
          <w:rFonts w:ascii="Times New Roman;sans-serif" w:hAnsi="Times New Roman;sans-serif"/>
          <w:b w:val="false"/>
          <w:color w:val="000000"/>
          <w:sz w:val="24"/>
        </w:rPr>
        <w:t xml:space="preserve">. It is the mutual intention of Executive and the Company that the 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Executive, make such modifications to the timing or manner of providing such payment and/or benefit to the extent it determines necessary or advisable to comply with the requirements of Section 409A;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Company shall in no event be obligated to pay any interest or other compensation in respect of any delay in the provision of such payments or benefits in order to comply with the requirements of Section 409A. Executive acknowledges that (i) the provisions of this Section 20 may result in a delay in the time which payments would otherwise be made pursuant to this Agreement and (ii) the Company is authorized to amend this Agreement, to void or amend any election made by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Executive. Executive hereby releases and holds harmless the Company, its directors, officers and stockholders from any and all claims that may arise from or relate to any tax liability, penalties, interest, costs, fees or other liability incurred by Executive as a result of the application of Section 409A.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34060"/>
                <wp:effectExtent l="0" t="0" r="0" b="0"/>
                <wp:wrapNone/>
                <wp:docPr id="106" name="Frame105"/>
                <a:graphic xmlns:a="http://schemas.openxmlformats.org/drawingml/2006/main">
                  <a:graphicData uri="http://schemas.microsoft.com/office/word/2010/wordprocessingShape">
                    <wps:wsp>
                      <wps:cNvSpPr txBox="1"/>
                      <wps:spPr>
                        <a:xfrm>
                          <a:off x="0" y="0"/>
                          <a:ext cx="6480175" cy="73406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lineRule="auto" w:line="240" w:before="80" w:after="283"/>
        <w:ind w:left="0" w:right="0" w:firstLine="719"/>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Employment Agreement as of the date first written above.</w:t>
      </w:r>
    </w:p>
    <w:p>
      <w:pPr>
        <w:pStyle w:val="TextBody"/>
        <w:spacing w:before="3" w:after="283"/>
        <w:rPr/>
      </w:pPr>
      <w:r>
        <w:rPr/>
      </w:r>
    </w:p>
    <w:tbl>
      <w:tblPr>
        <w:tblW w:w="4960" w:type="dxa"/>
        <w:jc w:val="left"/>
        <w:tblInd w:w="0" w:type="dxa"/>
        <w:tblCellMar>
          <w:top w:w="28" w:type="dxa"/>
          <w:left w:w="28" w:type="dxa"/>
          <w:bottom w:w="28" w:type="dxa"/>
          <w:right w:w="28" w:type="dxa"/>
        </w:tblCellMar>
      </w:tblPr>
      <w:tblGrid>
        <w:gridCol w:w="1065"/>
        <w:gridCol w:w="935"/>
        <w:gridCol w:w="939"/>
        <w:gridCol w:w="109"/>
        <w:gridCol w:w="109"/>
        <w:gridCol w:w="109"/>
        <w:gridCol w:w="495"/>
        <w:gridCol w:w="495"/>
        <w:gridCol w:w="704"/>
      </w:tblGrid>
      <w:tr>
        <w:trPr/>
        <w:tc>
          <w:tcPr>
            <w:tcW w:w="106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THE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ZoomInfo Technologies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Ali Dasdan</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Chad Herring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Chad Herring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Management Certification Pursuant to</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Henry Schuck, certify that: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ZoomInfo Technologies Inc.;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
                        <w:rPr/>
                      </w:pPr>
                      <w:r>
                        <w:rPr/>
                      </w:r>
                    </w:p>
                  </w:txbxContent>
                </v:textbox>
              </v:rect>
            </w:pict>
          </mc:Fallback>
        </mc:AlternateContent>
      </w:r>
    </w:p>
    <w:tbl>
      <w:tblPr>
        <w:tblW w:w="4792" w:type="dxa"/>
        <w:jc w:val="left"/>
        <w:tblInd w:w="0" w:type="dxa"/>
        <w:tblCellMar>
          <w:top w:w="28" w:type="dxa"/>
          <w:left w:w="28" w:type="dxa"/>
          <w:bottom w:w="28" w:type="dxa"/>
          <w:right w:w="28" w:type="dxa"/>
        </w:tblCellMar>
      </w:tblPr>
      <w:tblGrid>
        <w:gridCol w:w="591"/>
        <w:gridCol w:w="520"/>
        <w:gridCol w:w="523"/>
        <w:gridCol w:w="109"/>
        <w:gridCol w:w="109"/>
        <w:gridCol w:w="109"/>
        <w:gridCol w:w="109"/>
        <w:gridCol w:w="109"/>
        <w:gridCol w:w="109"/>
        <w:gridCol w:w="733"/>
        <w:gridCol w:w="733"/>
        <w:gridCol w:w="1038"/>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r>
      <w:tr>
        <w:trPr/>
        <w:tc>
          <w:tcPr>
            <w:tcW w:w="4792"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Henry Schuck</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2023</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Schuck</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Management Certification Pursuant to</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P. Cameron Hyzer, certify that: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ZoomInfo Technologies Inc.;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r>
        <w:br w:type="page"/>
      </w:r>
    </w:p>
    <w:p>
      <w:pPr>
        <w:pStyle w:val="TextBody"/>
        <w:spacing w:before="0" w:after="2"/>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4807" w:type="dxa"/>
        <w:jc w:val="left"/>
        <w:tblInd w:w="0" w:type="dxa"/>
        <w:tblCellMar>
          <w:top w:w="28" w:type="dxa"/>
          <w:left w:w="28" w:type="dxa"/>
          <w:bottom w:w="28" w:type="dxa"/>
          <w:right w:w="28" w:type="dxa"/>
        </w:tblCellMar>
      </w:tblPr>
      <w:tblGrid>
        <w:gridCol w:w="591"/>
        <w:gridCol w:w="520"/>
        <w:gridCol w:w="523"/>
        <w:gridCol w:w="109"/>
        <w:gridCol w:w="109"/>
        <w:gridCol w:w="109"/>
        <w:gridCol w:w="109"/>
        <w:gridCol w:w="109"/>
        <w:gridCol w:w="109"/>
        <w:gridCol w:w="736"/>
        <w:gridCol w:w="736"/>
        <w:gridCol w:w="104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r>
      <w:tr>
        <w:trPr/>
        <w:tc>
          <w:tcPr>
            <w:tcW w:w="4807"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2023</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Cameron Hyzer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Cameron Hyzer</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0"/>
        <w:rPr/>
      </w:pPr>
      <w:r>
        <w:rPr/>
      </w:r>
    </w:p>
    <w:p>
      <w:pPr>
        <w:pStyle w:val="TextBody"/>
        <w:spacing w:lineRule="auto" w:line="331"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center"/>
        <w:rPr/>
      </w:pPr>
      <w:r>
        <w:rPr/>
      </w:r>
    </w:p>
    <w:p>
      <w:pPr>
        <w:pStyle w:val="TextBody"/>
        <w:spacing w:lineRule="auto" w:line="331"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ZoomInfo Technologies Inc. (the “Company”) for the quarterly period ended March 31, 2023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pStyle w:val="TextBody"/>
        <w:spacing w:before="0" w:after="0"/>
        <w:ind w:left="0" w:right="0" w:firstLine="720"/>
        <w:rPr/>
      </w:pPr>
      <w:r>
        <w:rPr/>
      </w:r>
    </w:p>
    <w:p>
      <w:pPr>
        <w:pStyle w:val="TextBody"/>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before="0" w:after="0"/>
        <w:ind w:left="0" w:right="0" w:firstLine="720"/>
        <w:jc w:val="both"/>
        <w:rPr/>
      </w:pPr>
      <w:r>
        <w:rPr/>
      </w:r>
    </w:p>
    <w:p>
      <w:pPr>
        <w:pStyle w:val="TextBody"/>
        <w:spacing w:lineRule="auto" w:line="333"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pStyle w:val="TextBody"/>
        <w:spacing w:before="0" w:after="0"/>
        <w:ind w:left="0" w:right="0" w:firstLine="720"/>
        <w:rPr/>
      </w:pPr>
      <w:r>
        <w:rPr/>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1, 2023</w:t>
      </w:r>
    </w:p>
    <w:tbl>
      <w:tblPr>
        <w:tblW w:w="351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737"/>
        <w:gridCol w:w="737"/>
        <w:gridCol w:w="10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r>
      <w:tr>
        <w:trPr/>
        <w:tc>
          <w:tcPr>
            <w:tcW w:w="351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Henry Schuck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Schuck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Cameron Hyzer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Cameron Hyzer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0" w:after="0"/>
        <w:rPr/>
      </w:pPr>
      <w:r>
        <w:rPr/>
      </w:r>
    </w:p>
    <w:p>
      <w:pPr>
        <w:pStyle w:val="TextBody"/>
        <w:spacing w:before="0" w:after="16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4515/000179451522000095/zi-ex31x20220518.htm" TargetMode="External"/><Relationship Id="rId3" Type="http://schemas.openxmlformats.org/officeDocument/2006/relationships/hyperlink" Target="https://www.sec.gov/Archives/edgar/data/0001794515/000179451521000307/a32amendedandrestatedbylaw.htm" TargetMode="External"/><Relationship Id="rId4" Type="http://schemas.openxmlformats.org/officeDocument/2006/relationships/hyperlink" Target="https://www.sec.gov/Archives/edgar/data/0001794515/000179451521000307/a32amendedandrestatedbylaw.htm" TargetMode="External"/><Relationship Id="rId5" Type="http://schemas.openxmlformats.org/officeDocument/2006/relationships/hyperlink" Target="https://www.sec.gov/Archives/edgar/data/0001794515/000179451521000307/a32amendedandrestatedbylaw.htm" TargetMode="External"/><Relationship Id="rId6" Type="http://schemas.openxmlformats.org/officeDocument/2006/relationships/hyperlink" Target="https://www.sec.gov/Archives/edgar/data/0001794515/000179451521000034/exhibit041xclosingxindent.htm" TargetMode="External"/><Relationship Id="rId7" Type="http://schemas.openxmlformats.org/officeDocument/2006/relationships/hyperlink" Target="https://www.sec.gov/Archives/edgar/data/0001794515/000179451521000174/zi-8kex42x20210715.htm" TargetMode="External"/><Relationship Id="rId8" Type="http://schemas.openxmlformats.org/officeDocument/2006/relationships/hyperlink" Target="https://www.sec.gov/ix?doc=/Archives/edgar/data/1794515/000179451523000041/zi-20230228.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45</Pages>
  <Words>47392</Words>
  <CharactersWithSpaces>308819</CharactersWithSpaces>
  <Paragraphs>3199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