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341630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366395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72" w:lineRule="exact"/>
        <w:rPr>
          <w:sz w:val="24"/>
          <w:szCs w:val="24"/>
          <w:color w:val="auto"/>
        </w:rPr>
      </w:pPr>
    </w:p>
    <w:p>
      <w:pPr>
        <w:jc w:val="center"/>
        <w:ind w:right="-3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67945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46" w:lineRule="exact"/>
        <w:rPr>
          <w:sz w:val="24"/>
          <w:szCs w:val="24"/>
          <w:color w:val="auto"/>
        </w:rPr>
      </w:pPr>
    </w:p>
    <w:p>
      <w:pPr>
        <w:ind w:left="320"/>
        <w:spacing w:after="0"/>
        <w:rPr>
          <w:sz w:val="20"/>
          <w:szCs w:val="20"/>
          <w:color w:val="auto"/>
        </w:rPr>
      </w:pPr>
      <w:r>
        <w:rPr>
          <w:rFonts w:ascii="Arial" w:cs="Arial" w:eastAsia="Arial" w:hAnsi="Arial"/>
          <w:sz w:val="18"/>
          <w:szCs w:val="18"/>
          <w:color w:val="auto"/>
        </w:rPr>
        <w:t>(Mark One)</w:t>
      </w:r>
    </w:p>
    <w:p>
      <w:pPr>
        <w:spacing w:after="0" w:line="158"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166370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900" w:type="dxa"/>
        <w:tblCellMar>
          <w:top w:w="0" w:type="dxa"/>
          <w:left w:w="0" w:type="dxa"/>
          <w:bottom w:w="0" w:type="dxa"/>
          <w:right w:w="0" w:type="dxa"/>
        </w:tblCellMar>
      </w:tblPr>
      <w:tr>
        <w:trPr>
          <w:trHeight w:val="381"/>
        </w:trPr>
        <w:tc>
          <w:tcPr>
            <w:tcW w:w="1980" w:type="dxa"/>
            <w:vAlign w:val="bottom"/>
          </w:tcPr>
          <w:p>
            <w:pPr>
              <w:spacing w:after="0"/>
              <w:rPr>
                <w:sz w:val="24"/>
                <w:szCs w:val="24"/>
                <w:color w:val="auto"/>
              </w:rPr>
            </w:pPr>
          </w:p>
        </w:tc>
        <w:tc>
          <w:tcPr>
            <w:tcW w:w="5220" w:type="dxa"/>
            <w:vAlign w:val="bottom"/>
            <w:gridSpan w:val="3"/>
          </w:tcPr>
          <w:p>
            <w:pPr>
              <w:jc w:val="center"/>
              <w:ind w:right="1329"/>
              <w:spacing w:after="0"/>
              <w:rPr>
                <w:sz w:val="20"/>
                <w:szCs w:val="20"/>
                <w:color w:val="auto"/>
              </w:rPr>
            </w:pPr>
            <w:r>
              <w:rPr>
                <w:rFonts w:ascii="Arial" w:cs="Arial" w:eastAsia="Arial" w:hAnsi="Arial"/>
                <w:sz w:val="32"/>
                <w:szCs w:val="32"/>
                <w:b w:val="1"/>
                <w:bCs w:val="1"/>
                <w:color w:val="auto"/>
                <w:w w:val="88"/>
              </w:rPr>
              <w:t>ZoomInfo Technologies Inc.</w:t>
            </w:r>
          </w:p>
        </w:tc>
      </w:tr>
      <w:tr>
        <w:trPr>
          <w:trHeight w:val="160"/>
        </w:trPr>
        <w:tc>
          <w:tcPr>
            <w:tcW w:w="1980" w:type="dxa"/>
            <w:vAlign w:val="bottom"/>
          </w:tcPr>
          <w:p>
            <w:pPr>
              <w:spacing w:after="0"/>
              <w:rPr>
                <w:sz w:val="13"/>
                <w:szCs w:val="13"/>
                <w:color w:val="auto"/>
              </w:rPr>
            </w:pPr>
          </w:p>
        </w:tc>
        <w:tc>
          <w:tcPr>
            <w:tcW w:w="5220" w:type="dxa"/>
            <w:vAlign w:val="bottom"/>
            <w:gridSpan w:val="3"/>
          </w:tcPr>
          <w:p>
            <w:pPr>
              <w:jc w:val="center"/>
              <w:ind w:right="1349"/>
              <w:spacing w:after="0"/>
              <w:rPr>
                <w:sz w:val="20"/>
                <w:szCs w:val="20"/>
                <w:color w:val="auto"/>
              </w:rPr>
            </w:pPr>
            <w:r>
              <w:rPr>
                <w:rFonts w:ascii="Arial" w:cs="Arial" w:eastAsia="Arial" w:hAnsi="Arial"/>
                <w:sz w:val="12"/>
                <w:szCs w:val="12"/>
                <w:b w:val="1"/>
                <w:bCs w:val="1"/>
                <w:color w:val="auto"/>
                <w:w w:val="92"/>
              </w:rPr>
              <w:t>(Exact name of registrant as specified in its charter)</w:t>
            </w:r>
          </w:p>
        </w:tc>
      </w:tr>
      <w:tr>
        <w:trPr>
          <w:trHeight w:val="136"/>
        </w:trPr>
        <w:tc>
          <w:tcPr>
            <w:tcW w:w="1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2340" w:type="dxa"/>
            <w:vAlign w:val="bottom"/>
          </w:tcPr>
          <w:p>
            <w:pPr>
              <w:spacing w:after="0"/>
              <w:rPr>
                <w:sz w:val="11"/>
                <w:szCs w:val="11"/>
                <w:color w:val="auto"/>
              </w:rPr>
            </w:pPr>
          </w:p>
        </w:tc>
      </w:tr>
      <w:tr>
        <w:trPr>
          <w:trHeight w:val="386"/>
        </w:trPr>
        <w:tc>
          <w:tcPr>
            <w:tcW w:w="1980" w:type="dxa"/>
            <w:vAlign w:val="bottom"/>
          </w:tcPr>
          <w:p>
            <w:pPr>
              <w:jc w:val="center"/>
              <w:ind w:left="106"/>
              <w:spacing w:after="0"/>
              <w:rPr>
                <w:sz w:val="20"/>
                <w:szCs w:val="20"/>
                <w:color w:val="auto"/>
              </w:rPr>
            </w:pPr>
            <w:r>
              <w:rPr>
                <w:rFonts w:ascii="Arial" w:cs="Arial" w:eastAsia="Arial" w:hAnsi="Arial"/>
                <w:sz w:val="16"/>
                <w:szCs w:val="16"/>
                <w:b w:val="1"/>
                <w:bCs w:val="1"/>
                <w:color w:val="auto"/>
                <w:w w:val="91"/>
              </w:rPr>
              <w:t>Delaware</w:t>
            </w:r>
          </w:p>
        </w:tc>
        <w:tc>
          <w:tcPr>
            <w:tcW w:w="5220" w:type="dxa"/>
            <w:vAlign w:val="bottom"/>
            <w:gridSpan w:val="3"/>
          </w:tcPr>
          <w:p>
            <w:pPr>
              <w:jc w:val="right"/>
              <w:ind w:right="49"/>
              <w:spacing w:after="0"/>
              <w:rPr>
                <w:sz w:val="20"/>
                <w:szCs w:val="20"/>
                <w:color w:val="auto"/>
              </w:rPr>
            </w:pPr>
            <w:r>
              <w:rPr>
                <w:rFonts w:ascii="Arial" w:cs="Arial" w:eastAsia="Arial" w:hAnsi="Arial"/>
                <w:sz w:val="16"/>
                <w:szCs w:val="16"/>
                <w:b w:val="1"/>
                <w:bCs w:val="1"/>
                <w:color w:val="auto"/>
              </w:rPr>
              <w:t>87-3037521</w:t>
            </w:r>
          </w:p>
        </w:tc>
      </w:tr>
      <w:tr>
        <w:trPr>
          <w:trHeight w:val="181"/>
        </w:trPr>
        <w:tc>
          <w:tcPr>
            <w:tcW w:w="1980" w:type="dxa"/>
            <w:vAlign w:val="bottom"/>
          </w:tcPr>
          <w:p>
            <w:pPr>
              <w:jc w:val="center"/>
              <w:ind w:left="106"/>
              <w:spacing w:after="0"/>
              <w:rPr>
                <w:sz w:val="20"/>
                <w:szCs w:val="20"/>
                <w:color w:val="auto"/>
              </w:rPr>
            </w:pPr>
            <w:r>
              <w:rPr>
                <w:rFonts w:ascii="Arial" w:cs="Arial" w:eastAsia="Arial" w:hAnsi="Arial"/>
                <w:sz w:val="14"/>
                <w:szCs w:val="14"/>
                <w:b w:val="1"/>
                <w:bCs w:val="1"/>
                <w:color w:val="auto"/>
                <w:w w:val="91"/>
              </w:rPr>
              <w:t>(State or other jurisdiction of</w:t>
            </w:r>
          </w:p>
        </w:tc>
        <w:tc>
          <w:tcPr>
            <w:tcW w:w="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40" w:type="dxa"/>
            <w:vAlign w:val="bottom"/>
          </w:tcPr>
          <w:p>
            <w:pPr>
              <w:jc w:val="center"/>
              <w:ind w:left="1249"/>
              <w:spacing w:after="0"/>
              <w:rPr>
                <w:sz w:val="20"/>
                <w:szCs w:val="20"/>
                <w:color w:val="auto"/>
              </w:rPr>
            </w:pPr>
            <w:r>
              <w:rPr>
                <w:rFonts w:ascii="Arial" w:cs="Arial" w:eastAsia="Arial" w:hAnsi="Arial"/>
                <w:sz w:val="14"/>
                <w:szCs w:val="14"/>
                <w:b w:val="1"/>
                <w:bCs w:val="1"/>
                <w:color w:val="auto"/>
                <w:w w:val="94"/>
              </w:rPr>
              <w:t>(I.R.S. Employer</w:t>
            </w:r>
          </w:p>
        </w:tc>
      </w:tr>
      <w:tr>
        <w:trPr>
          <w:trHeight w:val="184"/>
        </w:trPr>
        <w:tc>
          <w:tcPr>
            <w:tcW w:w="1980" w:type="dxa"/>
            <w:vAlign w:val="bottom"/>
          </w:tcPr>
          <w:p>
            <w:pPr>
              <w:spacing w:after="0"/>
              <w:rPr>
                <w:sz w:val="20"/>
                <w:szCs w:val="20"/>
                <w:color w:val="auto"/>
              </w:rPr>
            </w:pPr>
            <w:r>
              <w:rPr>
                <w:rFonts w:ascii="Arial" w:cs="Arial" w:eastAsia="Arial" w:hAnsi="Arial"/>
                <w:sz w:val="14"/>
                <w:szCs w:val="14"/>
                <w:b w:val="1"/>
                <w:bCs w:val="1"/>
                <w:color w:val="auto"/>
                <w:w w:val="98"/>
              </w:rPr>
              <w:t>incorporation or organization)</w:t>
            </w:r>
          </w:p>
        </w:tc>
        <w:tc>
          <w:tcPr>
            <w:tcW w:w="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340" w:type="dxa"/>
            <w:vAlign w:val="bottom"/>
          </w:tcPr>
          <w:p>
            <w:pPr>
              <w:ind w:left="1120"/>
              <w:spacing w:after="0"/>
              <w:rPr>
                <w:sz w:val="20"/>
                <w:szCs w:val="20"/>
                <w:color w:val="auto"/>
              </w:rPr>
            </w:pPr>
            <w:r>
              <w:rPr>
                <w:rFonts w:ascii="Arial" w:cs="Arial" w:eastAsia="Arial" w:hAnsi="Arial"/>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2957195</wp:posOffset>
            </wp:positionH>
            <wp:positionV relativeFrom="paragraph">
              <wp:posOffset>116205</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69"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805 Broadway Street, Suite 900</w:t>
      </w:r>
    </w:p>
    <w:p>
      <w:pPr>
        <w:spacing w:after="0" w:line="20" w:lineRule="exact"/>
        <w:rPr>
          <w:sz w:val="24"/>
          <w:szCs w:val="24"/>
          <w:color w:val="auto"/>
        </w:rPr>
      </w:pPr>
    </w:p>
    <w:p>
      <w:pPr>
        <w:jc w:val="center"/>
        <w:ind w:right="-319"/>
        <w:spacing w:after="0"/>
        <w:rPr>
          <w:sz w:val="20"/>
          <w:szCs w:val="20"/>
          <w:color w:val="auto"/>
        </w:rPr>
      </w:pPr>
      <w:r>
        <w:rPr>
          <w:rFonts w:ascii="Arial" w:cs="Arial" w:eastAsia="Arial" w:hAnsi="Arial"/>
          <w:sz w:val="16"/>
          <w:szCs w:val="16"/>
          <w:b w:val="1"/>
          <w:bCs w:val="1"/>
          <w:color w:val="auto"/>
        </w:rPr>
        <w:t>Vancouver, Washington 98660</w:t>
      </w:r>
    </w:p>
    <w:p>
      <w:pPr>
        <w:jc w:val="center"/>
        <w:ind w:right="-319"/>
        <w:spacing w:after="0" w:line="230" w:lineRule="auto"/>
        <w:rPr>
          <w:sz w:val="20"/>
          <w:szCs w:val="20"/>
          <w:color w:val="auto"/>
        </w:rPr>
      </w:pPr>
      <w:r>
        <w:rPr>
          <w:rFonts w:ascii="Arial" w:cs="Arial" w:eastAsia="Arial" w:hAnsi="Arial"/>
          <w:sz w:val="16"/>
          <w:szCs w:val="16"/>
          <w:b w:val="1"/>
          <w:bCs w:val="1"/>
          <w:color w:val="auto"/>
        </w:rPr>
        <w:t>Telephone: (800) 914-1220</w:t>
      </w:r>
    </w:p>
    <w:p>
      <w:pPr>
        <w:jc w:val="center"/>
        <w:ind w:right="-3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45"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83"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20"/>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Class A 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ZI</w:t>
            </w:r>
          </w:p>
        </w:tc>
        <w:tc>
          <w:tcPr>
            <w:tcW w:w="4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The Nasdaq Stock Market LLC</w:t>
            </w:r>
          </w:p>
        </w:tc>
      </w:tr>
    </w:tbl>
    <w:p>
      <w:pPr>
        <w:spacing w:after="0" w:line="74"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65405</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2"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7" w:lineRule="exact"/>
        <w:rPr>
          <w:sz w:val="24"/>
          <w:szCs w:val="24"/>
          <w:color w:val="auto"/>
        </w:rPr>
      </w:pPr>
    </w:p>
    <w:p>
      <w:pPr>
        <w:jc w:val="both"/>
        <w:ind w:firstLine="318"/>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firstLine="318"/>
        <w:spacing w:after="0" w:line="20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ind w:right="20" w:firstLine="318"/>
        <w:spacing w:after="0" w:line="32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0"/>
        </w:trPr>
        <w:tc>
          <w:tcPr>
            <w:tcW w:w="16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5360" w:type="dxa"/>
            <w:vAlign w:val="bottom"/>
          </w:tcPr>
          <w:p>
            <w:pPr>
              <w:ind w:left="324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2" w:lineRule="exact"/>
        <w:rPr>
          <w:sz w:val="24"/>
          <w:szCs w:val="24"/>
          <w:color w:val="auto"/>
        </w:rPr>
      </w:pPr>
    </w:p>
    <w:p>
      <w:pPr>
        <w:ind w:right="460" w:firstLine="318"/>
        <w:spacing w:after="0" w:line="20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2" w:lineRule="exact"/>
        <w:rPr>
          <w:sz w:val="24"/>
          <w:szCs w:val="24"/>
          <w:color w:val="auto"/>
        </w:rPr>
      </w:pPr>
    </w:p>
    <w:p>
      <w:pPr>
        <w:ind w:right="100" w:firstLine="318"/>
        <w:spacing w:after="0" w:line="20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2" w:lineRule="exact"/>
        <w:rPr>
          <w:sz w:val="24"/>
          <w:szCs w:val="24"/>
          <w:color w:val="auto"/>
        </w:rPr>
      </w:pPr>
    </w:p>
    <w:p>
      <w:pPr>
        <w:ind w:left="3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0" w:lineRule="exact"/>
        <w:rPr>
          <w:sz w:val="24"/>
          <w:szCs w:val="24"/>
          <w:color w:val="auto"/>
        </w:rPr>
      </w:pPr>
    </w:p>
    <w:p>
      <w:pPr>
        <w:ind w:left="320"/>
        <w:spacing w:after="0"/>
        <w:rPr>
          <w:sz w:val="20"/>
          <w:szCs w:val="20"/>
          <w:color w:val="auto"/>
        </w:rPr>
      </w:pPr>
      <w:r>
        <w:rPr>
          <w:rFonts w:ascii="Arial" w:cs="Arial" w:eastAsia="Arial" w:hAnsi="Arial"/>
          <w:sz w:val="15"/>
          <w:szCs w:val="15"/>
          <w:color w:val="auto"/>
        </w:rPr>
        <w:t>As of June 30, 2021, the aggregate market value of the registrant’s voting and non-voting common equity held by non-affiliates was approximately $6.3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237490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64" w:right="339" w:bottom="1440" w:gutter="0" w:footer="0" w:header="0"/>
        </w:sectPr>
      </w:pPr>
    </w:p>
    <w:bookmarkStart w:id="1" w:name="page2"/>
    <w:bookmarkEnd w:id="1"/>
    <w:p>
      <w:pPr>
        <w:ind w:left="320"/>
        <w:spacing w:after="0"/>
        <w:rPr>
          <w:sz w:val="20"/>
          <w:szCs w:val="20"/>
          <w:color w:val="auto"/>
        </w:rPr>
      </w:pPr>
      <w:r>
        <w:rPr>
          <w:rFonts w:ascii="Arial" w:cs="Arial" w:eastAsia="Arial" w:hAnsi="Arial"/>
          <w:sz w:val="16"/>
          <w:szCs w:val="16"/>
          <w:color w:val="auto"/>
        </w:rPr>
        <w:t>As of February 11, 2022, the number of outstanding shares of the registrant's common stock was:</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403,301,898 shares of Class A common stock, par value $0.01 per share.</w:t>
      </w:r>
    </w:p>
    <w:p>
      <w:pPr>
        <w:spacing w:after="0" w:line="152"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Portions of the registrant’s definitive proxy statement relating to the 2022 Annual Meeting of Stockholders of ZoomInfo Technologies Inc., which will be filed with the Securities and Exchange Commission within 120 days of December 31, 2021,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375285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152400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60" w:type="dxa"/>
            <w:vAlign w:val="bottom"/>
            <w:gridSpan w:val="5"/>
          </w:tcPr>
          <w:p>
            <w:pPr>
              <w:jc w:val="center"/>
              <w:ind w:left="673"/>
              <w:spacing w:after="0"/>
              <w:rPr>
                <w:sz w:val="20"/>
                <w:szCs w:val="20"/>
                <w:color w:val="auto"/>
              </w:rPr>
            </w:pPr>
            <w:r>
              <w:rPr>
                <w:rFonts w:ascii="Arial" w:cs="Arial" w:eastAsia="Arial" w:hAnsi="Arial"/>
                <w:sz w:val="14"/>
                <w:szCs w:val="14"/>
                <w:b w:val="1"/>
                <w:bCs w:val="1"/>
                <w:color w:val="auto"/>
                <w:w w:val="89"/>
              </w:rPr>
              <w:t>Page</w:t>
            </w:r>
          </w:p>
        </w:tc>
      </w:tr>
      <w:tr>
        <w:trPr>
          <w:trHeight w:val="197"/>
        </w:trPr>
        <w:tc>
          <w:tcPr>
            <w:tcW w:w="1220" w:type="dxa"/>
            <w:vAlign w:val="bottom"/>
          </w:tcPr>
          <w:p>
            <w:pPr>
              <w:spacing w:after="0"/>
              <w:rPr>
                <w:sz w:val="17"/>
                <w:szCs w:val="17"/>
                <w:color w:val="auto"/>
              </w:rPr>
            </w:pPr>
          </w:p>
        </w:tc>
        <w:tc>
          <w:tcPr>
            <w:tcW w:w="64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Glossary</w:t>
              </w:r>
            </w:hyperlink>
          </w:p>
        </w:tc>
        <w:tc>
          <w:tcPr>
            <w:tcW w:w="806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0000FF"/>
            </w:tcBorders>
            <w:gridSpan w:val="2"/>
          </w:tcPr>
          <w:p>
            <w:pPr>
              <w:jc w:val="center"/>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ii</w:t>
              </w:r>
            </w:hyperlink>
          </w:p>
        </w:tc>
        <w:tc>
          <w:tcPr>
            <w:tcW w:w="80" w:type="dxa"/>
            <w:vAlign w:val="bottom"/>
            <w:gridSpan w:val="2"/>
          </w:tcPr>
          <w:p>
            <w:pPr>
              <w:spacing w:after="0"/>
              <w:rPr>
                <w:sz w:val="17"/>
                <w:szCs w:val="17"/>
                <w:color w:val="auto"/>
              </w:rPr>
            </w:pPr>
          </w:p>
        </w:tc>
      </w:tr>
      <w:tr>
        <w:trPr>
          <w:trHeight w:val="205"/>
        </w:trPr>
        <w:tc>
          <w:tcPr>
            <w:tcW w:w="1220" w:type="dxa"/>
            <w:vAlign w:val="bottom"/>
          </w:tcPr>
          <w:p>
            <w:pPr>
              <w:spacing w:after="0"/>
              <w:rPr>
                <w:sz w:val="17"/>
                <w:szCs w:val="17"/>
                <w:color w:val="auto"/>
              </w:rPr>
            </w:pPr>
          </w:p>
        </w:tc>
        <w:tc>
          <w:tcPr>
            <w:tcW w:w="4440" w:type="dxa"/>
            <w:vAlign w:val="bottom"/>
            <w:tcBorders>
              <w:bottom w:val="single" w:sz="8" w:color="0000FF"/>
            </w:tcBorders>
            <w:gridSpan w:val="20"/>
          </w:tcPr>
          <w:p>
            <w:pPr>
              <w:spacing w:after="0" w:line="205" w:lineRule="exact"/>
              <w:rPr>
                <w:rFonts w:ascii="Arial" w:cs="Arial" w:eastAsia="Arial" w:hAnsi="Arial"/>
                <w:sz w:val="18"/>
                <w:szCs w:val="18"/>
                <w:color w:val="0000FF"/>
                <w:w w:val="88"/>
              </w:rPr>
            </w:pPr>
            <w:hyperlink w:anchor="page6">
              <w:r>
                <w:rPr>
                  <w:rFonts w:ascii="Arial" w:cs="Arial" w:eastAsia="Arial" w:hAnsi="Arial"/>
                  <w:sz w:val="18"/>
                  <w:szCs w:val="18"/>
                  <w:color w:val="0000FF"/>
                  <w:w w:val="88"/>
                </w:rPr>
                <w:t>Cautionary Statement Regarding Forward-Looking Statements</w:t>
              </w:r>
            </w:hyperlink>
          </w:p>
        </w:tc>
        <w:tc>
          <w:tcPr>
            <w:tcW w:w="426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line="205" w:lineRule="exact"/>
              <w:rPr>
                <w:rFonts w:ascii="Arial" w:cs="Arial" w:eastAsia="Arial" w:hAnsi="Arial"/>
                <w:sz w:val="18"/>
                <w:szCs w:val="18"/>
                <w:color w:val="0000FF"/>
                <w:w w:val="91"/>
              </w:rPr>
            </w:pPr>
            <w:hyperlink w:anchor="page6">
              <w:r>
                <w:rPr>
                  <w:rFonts w:ascii="Arial" w:cs="Arial" w:eastAsia="Arial" w:hAnsi="Arial"/>
                  <w:sz w:val="18"/>
                  <w:szCs w:val="18"/>
                  <w:color w:val="0000FF"/>
                  <w:w w:val="91"/>
                </w:rPr>
                <w:t>iv</w:t>
              </w:r>
            </w:hyperlink>
          </w:p>
        </w:tc>
        <w:tc>
          <w:tcPr>
            <w:tcW w:w="80" w:type="dxa"/>
            <w:vAlign w:val="bottom"/>
            <w:gridSpan w:val="2"/>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080"/>
              <w:spacing w:after="0"/>
              <w:rPr>
                <w:rFonts w:ascii="Arial" w:cs="Arial" w:eastAsia="Arial" w:hAnsi="Arial"/>
                <w:sz w:val="18"/>
                <w:szCs w:val="18"/>
                <w:color w:val="0000FF"/>
                <w:w w:val="88"/>
              </w:rPr>
            </w:pPr>
            <w:hyperlink w:anchor="page8">
              <w:r>
                <w:rPr>
                  <w:rFonts w:ascii="Arial" w:cs="Arial" w:eastAsia="Arial" w:hAnsi="Arial"/>
                  <w:sz w:val="18"/>
                  <w:szCs w:val="18"/>
                  <w:color w:val="0000FF"/>
                  <w:w w:val="88"/>
                </w:rPr>
                <w:t>Part I</w:t>
              </w:r>
            </w:hyperlink>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FF"/>
            </w:tcBorders>
          </w:tcPr>
          <w:p>
            <w:pPr>
              <w:spacing w:after="0" w:line="205"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Business</w:t>
              </w:r>
            </w:hyperlink>
          </w:p>
        </w:tc>
        <w:tc>
          <w:tcPr>
            <w:tcW w:w="3560" w:type="dxa"/>
            <w:vAlign w:val="bottom"/>
            <w:gridSpan w:val="17"/>
          </w:tcPr>
          <w:p>
            <w:pPr>
              <w:spacing w:after="0"/>
              <w:rPr>
                <w:sz w:val="17"/>
                <w:szCs w:val="17"/>
                <w:color w:val="auto"/>
              </w:rPr>
            </w:pPr>
          </w:p>
        </w:tc>
        <w:tc>
          <w:tcPr>
            <w:tcW w:w="380" w:type="dxa"/>
            <w:vAlign w:val="bottom"/>
            <w:tcBorders>
              <w:top w:val="single" w:sz="8" w:color="0000FF"/>
            </w:tcBorders>
            <w:gridSpan w:val="3"/>
          </w:tcPr>
          <w:p>
            <w:pPr>
              <w:spacing w:after="0"/>
              <w:rPr>
                <w:sz w:val="17"/>
                <w:szCs w:val="17"/>
                <w:color w:val="auto"/>
              </w:rPr>
            </w:pPr>
          </w:p>
        </w:tc>
        <w:tc>
          <w:tcPr>
            <w:tcW w:w="41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1</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4"/>
          </w:tcPr>
          <w:p>
            <w:pPr>
              <w:spacing w:after="0" w:line="205" w:lineRule="exact"/>
              <w:rPr>
                <w:rFonts w:ascii="Arial" w:cs="Arial" w:eastAsia="Arial" w:hAnsi="Arial"/>
                <w:sz w:val="18"/>
                <w:szCs w:val="18"/>
                <w:color w:val="0000FF"/>
                <w:w w:val="87"/>
              </w:rPr>
            </w:pPr>
            <w:hyperlink w:anchor="page14">
              <w:r>
                <w:rPr>
                  <w:rFonts w:ascii="Arial" w:cs="Arial" w:eastAsia="Arial" w:hAnsi="Arial"/>
                  <w:sz w:val="18"/>
                  <w:szCs w:val="18"/>
                  <w:color w:val="0000FF"/>
                  <w:w w:val="87"/>
                </w:rPr>
                <w:t>Risk Factors</w:t>
              </w:r>
            </w:hyperlink>
          </w:p>
        </w:tc>
        <w:tc>
          <w:tcPr>
            <w:tcW w:w="780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rFonts w:ascii="Arial" w:cs="Arial" w:eastAsia="Arial" w:hAnsi="Arial"/>
                <w:sz w:val="18"/>
                <w:szCs w:val="18"/>
                <w:color w:val="0000FF"/>
                <w:w w:val="99"/>
              </w:rPr>
            </w:pPr>
            <w:hyperlink w:anchor="page14">
              <w:r>
                <w:rPr>
                  <w:rFonts w:ascii="Arial" w:cs="Arial" w:eastAsia="Arial" w:hAnsi="Arial"/>
                  <w:sz w:val="18"/>
                  <w:szCs w:val="18"/>
                  <w:color w:val="0000FF"/>
                  <w:w w:val="99"/>
                </w:rPr>
                <w:t>7</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1B.</w:t>
            </w:r>
          </w:p>
        </w:tc>
        <w:tc>
          <w:tcPr>
            <w:tcW w:w="2020" w:type="dxa"/>
            <w:vAlign w:val="bottom"/>
            <w:tcBorders>
              <w:bottom w:val="single" w:sz="8" w:color="0000FF"/>
            </w:tcBorders>
            <w:gridSpan w:val="10"/>
          </w:tcPr>
          <w:p>
            <w:pPr>
              <w:spacing w:after="0" w:line="205" w:lineRule="exact"/>
              <w:rPr>
                <w:rFonts w:ascii="Arial" w:cs="Arial" w:eastAsia="Arial" w:hAnsi="Arial"/>
                <w:sz w:val="18"/>
                <w:szCs w:val="18"/>
                <w:color w:val="0000FF"/>
                <w:w w:val="88"/>
              </w:rPr>
            </w:pPr>
            <w:hyperlink w:anchor="page53">
              <w:r>
                <w:rPr>
                  <w:rFonts w:ascii="Arial" w:cs="Arial" w:eastAsia="Arial" w:hAnsi="Arial"/>
                  <w:sz w:val="18"/>
                  <w:szCs w:val="18"/>
                  <w:color w:val="0000FF"/>
                  <w:w w:val="88"/>
                </w:rPr>
                <w:t>Unresolved Staff Comments</w:t>
              </w:r>
            </w:hyperlink>
          </w:p>
        </w:tc>
        <w:tc>
          <w:tcPr>
            <w:tcW w:w="668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45</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FF"/>
            </w:tcBorders>
            <w:gridSpan w:val="2"/>
          </w:tcPr>
          <w:p>
            <w:pPr>
              <w:spacing w:after="0" w:line="205" w:lineRule="exact"/>
              <w:rPr>
                <w:rFonts w:ascii="Arial" w:cs="Arial" w:eastAsia="Arial" w:hAnsi="Arial"/>
                <w:sz w:val="18"/>
                <w:szCs w:val="18"/>
                <w:color w:val="0000FF"/>
                <w:w w:val="85"/>
              </w:rPr>
            </w:pPr>
            <w:hyperlink w:anchor="page53">
              <w:r>
                <w:rPr>
                  <w:rFonts w:ascii="Arial" w:cs="Arial" w:eastAsia="Arial" w:hAnsi="Arial"/>
                  <w:sz w:val="18"/>
                  <w:szCs w:val="18"/>
                  <w:color w:val="0000FF"/>
                  <w:w w:val="85"/>
                </w:rPr>
                <w:t>Properties</w:t>
              </w:r>
            </w:hyperlink>
          </w:p>
        </w:tc>
        <w:tc>
          <w:tcPr>
            <w:tcW w:w="7960" w:type="dxa"/>
            <w:vAlign w:val="bottom"/>
            <w:gridSpan w:val="28"/>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rFonts w:ascii="Arial" w:cs="Arial" w:eastAsia="Arial" w:hAnsi="Arial"/>
                <w:sz w:val="17"/>
                <w:szCs w:val="17"/>
                <w:color w:val="0000FF"/>
                <w:w w:val="73"/>
              </w:rPr>
            </w:pPr>
            <w:hyperlink w:anchor="page53">
              <w:r>
                <w:rPr>
                  <w:rFonts w:ascii="Arial" w:cs="Arial" w:eastAsia="Arial" w:hAnsi="Arial"/>
                  <w:sz w:val="17"/>
                  <w:szCs w:val="17"/>
                  <w:color w:val="0000FF"/>
                  <w:w w:val="73"/>
                </w:rPr>
                <w:t>46</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FF"/>
            </w:tcBorders>
            <w:gridSpan w:val="6"/>
          </w:tcPr>
          <w:p>
            <w:pPr>
              <w:spacing w:after="0" w:line="205" w:lineRule="exact"/>
              <w:rPr>
                <w:rFonts w:ascii="Arial" w:cs="Arial" w:eastAsia="Arial" w:hAnsi="Arial"/>
                <w:sz w:val="18"/>
                <w:szCs w:val="18"/>
                <w:color w:val="0000FF"/>
                <w:w w:val="87"/>
              </w:rPr>
            </w:pPr>
            <w:hyperlink w:anchor="page54">
              <w:r>
                <w:rPr>
                  <w:rFonts w:ascii="Arial" w:cs="Arial" w:eastAsia="Arial" w:hAnsi="Arial"/>
                  <w:sz w:val="18"/>
                  <w:szCs w:val="18"/>
                  <w:color w:val="0000FF"/>
                  <w:w w:val="87"/>
                </w:rPr>
                <w:t>Legal Proceedings</w:t>
              </w:r>
            </w:hyperlink>
          </w:p>
        </w:tc>
        <w:tc>
          <w:tcPr>
            <w:tcW w:w="738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rFonts w:ascii="Arial" w:cs="Arial" w:eastAsia="Arial" w:hAnsi="Arial"/>
                <w:sz w:val="17"/>
                <w:szCs w:val="17"/>
                <w:color w:val="0000FF"/>
                <w:w w:val="73"/>
              </w:rPr>
            </w:pPr>
            <w:hyperlink w:anchor="page54">
              <w:r>
                <w:rPr>
                  <w:rFonts w:ascii="Arial" w:cs="Arial" w:eastAsia="Arial" w:hAnsi="Arial"/>
                  <w:sz w:val="17"/>
                  <w:szCs w:val="17"/>
                  <w:color w:val="0000FF"/>
                  <w:w w:val="73"/>
                </w:rPr>
                <w:t>46</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4.</w:t>
            </w:r>
          </w:p>
        </w:tc>
        <w:tc>
          <w:tcPr>
            <w:tcW w:w="8700" w:type="dxa"/>
            <w:vAlign w:val="bottom"/>
            <w:gridSpan w:val="30"/>
          </w:tcPr>
          <w:p>
            <w:pPr>
              <w:spacing w:after="0" w:line="205" w:lineRule="exact"/>
              <w:rPr>
                <w:rFonts w:ascii="Arial" w:cs="Arial" w:eastAsia="Arial" w:hAnsi="Arial"/>
                <w:sz w:val="18"/>
                <w:szCs w:val="18"/>
                <w:color w:val="0000FF"/>
              </w:rPr>
            </w:pPr>
            <w:hyperlink w:anchor="page54">
              <w:r>
                <w:rPr>
                  <w:rFonts w:ascii="Arial" w:cs="Arial" w:eastAsia="Arial" w:hAnsi="Arial"/>
                  <w:sz w:val="18"/>
                  <w:szCs w:val="18"/>
                  <w:color w:val="0000FF"/>
                </w:rPr>
                <w:t>Mine Safety Disclosures</w:t>
              </w:r>
            </w:hyperlink>
          </w:p>
        </w:tc>
        <w:tc>
          <w:tcPr>
            <w:tcW w:w="1000" w:type="dxa"/>
            <w:vAlign w:val="bottom"/>
            <w:gridSpan w:val="4"/>
          </w:tcPr>
          <w:p>
            <w:pPr>
              <w:jc w:val="center"/>
              <w:ind w:left="733"/>
              <w:spacing w:after="0" w:line="205" w:lineRule="exact"/>
              <w:rPr>
                <w:rFonts w:ascii="Arial" w:cs="Arial" w:eastAsia="Arial" w:hAnsi="Arial"/>
                <w:sz w:val="18"/>
                <w:szCs w:val="18"/>
                <w:color w:val="0000FF"/>
                <w:w w:val="89"/>
              </w:rPr>
            </w:pPr>
            <w:hyperlink w:anchor="page54">
              <w:r>
                <w:rPr>
                  <w:rFonts w:ascii="Arial" w:cs="Arial" w:eastAsia="Arial" w:hAnsi="Arial"/>
                  <w:sz w:val="18"/>
                  <w:szCs w:val="18"/>
                  <w:color w:val="0000FF"/>
                  <w:w w:val="89"/>
                </w:rPr>
                <w:t>46</w:t>
              </w:r>
            </w:hyperlink>
          </w:p>
        </w:tc>
        <w:tc>
          <w:tcPr>
            <w:tcW w:w="60" w:type="dxa"/>
            <w:vAlign w:val="bottom"/>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100"/>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Part II</w:t>
              </w:r>
            </w:hyperlink>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5.</w:t>
            </w:r>
          </w:p>
        </w:tc>
        <w:tc>
          <w:tcPr>
            <w:tcW w:w="8700" w:type="dxa"/>
            <w:vAlign w:val="bottom"/>
            <w:gridSpan w:val="30"/>
          </w:tcPr>
          <w:p>
            <w:pPr>
              <w:spacing w:after="0" w:line="205" w:lineRule="exact"/>
              <w:rPr>
                <w:rFonts w:ascii="Arial" w:cs="Arial" w:eastAsia="Arial" w:hAnsi="Arial"/>
                <w:sz w:val="18"/>
                <w:szCs w:val="18"/>
                <w:color w:val="0000FF"/>
                <w:w w:val="97"/>
              </w:rPr>
            </w:pPr>
            <w:hyperlink w:anchor="page55">
              <w:r>
                <w:rPr>
                  <w:rFonts w:ascii="Arial" w:cs="Arial" w:eastAsia="Arial" w:hAnsi="Arial"/>
                  <w:sz w:val="18"/>
                  <w:szCs w:val="18"/>
                  <w:color w:val="0000FF"/>
                  <w:w w:val="97"/>
                </w:rPr>
                <w:t>Market for Registrant’s Common Equity, Related Stockholder Matters and Issuer Purchases of Equity Securities</w:t>
              </w:r>
            </w:hyperlink>
          </w:p>
        </w:tc>
        <w:tc>
          <w:tcPr>
            <w:tcW w:w="1000" w:type="dxa"/>
            <w:vAlign w:val="bottom"/>
            <w:gridSpan w:val="4"/>
          </w:tcPr>
          <w:p>
            <w:pPr>
              <w:jc w:val="center"/>
              <w:ind w:left="733"/>
              <w:spacing w:after="0" w:line="205" w:lineRule="exact"/>
              <w:rPr>
                <w:rFonts w:ascii="Arial" w:cs="Arial" w:eastAsia="Arial" w:hAnsi="Arial"/>
                <w:sz w:val="18"/>
                <w:szCs w:val="18"/>
                <w:color w:val="0000FF"/>
                <w:w w:val="89"/>
              </w:rPr>
            </w:pPr>
            <w:hyperlink w:anchor="page55">
              <w:r>
                <w:rPr>
                  <w:rFonts w:ascii="Arial" w:cs="Arial" w:eastAsia="Arial" w:hAnsi="Arial"/>
                  <w:sz w:val="18"/>
                  <w:szCs w:val="18"/>
                  <w:color w:val="0000FF"/>
                  <w:w w:val="89"/>
                </w:rPr>
                <w:t>47</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6.</w:t>
            </w:r>
          </w:p>
        </w:tc>
        <w:tc>
          <w:tcPr>
            <w:tcW w:w="780" w:type="dxa"/>
            <w:vAlign w:val="bottom"/>
            <w:tcBorders>
              <w:top w:val="single" w:sz="8" w:color="0000FF"/>
              <w:bottom w:val="single" w:sz="8" w:color="0000FF"/>
            </w:tcBorders>
            <w:gridSpan w:val="3"/>
          </w:tcPr>
          <w:p>
            <w:pPr>
              <w:spacing w:after="0" w:line="205" w:lineRule="exact"/>
              <w:rPr>
                <w:rFonts w:ascii="Arial" w:cs="Arial" w:eastAsia="Arial" w:hAnsi="Arial"/>
                <w:sz w:val="18"/>
                <w:szCs w:val="18"/>
                <w:color w:val="0000FF"/>
                <w:w w:val="87"/>
              </w:rPr>
            </w:pPr>
            <w:hyperlink w:anchor="page56">
              <w:r>
                <w:rPr>
                  <w:rFonts w:ascii="Arial" w:cs="Arial" w:eastAsia="Arial" w:hAnsi="Arial"/>
                  <w:sz w:val="18"/>
                  <w:szCs w:val="18"/>
                  <w:color w:val="0000FF"/>
                  <w:w w:val="87"/>
                </w:rPr>
                <w:t>[Reserved]</w:t>
              </w:r>
            </w:hyperlink>
          </w:p>
        </w:tc>
        <w:tc>
          <w:tcPr>
            <w:tcW w:w="7140" w:type="dxa"/>
            <w:vAlign w:val="bottom"/>
            <w:tcBorders>
              <w:top w:val="single" w:sz="8" w:color="0000FF"/>
            </w:tcBorders>
            <w:gridSpan w:val="26"/>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center"/>
              <w:spacing w:after="0"/>
              <w:rPr>
                <w:rFonts w:ascii="Arial" w:cs="Arial" w:eastAsia="Arial" w:hAnsi="Arial"/>
                <w:sz w:val="17"/>
                <w:szCs w:val="17"/>
                <w:color w:val="0000FF"/>
                <w:w w:val="73"/>
              </w:rPr>
            </w:pPr>
            <w:hyperlink w:anchor="page56">
              <w:r>
                <w:rPr>
                  <w:rFonts w:ascii="Arial" w:cs="Arial" w:eastAsia="Arial" w:hAnsi="Arial"/>
                  <w:sz w:val="17"/>
                  <w:szCs w:val="17"/>
                  <w:color w:val="0000FF"/>
                  <w:w w:val="73"/>
                </w:rPr>
                <w:t>49</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7.</w:t>
            </w:r>
          </w:p>
        </w:tc>
        <w:tc>
          <w:tcPr>
            <w:tcW w:w="6340" w:type="dxa"/>
            <w:vAlign w:val="bottom"/>
            <w:tcBorders>
              <w:bottom w:val="single" w:sz="8" w:color="0000FF"/>
            </w:tcBorders>
            <w:gridSpan w:val="26"/>
          </w:tcPr>
          <w:p>
            <w:pPr>
              <w:spacing w:after="0" w:line="205" w:lineRule="exact"/>
              <w:rPr>
                <w:rFonts w:ascii="Arial" w:cs="Arial" w:eastAsia="Arial" w:hAnsi="Arial"/>
                <w:sz w:val="18"/>
                <w:szCs w:val="18"/>
                <w:color w:val="0000FF"/>
                <w:w w:val="89"/>
              </w:rPr>
            </w:pPr>
            <w:hyperlink w:anchor="page57">
              <w:r>
                <w:rPr>
                  <w:rFonts w:ascii="Arial" w:cs="Arial" w:eastAsia="Arial" w:hAnsi="Arial"/>
                  <w:sz w:val="18"/>
                  <w:szCs w:val="18"/>
                  <w:color w:val="0000FF"/>
                  <w:w w:val="89"/>
                </w:rPr>
                <w:t>Management’s Discussion and Analysis of Financial Condition and Results of Operations</w:t>
              </w:r>
            </w:hyperlink>
          </w:p>
        </w:tc>
        <w:tc>
          <w:tcPr>
            <w:tcW w:w="23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rFonts w:ascii="Arial" w:cs="Arial" w:eastAsia="Arial" w:hAnsi="Arial"/>
                <w:sz w:val="17"/>
                <w:szCs w:val="17"/>
                <w:color w:val="0000FF"/>
                <w:w w:val="73"/>
              </w:rPr>
            </w:pPr>
            <w:hyperlink w:anchor="page57">
              <w:r>
                <w:rPr>
                  <w:rFonts w:ascii="Arial" w:cs="Arial" w:eastAsia="Arial" w:hAnsi="Arial"/>
                  <w:sz w:val="17"/>
                  <w:szCs w:val="17"/>
                  <w:color w:val="0000FF"/>
                  <w:w w:val="73"/>
                </w:rPr>
                <w:t>50</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7A.</w:t>
            </w:r>
          </w:p>
        </w:tc>
        <w:tc>
          <w:tcPr>
            <w:tcW w:w="4280" w:type="dxa"/>
            <w:vAlign w:val="bottom"/>
            <w:tcBorders>
              <w:bottom w:val="single" w:sz="8" w:color="0000FF"/>
            </w:tcBorders>
            <w:gridSpan w:val="19"/>
          </w:tcPr>
          <w:p>
            <w:pPr>
              <w:spacing w:after="0" w:line="205" w:lineRule="exact"/>
              <w:rPr>
                <w:rFonts w:ascii="Arial" w:cs="Arial" w:eastAsia="Arial" w:hAnsi="Arial"/>
                <w:sz w:val="18"/>
                <w:szCs w:val="18"/>
                <w:color w:val="0000FF"/>
                <w:w w:val="90"/>
              </w:rPr>
            </w:pPr>
            <w:hyperlink w:anchor="page88">
              <w:r>
                <w:rPr>
                  <w:rFonts w:ascii="Arial" w:cs="Arial" w:eastAsia="Arial" w:hAnsi="Arial"/>
                  <w:sz w:val="18"/>
                  <w:szCs w:val="18"/>
                  <w:color w:val="0000FF"/>
                  <w:w w:val="90"/>
                </w:rPr>
                <w:t>Quantitative and Qualitative Disclosures About Market Risk</w:t>
              </w:r>
            </w:hyperlink>
          </w:p>
        </w:tc>
        <w:tc>
          <w:tcPr>
            <w:tcW w:w="442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rFonts w:ascii="Arial" w:cs="Arial" w:eastAsia="Arial" w:hAnsi="Arial"/>
                <w:sz w:val="17"/>
                <w:szCs w:val="17"/>
                <w:color w:val="0000FF"/>
                <w:w w:val="73"/>
              </w:rPr>
            </w:pPr>
            <w:hyperlink w:anchor="page88">
              <w:r>
                <w:rPr>
                  <w:rFonts w:ascii="Arial" w:cs="Arial" w:eastAsia="Arial" w:hAnsi="Arial"/>
                  <w:sz w:val="17"/>
                  <w:szCs w:val="17"/>
                  <w:color w:val="0000FF"/>
                  <w:w w:val="73"/>
                </w:rPr>
                <w:t>81</w:t>
              </w:r>
            </w:hyperlink>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8.</w:t>
            </w:r>
          </w:p>
        </w:tc>
        <w:tc>
          <w:tcPr>
            <w:tcW w:w="8700" w:type="dxa"/>
            <w:vAlign w:val="bottom"/>
            <w:gridSpan w:val="30"/>
          </w:tcPr>
          <w:p>
            <w:pPr>
              <w:spacing w:after="0" w:line="205" w:lineRule="exact"/>
              <w:rPr>
                <w:rFonts w:ascii="Arial" w:cs="Arial" w:eastAsia="Arial" w:hAnsi="Arial"/>
                <w:sz w:val="18"/>
                <w:szCs w:val="18"/>
                <w:color w:val="0000FF"/>
              </w:rPr>
            </w:pPr>
            <w:hyperlink w:anchor="page89">
              <w:r>
                <w:rPr>
                  <w:rFonts w:ascii="Arial" w:cs="Arial" w:eastAsia="Arial" w:hAnsi="Arial"/>
                  <w:sz w:val="18"/>
                  <w:szCs w:val="18"/>
                  <w:color w:val="0000FF"/>
                </w:rPr>
                <w:t>Financial Statements and Supplementary Data</w:t>
              </w:r>
            </w:hyperlink>
          </w:p>
        </w:tc>
        <w:tc>
          <w:tcPr>
            <w:tcW w:w="1000" w:type="dxa"/>
            <w:vAlign w:val="bottom"/>
            <w:gridSpan w:val="4"/>
          </w:tcPr>
          <w:p>
            <w:pPr>
              <w:jc w:val="center"/>
              <w:ind w:left="733"/>
              <w:spacing w:after="0" w:line="205" w:lineRule="exact"/>
              <w:rPr>
                <w:rFonts w:ascii="Arial" w:cs="Arial" w:eastAsia="Arial" w:hAnsi="Arial"/>
                <w:sz w:val="18"/>
                <w:szCs w:val="18"/>
                <w:color w:val="0000FF"/>
                <w:w w:val="89"/>
              </w:rPr>
            </w:pPr>
            <w:hyperlink w:anchor="page89">
              <w:r>
                <w:rPr>
                  <w:rFonts w:ascii="Arial" w:cs="Arial" w:eastAsia="Arial" w:hAnsi="Arial"/>
                  <w:sz w:val="18"/>
                  <w:szCs w:val="18"/>
                  <w:color w:val="0000FF"/>
                  <w:w w:val="89"/>
                </w:rPr>
                <w:t>82</w:t>
              </w:r>
            </w:hyperlink>
          </w:p>
        </w:tc>
        <w:tc>
          <w:tcPr>
            <w:tcW w:w="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w:t>
            </w:r>
          </w:p>
        </w:tc>
        <w:tc>
          <w:tcPr>
            <w:tcW w:w="6360" w:type="dxa"/>
            <w:vAlign w:val="bottom"/>
            <w:gridSpan w:val="27"/>
          </w:tcPr>
          <w:p>
            <w:pPr>
              <w:spacing w:after="0" w:line="205" w:lineRule="exact"/>
              <w:rPr>
                <w:rFonts w:ascii="Arial" w:cs="Arial" w:eastAsia="Arial" w:hAnsi="Arial"/>
                <w:sz w:val="18"/>
                <w:szCs w:val="18"/>
                <w:color w:val="0000FF"/>
                <w:w w:val="88"/>
              </w:rPr>
            </w:pPr>
            <w:hyperlink w:anchor="page153">
              <w:r>
                <w:rPr>
                  <w:rFonts w:ascii="Arial" w:cs="Arial" w:eastAsia="Arial" w:hAnsi="Arial"/>
                  <w:sz w:val="18"/>
                  <w:szCs w:val="18"/>
                  <w:color w:val="0000FF"/>
                  <w:w w:val="88"/>
                </w:rPr>
                <w:t>Changes in and Disagreements with Accountants on Accounting and Financial Disclosure</w:t>
              </w:r>
            </w:hyperlink>
          </w:p>
        </w:tc>
        <w:tc>
          <w:tcPr>
            <w:tcW w:w="2340" w:type="dxa"/>
            <w:vAlign w:val="bottom"/>
            <w:gridSpan w:val="3"/>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3">
              <w:r>
                <w:rPr>
                  <w:rFonts w:ascii="Arial" w:cs="Arial" w:eastAsia="Arial" w:hAnsi="Arial"/>
                  <w:sz w:val="18"/>
                  <w:szCs w:val="18"/>
                  <w:color w:val="0000FF"/>
                  <w:w w:val="86"/>
                </w:rPr>
                <w:t>146</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9A.</w:t>
            </w:r>
          </w:p>
        </w:tc>
        <w:tc>
          <w:tcPr>
            <w:tcW w:w="1740" w:type="dxa"/>
            <w:vAlign w:val="bottom"/>
            <w:gridSpan w:val="8"/>
          </w:tcPr>
          <w:p>
            <w:pPr>
              <w:spacing w:after="0" w:line="205" w:lineRule="exact"/>
              <w:rPr>
                <w:rFonts w:ascii="Arial" w:cs="Arial" w:eastAsia="Arial" w:hAnsi="Arial"/>
                <w:sz w:val="18"/>
                <w:szCs w:val="18"/>
                <w:color w:val="0000FF"/>
                <w:w w:val="86"/>
              </w:rPr>
            </w:pPr>
            <w:hyperlink w:anchor="page154">
              <w:r>
                <w:rPr>
                  <w:rFonts w:ascii="Arial" w:cs="Arial" w:eastAsia="Arial" w:hAnsi="Arial"/>
                  <w:sz w:val="18"/>
                  <w:szCs w:val="18"/>
                  <w:color w:val="0000FF"/>
                  <w:w w:val="86"/>
                </w:rPr>
                <w:t>Controls and Procedures</w:t>
              </w:r>
            </w:hyperlink>
          </w:p>
        </w:tc>
        <w:tc>
          <w:tcPr>
            <w:tcW w:w="4620" w:type="dxa"/>
            <w:vAlign w:val="bottom"/>
            <w:gridSpan w:val="19"/>
          </w:tcPr>
          <w:p>
            <w:pPr>
              <w:spacing w:after="0"/>
              <w:rPr>
                <w:sz w:val="17"/>
                <w:szCs w:val="17"/>
                <w:color w:val="auto"/>
              </w:rPr>
            </w:pPr>
          </w:p>
        </w:tc>
        <w:tc>
          <w:tcPr>
            <w:tcW w:w="2340" w:type="dxa"/>
            <w:vAlign w:val="bottom"/>
            <w:gridSpan w:val="3"/>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4">
              <w:r>
                <w:rPr>
                  <w:rFonts w:ascii="Arial" w:cs="Arial" w:eastAsia="Arial" w:hAnsi="Arial"/>
                  <w:sz w:val="18"/>
                  <w:szCs w:val="18"/>
                  <w:color w:val="0000FF"/>
                  <w:w w:val="86"/>
                </w:rPr>
                <w:t>146</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9B.</w:t>
            </w:r>
          </w:p>
        </w:tc>
        <w:tc>
          <w:tcPr>
            <w:tcW w:w="1300" w:type="dxa"/>
            <w:vAlign w:val="bottom"/>
            <w:gridSpan w:val="5"/>
          </w:tcPr>
          <w:p>
            <w:pPr>
              <w:spacing w:after="0" w:line="205" w:lineRule="exact"/>
              <w:rPr>
                <w:rFonts w:ascii="Arial" w:cs="Arial" w:eastAsia="Arial" w:hAnsi="Arial"/>
                <w:sz w:val="18"/>
                <w:szCs w:val="18"/>
                <w:color w:val="0000FF"/>
                <w:w w:val="91"/>
              </w:rPr>
            </w:pPr>
            <w:hyperlink w:anchor="page155">
              <w:r>
                <w:rPr>
                  <w:rFonts w:ascii="Arial" w:cs="Arial" w:eastAsia="Arial" w:hAnsi="Arial"/>
                  <w:sz w:val="18"/>
                  <w:szCs w:val="18"/>
                  <w:color w:val="0000FF"/>
                  <w:w w:val="91"/>
                </w:rPr>
                <w:t>Other Information</w:t>
              </w:r>
            </w:hyperlink>
          </w:p>
        </w:tc>
        <w:tc>
          <w:tcPr>
            <w:tcW w:w="440" w:type="dxa"/>
            <w:vAlign w:val="bottom"/>
            <w:gridSpan w:val="3"/>
          </w:tcPr>
          <w:p>
            <w:pPr>
              <w:spacing w:after="0"/>
              <w:rPr>
                <w:sz w:val="17"/>
                <w:szCs w:val="17"/>
                <w:color w:val="auto"/>
              </w:rPr>
            </w:pPr>
          </w:p>
        </w:tc>
        <w:tc>
          <w:tcPr>
            <w:tcW w:w="6960" w:type="dxa"/>
            <w:vAlign w:val="bottom"/>
            <w:gridSpan w:val="22"/>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5">
              <w:r>
                <w:rPr>
                  <w:rFonts w:ascii="Arial" w:cs="Arial" w:eastAsia="Arial" w:hAnsi="Arial"/>
                  <w:sz w:val="18"/>
                  <w:szCs w:val="18"/>
                  <w:color w:val="0000FF"/>
                  <w:w w:val="86"/>
                </w:rPr>
                <w:t>148</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2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9C.</w:t>
            </w:r>
          </w:p>
        </w:tc>
        <w:tc>
          <w:tcPr>
            <w:tcW w:w="8700" w:type="dxa"/>
            <w:vAlign w:val="bottom"/>
            <w:gridSpan w:val="30"/>
          </w:tcPr>
          <w:p>
            <w:pPr>
              <w:spacing w:after="0" w:line="205" w:lineRule="exact"/>
              <w:rPr>
                <w:rFonts w:ascii="Arial" w:cs="Arial" w:eastAsia="Arial" w:hAnsi="Arial"/>
                <w:sz w:val="18"/>
                <w:szCs w:val="18"/>
                <w:color w:val="0000FF"/>
              </w:rPr>
            </w:pPr>
            <w:hyperlink w:anchor="page156">
              <w:r>
                <w:rPr>
                  <w:rFonts w:ascii="Arial" w:cs="Arial" w:eastAsia="Arial" w:hAnsi="Arial"/>
                  <w:sz w:val="18"/>
                  <w:szCs w:val="18"/>
                  <w:color w:val="0000FF"/>
                </w:rPr>
                <w:t>Disclosure Regarding Foreign Jurisdictions that Prevent Inspections</w:t>
              </w:r>
            </w:hyperlink>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6">
              <w:r>
                <w:rPr>
                  <w:rFonts w:ascii="Arial" w:cs="Arial" w:eastAsia="Arial" w:hAnsi="Arial"/>
                  <w:sz w:val="18"/>
                  <w:szCs w:val="18"/>
                  <w:color w:val="0000FF"/>
                  <w:w w:val="86"/>
                </w:rPr>
                <w:t>148</w:t>
              </w:r>
            </w:hyperlink>
          </w:p>
        </w:tc>
      </w:tr>
      <w:tr>
        <w:trPr>
          <w:trHeight w:val="39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gridSpan w:val="9"/>
          </w:tcPr>
          <w:p>
            <w:pPr>
              <w:jc w:val="center"/>
              <w:ind w:right="140"/>
              <w:spacing w:after="0"/>
              <w:rPr>
                <w:rFonts w:ascii="Arial" w:cs="Arial" w:eastAsia="Arial" w:hAnsi="Arial"/>
                <w:sz w:val="18"/>
                <w:szCs w:val="18"/>
                <w:color w:val="0000FF"/>
                <w:w w:val="94"/>
              </w:rPr>
            </w:pPr>
            <w:hyperlink w:anchor="page156">
              <w:r>
                <w:rPr>
                  <w:rFonts w:ascii="Arial" w:cs="Arial" w:eastAsia="Arial" w:hAnsi="Arial"/>
                  <w:sz w:val="18"/>
                  <w:szCs w:val="18"/>
                  <w:color w:val="0000FF"/>
                  <w:w w:val="94"/>
                </w:rPr>
                <w:t>Part III</w:t>
              </w:r>
            </w:hyperlink>
          </w:p>
        </w:tc>
        <w:tc>
          <w:tcPr>
            <w:tcW w:w="39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10.</w:t>
            </w:r>
          </w:p>
        </w:tc>
        <w:tc>
          <w:tcPr>
            <w:tcW w:w="4120" w:type="dxa"/>
            <w:vAlign w:val="bottom"/>
            <w:gridSpan w:val="15"/>
          </w:tcPr>
          <w:p>
            <w:pPr>
              <w:spacing w:after="0" w:line="205" w:lineRule="exact"/>
              <w:rPr>
                <w:rFonts w:ascii="Arial" w:cs="Arial" w:eastAsia="Arial" w:hAnsi="Arial"/>
                <w:sz w:val="18"/>
                <w:szCs w:val="18"/>
                <w:color w:val="0000FF"/>
                <w:w w:val="91"/>
              </w:rPr>
            </w:pPr>
            <w:hyperlink w:anchor="page157">
              <w:r>
                <w:rPr>
                  <w:rFonts w:ascii="Arial" w:cs="Arial" w:eastAsia="Arial" w:hAnsi="Arial"/>
                  <w:sz w:val="18"/>
                  <w:szCs w:val="18"/>
                  <w:color w:val="0000FF"/>
                  <w:w w:val="91"/>
                </w:rPr>
                <w:t>Directors, Executive Officers and Corporate Governance</w:t>
              </w:r>
            </w:hyperlink>
          </w:p>
        </w:tc>
        <w:tc>
          <w:tcPr>
            <w:tcW w:w="20" w:type="dxa"/>
            <w:vAlign w:val="bottom"/>
          </w:tcPr>
          <w:p>
            <w:pPr>
              <w:spacing w:after="0"/>
              <w:rPr>
                <w:sz w:val="17"/>
                <w:szCs w:val="17"/>
                <w:color w:val="auto"/>
              </w:rPr>
            </w:pPr>
          </w:p>
        </w:tc>
        <w:tc>
          <w:tcPr>
            <w:tcW w:w="500" w:type="dxa"/>
            <w:vAlign w:val="bottom"/>
            <w:tcBorders>
              <w:top w:val="single" w:sz="8" w:color="0000FF"/>
            </w:tcBorders>
            <w:gridSpan w:val="7"/>
          </w:tcPr>
          <w:p>
            <w:pPr>
              <w:spacing w:after="0"/>
              <w:rPr>
                <w:sz w:val="17"/>
                <w:szCs w:val="17"/>
                <w:color w:val="auto"/>
              </w:rPr>
            </w:pPr>
          </w:p>
        </w:tc>
        <w:tc>
          <w:tcPr>
            <w:tcW w:w="4060" w:type="dxa"/>
            <w:vAlign w:val="bottom"/>
            <w:gridSpan w:val="7"/>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7">
              <w:r>
                <w:rPr>
                  <w:rFonts w:ascii="Arial" w:cs="Arial" w:eastAsia="Arial" w:hAnsi="Arial"/>
                  <w:sz w:val="18"/>
                  <w:szCs w:val="18"/>
                  <w:color w:val="0000FF"/>
                  <w:w w:val="86"/>
                </w:rPr>
                <w:t>149</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11.</w:t>
            </w:r>
          </w:p>
        </w:tc>
        <w:tc>
          <w:tcPr>
            <w:tcW w:w="1780" w:type="dxa"/>
            <w:vAlign w:val="bottom"/>
            <w:gridSpan w:val="9"/>
          </w:tcPr>
          <w:p>
            <w:pPr>
              <w:spacing w:after="0" w:line="205" w:lineRule="exact"/>
              <w:rPr>
                <w:rFonts w:ascii="Arial" w:cs="Arial" w:eastAsia="Arial" w:hAnsi="Arial"/>
                <w:sz w:val="18"/>
                <w:szCs w:val="18"/>
                <w:color w:val="0000FF"/>
                <w:w w:val="88"/>
              </w:rPr>
            </w:pPr>
            <w:hyperlink w:anchor="page157">
              <w:r>
                <w:rPr>
                  <w:rFonts w:ascii="Arial" w:cs="Arial" w:eastAsia="Arial" w:hAnsi="Arial"/>
                  <w:sz w:val="18"/>
                  <w:szCs w:val="18"/>
                  <w:color w:val="0000FF"/>
                  <w:w w:val="88"/>
                </w:rPr>
                <w:t>Executive Compensation</w:t>
              </w:r>
            </w:hyperlink>
          </w:p>
        </w:tc>
        <w:tc>
          <w:tcPr>
            <w:tcW w:w="2340" w:type="dxa"/>
            <w:vAlign w:val="bottom"/>
            <w:gridSpan w:val="6"/>
          </w:tcPr>
          <w:p>
            <w:pPr>
              <w:spacing w:after="0"/>
              <w:rPr>
                <w:sz w:val="17"/>
                <w:szCs w:val="17"/>
                <w:color w:val="auto"/>
              </w:rPr>
            </w:pPr>
          </w:p>
        </w:tc>
        <w:tc>
          <w:tcPr>
            <w:tcW w:w="4580" w:type="dxa"/>
            <w:vAlign w:val="bottom"/>
            <w:gridSpan w:val="15"/>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7">
              <w:r>
                <w:rPr>
                  <w:rFonts w:ascii="Arial" w:cs="Arial" w:eastAsia="Arial" w:hAnsi="Arial"/>
                  <w:sz w:val="18"/>
                  <w:szCs w:val="18"/>
                  <w:color w:val="0000FF"/>
                  <w:w w:val="86"/>
                </w:rPr>
                <w:t>149</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12.</w:t>
            </w:r>
          </w:p>
        </w:tc>
        <w:tc>
          <w:tcPr>
            <w:tcW w:w="7160" w:type="dxa"/>
            <w:vAlign w:val="bottom"/>
            <w:gridSpan w:val="28"/>
          </w:tcPr>
          <w:p>
            <w:pPr>
              <w:spacing w:after="0" w:line="205" w:lineRule="exact"/>
              <w:rPr>
                <w:rFonts w:ascii="Arial" w:cs="Arial" w:eastAsia="Arial" w:hAnsi="Arial"/>
                <w:sz w:val="18"/>
                <w:szCs w:val="18"/>
                <w:color w:val="0000FF"/>
                <w:w w:val="89"/>
              </w:rPr>
            </w:pPr>
            <w:hyperlink w:anchor="page157">
              <w:r>
                <w:rPr>
                  <w:rFonts w:ascii="Arial" w:cs="Arial" w:eastAsia="Arial" w:hAnsi="Arial"/>
                  <w:sz w:val="18"/>
                  <w:szCs w:val="18"/>
                  <w:color w:val="0000FF"/>
                  <w:w w:val="89"/>
                </w:rPr>
                <w:t>Security Ownership of Certain Beneficial Owners and Management and Related Stockholder Matters</w:t>
              </w:r>
            </w:hyperlink>
          </w:p>
        </w:tc>
        <w:tc>
          <w:tcPr>
            <w:tcW w:w="1540" w:type="dxa"/>
            <w:vAlign w:val="bottom"/>
            <w:gridSpan w:val="2"/>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7">
              <w:r>
                <w:rPr>
                  <w:rFonts w:ascii="Arial" w:cs="Arial" w:eastAsia="Arial" w:hAnsi="Arial"/>
                  <w:sz w:val="18"/>
                  <w:szCs w:val="18"/>
                  <w:color w:val="0000FF"/>
                  <w:w w:val="86"/>
                </w:rPr>
                <w:t>149</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13.</w:t>
            </w:r>
          </w:p>
        </w:tc>
        <w:tc>
          <w:tcPr>
            <w:tcW w:w="5360" w:type="dxa"/>
            <w:vAlign w:val="bottom"/>
            <w:gridSpan w:val="25"/>
          </w:tcPr>
          <w:p>
            <w:pPr>
              <w:spacing w:after="0" w:line="205" w:lineRule="exact"/>
              <w:rPr>
                <w:rFonts w:ascii="Arial" w:cs="Arial" w:eastAsia="Arial" w:hAnsi="Arial"/>
                <w:sz w:val="18"/>
                <w:szCs w:val="18"/>
                <w:color w:val="0000FF"/>
                <w:w w:val="87"/>
              </w:rPr>
            </w:pPr>
            <w:hyperlink w:anchor="page157">
              <w:r>
                <w:rPr>
                  <w:rFonts w:ascii="Arial" w:cs="Arial" w:eastAsia="Arial" w:hAnsi="Arial"/>
                  <w:sz w:val="18"/>
                  <w:szCs w:val="18"/>
                  <w:color w:val="0000FF"/>
                  <w:w w:val="87"/>
                </w:rPr>
                <w:t>Certain Relationships and Related Transactions, and Director Independence</w:t>
              </w:r>
            </w:hyperlink>
          </w:p>
        </w:tc>
        <w:tc>
          <w:tcPr>
            <w:tcW w:w="1800" w:type="dxa"/>
            <w:vAlign w:val="bottom"/>
            <w:gridSpan w:val="3"/>
          </w:tcPr>
          <w:p>
            <w:pPr>
              <w:spacing w:after="0"/>
              <w:rPr>
                <w:sz w:val="17"/>
                <w:szCs w:val="17"/>
                <w:color w:val="auto"/>
              </w:rPr>
            </w:pPr>
          </w:p>
        </w:tc>
        <w:tc>
          <w:tcPr>
            <w:tcW w:w="1540" w:type="dxa"/>
            <w:vAlign w:val="bottom"/>
            <w:gridSpan w:val="2"/>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7">
              <w:r>
                <w:rPr>
                  <w:rFonts w:ascii="Arial" w:cs="Arial" w:eastAsia="Arial" w:hAnsi="Arial"/>
                  <w:sz w:val="18"/>
                  <w:szCs w:val="18"/>
                  <w:color w:val="0000FF"/>
                  <w:w w:val="86"/>
                </w:rPr>
                <w:t>149</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520" w:type="dxa"/>
            <w:vAlign w:val="bottom"/>
            <w:gridSpan w:val="8"/>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14.</w:t>
            </w:r>
          </w:p>
        </w:tc>
        <w:tc>
          <w:tcPr>
            <w:tcW w:w="5360" w:type="dxa"/>
            <w:vAlign w:val="bottom"/>
            <w:gridSpan w:val="25"/>
          </w:tcPr>
          <w:p>
            <w:pPr>
              <w:spacing w:after="0" w:line="205" w:lineRule="exact"/>
              <w:rPr>
                <w:rFonts w:ascii="Arial" w:cs="Arial" w:eastAsia="Arial" w:hAnsi="Arial"/>
                <w:sz w:val="18"/>
                <w:szCs w:val="18"/>
                <w:color w:val="0000FF"/>
              </w:rPr>
            </w:pPr>
            <w:hyperlink w:anchor="page157">
              <w:r>
                <w:rPr>
                  <w:rFonts w:ascii="Arial" w:cs="Arial" w:eastAsia="Arial" w:hAnsi="Arial"/>
                  <w:sz w:val="18"/>
                  <w:szCs w:val="18"/>
                  <w:color w:val="0000FF"/>
                </w:rPr>
                <w:t>Principal Accountant Fees and Services</w:t>
              </w:r>
            </w:hyperlink>
          </w:p>
        </w:tc>
        <w:tc>
          <w:tcPr>
            <w:tcW w:w="3340" w:type="dxa"/>
            <w:vAlign w:val="bottom"/>
            <w:gridSpan w:val="5"/>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7">
              <w:r>
                <w:rPr>
                  <w:rFonts w:ascii="Arial" w:cs="Arial" w:eastAsia="Arial" w:hAnsi="Arial"/>
                  <w:sz w:val="18"/>
                  <w:szCs w:val="18"/>
                  <w:color w:val="0000FF"/>
                  <w:w w:val="86"/>
                </w:rPr>
                <w:t>149</w:t>
              </w:r>
            </w:hyperlink>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5"/>
          </w:tcPr>
          <w:p>
            <w:pPr>
              <w:jc w:val="center"/>
              <w:ind w:right="4060"/>
              <w:spacing w:after="0"/>
              <w:rPr>
                <w:rFonts w:ascii="Arial" w:cs="Arial" w:eastAsia="Arial" w:hAnsi="Arial"/>
                <w:sz w:val="18"/>
                <w:szCs w:val="18"/>
                <w:color w:val="0000FF"/>
                <w:w w:val="94"/>
              </w:rPr>
            </w:pPr>
            <w:hyperlink w:anchor="page157">
              <w:r>
                <w:rPr>
                  <w:rFonts w:ascii="Arial" w:cs="Arial" w:eastAsia="Arial" w:hAnsi="Arial"/>
                  <w:sz w:val="18"/>
                  <w:szCs w:val="18"/>
                  <w:color w:val="0000FF"/>
                  <w:w w:val="94"/>
                </w:rPr>
                <w:t>Part IV</w:t>
              </w:r>
            </w:hyperlink>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15.</w:t>
            </w:r>
          </w:p>
        </w:tc>
        <w:tc>
          <w:tcPr>
            <w:tcW w:w="3040" w:type="dxa"/>
            <w:vAlign w:val="bottom"/>
            <w:gridSpan w:val="12"/>
          </w:tcPr>
          <w:p>
            <w:pPr>
              <w:spacing w:after="0" w:line="205" w:lineRule="exact"/>
              <w:rPr>
                <w:rFonts w:ascii="Arial" w:cs="Arial" w:eastAsia="Arial" w:hAnsi="Arial"/>
                <w:sz w:val="18"/>
                <w:szCs w:val="18"/>
                <w:color w:val="0000FF"/>
                <w:w w:val="88"/>
              </w:rPr>
            </w:pPr>
            <w:hyperlink w:anchor="page158">
              <w:r>
                <w:rPr>
                  <w:rFonts w:ascii="Arial" w:cs="Arial" w:eastAsia="Arial" w:hAnsi="Arial"/>
                  <w:sz w:val="18"/>
                  <w:szCs w:val="18"/>
                  <w:color w:val="0000FF"/>
                  <w:w w:val="88"/>
                </w:rPr>
                <w:t>Exhibit and Financial Statement Schedules</w:t>
              </w:r>
            </w:hyperlink>
          </w:p>
        </w:tc>
        <w:tc>
          <w:tcPr>
            <w:tcW w:w="1080" w:type="dxa"/>
            <w:vAlign w:val="bottom"/>
            <w:gridSpan w:val="3"/>
          </w:tcPr>
          <w:p>
            <w:pPr>
              <w:spacing w:after="0"/>
              <w:rPr>
                <w:sz w:val="17"/>
                <w:szCs w:val="17"/>
                <w:color w:val="auto"/>
              </w:rPr>
            </w:pPr>
          </w:p>
        </w:tc>
        <w:tc>
          <w:tcPr>
            <w:tcW w:w="520" w:type="dxa"/>
            <w:vAlign w:val="bottom"/>
            <w:tcBorders>
              <w:top w:val="single" w:sz="8" w:color="0000FF"/>
            </w:tcBorders>
            <w:gridSpan w:val="8"/>
          </w:tcPr>
          <w:p>
            <w:pPr>
              <w:spacing w:after="0"/>
              <w:rPr>
                <w:sz w:val="17"/>
                <w:szCs w:val="17"/>
                <w:color w:val="auto"/>
              </w:rPr>
            </w:pPr>
          </w:p>
        </w:tc>
        <w:tc>
          <w:tcPr>
            <w:tcW w:w="4060" w:type="dxa"/>
            <w:vAlign w:val="bottom"/>
            <w:gridSpan w:val="7"/>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58">
              <w:r>
                <w:rPr>
                  <w:rFonts w:ascii="Arial" w:cs="Arial" w:eastAsia="Arial" w:hAnsi="Arial"/>
                  <w:sz w:val="18"/>
                  <w:szCs w:val="18"/>
                  <w:color w:val="0000FF"/>
                  <w:w w:val="86"/>
                </w:rPr>
                <w:t>150</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660" w:type="dxa"/>
            <w:vAlign w:val="bottom"/>
            <w:gridSpan w:val="18"/>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Arial" w:cs="Arial" w:eastAsia="Arial" w:hAnsi="Arial"/>
                <w:sz w:val="18"/>
                <w:szCs w:val="18"/>
                <w:color w:val="auto"/>
              </w:rPr>
              <w:t>Item 16.</w:t>
            </w:r>
          </w:p>
        </w:tc>
        <w:tc>
          <w:tcPr>
            <w:tcW w:w="3040" w:type="dxa"/>
            <w:vAlign w:val="bottom"/>
            <w:gridSpan w:val="12"/>
          </w:tcPr>
          <w:p>
            <w:pPr>
              <w:spacing w:after="0" w:line="205" w:lineRule="exact"/>
              <w:rPr>
                <w:rFonts w:ascii="Arial" w:cs="Arial" w:eastAsia="Arial" w:hAnsi="Arial"/>
                <w:sz w:val="18"/>
                <w:szCs w:val="18"/>
                <w:color w:val="0000FF"/>
              </w:rPr>
            </w:pPr>
            <w:hyperlink w:anchor="page161">
              <w:r>
                <w:rPr>
                  <w:rFonts w:ascii="Arial" w:cs="Arial" w:eastAsia="Arial" w:hAnsi="Arial"/>
                  <w:sz w:val="18"/>
                  <w:szCs w:val="18"/>
                  <w:color w:val="0000FF"/>
                </w:rPr>
                <w:t>Form 10-K Summary</w:t>
              </w:r>
            </w:hyperlink>
          </w:p>
        </w:tc>
        <w:tc>
          <w:tcPr>
            <w:tcW w:w="5660" w:type="dxa"/>
            <w:vAlign w:val="bottom"/>
            <w:gridSpan w:val="18"/>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61">
              <w:r>
                <w:rPr>
                  <w:rFonts w:ascii="Arial" w:cs="Arial" w:eastAsia="Arial" w:hAnsi="Arial"/>
                  <w:sz w:val="18"/>
                  <w:szCs w:val="18"/>
                  <w:color w:val="0000FF"/>
                  <w:w w:val="86"/>
                </w:rPr>
                <w:t>154</w:t>
              </w:r>
            </w:hyperlink>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7180" w:type="dxa"/>
            <w:vAlign w:val="bottom"/>
            <w:gridSpan w:val="23"/>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rPr>
                <w:sz w:val="17"/>
                <w:szCs w:val="17"/>
                <w:color w:val="auto"/>
              </w:rPr>
            </w:pPr>
          </w:p>
        </w:tc>
        <w:tc>
          <w:tcPr>
            <w:tcW w:w="1520" w:type="dxa"/>
            <w:vAlign w:val="bottom"/>
            <w:gridSpan w:val="7"/>
          </w:tcPr>
          <w:p>
            <w:pPr>
              <w:spacing w:after="0" w:line="205" w:lineRule="exact"/>
              <w:rPr>
                <w:rFonts w:ascii="Arial" w:cs="Arial" w:eastAsia="Arial" w:hAnsi="Arial"/>
                <w:sz w:val="18"/>
                <w:szCs w:val="18"/>
                <w:color w:val="0000FF"/>
              </w:rPr>
            </w:pPr>
            <w:hyperlink w:anchor="page162">
              <w:r>
                <w:rPr>
                  <w:rFonts w:ascii="Arial" w:cs="Arial" w:eastAsia="Arial" w:hAnsi="Arial"/>
                  <w:sz w:val="18"/>
                  <w:szCs w:val="18"/>
                  <w:color w:val="0000FF"/>
                </w:rPr>
                <w:t>Signatures</w:t>
              </w:r>
            </w:hyperlink>
          </w:p>
        </w:tc>
        <w:tc>
          <w:tcPr>
            <w:tcW w:w="7180" w:type="dxa"/>
            <w:vAlign w:val="bottom"/>
            <w:gridSpan w:val="23"/>
          </w:tcPr>
          <w:p>
            <w:pPr>
              <w:spacing w:after="0"/>
              <w:rPr>
                <w:sz w:val="17"/>
                <w:szCs w:val="17"/>
                <w:color w:val="auto"/>
              </w:rPr>
            </w:pPr>
          </w:p>
        </w:tc>
        <w:tc>
          <w:tcPr>
            <w:tcW w:w="1060" w:type="dxa"/>
            <w:vAlign w:val="bottom"/>
            <w:gridSpan w:val="5"/>
          </w:tcPr>
          <w:p>
            <w:pPr>
              <w:jc w:val="center"/>
              <w:ind w:left="673"/>
              <w:spacing w:after="0" w:line="205" w:lineRule="exact"/>
              <w:rPr>
                <w:rFonts w:ascii="Arial" w:cs="Arial" w:eastAsia="Arial" w:hAnsi="Arial"/>
                <w:sz w:val="18"/>
                <w:szCs w:val="18"/>
                <w:color w:val="0000FF"/>
                <w:w w:val="86"/>
              </w:rPr>
            </w:pPr>
            <w:hyperlink w:anchor="page162">
              <w:r>
                <w:rPr>
                  <w:rFonts w:ascii="Arial" w:cs="Arial" w:eastAsia="Arial" w:hAnsi="Arial"/>
                  <w:sz w:val="18"/>
                  <w:szCs w:val="18"/>
                  <w:color w:val="0000FF"/>
                  <w:w w:val="86"/>
                </w:rPr>
                <w:t>155</w:t>
              </w:r>
            </w:hyperlink>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166370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80"/>
          </w:cols>
          <w:pgMar w:left="340" w:top="1393" w:right="5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GLOSSARY</w:t>
      </w:r>
    </w:p>
    <w:p>
      <w:pPr>
        <w:spacing w:after="0" w:line="170"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As used in this annual report on Form 10-K (this “</w:t>
      </w:r>
      <w:r>
        <w:rPr>
          <w:rFonts w:ascii="Arial" w:cs="Arial" w:eastAsia="Arial" w:hAnsi="Arial"/>
          <w:sz w:val="15"/>
          <w:szCs w:val="15"/>
          <w:u w:val="single" w:color="auto"/>
          <w:color w:val="auto"/>
        </w:rPr>
        <w:t>Form 10-K</w:t>
      </w:r>
      <w:r>
        <w:rPr>
          <w:rFonts w:ascii="Arial" w:cs="Arial" w:eastAsia="Arial" w:hAnsi="Arial"/>
          <w:sz w:val="15"/>
          <w:szCs w:val="15"/>
          <w:color w:val="auto"/>
        </w:rPr>
        <w:t>”), the terms identified below have the meanings specified below unless otherwise noted or the context indicates otherwise. References in this Form 10-K to “ZoomInfo Technologies Inc.” refer to ZoomInfo Technologies Inc. (formerly known as ZoomInfo NewCo Inc.) and not to any of its subsidiaries unless the context indicates otherwise. References in this Form 10-K to “ZoomInfo,” the “Company,” “we,” “us,” and “our”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 unless the context indicates otherwise</w:t>
      </w:r>
    </w:p>
    <w:p>
      <w:pPr>
        <w:spacing w:after="0" w:line="104" w:lineRule="exact"/>
        <w:rPr>
          <w:sz w:val="20"/>
          <w:szCs w:val="20"/>
          <w:color w:val="auto"/>
        </w:rPr>
      </w:pPr>
    </w:p>
    <w:p>
      <w:pPr>
        <w:ind w:left="640" w:hanging="316"/>
        <w:spacing w:after="0" w:line="252"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ACV</w:t>
      </w:r>
      <w:r>
        <w:rPr>
          <w:rFonts w:ascii="Arial" w:cs="Arial" w:eastAsia="Arial" w:hAnsi="Arial"/>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40" w:hanging="316"/>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Blocker Companies</w:t>
      </w:r>
      <w:r>
        <w:rPr>
          <w:rFonts w:ascii="Arial" w:cs="Arial" w:eastAsia="Arial" w:hAnsi="Arial"/>
          <w:sz w:val="15"/>
          <w:szCs w:val="15"/>
          <w:color w:val="auto"/>
        </w:rPr>
        <w:t>” refers to certain of our Pre-IPO OpCo Unitholders that are taxable as corporations for U.S. federal income tax purposes.</w:t>
      </w:r>
    </w:p>
    <w:p>
      <w:pPr>
        <w:spacing w:after="0" w:line="39" w:lineRule="exact"/>
        <w:rPr>
          <w:rFonts w:ascii="Arial" w:cs="Arial" w:eastAsia="Arial" w:hAnsi="Arial"/>
          <w:sz w:val="15"/>
          <w:szCs w:val="15"/>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Blocker Mergers</w:t>
      </w:r>
      <w:r>
        <w:rPr>
          <w:rFonts w:ascii="Arial" w:cs="Arial" w:eastAsia="Arial" w:hAnsi="Arial"/>
          <w:sz w:val="18"/>
          <w:szCs w:val="18"/>
          <w:color w:val="auto"/>
        </w:rPr>
        <w:t>” refers to the mergers described under “Reorganization Transactions” in Note 1 - Organization and Background to our audited consolidated financial statements included in Part II, Item 8 of this Form 10-K.</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Carlyle</w:t>
      </w:r>
      <w:r>
        <w:rPr>
          <w:rFonts w:ascii="Arial" w:cs="Arial" w:eastAsia="Arial" w:hAnsi="Arial"/>
          <w:sz w:val="18"/>
          <w:szCs w:val="18"/>
          <w:color w:val="auto"/>
        </w:rPr>
        <w:t>” refers to investment funds associated with The Carlyle Group.</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P Units</w:t>
      </w:r>
      <w:r>
        <w:rPr>
          <w:rFonts w:ascii="Arial" w:cs="Arial" w:eastAsia="Arial" w:hAnsi="Arial"/>
          <w:sz w:val="18"/>
          <w:szCs w:val="18"/>
          <w:color w:val="auto"/>
        </w:rPr>
        <w:t>” refers to Class P Units (including, without limitation, any indirectly held Class P Units) of ZoomInfo OpCo.</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Class P Unitholders</w:t>
      </w:r>
      <w:r>
        <w:rPr>
          <w:rFonts w:ascii="Arial" w:cs="Arial" w:eastAsia="Arial" w:hAnsi="Arial"/>
          <w:sz w:val="18"/>
          <w:szCs w:val="18"/>
          <w:color w:val="auto"/>
        </w:rPr>
        <w:t>” refers to certain Pre-IPO Owners who continued to hold Class P Units following the consummation of the Reorganization Transactions and the IPO.</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Members</w:t>
      </w:r>
      <w:r>
        <w:rPr>
          <w:rFonts w:ascii="Arial" w:cs="Arial" w:eastAsia="Arial" w:hAnsi="Arial"/>
          <w:sz w:val="18"/>
          <w:szCs w:val="18"/>
          <w:color w:val="auto"/>
        </w:rPr>
        <w:t>” refers to Pre-IPO Owners who continue to hold HoldCo Units or OpCo Units following the Reorganization Transactions and the IPO.</w:t>
      </w:r>
    </w:p>
    <w:p>
      <w:pPr>
        <w:spacing w:after="0" w:line="1"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Customers</w:t>
      </w:r>
      <w:r>
        <w:rPr>
          <w:rFonts w:ascii="Arial" w:cs="Arial" w:eastAsia="Arial" w:hAnsi="Arial"/>
          <w:sz w:val="15"/>
          <w:szCs w:val="15"/>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spacing w:after="0" w:line="1" w:lineRule="exact"/>
        <w:rPr>
          <w:rFonts w:ascii="Arial" w:cs="Arial" w:eastAsia="Arial" w:hAnsi="Arial"/>
          <w:sz w:val="15"/>
          <w:szCs w:val="15"/>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Tax Receivable Agreement</w:t>
      </w:r>
      <w:r>
        <w:rPr>
          <w:rFonts w:ascii="Arial" w:cs="Arial" w:eastAsia="Arial" w:hAnsi="Arial"/>
          <w:sz w:val="18"/>
          <w:szCs w:val="18"/>
          <w:color w:val="auto"/>
        </w:rPr>
        <w:t>” refers to the tax receivable agreement entered into with certain Pre-IPO OpCo Unitholders.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refers to Henry Schuck, our Chief Executive Officer, and Kirk Brown.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HoldCo Units</w:t>
      </w:r>
      <w:r>
        <w:rPr>
          <w:rFonts w:ascii="Arial" w:cs="Arial" w:eastAsia="Arial" w:hAnsi="Arial"/>
          <w:sz w:val="18"/>
          <w:szCs w:val="18"/>
          <w:color w:val="auto"/>
        </w:rPr>
        <w:t>” refers to the class of units of ZoomInfo HoldCo.</w:t>
      </w:r>
    </w:p>
    <w:p>
      <w:pPr>
        <w:spacing w:after="0" w:line="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Holding Company Reorganization</w:t>
      </w:r>
      <w:r>
        <w:rPr>
          <w:rFonts w:ascii="Arial" w:cs="Arial" w:eastAsia="Arial" w:hAnsi="Arial"/>
          <w:sz w:val="15"/>
          <w:szCs w:val="15"/>
          <w:color w:val="auto"/>
        </w:rPr>
        <w:t>” refers to the transactions described under “UP-C Corporate Structure and Multi-Class Voting Structure Elimination” in Note 1 - Organization and Background to our audited consolidated financial statements included in Part II, Item 8 of this Form 10-K.</w:t>
      </w:r>
    </w:p>
    <w:p>
      <w:pPr>
        <w:spacing w:after="0" w:line="1" w:lineRule="exact"/>
        <w:rPr>
          <w:rFonts w:ascii="Arial" w:cs="Arial" w:eastAsia="Arial" w:hAnsi="Arial"/>
          <w:sz w:val="15"/>
          <w:szCs w:val="15"/>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w:t>
      </w:r>
      <w:r>
        <w:rPr>
          <w:rFonts w:ascii="Arial" w:cs="Arial" w:eastAsia="Arial" w:hAnsi="Arial"/>
          <w:sz w:val="18"/>
          <w:szCs w:val="18"/>
          <w:color w:val="auto"/>
        </w:rPr>
        <w:t>” and “</w:t>
      </w:r>
      <w:r>
        <w:rPr>
          <w:rFonts w:ascii="Arial" w:cs="Arial" w:eastAsia="Arial" w:hAnsi="Arial"/>
          <w:sz w:val="18"/>
          <w:szCs w:val="18"/>
          <w:u w:val="single" w:color="auto"/>
          <w:color w:val="auto"/>
        </w:rPr>
        <w:t>HSKB I</w:t>
      </w:r>
      <w:r>
        <w:rPr>
          <w:rFonts w:ascii="Arial" w:cs="Arial" w:eastAsia="Arial" w:hAnsi="Arial"/>
          <w:sz w:val="18"/>
          <w:szCs w:val="18"/>
          <w:color w:val="auto"/>
        </w:rPr>
        <w:t>” refers to HSKB Funds, LLC, a privately held limited liability company formed on February 9, 2016 for the purpose of issuing equity to certain persons who had performed and would continue to perform services for ZoomInfo OpCo.</w:t>
      </w:r>
    </w:p>
    <w:p>
      <w:pPr>
        <w:spacing w:after="0" w:line="1" w:lineRule="exact"/>
        <w:rPr>
          <w:rFonts w:ascii="Arial" w:cs="Arial" w:eastAsia="Arial" w:hAnsi="Arial"/>
          <w:sz w:val="18"/>
          <w:szCs w:val="18"/>
          <w:color w:val="auto"/>
        </w:rPr>
      </w:pPr>
    </w:p>
    <w:p>
      <w:pPr>
        <w:jc w:val="both"/>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HSKB II</w:t>
      </w:r>
      <w:r>
        <w:rPr>
          <w:rFonts w:ascii="Arial" w:cs="Arial" w:eastAsia="Arial" w:hAnsi="Arial"/>
          <w:sz w:val="18"/>
          <w:szCs w:val="18"/>
          <w:color w:val="auto"/>
        </w:rPr>
        <w:t>” refer to HSKB Funds II, LLC, a privately held limited liability company formed on May 28, 2020 for the purpose of effecting a reorganization of HSKB I at the time of the IPO and to issue equity to certain persons who had performed and would continue to perform services for ZoomInfo OpCo.</w:t>
      </w:r>
    </w:p>
    <w:p>
      <w:pPr>
        <w:spacing w:after="0" w:line="2"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refers to the initial public offering of Class A common stock of ZoomInfo Intermediate.</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Units</w:t>
      </w:r>
      <w:r>
        <w:rPr>
          <w:rFonts w:ascii="Arial" w:cs="Arial" w:eastAsia="Arial" w:hAnsi="Arial"/>
          <w:sz w:val="18"/>
          <w:szCs w:val="18"/>
          <w:color w:val="auto"/>
        </w:rPr>
        <w:t>” refers to a class of partnership units that are intended to qualify as “profit interests” in ZoomInfo OpCo for federal income tax purposes that, subject to certain conditions, including vesting, are convertible by the holder into OpCo Units.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NeverBounce</w:t>
      </w:r>
      <w:r>
        <w:rPr>
          <w:rFonts w:ascii="Arial" w:cs="Arial" w:eastAsia="Arial" w:hAnsi="Arial"/>
          <w:sz w:val="18"/>
          <w:szCs w:val="18"/>
          <w:color w:val="auto"/>
        </w:rPr>
        <w:t>” refers to Metrics Delivered LLC.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OpCo Units</w:t>
      </w:r>
      <w:r>
        <w:rPr>
          <w:rFonts w:ascii="Arial" w:cs="Arial" w:eastAsia="Arial" w:hAnsi="Arial"/>
          <w:sz w:val="18"/>
          <w:szCs w:val="18"/>
          <w:color w:val="auto"/>
        </w:rPr>
        <w:t>” refers to the class of units of ZoomInfo OpCo and does not include Class P Units.</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refers to the Public Company Accounting Oversight Board.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Pre-Acquisition ZI</w:t>
      </w:r>
      <w:r>
        <w:rPr>
          <w:rFonts w:ascii="Arial" w:cs="Arial" w:eastAsia="Arial" w:hAnsi="Arial"/>
          <w:sz w:val="18"/>
          <w:szCs w:val="18"/>
          <w:color w:val="auto"/>
        </w:rPr>
        <w:t>” refers to Zoom Information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Pre-IPO Blocker Holders</w:t>
      </w:r>
      <w:r>
        <w:rPr>
          <w:rFonts w:ascii="Arial" w:cs="Arial" w:eastAsia="Arial" w:hAnsi="Arial"/>
          <w:sz w:val="15"/>
          <w:szCs w:val="15"/>
          <w:color w:val="auto"/>
        </w:rPr>
        <w:t>” refers to the Pre-IPO Owners that held their interests in us through the Blocker Companies immediately prior to the IPO.</w:t>
      </w:r>
    </w:p>
    <w:p>
      <w:pPr>
        <w:spacing w:after="0" w:line="50" w:lineRule="exact"/>
        <w:rPr>
          <w:rFonts w:ascii="Arial" w:cs="Arial" w:eastAsia="Arial" w:hAnsi="Arial"/>
          <w:sz w:val="15"/>
          <w:szCs w:val="15"/>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HoldCo Unitholders</w:t>
      </w:r>
      <w:r>
        <w:rPr>
          <w:rFonts w:ascii="Arial" w:cs="Arial" w:eastAsia="Arial" w:hAnsi="Arial"/>
          <w:sz w:val="18"/>
          <w:szCs w:val="18"/>
          <w:color w:val="auto"/>
        </w:rPr>
        <w:t>” refers to the Pre-IPO Owners that held HoldCo Units immediately prior to the IPO.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OpCo Unitholders</w:t>
      </w:r>
      <w:r>
        <w:rPr>
          <w:rFonts w:ascii="Arial" w:cs="Arial" w:eastAsia="Arial" w:hAnsi="Arial"/>
          <w:sz w:val="18"/>
          <w:szCs w:val="18"/>
          <w:color w:val="auto"/>
        </w:rPr>
        <w:t>” refers to the Pre-IPO Owners that held OpCo Units immediately prior to the IPO.</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Pre-IPO Owners</w:t>
      </w:r>
      <w:r>
        <w:rPr>
          <w:rFonts w:ascii="Arial" w:cs="Arial" w:eastAsia="Arial" w:hAnsi="Arial"/>
          <w:sz w:val="18"/>
          <w:szCs w:val="18"/>
          <w:color w:val="auto"/>
        </w:rPr>
        <w:t>” refers collectively to the Sponsors, the Founders, and the management and other equity holders who were the owners of ZoomInfo OpCo immediately prior to the Reorganization Transactions.</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RainKing</w:t>
      </w:r>
      <w:r>
        <w:rPr>
          <w:rFonts w:ascii="Arial" w:cs="Arial" w:eastAsia="Arial" w:hAnsi="Arial"/>
          <w:sz w:val="18"/>
          <w:szCs w:val="18"/>
          <w:color w:val="auto"/>
        </w:rPr>
        <w:t>” refers to Rain King Software, Inc.</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Tax Receivable Agreement</w:t>
      </w:r>
      <w:r>
        <w:rPr>
          <w:rFonts w:ascii="Arial" w:cs="Arial" w:eastAsia="Arial" w:hAnsi="Arial"/>
          <w:sz w:val="18"/>
          <w:szCs w:val="18"/>
          <w:color w:val="auto"/>
        </w:rPr>
        <w:t>” refers to the tax receivable agreement entered into with the Pre-IPO Blocker Holders.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Transactions</w:t>
      </w:r>
      <w:r>
        <w:rPr>
          <w:rFonts w:ascii="Arial" w:cs="Arial" w:eastAsia="Arial" w:hAnsi="Arial"/>
          <w:sz w:val="18"/>
          <w:szCs w:val="18"/>
          <w:color w:val="auto"/>
        </w:rPr>
        <w:t>” refers to the transactions described under “Reorganization Transactions” in Note 1 - Organization and Background to our audited consolidated financial statements included in Part II, Item 8 of this Form 10-K.</w:t>
      </w:r>
    </w:p>
    <w:p>
      <w:pPr>
        <w:spacing w:after="0" w:line="1"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refers to the Securities and Exchange Commission.</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refers to the Securities Act of 1933, as amended.</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A Preferred Units</w:t>
      </w:r>
      <w:r>
        <w:rPr>
          <w:rFonts w:ascii="Arial" w:cs="Arial" w:eastAsia="Arial" w:hAnsi="Arial"/>
          <w:sz w:val="18"/>
          <w:szCs w:val="18"/>
          <w:color w:val="auto"/>
        </w:rPr>
        <w:t>” refers to the Series A preferred units of ZoomInfo OpCo outstanding immediately prior to the IPO.</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Sponsors</w:t>
      </w:r>
      <w:r>
        <w:rPr>
          <w:rFonts w:ascii="Arial" w:cs="Arial" w:eastAsia="Arial" w:hAnsi="Arial"/>
          <w:sz w:val="18"/>
          <w:szCs w:val="18"/>
          <w:color w:val="auto"/>
        </w:rPr>
        <w:t>” refers collectively to TA Associates, Carlyle, and investment funds associated with 22C Capital LLC and its predecessor.</w:t>
      </w:r>
    </w:p>
    <w:p>
      <w:pPr>
        <w:spacing w:after="0" w:line="5"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 Associates</w:t>
      </w:r>
      <w:r>
        <w:rPr>
          <w:rFonts w:ascii="Arial" w:cs="Arial" w:eastAsia="Arial" w:hAnsi="Arial"/>
          <w:sz w:val="18"/>
          <w:szCs w:val="18"/>
          <w:color w:val="auto"/>
        </w:rPr>
        <w:t>” refers to investment funds associated with TA Associates.</w:t>
      </w:r>
    </w:p>
    <w:p>
      <w:pPr>
        <w:spacing w:after="0" w:line="5"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Agreements</w:t>
      </w:r>
      <w:r>
        <w:rPr>
          <w:rFonts w:ascii="Arial" w:cs="Arial" w:eastAsia="Arial" w:hAnsi="Arial"/>
          <w:sz w:val="18"/>
          <w:szCs w:val="18"/>
          <w:color w:val="auto"/>
        </w:rPr>
        <w:t>” or “</w:t>
      </w:r>
      <w:r>
        <w:rPr>
          <w:rFonts w:ascii="Arial" w:cs="Arial" w:eastAsia="Arial" w:hAnsi="Arial"/>
          <w:sz w:val="18"/>
          <w:szCs w:val="18"/>
          <w:u w:val="single" w:color="auto"/>
          <w:color w:val="auto"/>
        </w:rPr>
        <w:t>TRA</w:t>
      </w:r>
      <w:r>
        <w:rPr>
          <w:rFonts w:ascii="Arial" w:cs="Arial" w:eastAsia="Arial" w:hAnsi="Arial"/>
          <w:sz w:val="18"/>
          <w:szCs w:val="18"/>
          <w:color w:val="auto"/>
        </w:rPr>
        <w:t>” refers collectively to the Exchange Tax Receivable Agreement and the Reorganization Tax Receivable Agreement.</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HoldCo</w:t>
      </w:r>
      <w:r>
        <w:rPr>
          <w:rFonts w:ascii="Arial" w:cs="Arial" w:eastAsia="Arial" w:hAnsi="Arial"/>
          <w:sz w:val="18"/>
          <w:szCs w:val="18"/>
          <w:color w:val="auto"/>
        </w:rPr>
        <w:t>” refers to ZoomInfo Intermediate Holdings LLC, a Delaware limited liability company, and a direct subsidiary of ZoomInfo Intermediate.</w:t>
      </w:r>
    </w:p>
    <w:p>
      <w:pPr>
        <w:spacing w:after="0" w:line="1" w:lineRule="exact"/>
        <w:rPr>
          <w:rFonts w:ascii="Arial" w:cs="Arial" w:eastAsia="Arial" w:hAnsi="Arial"/>
          <w:sz w:val="18"/>
          <w:szCs w:val="18"/>
          <w:color w:val="auto"/>
        </w:rPr>
      </w:pPr>
    </w:p>
    <w:p>
      <w:pPr>
        <w:ind w:left="640" w:hanging="316"/>
        <w:spacing w:after="0" w:line="245"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ZoomInfo Intermediate</w:t>
      </w:r>
      <w:r>
        <w:rPr>
          <w:rFonts w:ascii="Arial" w:cs="Arial" w:eastAsia="Arial" w:hAnsi="Arial"/>
          <w:sz w:val="18"/>
          <w:szCs w:val="18"/>
          <w:color w:val="auto"/>
        </w:rPr>
        <w:t>” refers to ZoomInfo Intermediate Inc. (formerly known as ZoomInfo Technologies Inc.), a Delaware corporation, and a direct subsidiary of ZoomInfo Technologies Inc. (formerly known as ZoomInfo NewCo Inc.).</w:t>
      </w:r>
    </w:p>
    <w:p>
      <w:pPr>
        <w:spacing w:after="0" w:line="1"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ZoomInfo OpCo</w:t>
      </w:r>
      <w:r>
        <w:rPr>
          <w:rFonts w:ascii="Arial" w:cs="Arial" w:eastAsia="Arial" w:hAnsi="Arial"/>
          <w:sz w:val="17"/>
          <w:szCs w:val="17"/>
          <w:color w:val="auto"/>
        </w:rPr>
        <w:t>” refers to ZoomInfo Holdings LLC (formerly known as DiscoverOrg Holdings, LLC), a Delaware limited liability company, and a direct subsidiary of ZoomInfo Technologies Inc. (formerly known as ZoomInfo NewCo Inc.) and ZoomInfo Intermediate.</w:t>
      </w:r>
    </w:p>
    <w:p>
      <w:pPr>
        <w:ind w:left="640" w:hanging="316"/>
        <w:spacing w:after="0"/>
        <w:tabs>
          <w:tab w:leader="none" w:pos="6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ZoomInfo Tax Group</w:t>
      </w:r>
      <w:r>
        <w:rPr>
          <w:rFonts w:ascii="Arial" w:cs="Arial" w:eastAsia="Arial" w:hAnsi="Arial"/>
          <w:sz w:val="15"/>
          <w:szCs w:val="15"/>
          <w:color w:val="auto"/>
        </w:rPr>
        <w:t>" refers to, collectively, ZoomInfo Intermediate or any member of its affiliated, consolidated, combined, or unitary tax group.</w:t>
      </w:r>
    </w:p>
    <w:p>
      <w:pPr>
        <w:spacing w:after="0" w:line="24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Until the end of 2021, we were an “emerging growth company” as defined in Section 2(a) of the Securities Act of 1933, as amended, as modified by the Jumpstart Our Business Startups Act of 2012. Based on the aggregate market value of our Class A common stock held by non-affiliates as of June 30, 2021, we no longer qualify as an “emerging growth company” and are no longer exempt from various reporting requirements applicable to other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70"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Annual Report on Form 10-K contains forward-looking statements that reflect our current views with respect to, among other things, our operations and financial performance. These forward-looking statements are included throughout this Annual Report on Form 10-K, including in the sections entitled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0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based our forward-looking statements on our management’s beliefs and assumptions based on information available to our management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 A summary of some of the factors that could cause actual results to differ from those expressed or implied by our forward-looking statements, including forward-looking statements contained in this Annual Report on Form 10-K, is provided below under “Risk Factor Summary.” These factors should not be construed as exhaustive and should be read in conjunction with the other cautionary statements that are included in this Annual Report on Form 10-K and our other filings with the SEC.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subject to various risks that could have a material adverse impact on our financial position, results of operations or cash flows. The following is a summary of the principal factors that make investing in our securities risky and may cause our actual results to differ materially from forward-looking statements included in this Annual Report on Form 10-K. The following is only a summary of the principal risks that may materially adversely affect our business, financial condition, results of operations and cash flows and should be read in conjunction with the more complete discussion of the risk factors we face, which are set forth in the section entitled “Risk Factors” in Part I, Item 1A. in this report:</w:t>
      </w:r>
    </w:p>
    <w:p>
      <w:pPr>
        <w:spacing w:after="0" w:line="128" w:lineRule="exact"/>
        <w:rPr>
          <w:sz w:val="20"/>
          <w:szCs w:val="20"/>
          <w:color w:val="auto"/>
        </w:rPr>
      </w:pPr>
    </w:p>
    <w:p>
      <w:pPr>
        <w:ind w:left="640" w:hanging="316"/>
        <w:spacing w:after="0" w:line="26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ongoing COVID-19 pandemic, including the global economic uncertainty and measures taken in response, could materially impact our business and future results of operations;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larger well-funded companies may shift their existing business models to become more competitive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hanging="316"/>
        <w:spacing w:after="0" w:line="277"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provide or adapt our platform for changes in laws and regulations or public perception, or changes in the enforcement of such laws, relating to data privacy, which could impact our ability to efficiently gather, process, update and/or provide some or all of the information we currently provide or the ability of our customers and users to use some or all of our products and services;</w:t>
      </w:r>
    </w:p>
    <w:p>
      <w:pPr>
        <w:spacing w:after="0" w:line="118"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experience competition from companies that more effectively cater to our customers by offering more tailored products or platforms at lower costs;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general economic and market conditions may reduce spending on sales and marketing, which could harm our revenue, results of operations and cash flows;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decline in demand for sales and marketing subscription platforms could negatively impact our business;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are unable to improve our technology and keep up with new processes for data collection, organization, and cleansing, competing products and services could surpass ours;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provide a highly accurate, reliable, and comprehensive platform moving forward, which could cause a reduction in demand for our products and services;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rely on third-party systems that we do not control to integrate with our system and we may be unable to continue to support integration;</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may be unable to attract new customers and expand existing subscriptions, which could harm our revenue growth and profitability;</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decrease in participation in our contributory network or increased opt-out rates could lead to a deterioration in the depth, breadth, and accuracy of our platform;</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search engine algorithms and dynamics could negatively affect traffic to our website;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fail to protect and maintain our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third-parties could use our products and services in a manner that is unlawful or contrary to our values;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unable to successfully integrate acquired businesses, services, databases, and technologies into our operations, which could have an adverse effect on our business;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unsuccessful in selling our products or retaining our customers if the quality of our customer service falters;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indebtedness could adversely affect our financial condition, our ability to raise additional capital to fund our operations, our ability to operate our business, our ability to react to changes in the economy or our industry, and our ability to meet our obligations under our outstanding indebtedness, and could divert our cash flow from operations for debt payments; and</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to our stockholders agreement have special rights and interests that may conflict with ours or yours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Annual Report on Form 10-K). In addition, you may automatically receive email alerts and other information about the Company when you enroll your email address by visiting the “Email Alerts” section of our investor relations page at https://ir.zoominfo.com. The information on our website is not incorporated herein or otherwise a part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Data</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References herein to the Company being a leader in a market or product category refer to our belief that we have a leading market share position in each specified market, unless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ZoomInfo is a global leader in modern go-to-market software, data, and intelligence for sales, marketing, operations, and recruiting teams. RevOS – our modern, cloud-based operating system for revenue professionals – delivers comprehensive and high-quality intelligence and analytics to provide sales, marketing, operations, and recruiting professionals accurate information and insights on the organizations and professionals they target. This enables our customers to shorten sales cycles and increase win rates by empowering sellers, marketers, and recruiters to deliver the right message to the right person at the right time.</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are able to deliver high-quality intelligence at scale by leveraging an artificial intelligence (“AI”) and machine learning (“ML”) powered engine that gathers data from millions of sources in real time and standardizes, matches to entities, verifies, cleans, and applies the processed data to companies and people at scale. This data engine along with our team of research analysts and data scientists enrich our platform by providing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Our customers access insights directly in our platform and can also integrate our data and insights directly into their customer relationship management system (“CRM”) or sales and marketing automation systems, to improve their existing go-to-market processes.</w:t>
      </w:r>
    </w:p>
    <w:p>
      <w:pPr>
        <w:spacing w:after="0" w:line="10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ZoomInfo, formerly known as DiscoverOrg, was co-founded in 2007 by our CEO, Henry Schuck. DiscoverOrg achieved significant organic growth since its founding and acquired Zoom Information, Inc. (“Pre-Acquisition ZI”) in February 2019 to further expand the breadth of our go-to-market intelligence, industry coverage, and addressable market opportunity. The combined business was incorporated as the former ZoomInfo Technologies Inc. (now ZoomInfo Intermediate Inc.) on November 14, 2019 for the purposes of facilitating the IPO. On June 8, 2020, ZoomInfo completed the IPO.</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October 29, 2021, ZoomInfo implemented a holding company reorganization in which ZoomInfo NewCo Inc., which subsequently was renamed “ZoomInfo Technologies Inc.,” became the successor registrant to its subsidiary, ZoomInfo Technologies Inc., which subsequently changed its name to “ZoomInfo Intermediate Inc.”</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corporate headquarters are located in Vancouver, Washington. The company has additional offices across the United States, including in Waltham, Massachusetts; Bellevue, Washington; Bethesda, Maryland; Conshohocken, Pennsylvania; Grand Rapids, Michigan; San Mateo and San Francisco, California; Melville, New York; and Roswell, Georgia, as well as an international presence in Tel Aviv and Ra’anana, Israel, and London, England. Our primary website address is www.zoominfo.com. The information on our website is not incorporated herein or otherwise a part of this Annual Report on Form 10-K.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modern, cloud-based operating system for revenue professionals delivers comprehensive and high-quality intelligence and analytics to provide sales, marketing, operations, and recruiting professionals accurate information and insights on the organizations and professionals they target.</w:t>
      </w:r>
    </w:p>
    <w:p>
      <w:pPr>
        <w:spacing w:after="0" w:line="5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enhance the breadth of this intelligence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and marketing automation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This 360-degree view provides detailed understanding, and coupled with our analytics, shortens sales cycles and increases win rates by enabling sellers, marketers, and recruiters to deliver the right message, to the right person, at the right time. Our intelligence is kept up to date in real time. This is accomplished through a combination of robust systems and processes leveraging AI, ML, and our proprietary human-in-the-loop approach.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Engine</w:t>
      </w:r>
    </w:p>
    <w:p>
      <w:pPr>
        <w:spacing w:after="0" w:line="170"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We deliver high-quality intelligence at scale by leveraging an AI and ML-powered engine that gathers data from millions of sources and standardizes, matches to entities, verifies, cleans, and applies the processed data to companies and people at scale. We aggregate and extract distinct types of data, such as revenue, locations, technologies, keywords, contact information, including email addresses, titles, and phone numbers, and many others, from millions of public and proprietary sources. Our evidence-based ML algorithm scores, ranks, and makes determinations about these billions of data points each week. To help train our AI and ML technologies and augment our contributory network, we have a team of research analysts and data scientists with deep expertise in cleaning business-to-business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 We are able to provide a guarantee of at least 95% accuracy as a result of our focus on quality.</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Competition</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believe there are currently no competitors who offer a sales, marketing, operations, and recruiting intelligence platform as comprehensive as ours. We are able to provide measurable revenue improvement; accuracy, depth and coverage of data; unique data points to leverage insights; and a platform that can be integrated and automated with a variety of CRM, marketing, operations, or recruiting platforms. In limited circumstances, we will see other vendors that focus on specific use-cases, niche end-markets, or leveraging legacy and/or inaccurate data sets try to compete in potential deals. These potential competitors include LinkedIn Sales Navigator, D&amp;B Hoovers, and TechTarget.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the principal factors that drive competition between vendors in the market include:</w:t>
      </w:r>
    </w:p>
    <w:p>
      <w:pPr>
        <w:spacing w:after="0" w:line="164" w:lineRule="exact"/>
        <w:rPr>
          <w:sz w:val="20"/>
          <w:szCs w:val="20"/>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comprehensive platform offering;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quality and accuracy of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breadth and depth of data;</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 of use and deployment;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tangible benefits and ROI for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integrate with customers’ CRM and sales and marketing automation systems;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sophistication of solutions used to manage, maintain, and combine intelligence.</w:t>
      </w:r>
    </w:p>
    <w:p>
      <w:pPr>
        <w:spacing w:after="0" w:line="16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We believe we compete favorably across these factors. We have achieved a median sales cycle of less than 30 days from opportunity creation to close. For additional information, see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large and diversified customer base spans a wide variety of industry verticals, including software, business services, manufacturing, telecommunications, financial services, media and internet, transportation, education, hospitality, and real estate. Our customers range from the largest global enterprises, to mid-market companies, down to small businesses. No single customer contributed more than 1% of revenue for the year ended December 31,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We own a number of patents, registered trademarks (including ZOOMINFO and DISCOVERORG, among others), and copyrights in the United States.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also have a portfolio of registered domain names (including zoominfo.com) for websites that we use in our business.</w:t>
      </w:r>
    </w:p>
    <w:p>
      <w:pPr>
        <w:spacing w:after="0" w:line="15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we generally enter into confidentiality agreements and invention or work product assignment agreements with employees and contractors involved in the development of our proprietary intellectual property.</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Protection</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The business contact information and other data we collect and process are an integral part of our products and services. Regulators around the world have adopted or proposed requirements regarding the collection, use, transfer, security, storage, destruction, and other processing of personal data. In recent years, there has been an increase in attention to and regulation of data protection and data privacy across the globe, including the FTC’s increasingly active approach to enforcing data privacy in the United States, as well as the enactment of European Union’s General Data Protection Regulation (“GDPR”), which took effect in May 2018, the United Kingdom’s transposition of GDPR into its domestic laws following the United Kingdom’s exit from the European Union (“Brexit”) in January 2021, China’s enactment of the Data Security Law (“DSL”) and the Personal Information Protection Law (“PIPL”), which took effect September 2021 and November 2021, respectively, and the California Consumer Privacy Act (“CCPA”), which took effect in January 2020. Additionally, new state privacy laws will become effective in 2023, including the California Privacy Rights Act of 2020 (“CPRA”), effective January 1, 2023, which will expand the CCPA, Virginia’s Consumer Data Protection Act, and the Colorado Privacy Act. Furthermore, other data privacy or data protection laws or regulations are under consideration in other jurisdictions, both in the form of entirely new laws such as in India, and in the form of updates to existing privacy laws, such as in Canada and Australia. Laws such as these give rise to an increasingly complex set of compliance obligations on us, as well as on many of our customers. These laws are not uniform in the way they define and treat certain data types, including business-to-business data, biometric data or so called “sensitive” data and we must often tailor our consumer notices, compliance programs and responses to data subject access requests to account for the differences between applicable laws. These laws impose restrictions on our ability to gather personal data and provide such personal data to our customers, provide individuals with the ability to opt out of such personal data collection, and place downstream obligations on our customers relating to their use of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It may also increase our potential liability as a result of higher potential penalties for noncompliance.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In some cases, it may impact our ability or our customers’ ability to offer our services in certain locations, to deploy our solutions, to reach current and prospective customers, or to derive insights from data globally. For example, in 2020 the European Union Court of Justice struck down a permitted personal data transfer mechanism between the European Union and the United States and introduced requirements to carry out transfer impact assessments in relation to the use of Standard Contractual Clauses, the most commonly used data transfer mechanism. This has led to increased regulatory and compliance burdens and uncertainty about or interruptions of personal data transfers from Europe to the United States (and beyond), as most recently evidenced by the Austrian Data Protection Authority’s decision that the use of Google Analytics violates the GDPR’s personal data transfer provisions.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32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cost of complying with existing or new data privacy or data protection laws and regulations may limit our ability to gather the personal data needed to provide our products and services. It could negatively impact the use or adoption of our products and services or products and services similar to ours, reduce overall demand for our products and services, or products and services similar to ours, make it more difficult for us or competitive solutions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4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or 4% of worldwide gross annual revenue, PIPL violations may incur fines up to RMB 50 million or 5% of gross annual revenue, and the CCPA or its successor, the CPRA, allow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13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respect for laws and regulations regarding the collection and processing of personal data underlies our strategy to improve our customer experience and build trust. Our privacy team is devoted to processing and fulfilling any requests regarding access to and deletion of their contact information in our platform. In particular, we have developed a “Privacy Center” on our website as a one-stop-shop for any person to submit access requests, request opt-out, or delete his or her information from our database. We have implemented a program for providing direct notifications to individuals. In addition, we endeavor to honor opt-out requests across our entire database.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Our privacy and legal teams are focused on any applicable privacy laws and regulations and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more information, please read “</w:t>
      </w:r>
      <w:r>
        <w:rPr>
          <w:rFonts w:ascii="Arial" w:cs="Arial" w:eastAsia="Arial" w:hAnsi="Arial"/>
          <w:sz w:val="18"/>
          <w:szCs w:val="18"/>
          <w:i w:val="1"/>
          <w:iCs w:val="1"/>
          <w:color w:val="auto"/>
        </w:rPr>
        <w:t>Risk Factors – Risks Related to Our Business and Industry - Changes in laws, regulations, and public perception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w:t>
      </w:r>
      <w:r>
        <w:rPr>
          <w:rFonts w:ascii="Arial" w:cs="Arial" w:eastAsia="Arial" w:hAnsi="Arial"/>
          <w:sz w:val="18"/>
          <w:szCs w:val="18"/>
          <w:color w:val="auto"/>
        </w:rPr>
        <w:t>in Part I, Item 1A of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2,742 employees, consisting of 561 in cost of service, 1,238 in sales and marketing, 672 in research and development, and 271 in general and administrative. Of these, 84% of our employees were located in North America, while 14%, 2%, and less than 1% were located in the Middle East, Asia, and Europe,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Diversity and Inclusion</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place a high value on diversity and inclusion and are committed to ensuring that our organization creates a sense of belonging for all employees. Understanding that representation matters, as part of our Global Inclusion and Diversity Initiative (GIDI), we take an active role in focusing on the equity, advancement, and empowerment of all communities, and strategize ways to increase diversity through recruitment, retention, professional development, diversity education, and community outreach. As ZoomInfo continues to grow, we want to empower all employees to excel in their professional objectives and feel proud to work for a company that celebrates their individuality while recognizing their differences.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believe in the power of the team. Winning teams look for the best talent, regardless of background. We know that employees are our greatest asset, and we are proud of the diversity that we foster in our workplaces.</w:t>
      </w:r>
    </w:p>
    <w:p>
      <w:pPr>
        <w:spacing w:after="0" w:line="12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December 31, 2021, our U.S. workforce was approximately 27% ethnically diverse. Ethnically diverse is defined as individuals who self-identify in one or more of the following groups: Black or African American, Hispanic or Latinx, Asian, Native American or Alaska Native, Native Hawaiian or Pacific Islander or Two or More Races or Ethnicities. In addition, 33% of the Company’s U.S. workforce identified as female and 1% identified as non-binary gender.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Safety, and Wellness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aim to offer fair compensation and benefits that encourage employee well-being, as well as attract and retain top talent. Our compensation packages provide a competitive salary and bonus, medical, dental, vision, retirement benefits, and generous paid time off.</w:t>
      </w:r>
    </w:p>
    <w:p>
      <w:pPr>
        <w:spacing w:after="0" w:line="12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To address the safety and health of our employees during the COVID-19 pandemic, in the first quarter of 2020, we temporarily closed all of our offices and enabled our entire workforce to work remotely. We are proud of the great flexibility and engagement demonstrated by our employees during this time, allowing us to preserve business continuity without sacrificing our commitment to keeping our team and our communities safe.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Training and Development</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Ensuring our employees have access to development opportunities and understand how to grow their career at ZoomInfo is a key tenet of our talent and engagement practices. As part of our efforts, we invest in a robust learning management system for employees, complete with online courses and live training on a variety of topics. To recognize and promote outstanding employees, we perform a comprehensive annual talent review process, through which we empower employees to drive their professional development in a way that also aligns with company objectives and values. The Compensation Committee of our board of directors reviews and oversees our incentive compensation plans, while the Nominating and Corporate Governance Committee of our board of directors oversees and approves the management continuity planning process.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Annual Report on Form 10-K, Quarterly Reports on Form 10-Q, Current Reports on Form 8-K, and other filings with the SEC, and all amendments to these filings, can be obtained free of charge from our website at http://ir.zoominfo.com/financial-information/sec-filings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We are subject to various risks that could have a material adverse impact on our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financial position, results of operations or cash flows. You should carefully review the information provided in this section before making an investment in our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could materially impact our business and future results of operations and financial condition.</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ongoing COVID-19 pandemic continues to disrupt the global economy and put unprecedented strains on governments, health care systems, educational institutions, businesses, and individuals around the world. The impact and duration of the COVID-19 pandemic and its related economic and financial disruptions are difficult to assess or predict. The ongoing impact on the global economic market is rapidly evolving and will depend upon the actions taken by governments, businesses, and other enterprises in response to COVID-19 and its related variants as well as to the economic and financial impacts related to the pandemic more broadly. The pandemic has already caused, and is likely to result in further, significant disruption of global financial markets and economic uncertainty. Adverse market conditions resulting from the spread of COVID-19 could materially adversely affect our business and the value of our Class A common stock.</w:t>
      </w:r>
    </w:p>
    <w:p>
      <w:pPr>
        <w:spacing w:after="0" w:line="14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customers or potential customers, particularly in industries most impacted by the COVID-19 pandemic, including the retail, restaurant, hotel, hospitality, consumer discretionary, airline, and oil and gas industries and companies whose customers operate in impacted industries, may reduce their technology or sales and marketing spending or delay their sales transformation initiatives as a result of the pandemic, which could materially and adversely impact our business. At the beginning of the COVID-19 pandemic, we experienced headwinds in some sales cycles as business leaders adapted to the impacts of the pandemic and we saw heightened cancellations and reductions in spend from customers in heavily impacted industries relative to pre-COVID time frames. We also experienced longer sales cycles and more intense scrutiny, particularly for larger purchases and upgrades as customers and prospects re-assessed their growth trajectory in light of the changing economic environment. Although these headwinds dissipated by 2021, and demand for our platform normalized and returned to levels materially consistent with historical trends, we could experience similar or other headwinds as a result of the pandemic in future periods. Any such factors could result in our experiencing slowed growth or a decline in new customer demand for our platform and lower demand from our existing customers for upgrades within our platform, as well as existing and potential customers reducing or delaying purchasing decisions. We could also experience an increase in prospective customers seeking lower prices or other more favorable contract terms and current customers attempting to obtain concessions on the terms of existing contracts, including requests for early termination or waiver or delay of payment obligations, all of which has adversely affected and could materially adversely impact our business, results of operations, and overall financial condition in future periods. Further, we may face increased competition due to changes to our competitors’ products and services, including modifications to their terms, conditions, and pricing that could materially adversely impact our business, results of operations, and overall financial condition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Due to the ongoing COVID-19 pandemic, all of our offices remain temporarily closed (including our headquarters and other significant locations), and most of our employees continue to work remotely. We have significantly limited business travel, in accordance with public health guidance and have held many company events as virtual-only experiences, as circumstances require. We may deem it advisable to similarly alter, postpone, or cancel entirely additional events in the future. If the COVID-19 pandemic worsens, especially in regions where we have offices, our business activities originating from affected areas could be adversely affected. Disruptive activities could include business closures in impacted areas, further restrictions on our employees’ and service providers’ ability to travel, impacts to productivity if our employees or their family members experience health issues, and potential delays in hiring and onboarding of new employees. We may take further actions that alter our business operations as may be required by local, state, or federal authorities or that we determine are in the best interests of our employees. Such measures could negatively affect our sales and marketing efforts, sales cycles, employee productivity, or customer retention, any of which could harm our financial condition and business operations.</w:t>
      </w:r>
    </w:p>
    <w:p>
      <w:pPr>
        <w:spacing w:after="0" w:line="107"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COVID-19 pandemic could cause our third-party data center hosting facilities and cloud computing platform providers, which are critical to our infrastructure, to experience security incidents that impact our business, delay or disrupt performance or delivery of services, or experience interference with the supply chain of hardware required by their systems and services, any of which could materially adversely affect our business. Further, the COVID-19 pandemic has resulted in our employees and those of many of our customers and vendors working from home and conducting work via the internet, and if the network and infrastructure of internet providers becomes overburdened by increased usage or is otherwise unreliable or unavailable, our employees’, and our customers’ and vendors’ employees’, access to the internet to conduct business could be negatively impacted. Limitations on access or disruptions to services or goods provided by or to some of our suppliers and vendors upon which our platform and business operations relies, could interrupt our ability to provide our platform, decrease the productivity of our workforce, and significantly harm our business operations, financial condition, and results of operations.</w:t>
      </w:r>
    </w:p>
    <w:p>
      <w:pPr>
        <w:spacing w:after="0" w:line="10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Further, there has been a surge in widespread cyber-attacks during the COVID-19 pandemic. Our platform and the other systems or networks used in our business may experience an increase in attempted cyber-attacks, targeted intrusion, ransomware, and phishing campaigns seeking to take advantage of shifts to employees working remotely using their household or personal internet networks. The success of any of these unauthorized attempts could substantially impact our platform, the proprietary and other confidential data contained therein or otherwise stored or processed in our operations, and ultimately our business. Any actual or perceived security incident also may cause us to incur increased expenses to improve our security controls and to remediate security vulnerabilities.</w:t>
      </w:r>
    </w:p>
    <w:p>
      <w:pPr>
        <w:spacing w:after="0" w:line="143"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extent and continued impact of the COVID-19 pandemic on our business will depend on certain developments, including: the duration and spread of the outbreak, including the impact of new variants of the COVID-19 virus; global government responses to the pandemic including continued vaccine availability, deployment, and efficacy;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largely subscription-based business model, the effect of the COVID-19 pandemic may not be fully reflected in our results of operations and overall financial condition until future periods, if at all.</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Larger and more well-funded companies with access to significant resources, large amounts of data or data collection methods, and sophisticated technologies may shift their business model to become competitive with us.</w:t>
      </w:r>
    </w:p>
    <w:p>
      <w:pPr>
        <w:spacing w:after="0" w:line="12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Companies in related industries, such as CRM, business software, or advertising, including Salesforce.com,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in at least some respect.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addition, many of our potential competitors could have competitive advantages, such as greater name recognition, longer operating histories, significant install bases, broader geographic scope, the ability to respond more quickly and effectively to new or changing opportunities, technologies, standards or customer requirements, and larger sales and marketing budgets and resources.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mergers and acquisitions in the technology industry, or alliances among competitors may emerge and rapidly acquire significant market share due to these or other factors. Companies resulting from these possible consolidations may create more compelling product offerings and be able to offer more attractive pricing options, making it more difficult for us to compete effectively. As a result, even if our products and services are more effective than the products and services that our competitors offer, potential customers might select competitive products and services in lieu of our services.</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35"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Our products and services rely heavily on the collection and use of information to provide effective insights to our customers and users. In recent years, there has been an increase in attention to and regulation of data protection and data privacy across the globe, including the FTC’s increasingly active approach to enforcing data privacy in the United States, as well as the enactment of GDPR, which took effect in May 2018, the United Kingdom’s transposition of GDPR into its domestic laws following Brexit in January 2021, China’s enactment of the DSL and the PIPL, which took effect September 2021 and November 2021, respectively, and the CCPA, which took effect in January 2020. Additionally, new state privacy laws will become effective in 2023, including the CPRA and California’s Proposition 24 (Consumer Personal Information Law and Agency Initiative), each effective January 1, 2023, which will expand the CCPA, Virginia’s Consumer Data Protection Act, and the Colorado Privacy Act. Furthermore at the federal level, two bills were introduced (or reintroduced) in the U.S. Senate in 2021: the 2021 Data Privacy Act, which would create an agency to enforce data protection rules, ensure that data practices are fair and transparent, and promote data protection and privacy innovation, and the Setting an American Framework to Ensure Data Access, Transparency, and Accountability Act, which seeks to establish a comprehensive privacy regime including many of the concepts found in other state and federal privacy bills and laws, such as consent requirements for entities providing services to the public that collect, store, process, use, or otherwise control sensitive personal information. Other data privacy or data protection laws or regulations are under consideration in other jurisdictions, both in the form of entirely new laws such as in India, and in the form of updates to existing, less onerous privacy laws, such as in Canada and Australia. We anticipate that federal, state and international regulators will continue to enact legislation related to privacy and cybersecurity. Laws such as these give rise to an increasingly complex set of compliance obligations on us, as well as on many of our customers. These laws impose restrictions on our ability to gather personal data and provide such personal data to our customers, provide individuals with the ability to opt out of such personal data collection, and place downstream obligations on our customers relating to their use of the information we provide.</w:t>
      </w:r>
    </w:p>
    <w:p>
      <w:pPr>
        <w:spacing w:after="0" w:line="32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Certain of our activities could be found by a government or regulatory authority to be noncompliant in the future with one or more data protection or data privacy laws, even if we have implemented and maintained a strategy that we believe to be compliant. New interpretations of existing laws or regulations could be inconsistent with our interpretations, increase our compliance burden, make it more difficult to comply, and/or increase our risk of regulatory investigations and fines. For example, we are subject to complex and evolving regulatory requirements regarding the collection and use of personal data, including changes under CCPA and CPRA (and other recently enacted and upcoming state laws) related to the sale of personal data, and, among other changes, the introduction of opt-out rights and data broker registration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and may also increase our potential liability as a result of higher potential penalties for noncompliance. These and other legal requirements could reduce our ability to gather personal data used in our products and services. They could reduce demand for our services, require us to take on more onerous obligations in our contracts, restrict our ability to store, transfer and process personal data or, in some cases, impact our ability or our customers’ ability to offer our services in certain locations, to deploy our solutions, to reach current and prospective customers, or to derive insights from data globally. For example, in 2020 the European Union Court of Justice struck down the Privacy Shield, a formerly permitted personal data transfer mechanism between the European Union and the United States and introduced requirements to carry out transfer impact assessments in relation to the use of Standard Contractual Clauses, the most commonly used data transfer mechanism for international data transfers. This has led to increased regulatory and compliance burdens and uncertainty about or interruptions of personal data transfers from Europe to the United States (and beyond), as evidenced by the Austrian Data Protection Authority’s January 2022 decision that the use of Google Analytics violates the GDPR’s personal data transfer provisions. Use of other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32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costs of complying with existing or new data privacy or data protection laws and regulations may limit our ability to gather personal data needed to provide our products and services, negatively impact the use or adoption of our products and services, reduce overall demand for our products and services, make it more difficult for us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93"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Furthermore, the uncertain and shifting regulatory environment and trust climate may cause concerns regarding data privacy and may cause our vendors, customers, users, or our customers’ customers to resist providing the data necessary to allow us to offer our services to our customers and users effectively, or could prompt individuals to opt out of our collection of their personal data. Further, our customers may view alternative data transfer mechanisms as being too costly, too burdensome, too legally uncertain or otherwise objectionable and therefore decide not to do business with us. For example, some of our customers or potential customers in the European Union may require their vendors to host all personal data within the European Union and may decide to do business with one of our competitors who hosts personal data within the European Union instead of doing business with us. Any inability to transfer personal data from the European Union to the United States in compliance with data protection laws may impede our ability to attract and retain customers and adversely affect our business.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For example, GDPR imposes sanctions for violations up to the greater of €20 million or 4% of worldwide gross annual revenue, PIPL violations may incur fines up to RMB 50 million or 5% of gross annual revenue, and the CCPA or its successor, the CPRA, allow for fines of up to $7,500 per violation (affected individual). Our actual or alleged failure to comply with applicable privacy or data security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Further, we may be subject to additional risks associated with data security breaches or other incidents, in particular because certain data privacy laws, including the CCPA and CPRA, grant individuals a private right of action arising from certain data security incidents. If so, in addition to the possibility of fines, lawsuits, and other claims and penalties, we could be required to fundamentally change our business activities and practices or modify our products and services, which could harm our business.</w:t>
      </w:r>
    </w:p>
    <w:p>
      <w:pPr>
        <w:spacing w:after="0" w:line="1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Concern regarding our use of the personal data collected on our websites or collected when performing our services could keep prospective customers from subscribing to our services. Industry-wide incidents or incidents with respect to our websites, including misappropriation of third-party information, security breaches, or changes in industry standards, regulations, or laws, could deter people from using the internet or our websites to conduct transactions that involve the transmission of confidential information, which could harm our business.</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receive data from third-party vendors (</w:t>
      </w:r>
      <w:r>
        <w:rPr>
          <w:rFonts w:ascii="Arial" w:cs="Arial" w:eastAsia="Arial" w:hAnsi="Arial"/>
          <w:sz w:val="18"/>
          <w:szCs w:val="18"/>
          <w:i w:val="1"/>
          <w:iCs w:val="1"/>
          <w:color w:val="auto"/>
        </w:rPr>
        <w:t>e.g.</w:t>
      </w:r>
      <w:r>
        <w:rPr>
          <w:rFonts w:ascii="Arial" w:cs="Arial" w:eastAsia="Arial" w:hAnsi="Arial"/>
          <w:sz w:val="18"/>
          <w:szCs w:val="18"/>
          <w:color w:val="auto"/>
        </w:rPr>
        <w:t>, other data brokers). While we have implemented certain contractual measures with such vendors to protect our interests, we are ultimately unable to verify with complete certainty the source of such data, how it was received, and that such information was collected and is being shared with us in compliance with all applicable data privacy laws.</w:t>
      </w:r>
    </w:p>
    <w:p>
      <w:pPr>
        <w:spacing w:after="0" w:line="13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We experience competition from companies that offer technologies designed to allow companies to better use and extract insights from existing, internal databases, or free information resources and from technologies that are designed to allow companies to gather and aggregate data from online sources.</w:t>
      </w:r>
    </w:p>
    <w:p>
      <w:pPr>
        <w:spacing w:after="0" w:line="5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if we do not keep pace with market innovation or changes in response to the COVID-19 pandemic, and many may choose or switch to competing products even if we do our best to innovate and provide superior products and services.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current competitors include:</w:t>
      </w:r>
    </w:p>
    <w:p>
      <w:pPr>
        <w:spacing w:after="0" w:line="164" w:lineRule="exact"/>
        <w:rPr>
          <w:sz w:val="20"/>
          <w:szCs w:val="20"/>
          <w:color w:val="auto"/>
        </w:rPr>
      </w:pPr>
    </w:p>
    <w:p>
      <w:pPr>
        <w:ind w:left="640" w:hanging="316"/>
        <w:spacing w:after="0" w:line="26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free online and offline sources of information on companies and business professionals, including government records, telephone books, company websites, and open online databases of business professionals, such as LinkedIn;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current and potential customers’ internal and homegrown business contact databases;</w:t>
      </w:r>
    </w:p>
    <w:p>
      <w:pPr>
        <w:spacing w:after="0" w:line="164"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when used in conjunction with the foregoing or when additionally providing third-party sales and marketing data, (i) predictive analytics and customer data platform technologies or (ii) sales and marketing vendors, which may specialize in appointment setting, online ad targeting, email marketing, or other outsource go-to-market functions;</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vendors of sales automation, conversation intelligence, and chat software;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providers of third-party company attributes, technology attributes, and business contact information;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providers of online content consumption data for predictive sales and marketing analytics;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user-based networks of companies and/or business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Providers of direct “web-scraping” technology or databases built on web-scraping can provide low-cost alternatives to our products and services, and many of our current and prospective customers may choose a lower-cost alternative even if our products and services are superior, either despite the difference in quality or because the customer cannot readily determine that there is a difference in quality, especially if we fail to adequately demonstrate the value of our products and services to existing customers.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Companies with large databases that are currently not commercially available could enter the market and rapidly become new competitors. The existence of such potential competitors may not be readily apparent today, and such companies may become significant low-cost or no-cost competitors and adversely impact the demand for our solutions and services or limit our growth potential.</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These risks could be exacerbated by weak economic conditions (including those related to the ongoing COVID-19 pandemic) and lower customer spending on sales and marketing. Weakened economic conditions could also disproportionately increase the likelihood that any given current or prospective customer would choose a lower-price alternative even if our products or services were superior. Some current and potential customers, particularly large organizations, have elected in the past, and may in the future, elect to rely on internal and homegrown databases, develop, or acquire their own software, programs, tools, and internal data quality teams that would reduce or eliminate the demand for our products and services. If demand for our platform declines for any of these or other reasons, our business, results of operations, and financial condition could be adversely affected.</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Adverse or weakened general economic and market conditions may cause a reduction in spending on sales and marketing technology and information, which could harm our revenue, results of operations, and cash flows.</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revenue, results of operations, and cash flows depend on the overall demand for and use of technology and information for sales, marketing, and recruiting, which depends in part on the amount of spending allocated by our customers or potential customers on sales and marketing technology and information. This spending depends on worldwide economic and geopolitical conditions. The U.S. and other key international economies have experienced cyclical downturns from time to time in which economic activity was impacted by falling demand for a variety of goods and services, inflation (including wage inflation), labor market constraints, restricted credit, poor liquidity, reduced corporate profitability, volatility in credit, equity, and foreign exchange markets, bankruptcies, pandemics such as COVID-19, and overall economic uncertainty. These economic conditions can arise suddenly, and the full impact of such conditions often remains uncertain. In addition, geopolitical developments, such as potential trade wars, and actions or inactions of the U.S. or other major national governments, can increase levels of political and economic unpredictability globally and increase the volatility of global financial markets.</w:t>
      </w:r>
    </w:p>
    <w:p>
      <w:pPr>
        <w:spacing w:after="0" w:line="101"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Market volatility, decreased consumer confidence, and diminished growth expectations in the U.S. economy and abroad as a result of the foregoing events could affect the rate of information technology (“IT”) spending and could adversely affect our customers’ ability or willingness to purchase our services, delay prospective customers’ purchasing decisions, reduce the value or duration of their subscription contracts, or affect attrition rates, all of which could adversely affect our future sales and operating results. Some of our users may view a subscription to our platform as a discretionary purchase, and our paying users may reduce their discretionary spending on our platform during an economic downturn. In particular, spending patterns of small businesses are difficult to predict and are sensitive to various factors. In addition, weak economic conditions can result in customers seeking to utilize free or lower-cost information that is available from alternative sources. Prolonged economic slowdowns may result in requests to renegotiate existing contracts on less advantageous terms to us than those currently in place, payment defaults on existing contracts, or non-renewal at the end of a contract term.</w:t>
      </w:r>
    </w:p>
    <w:p>
      <w:pPr>
        <w:spacing w:after="0" w:line="10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During weak economic times, there is an increased risk that one or more of our paying customers will file for bankruptcy protection, which may harm our revenue, profitability, and results of operations, a risk that could be exacerbated for an international customer where applicable bankruptcy laws may be unpredictable. In addition, we may determine that the cost of pursuing any creditor claim outweighs the recovery potential of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data, and any decline in demand for the types of technologies and information we offer would negatively impact our business.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For the year ended December 31, 2020, we derived approximately 99%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43" w:lineRule="exact"/>
        <w:rPr>
          <w:sz w:val="20"/>
          <w:szCs w:val="20"/>
          <w:color w:val="auto"/>
        </w:rPr>
      </w:pPr>
    </w:p>
    <w:p>
      <w:pPr>
        <w:jc w:val="both"/>
        <w:ind w:right="20" w:firstLine="318"/>
        <w:spacing w:after="0" w:line="255" w:lineRule="auto"/>
        <w:rPr>
          <w:sz w:val="20"/>
          <w:szCs w:val="20"/>
          <w:color w:val="auto"/>
        </w:rPr>
      </w:pPr>
      <w:r>
        <w:rPr>
          <w:rFonts w:ascii="Arial" w:cs="Arial" w:eastAsia="Arial" w:hAnsi="Arial"/>
          <w:sz w:val="18"/>
          <w:szCs w:val="18"/>
          <w:color w:val="auto"/>
        </w:rPr>
        <w:t>Changes in user preferences for sales and marketing platforms may have a disproportionately greater impact on us than if we offered disparate products and services. Demand for sales and marketing platforms in general, and our platform and data in particular, is affected by a number of factors, many of which are beyond our control. Some of these potential factors include:</w:t>
      </w:r>
    </w:p>
    <w:p>
      <w:pPr>
        <w:spacing w:after="0" w:line="135"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awareness and acceptance of the sales and marketing platform category generally, and the growth, contraction and evolution of the category;</w:t>
      </w:r>
    </w:p>
    <w:p>
      <w:pPr>
        <w:spacing w:after="0" w:line="198" w:lineRule="exact"/>
        <w:rPr>
          <w:rFonts w:ascii="Arial" w:cs="Arial" w:eastAsia="Arial" w:hAnsi="Arial"/>
          <w:sz w:val="15"/>
          <w:szCs w:val="15"/>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performance, features, and user experience, and the development and acceptance of new features, integrations, and capabilities;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customer support;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accessibility across several devices, operating system, and applications;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integration with CRM and other related technologies;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the development of new systems and protocols for B2B communication.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135"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If we fail to maintain and improve our methods and technologies, or anticipate new methods or technologies, for data collection, organization, and cleansing, competing products and services could surpass ours in depth, breadth, or accuracy of our data or in other respects.</w:t>
      </w:r>
    </w:p>
    <w:p>
      <w:pPr>
        <w:spacing w:after="0" w:line="5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Current or future competitors may seek to develop new methods and technologies for more efficiently gathering, cataloging, or updating business information, which could allow a competitor to create a product comparable or superior to ours, or that takes substantial market share from us, or that creates or maintains databases at a lower cost that we experience. We can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gather and process our data. Our future success will depend, in part, upon our ability to internally develop and implement new and competitive technologies, use leading third-party technologies effectively, and respond to advances in data collection, cataloging and updating.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w:t>
      </w:r>
    </w:p>
    <w:p>
      <w:pPr>
        <w:spacing w:after="0" w:line="1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not able to obtain and maintain accurate, comprehensive, or reliable data, we could experience reduced demand for our products and services.</w:t>
      </w:r>
    </w:p>
    <w:p>
      <w:pPr>
        <w:spacing w:after="0" w:line="19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success depends on our clients’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legal claims by our customers which could have an adverse effect on our business,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upon the interoperability of our platform with third-party systems that we do not control.</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Salesforce.com, Marketo, HubSpot, Microsoft Dynamics, Oracle Sales Cloud, and a variety of other commonly used tools. The functionality of these integrations depends upon access to these systems, which is not within our control.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w:t>
      </w:r>
    </w:p>
    <w:p>
      <w:pPr>
        <w:spacing w:after="0" w:line="13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Third-party systems are constantly evolving, it is difficult to predict the challenges that we may encounter in developing our platform for use in conjunction with such third-party systems, and we may not be able to modify our integrations to assure its compatibility with the systems of other third parties following any of their changes to their systems. Some operators of CRM and similar systems may cease to permit our access or the integration of our platform to their systems. If Salesforce.com were to refuse to permit our integration to access its APIs, this integration would not function, and our customers’ experience would be hampered. Without a convenient way for our customers to integrate our products and services with products and services such as Salesforce.com, current customers may be less likely to renew or upgrade their subscriptions, prospective customers may be less likely to acquire subscriptions, or our products and services may not command the prices that we anticipate.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attract new customers and expand subscriptions of current customers, our revenue growth and profitability will be harmed.</w:t>
      </w:r>
    </w:p>
    <w:p>
      <w:pPr>
        <w:spacing w:after="0" w:line="19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To increase our revenue and achieve and maintain profitability, we must attract new customers and grow the subscriptions of existing customers. Our go-to-market efforts are intended to identify and attract prospective customers and convert them into paying customers, including the conversion of users of our Community Edition product to paying customers. In addition, we seek to expand existing customer subscriptions by adding new users, additional data entitlements, or additional products or services, including through expanding the adoption of our platform into other departments within customers. We do not know whether we will continue to achieve similar client acquisition and customer subscription growth rates in the future as we have in the past. Numerous factors may impede our ability to add new customers and grow existing customer subscriptions, including our failure to attract and effectively train new sales and marketing personnel despite increasing our sales efforts, to retain and motivate our current sales and marketing personnel, to develop or expand relationships with partners, to successfully deploy new features, integrations and capabilities of our products and services, to provide quality customer experience, or to ensure the effectiveness of our go-to-market programs. Additionally, increasing our sales to large organizations (both existing and prospective customers) requires increasingly sophisticated and costly sales and account management efforts targeted at senior management and other personnel. If our efforts to sell to organizations are not successful or do not generate additional revenue, our business will suffer. See also “—Failure to effectively expand our sales capabilities could harm our ability to increase the number of organizations on our platform and achieve broader market acceptance of our platform.”</w:t>
      </w:r>
    </w:p>
    <w:p>
      <w:pPr>
        <w:spacing w:after="0" w:line="130"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Our ability to attract new customers and increase revenue from existing customers depends in large part on our ability to continually enhance and improve our platform and the features, integrations, and capabilities we offer, and to introduce compelling new features, integrations, and capabilities that reflect the changing nature of our market to maintain and improve the quality and value of our products and services, which depends on our ability to continue investing in research and development and our successful execution and our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If we are unable to successfully develop new features, integrations, and capabilities to enhance our platform to meet the requirements of current and prospective customers or otherwise gain widespread market acceptance, our business, results of operations, and financial condition would be harmed.</w:t>
      </w:r>
    </w:p>
    <w:p>
      <w:pPr>
        <w:spacing w:after="0" w:line="107"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Moreover, our business is subscription-based, and therefore our customers are not obligated to, and may not, renew their subscriptions after their existing subscriptions expire or may renew at a lower price, including if such customers choose to reduce their data access rights under their subscription, reduce the products or services to which they have access, or reduce their number of users. Most of our subscriptions are sold for a one-year term, though some organizations purchase a multi-year subscription plan. While many of our subscriptions provide for automatic renewal, our customers may opt-out of automatic renewal and customers have no obligation to renew a subscription after the expiration of the term. Our customers may or may not renew their subscriptions as a result of a number of factors (including as a result of general economic downturns as a result of COVID-19), including their satisfaction or dissatisfaction with our products and services, decreases in the number of users at the organization, our pricing or pricing structure, the pricing or capabilities of the products and services offered by our competitors, the effects of economic conditions, or reductions in our paying customers’ spending levels. In addition, our customers may renew for fewer subscriptions, renew for shorter contract lengths if they were previously on multi-year contracts, or switch to lower cost offerings of our products and services. It is difficult to predict attrition rates given our varied customer base of enterprise, mid-market, and small business customers. Our attrition rates may increase or fluctuate as a result of a number of factors. If customers do not renew their subscriptions or renew on less favorable terms or fail to add more users, or if we fail to expand subscriptions of existing customers, our revenue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some of our customers may have multiple subscription plans simultaneously. Companies who are our existing customers may also acquire another organization that is already on our subscription plan or complete a reorganization or spin-off transaction that results in an organization subscribing to multiple subscription plans. If organizations that subscribe to multiple subscription plans decide not to consolidate all of their subscription plans or decide to downgrade to lower priced or free subscription plans, our revenue may decline or grow less quickly than anticipated, which would harm our business, results of operations, and financial condition.</w:t>
      </w:r>
    </w:p>
    <w:p>
      <w:pPr>
        <w:spacing w:after="0" w:line="1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 slowdown or decline in participation in our contributory network and/or increase in the volume of opt-out requests from individuals with respect to our collection of their data could lead to a deterioration in the depth, breadth, or accuracy of our data and have an adverse effect on our business, results of operations, and financial condition.</w:t>
      </w:r>
    </w:p>
    <w:p>
      <w:pPr>
        <w:spacing w:after="0" w:line="135"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have a number of sources contributing to the depth, breadth, and accuracy of the data on our platform including our contributory network. All of our free Community Edition users must participate in our contributory network to get access to data. Similarly, many of our paying customers participate in our contributory network to improve the quality of the data within their CRM and similar systems. Community Edition users may cease to participate in our contributory network after deciding not to renew our Community Edition version. Our paying customers, including those who have migrated from the Community Edition,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the CCPA, CPRA, and other legal and regulatory changes are making, or will make, it easier for individuals to opt-out of having their personal data collected through an opt-out button available on our website, which could result in higher rates of opting out. We expect that third-party intermediaries will emerge that offer services involving opting individuals out of their personal data being collected at scale (</w:t>
      </w:r>
      <w:r>
        <w:rPr>
          <w:rFonts w:ascii="Arial" w:cs="Arial" w:eastAsia="Arial" w:hAnsi="Arial"/>
          <w:sz w:val="15"/>
          <w:szCs w:val="15"/>
          <w:i w:val="1"/>
          <w:iCs w:val="1"/>
          <w:color w:val="auto"/>
        </w:rPr>
        <w:t>i.e.</w:t>
      </w:r>
      <w:r>
        <w:rPr>
          <w:rFonts w:ascii="Arial" w:cs="Arial" w:eastAsia="Arial" w:hAnsi="Arial"/>
          <w:sz w:val="15"/>
          <w:szCs w:val="15"/>
          <w:color w:val="auto"/>
        </w:rPr>
        <w:t>, from all platforms, including ours). Consequently, our ability to grow our business may be harmed and our results of operations and financial condition could suffer.</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independent industry analysts often provide reviews of ZoomInfo, as well as the products offered by our competitors, and perception of the relative value of our brand in the marketplace may be significantly influenced by these reviews. If these reviews are negative, or less positive as compared to those of our competitors’ products, our brand may be harmed.</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negatively affected by changes in search engine algorithms and dynamics or other traffic-generating arrangements.</w:t>
      </w:r>
    </w:p>
    <w:p>
      <w:pPr>
        <w:spacing w:after="0" w:line="1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adequately protect or enforce our proprietary and intellectual property rights in our data or technology.</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success is dependent, in part, upon our ability to protect and enforce our intellectual property rights, including in our proprietary information and technology. No assurance can be given that our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may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2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Current law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To monitor and protect our intellectual property rights, we may be required to spend significant resources,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if available on commercially reasonable terms or at all; our inability to license this technology could harm our ability to compete.</w:t>
      </w:r>
    </w:p>
    <w:p>
      <w:pPr>
        <w:spacing w:after="0" w:line="12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any of the foregoing misuses, or to otherwise address customer and individual concerns, which could erode confidence in our business.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35"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Our strategy to make selective acquisitions to complement our platform depends on our ability to identify, and the availability of, suitable acquisition candidates. We may not be able to find suitable acquisition candidates and we may not be able to complete acquisitions on favorable terms, if at all. Additionally, in recent years, the number of special purpose acquisition companies (“SPACs”) that have been formed has increased substantially. Many potential targets for SPACs have already entered into an initial business combination, and there are still SPACs seeking targets for their initial business combination, as well as many SPACs currently in registration with the SEC. As a result, at times, fewer attractive acquisition targets may be available, and it may require more time, more effort and more resources for us to identify a suitable target and to consummate an acquisition.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developers, partners, or investors, and could have adverse effects on our existing business relationships.</w:t>
      </w:r>
    </w:p>
    <w:p>
      <w:pPr>
        <w:spacing w:after="0" w:line="13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128" w:lineRule="exact"/>
        <w:rPr>
          <w:sz w:val="20"/>
          <w:szCs w:val="20"/>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services, and platforms;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potential entry into new markets in which we have little or no experience or where competitors may have stronger market positions;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write-offs of acquired assets or investments and potential financial and credit risks associated with acquired customers;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difficulties in re-training key employees of acquired companies and integrating them into our organizational structure and corporate culture;</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and financial costs of, addressing acquired compensation structures inconsistent with our compensation structure;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94"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104"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platforms, or transitioning from our existing platforms to the acquired technology, and customer acceptance of new or multiple platforms on a temporary or permanent basis;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for acquired products to impact the profitability of existing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other services;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intellectual property and/or technologies;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negative impact to our results of operations because of the depreciation and amortization of amounts related to acquired intangible assets, fixed assets, and deferred compensation;</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and regulatory risks associated with foreign countries and potential additional cybersecurity and compliance risks resulting from entry into new markets;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challenges by governmental authorities, including the Department of Justice, for anti-competitive or other reasons.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12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experienced, and expect to continue to experience, rapid growth, which has placed, and may continue to place, significant demands on our management and our operational and financial resources. One area of significant growth has been in the number of customers using our products and services and in the amount of data in our databases. In addition, our organizational structure has become more complex as we have scaled our operational, financial, and management controls, as well as our reporting systems and procedures, and expanded internationally. As we continue to grow, we face challenges of integrating, developing, training, and motivating a rapidly growing employee base in our various offices around the world and maintaining our company culture across multiple offices. If we fail to manage our anticipated growth and change in a manner that preserves the key aspects of our corporate culture, the quality of our products and services may suffer, which could negatively affect our brand and reputation and harm our ability to attract users, employees, and organizations.</w:t>
      </w:r>
    </w:p>
    <w:p>
      <w:pPr>
        <w:spacing w:after="0" w:line="14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To manage growth in our operations and personnel, we will need to continue to grow and improve our operational, financial, and management controls and our reporting systems and procedures. We will continue to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effectively expand our sales capabilities could harm our ability to bring on new customers at the rate we anticipate.</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rate at which we can acquire new customers will depend to a significant extent on our ability to expand our sales operations. We plan to continue expanding our sales force, and that will require us to invest significant financial and other resources to train and grow our sales force, in order to complement our go-to-market approach. Our business will be harmed if our efforts do not generate a corresponding increase in revenue. We may not achieve anticipated revenue growth from expanding our sales force if we are unable to hire and develop talented sales personnel, if our new sales personnel are unable to achieve desired productivity levels in a reasonable period of time, or if we are unable to retain our existing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Numerous factors may impact a customer’s experience which may in turn impact the likelihood of such customer renewing or upgrading its subscription. Those factors include the usability of the platform, the depth, breadth, and accuracy of the data, the adequacy of our product documentation, and the quality of our onboarding, training, account management, and customer technical and research support functions. The number of customers has grown rapidly, and the continued growth that we anticipate will put additional pressure on our customer experience programs. It may be difficult for us to identify, recruit, train, and manage enough people with enough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ACV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otherwise fail to provide an overall high-quality customer experience, fewer customers could renew or upgrade their subscriptions, and our reputation could suffer, negatively impacting our ability to acquire new customers, which would harm our business, results of operations, and financial condition.</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addition, customers from time to time rely upon our customer technical and research support teams to resolve technical and data accuracy issues relating to our products and services. We may be unable to respond quickly enough to accommodate short-term increases in customer demand for support services. Increased customer demand for these services, without corresponding revenue, could increase costs and adversely affect our reputation and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offer the optimal pricing and packaging of our products and services.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While we have some experience in determining the optimal pricing and packaging of our products and services, we may need to change our pricing model from time to time. Demand for our products and services is sensitive to price, and current or prospective customers may choose not to subscribe or renew or upgrade their subscriptions due to costs. Further, certain of our competitors offer, or may in the future offer, lower-priced or free products or services that compete with our products and services or may bundle functionality compatible with our products and services and offer a broader range of products and services. Similarly, certain competitors may use marketing strategies that enable them to acquire users more rapidly or at a lower cost than us, or both. As we continue to expand internationally, we may find that pricing and packaging appropriate in our current market is not acceptable to prospective customers in certain new markets. In addition, if our mix of features, integrations, and capabilities on our products and services changes or we develop additional versions for specific use cases or additional premium versions, then we may need or choose to revise our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will not be indicative of our future growth.</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have experienced rapid organic and acquisition-driven growth in recent periods. We do not expect revenue growth in future periods to be consistent with recent history. Further, as we operate in a new and rapidly changing market, widespread acceptance and use of our platform is critical to our future growth and success. We may not be able to successfully implement our strategic initiatives in accordance with our expectations, or in the timeframe we desire, which may result in an adverse impact on our business and financial results.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1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depend on our executive officers and other key employees, and the loss of one or more of these employees or an inability to attract and retain other highly skilled employees could harm our business.</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success depends largely upon the continued services of our executive officers and other key employees.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may be changes in our executive management team resulting from the hiring or departure of executives, which could disrupt our business. The loss of one or more of our executive officers or key employees could harm our business. Changes in our executive management team may also cause disruptions in, and harm to, our business.</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3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addition, to execute our growth plan, we must attract and retain highly qualified personnel. Competition for these personnel in locations where we maintain offices is intense, especially for engineers experienced in designing and developing software and software-as-a-service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Further, the typical immigration and visa procedures of the United States have been impacted by the COVID-19 pandemic and our current or future employees may be negatively affected by delays, disruptions or changes in U.S. immigration policies. Any changes to U.S. immigration policies that restrain the flow of technical and professional talent may inhibit our ability to recruit and retain highly qualified employees. Many of the companies with which we compete for experienced personnel have greater resources than we have and may be able to offer more attractive terms of employment. In addition, we invest significant time and expense in training our employees, which increases their value to competitors who may seek to recruit them.</w:t>
      </w:r>
    </w:p>
    <w:p>
      <w:pPr>
        <w:spacing w:after="0" w:line="10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If we hire employees from competitors or other companies, their former employers may attempt to assert that these employees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personnel or fail to retain and motivate our current personnel, our business and future growth prospects could be harmed.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3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estimated the size of our total addressable market based on internally generated data and assumptions, and such information is inherently imprecise. In addition, our projections, assumptions, and estimates of opportunities within our market are subject to a high degree of uncertainty and risk due to a variety of factors, including, but not limited to, those described in this Annual Report on Form 10-K.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experience quarterly fluctuations in our operating results due to a number of factors which makes our future results difficult to predict and could cause our operating results to fall below expectations or our guidance.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quarterly operating results have fluctuated in the past and are expected to fluctuate in the future due to a variety of factors, many of which are outside of our control. As a result, our past results may not be indicative of our future performance, and comparing our operating results on a period-to-period basis may not be meaningful.</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may not be able to accurately forecast the amount and mix of future subscriptions, revenue, and expenses and, as a result, our operating results may fall below our estimates or the expectations of public market analysts and investors. If our revenue or operating results fall below the expectations of investors or securities analysts, or below any guidance we may provide, the price of our Class A common stock could decline.</w:t>
      </w:r>
    </w:p>
    <w:p>
      <w:pPr>
        <w:spacing w:after="0" w:line="1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secured credit facilities restrict our ability to incur additional indebtedness, require us to maintain specified minimum liquidity and restrict our ability to pay dividends. The terms of any additional debt financing may be similar or more restrictive. For more information, see “—Risks Related to Our Indebtedness.”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sales to customers outside the United States expose us to risks inherent in international operations.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success depends in part on our ability to expand sales to customers located outside of the United States. Any new markets or countries into which we attempt to sell subscriptions to our platform may not be as receptive to our products and services as we anticipate. Expansion of sales to international customers may also create challenges for our U.S.-based sales and customer experience functions and may require us to consider expanding operations internationally. A significant increase in international customers or an expansion of our operations into other countries could create additional risks and challenges, including:</w:t>
      </w:r>
    </w:p>
    <w:p>
      <w:pPr>
        <w:spacing w:after="0" w:line="141" w:lineRule="exact"/>
        <w:rPr>
          <w:sz w:val="20"/>
          <w:szCs w:val="20"/>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need to localize our products and services, including translation into foreign languages and associated expenses;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from local incumbents that better understand the local market, customs, and culture, may market and operate more effectively, and may enjoy greater local affinity or awareness;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need to comply with foreign regulatory frameworks or business practices (including with respect to data privacy and security), which among other things may favor local competitors;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evolving domestic and international tax environments;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liquidity issues or political actions by sovereign nations, including nations with a controlled currency environment, which could result in decreased values of balances or potential difficulties protecting our foreign assets or satisfying local obligations;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fluctuations and controls, which may make our products and services more expensive for international customers and could add volatility to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40" w:hanging="316"/>
        <w:spacing w:after="0" w:line="255"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multiple, conflicting, ambiguous, or evolving governmental laws and regulations, including employment, tax, privacy, anti-corruption, import/export, economic sanctions, trade controls, antitrust, and data transfer, storage and protection, and our ability to identify and respond timely to compliance issues when they occur;</w:t>
      </w:r>
    </w:p>
    <w:p>
      <w:pPr>
        <w:spacing w:after="0" w:line="135"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vetting and monitoring internal or external sales or customer experience resources in new and evolving markets to confirm they maintain standards consistent with our brand and reputation;</w:t>
      </w:r>
    </w:p>
    <w:p>
      <w:pPr>
        <w:spacing w:after="0" w:line="127"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uncertainty regarding regulation, currency, tax, and operations resulting from the post-Brexit regulatory environment that could disrupt trade, the sale of our services and commerce and movement of our people between the United Kingdom, the European Union, and other locations;</w:t>
      </w:r>
    </w:p>
    <w:p>
      <w:pPr>
        <w:spacing w:after="0" w:line="104" w:lineRule="exact"/>
        <w:rPr>
          <w:rFonts w:ascii="Arial" w:cs="Arial" w:eastAsia="Arial" w:hAnsi="Arial"/>
          <w:sz w:val="17"/>
          <w:szCs w:val="17"/>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public perception of governments in the regions where we operate or plan to operate;</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treatment of revenue from international sources, intellectual property considerations, and changes to tax codes, including being subject to foreign tax laws and being liable for paying withholding income or other taxes in foreign jurisdictions;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pricing environments;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different or lesser protection of our intellectual property;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accounts receivable payment cycles and other collection difficulties;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12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(including those as a result of climate change), pandemics (such as COVID-19), acts of war, terrorism, pandemics, or security breaches;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regional economic and political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 of these factors could negatively impact our business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Cyber-attacks and security vulnerabilities could result in serious harm to our reputation, business, and financial condition.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Threats to network and data security are constantly evolving and becoming increasingly diverse and sophisticated and have increased in scope and frequency during the COVID-19 pandemic. Our products and services, as well as our servers and computer systems and those of third parties that we rely on in our operations could be vulnerable to cybersecurity risks and threats or other events that could disrupt our information technology systems and/or subject us to liability such as manmade or natural disasters (including those as a result of climate change) or software vulnerabilities like Apache “Log4j,” which was identified in December 2021 and has affected thousands of businesses worldwide. An increasing number of organizations have disclosed breaches of their information security systems, some of which have involved sophisticated and highly targeted attacks.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have in the past been the target of attempts to identify and exploit system vulnerabilities and/or penetrate or bypass our security measures in order to gain unauthorized access to our systems, including to use our platform and data for purposes other than its intended purpose or to create products that compete with our platform.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may experience breaches of our security measures due to human error, malfeasance, system errors or vulnerabilities, or other irregularities including attempts by former, current or future employees to misuse their authorized access and/or gain unauthorized access to our systems.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Technical problems or disruptions that affect either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3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systems and operations are vulnerable to damage or interruption from fire, flood, power loss, security breaches, computer viruses, telecommunications failures, terrorist attacks, acts of war, electronic and physical break-ins, earthquakes,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platforms are located at facilities maintained by Google or Amazon, which we do not own or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Problems faced or caused by our IT service providers, including content distribution service providers, private network providers, internet providers, and third-party web-hosting providers, or with the systems by which they allocate capacity among their customers (as applicable), could adversely affect the experience of our users. If our third-party service providers are unable to keep up with our growing needs for capacity, our business could be harmed. Additionally, if these third-party cloud services stop providing services to us or increase rates, we may be unable to find sufficient other third-party providers, which could harm our business. In addition, if distribution channels for our mobile applications experience disruptions, such disruptions could adversely affect the ability of users and potential users to access or update our mobile applications. If our platform is unavailable to users or fails to function as quickly as users expect, it could result in reduced customer satisfaction and reduced attractiveness of our platform to customers. This in turn could lead to decreased sales to new customers, harm our ability to renew or grow the subscriptions of existing customers, and/or the issuance of service credits or refunds, any of which could harm our reputation, business, results of operations, and financial condition.</w:t>
      </w:r>
    </w:p>
    <w:p>
      <w:pPr>
        <w:spacing w:after="0" w:line="31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errors, defects, disruptions, or other performance problems with our services could harm our reputation, business, results of operations, and financial condition.</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Interruptions or delays in services from third parties, including data center hosting facilities, internet infrastructure, cloud computing platform providers, and other hardware and software vendors, or our inability to adequately plan for and manage service interruptions or infrastructure capacity requirements, could impair the delivery of our services and harm our business.</w:t>
      </w:r>
    </w:p>
    <w:p>
      <w:pPr>
        <w:spacing w:after="0" w:line="135"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currently serve our customers through the use of third-party data center hosting facilities and cloud computing platform providers. Damage to, or failure of, these systems, or systems upon which they depend such as internet infrastructure, could result in interruptions in our services. We have from time to time experienced interruptions in our services and such interruptions may occur in the future. Interruptions in our services may cause us to issue credits to customers, cause customers to make warranty or other claims against us or to terminate their subscriptions, and adversely affect our customer renewal and upgrade performance and our ability to attract new customers, all of which would reduce our revenue. Our business would also be harmed if our customers and potential customers believe our services are unreliable.</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do not control the operation of third-party facilities, and they may be vulnerable to damage or interruption from earthquakes, floods, fires, power loss, telecommunications failures, and similar events. They may also be subject to break-ins, sabotage, intentional acts of vandalism, and similar misconduct, as well as local administrative actions, changes to legal or permitting requirements, and litigation to stop, limit, or delay operation. The occurrence of a natural disaster, pandemics (such as COVID-19) or an act of terrorism, a decision to close the facilities without adequate notice, or other unanticipated problems at these facilities could result in lengthy interruptions in our services.</w:t>
      </w:r>
    </w:p>
    <w:p>
      <w:pPr>
        <w:spacing w:after="0" w:line="141"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These hardware, software, data, and cloud computing systems may not continue to be available at reasonable prices, on commercially reasonable terms, or at all. Further, the ongoing COVID-19 pandemic could potentially disrupt the supply chain of such hardware needed to maintain these third-party systems and services or to run our business. Any loss of the right to use any of these hardware, software, or cloud computing systems could significantly increase our expenses and otherwise result in delays in the provisioning of our services until equivalent technology is either developed by us, or, if available, is identified, obtained through purchase or license, and integrated into our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has limited experience managing a public company.</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Most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variation in the sales cycle of our products may make it difficult to forecast our revenue and evaluate our business and future prospects.</w:t>
      </w:r>
    </w:p>
    <w:p>
      <w:pPr>
        <w:spacing w:after="0" w:line="19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sales cycle for the evaluation and implementation of our paid versions, which can range from a single day to many months, may cause us to experience a delay between increasing operating expenses and the generation of corresponding revenue, if any.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 the future be sued by third parties for various claims including alleged infringement of proprietary intellectual property rights.</w:t>
      </w:r>
    </w:p>
    <w:p>
      <w:pPr>
        <w:spacing w:after="0" w:line="17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18"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In addition, we may be sued by third parties for breach of contract, defamation, negligence, unfair competition, or copyright or trademark infringement or claims based on other theories. We could also be subject to claims based upon the content that is accessible from our website through links to other websites or information on our website supplied by third parties or claims that our collection of information from third-party sites without a license violates certain federal or state laws or website terms of use. We could also be subject to claims that the collection or provision of certain information, including personal information by us or by third-parties with whom we interact breached laws or regulations relating to privacy or data protection.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Further, many of our subscription agreements require us to indemnify our customers for third-party intellectual property infringement claims, so any alleged infringement by us resulting in claims against such customers would increase our liability.</w:t>
      </w:r>
    </w:p>
    <w:p>
      <w:pPr>
        <w:spacing w:after="0" w:line="13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exposure to risks associated with various claims, including the use of intellectual property, may be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infringement and similar or related claims after we have acquired a company or technology that had not been asserted prior to our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New or changing laws and regulations related to the internet or changes in the internet infrastructure itself may diminish the demand for our platform and could harm our business.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The future success of our business depends upon the continued use of the internet as a primary medium for commerce, communication, and business applications. Federal, state, or foreign governmental bodies or agencies have in the past adopted, and may in the future adopt, laws or regulations affecting the use of the internet as a commercial medium. The adoption of any laws or regulations that could reduce the growth, popularity, or use of the internet, including laws or practices limiting internet neutrality, could decrease the demand for, or the usage of, our products and services, increase our cost of doing business, and harm our results of operations. Changes in these laws or regulations could require us to modify our platform, or certain aspects of our platform, in order to comply with these changes. In addition, government agencies or private organizations have imposed and may impose additional taxes, fees, or other charges for accessing the internet or commerce conducted via the internet. These laws or charges could limit the growth of internet-related commerce or communications generally or result in reductions in the demand for internet-based products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Further, our platform depends on the quality of our users’ access to the internet.</w:t>
      </w:r>
    </w:p>
    <w:p>
      <w:pPr>
        <w:spacing w:after="0" w:line="109"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On June 11, 2018, the repeal of the Federal Communications Commission’s (the “FCC”), “net neutrality” rules took effect and returned to a “light-touch” regulatory framework. The prior rules were designed to ensure that all online content is treated the same by internet service providers and other companies that provide broadband services. Additionally, on September 30, 2018, California enacted the California internet Consumer Protection and Net Neutrality Act of 2018, making California one of several states to enact a state-level net neutrality law since the FCC repealed its nationwide regulations, mandating that all broadband services in California must be provided in accordance with state net neutrality requirements. The U.S. Department of Justice has sued to block the law going into effect, and California has agreed to delay enforcement until the resolution of the FCC’s repeal of the federal rules. A number of other states are considering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spacing w:after="0" w:line="13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Internet access is frequently provided by companies that have significant market power that could take actions that degrade, disrupt, or increase the cost of user access to our platform, which would negatively impact our business. The performance of 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platform could decline.</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could incur greater operating expenses and our user acquisition and retention could be negatively impacted if network operators:</w:t>
      </w:r>
    </w:p>
    <w:p>
      <w:pPr>
        <w:spacing w:after="0" w:line="164" w:lineRule="exact"/>
        <w:rPr>
          <w:sz w:val="20"/>
          <w:szCs w:val="20"/>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usage-based pricing;</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discount pricing for competitive products;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materially change their pricing rates or schemes;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charge us to deliver our traffic at certain levels or at all;</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throttle traffic based on its source or type;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bandwidth caps or other usage restrictions;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otherwise try to monetize or control access to their networks.</w:t>
      </w:r>
    </w:p>
    <w:p>
      <w:pPr>
        <w:spacing w:after="0" w:line="1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Action by governments to restrict access to our platforms in their countries or to require us to disclose or provide access to information in our possession could harm our business, results of operations, and financial condition.</w:t>
      </w:r>
    </w:p>
    <w:p>
      <w:pPr>
        <w:spacing w:after="0" w:line="12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Our platforms depend on the ability of our users to access the internet and our platforms could be blocked or restricted in some countries for various reasons. Further, it is possible that governments of one or more foreign countries may seek to limit access to or certain features of our platforms in their countries, or impose other restrictions that may affect the availability of our platforms, or certain features of our platforms, in their countries for an extended period of time or indefinitely. For example, Russia and China are among a number of countries that have recently blocked certain online services, including Amazon Web Services (which is one of our cloud hosting providers), making it very difficult for such services to access those markets. Additionally, in August 2021, China adopted the PIPL, which took effect on November 1, 2021. The PIPL introduces a legal framework similar to the GDPR and is viewed as the beginning of a comprehensive system for the protection of personal information in China, although numerous aspects of the law remain uncertain and developing and the impact that PIPL will have on businesses remains uncertain. In addition, governments in certain countries may seek to restrict or prohibit access to our platforms if they consider us to be in violation of their laws (including privacy laws) and may require us to disclose or provide access to information in our possession. If we fail to anticipate developments in the law or fail for any reason to comply with relevant law, our platforms could be further blocked or restricted and we could be exposed to significant liability that could harm our business. In the event that access to our platforms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Certain Accounting and Financial Reporting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existing financial accounting standards or practices may harm our results of operations.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Changes in existing accounting rules or practices, new accounting pronouncements, or varying interpretations of current accounting pronouncements could negatively impact our results of operations. Further, such changes could potentially affect our reporting of transactions completed before such changes are effective. GAAP is subject to interpretation by the Financial Accounting Standards Board (the “FASB”),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Any difficulties in implementing these pronouncements could cause us to fail to meet our financial reporting obligations, which could result in regulatory discipline and harm investors’ confidence in us.</w:t>
      </w:r>
    </w:p>
    <w:p>
      <w:pPr>
        <w:spacing w:after="0" w:line="128" w:lineRule="exact"/>
        <w:rPr>
          <w:sz w:val="20"/>
          <w:szCs w:val="20"/>
          <w:color w:val="auto"/>
        </w:rPr>
      </w:pPr>
    </w:p>
    <w:p>
      <w:pPr>
        <w:jc w:val="both"/>
        <w:spacing w:after="0" w:line="365" w:lineRule="auto"/>
        <w:rPr>
          <w:sz w:val="20"/>
          <w:szCs w:val="20"/>
          <w:color w:val="auto"/>
        </w:rPr>
      </w:pPr>
      <w:r>
        <w:rPr>
          <w:rFonts w:ascii="Arial" w:cs="Arial" w:eastAsia="Arial" w:hAnsi="Arial"/>
          <w:sz w:val="15"/>
          <w:szCs w:val="15"/>
          <w:b w:val="1"/>
          <w:bCs w:val="1"/>
          <w:i w:val="1"/>
          <w:iCs w:val="1"/>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Our failure to establish or maintain appropriate internal financial reporting controls and procedures, could cause us to fail to meet our reporting obligations on a timely basis, has resulted in and could in the future result in material misstatements in our consolidated financial statements, and could harm our operating results. The rules governing the standards that must be met for our management to assess our internal control over financial reporting are complex and require significant documentation, testing, and possible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302" w:lineRule="auto"/>
        <w:rPr>
          <w:sz w:val="20"/>
          <w:szCs w:val="20"/>
          <w:color w:val="auto"/>
        </w:rPr>
      </w:pPr>
      <w:r>
        <w:rPr>
          <w:rFonts w:ascii="Arial" w:cs="Arial" w:eastAsia="Arial" w:hAnsi="Arial"/>
          <w:sz w:val="15"/>
          <w:szCs w:val="15"/>
          <w:color w:val="auto"/>
        </w:rPr>
        <w:t>We previously identified and disclosed in our Annual Report on Form 10-K for the year ended December 31, 2020 a material weakness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Based on the remediation steps implemented, management concluded that we have remediated the previously disclosed material weakness during the quarter ended March 31, 2021. We can give no assurance that the measures we have taken and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financial statements. Please refer to “Controls and Procedures—Remediation Efforts to Address the Previously Disclosed Material Weakness” in Part II, Item 9A of this Annual Report on Form 10-K for further information.</w:t>
      </w:r>
    </w:p>
    <w:p>
      <w:pPr>
        <w:spacing w:after="0" w:line="32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financial statements. Confidence in the reliability of our financial statements also could suffer if we or our independent registered public accounting firm report a material weakness in our internal controls over financial reporting. This could materially adversely affect us and lead to a decline in the market price of our Class A common stock.</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to our results determined in accordance with U.S. GAAP, we believe certain non-GAAP measures may be useful in evaluating our operating performance. We present certain non-GAAP financial measures in this Annual Report on Form 10-K and intend to continue to present certain non-GAAP financial measures in future filings with the SEC and other public statements. Any failure to accurately report and present our non-GAAP financial measures could cause investors to lose confidence in our reported financial and other information, which would likely have a negative effect on the trading price of our Class A common stock.</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history of net losses, we anticipate increasing operating expenses in the future, and we may not be able to achieve and, if achieved, maintain profitability.</w:t>
      </w:r>
    </w:p>
    <w:p>
      <w:pPr>
        <w:spacing w:after="0" w:line="128"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Prior to 2021, we incurred net losses in each year since our inception, including net losses of $36.4 million in 2020 and $78.0 million in 2019. We may not continue to achieve or maintain profitability in the future. Because the market for our platform is rapidly evolving and has not yet reached widespread adoption, it is difficult for us to predict our future results of operations or the limits of our market opportunity. We expect our operating expenses to significantly increase over the next several years as we continue to hire additional personnel, particularly in sales and marketing and research and development,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sustain profitability on a consistent basis could cause the value of our Class A common stock to decline.</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Consolidated Balance Sheets reflects goodwill of $1,575.1 million and $1,000.1 million as of December 31, 2021 and 2020, respectively, and intangible assets, net of $431.0 million and $365.7 million as of December 31, 2021 and 2020, respectively.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321" w:lineRule="exact"/>
        <w:rPr>
          <w:sz w:val="20"/>
          <w:szCs w:val="20"/>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income taxes in the United States and various jurisdictions outside of the United States. Our income tax obligations are generally determined based on our business operations in these jurisdictions. Significant judgment is often required in the determination of our worldwide provision for income taxes. Our effective tax rate could be impacted by changes in the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w:t>
      </w:r>
    </w:p>
    <w:p>
      <w:pPr>
        <w:spacing w:after="0" w:line="14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As our business continues to grow and if we become more profitable, we anticipate that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to our future cash flows or operating results.</w:t>
      </w:r>
    </w:p>
    <w:p>
      <w:pPr>
        <w:spacing w:after="0" w:line="11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addition, recent global tax developments applicable to multinational businesses, including certain approaches of addressing taxation of digital economy recently proposed or enacted by the Organisation for Economic Co-operation and Development, the European Commission or certain major jurisdictions where we operate or might in the future operate, might have a material impact to our business and future cash flow from operating activities, or future financial results. 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In addition, our operations may change, which may impact our tax liabilities.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10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products and services and harm our business.</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Those enactments could harm our domestic and international business operations and our business, results of operations, and financial condition.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purchase our products and services in the future. Additionally, new, changed, modified, or newly interpreted or applied tax laws could increase our paying customers’ and our compliance, operating, and other costs, as well as the costs of our products and services. Further, these events could decrease the capital we have available to operate our business. Any or all of these events could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the application of U.S. federal, state, local, and international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costs, thereby adversely affecting our results of operations and harming our business.</w:t>
      </w:r>
    </w:p>
    <w:p>
      <w:pPr>
        <w:spacing w:after="0" w:line="14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products and services in jurisdictions where we have not historically done so.</w:t>
      </w:r>
    </w:p>
    <w:p>
      <w:pPr>
        <w:spacing w:after="0" w:line="128"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5"/>
          <w:szCs w:val="15"/>
          <w:color w:val="auto"/>
        </w:rPr>
        <w:t>States and some local taxing jurisdictions have differing rules and regulations governing sales and use taxes, and these rules and regulations are subject to varying interpretations that may change over time. The application of federal, state, local, and international tax laws to services provided electronically is evolving. In particular, the applicability of sales taxes to our products and services in various jurisdictions is unclear. We collect and remit U.S. sales and value-added tax (“VAT”), in a number of jurisdictions. It is possible, however, that we could face sales tax or VAT audits and that our liability for these taxes could exceed our estimates as state tax authorities could still assert that we are obligated to collect additional tax amounts from our paying customers and remit those taxes to those authorities.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organizations from subscribing to our products and services, or otherwise harm our business, results of operations, and financial condition.</w:t>
      </w:r>
    </w:p>
    <w:p>
      <w:pPr>
        <w:spacing w:after="0" w:line="3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Further, one or more state or foreign authorities could seek to impose additional sales, use, or other tax collection and record-keeping obligations on us or may determine that such taxes should have, but have not been, paid by us. Liability for past taxes may also include substantial interest and penalty charges. Any successful action by state, foreign, or other authorities to compel us to collect and remit sales tax, use tax, or other taxes, either retroactively, prospectively, or both, could harm our business, results of operations,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have a substantial amount of debt, which could adversely affect our financial position and our ability to raise additional capital and prevent us from fulfilling our obligations under our obligations.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total outstanding indebtedness of approximately $1,250.0 million consisting of outstanding borrowings under our first lien credit facilities. Additionally, we had $250.0 million of availability under our first lien revolving credit facility as of December 31, 2021. Our substantial indebtedness may:</w:t>
      </w:r>
    </w:p>
    <w:p>
      <w:pPr>
        <w:spacing w:after="0" w:line="135" w:lineRule="exact"/>
        <w:rPr>
          <w:sz w:val="20"/>
          <w:szCs w:val="20"/>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it difficult for us to satisfy our financial obligations, including with respect to our indebtedness;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164"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hanging="316"/>
        <w:spacing w:after="0" w:line="264"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certain of our borrowings, including under our secured credit facilities, are at variable rates of interest;</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ability to pay dividends;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place us at a competitive disadvantage compared with our less-leveraged competitors;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competitive, and industry conditions; and</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9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Our total principal repayments of debt made in 2021, 2020, and 2019 were $581.4 million, $510.9 million, and $649.8 million, respectively. Our total interest expense, net for 2021, 2020, and 2019 was $43.9 million, $69.3 million, and $102.4 million, respectively. We may be unable to maintain a level of cash flow sufficient to permit us to pay the principal, premium, if any, and interest on our indebtedness.</w:t>
      </w:r>
    </w:p>
    <w:p>
      <w:pPr>
        <w:spacing w:after="0" w:line="14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 The credit agreement governing our secured credit facilities restricts, and the agreements governing our future indebtedness may restrict, our ability to dispose of assets and use the proceeds from those dispositions and may also restrict our ability to raise debt or equity capital to be used to repay other indebtedness when it becomes due. We may not be able to consummate those dispositions or to obtain proceeds in an amount sufficient to meet any debt service obligations then due. In addition, under the covenants of the credit agreement governing our secured credit facilities, ZoomInfo OpCo is restricted from making certain payments, including dividend payments to ZoomInfo Technologies Inc., subject to certain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Because a substantial portion of our debt is variable-rate debt, fluctuations in interest rates could have a material effect on our business.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As a result, we may incur higher interest costs if interest rates increase. Interest rates have been at historic lows for the last several years. During 2020 and 2021, the United States Federal Reserve took several steps to protect the economy from the impact of the COVID-19 pandemic, including reducing interest rates to new historic lows. There can be no assurance, however, that the United States Federal Reserve will not raise rates in 2022, and any such increase in interest costs could have a material adverse impact on our financial condition and the levels of cash we maintain for working capital.</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addition, our variable rate indebtedness uses the London Interbank Offered Rate (“LIBOR”) as a benchmark for establishing the rate of interest and may be hedged with LIBOR-based interest rate derivatives. LIBOR is the subject of recent national, international, and other regulatory guidance and proposals for reform. For example, the United States Federal Reserve has advised banks to cease entering into new contracts that use USD LIBOR as a reference rate. The Federal Reserve, in conjunction with the Alternative Reference Rate Committee, a committee convened by the Federal Reserve that includes major market participants, has identified the Secured Overnight Financing Rate, or SOFR, a new index calculated by short-term repurchase agreements, backed by Treasury securities, as its preferred alternative rate for LIBOR. There are significant differences between LIBOR and SOFR, such as LIBOR being an unsecured lending rate while SOFR is a secured lending rate, and SOFR is an overnight rate while LIBOR reflects term rates at different maturities These reforms and other pressures may cause LIBOR to be replaced with a new benchmark or to perform differently than in the past. While we are taking steps to assess our LIBOR exposure and mitigate potential impacts of such a transition, the consequences of these developments cannot be entirely predicted but could include an increase in the cost of our variable rate indebtedness.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ZoomInfo Technologies Inc. is a holding company, its only material asset is its interest in ZoomInfo Intermediate Inc. and ZoomInfo OpCo, and ZoomInfo Technologies Inc. is accordingly dependent upon distributions from ZoomInfo OpCo and its subsidiaries to pay taxes, make payments under the tax receivable agreements, and pay dividends.</w:t>
      </w:r>
    </w:p>
    <w:p>
      <w:pPr>
        <w:spacing w:after="0" w:line="13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ZoomInfo Technologies Inc. is a holding company, and has no material assets other than its ownership of common stock of ZoomInfo Intermediate Inc. and of OpCo Units. ZoomInfo Technologies Inc. has no independent means of generating revenue. In the event ZoomInfo Technologies Inc. declares any cash dividend, we expect that the manager of ZoomInfo </w:t>
      </w:r>
      <w:r>
        <w:rPr>
          <w:rFonts w:ascii="Arial" w:cs="Arial" w:eastAsia="Arial" w:hAnsi="Arial"/>
          <w:sz w:val="17"/>
          <w:szCs w:val="17"/>
          <w:u w:val="single" w:color="auto"/>
          <w:color w:val="auto"/>
        </w:rPr>
        <w:t>M</w:t>
      </w:r>
      <w:r>
        <w:rPr>
          <w:rFonts w:ascii="Arial" w:cs="Arial" w:eastAsia="Arial" w:hAnsi="Arial"/>
          <w:sz w:val="17"/>
          <w:szCs w:val="17"/>
          <w:color w:val="auto"/>
        </w:rPr>
        <w:t>idCo LLC would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OpCo and its subsidiaries for any reason could limit or impair their ability to pay such distributions. Additionally, to the extent that ZoomInfo Technologies Inc. needs funds, and ZoomInfo OpCo is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have no current plans to pay cash dividends on our Class A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MidCo LLC is generally prohibited under Delaware law from making a distribution to a member to the extent that, at the time of the distribution, after giving effect to the distribution, liabilities of ZoomInfo MidCo LLC (with certain exceptions) exceed the fair value of its assets. Subsidiaries of ZoomInfo MidCo LLC are generally subject to similar legal limitations on their ability to make distributions to ZoomInfo MidCo LLC.</w:t>
      </w:r>
    </w:p>
    <w:p>
      <w:pPr>
        <w:spacing w:after="0" w:line="13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ZoomInfo Intermediate Inc. is required to pay our Pre-IPO Owners for most of the benefits relating to any additional tax depreciation or amortization deductions that we may claim as a result of the ZoomInfo Tax Group’s allocable share of existing tax basis acquired in the IPO, the ZoomInfo Tax Group’s increase in its allocable share of existing tax basis, and anticipated tax basis adjustments the ZoomInfo Tax Group receives in connection with sales or exchanges of OpCo Units after the IPO, and certain other tax attributes.</w:t>
      </w:r>
    </w:p>
    <w:p>
      <w:pPr>
        <w:spacing w:after="0" w:line="12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1" w:lineRule="auto"/>
        <w:rPr>
          <w:sz w:val="20"/>
          <w:szCs w:val="20"/>
          <w:color w:val="auto"/>
        </w:rPr>
      </w:pPr>
      <w:r>
        <w:rPr>
          <w:rFonts w:ascii="Arial" w:cs="Arial" w:eastAsia="Arial" w:hAnsi="Arial"/>
          <w:sz w:val="15"/>
          <w:szCs w:val="15"/>
          <w:color w:val="auto"/>
        </w:rPr>
        <w:t>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OpCo. While the amount of existing tax basis, the anticipated tax basis adjustments, and the actual amount and utilization of tax attributes, as well as the amount and timing of any payments under the tax receivable agreements, will vary depending upon a number of factors, including the timing of exchanges, the price of shares of our Class A common stock at the time of exchanges, the extent to which such exchanges are taxable, and the amount and timing of our income, we expect that as a result of the size of the transfers and increases in the tax basis of the tangible and intangible assets of ZoomInfo OpCo and our possible utilization of tax attributes, including existing tax basis acquired at the time of the IPO, the payments that the members of the ZoomInfo Tax Group may make under the tax receivable agreements will be substantial. The payments under the tax receivable agreements are not conditioned upon continued ownership of us by the exchanging holders of OpCo Units or the prior owners of the Blocker Companies.</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28"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OpCo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Intermediate by ZoomInfo MidCo LLC are not sufficient to permit ZoomInfo Intermediate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1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Class A common stock.</w:t>
      </w:r>
    </w:p>
    <w:p>
      <w:pPr>
        <w:spacing w:after="0" w:line="12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Class A common stock in a change of control transaction.</w:t>
      </w:r>
    </w:p>
    <w:p>
      <w:pPr>
        <w:spacing w:after="0" w:line="98" w:lineRule="exact"/>
        <w:rPr>
          <w:sz w:val="20"/>
          <w:szCs w:val="20"/>
          <w:color w:val="auto"/>
        </w:rPr>
      </w:pPr>
    </w:p>
    <w:p>
      <w:pPr>
        <w:jc w:val="both"/>
        <w:ind w:right="20"/>
        <w:spacing w:after="0" w:line="365" w:lineRule="auto"/>
        <w:rPr>
          <w:sz w:val="20"/>
          <w:szCs w:val="20"/>
          <w:color w:val="auto"/>
        </w:rPr>
      </w:pPr>
      <w:r>
        <w:rPr>
          <w:rFonts w:ascii="Arial" w:cs="Arial" w:eastAsia="Arial" w:hAnsi="Arial"/>
          <w:sz w:val="15"/>
          <w:szCs w:val="15"/>
          <w:b w:val="1"/>
          <w:bCs w:val="1"/>
          <w:i w:val="1"/>
          <w:iCs w:val="1"/>
          <w:color w:val="auto"/>
        </w:rPr>
        <w:t>If we were deemed to be an investment company under the Investment Company Act of 1940, as amended (the “1940 Act”), applicable restrictions could make it impractical for us to continue our business as contemplated and could have a material adverse effect on our business.</w:t>
      </w:r>
    </w:p>
    <w:p>
      <w:pPr>
        <w:spacing w:after="0" w:line="5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Under Sections 3(a)(1)(A) and (C) of the 1940 Act, a company generally will be deemed to be an “investment company” for purposes of the 1940 Act if</w:t>
      </w:r>
    </w:p>
    <w:p>
      <w:pPr>
        <w:spacing w:after="0" w:line="51" w:lineRule="exact"/>
        <w:rPr>
          <w:sz w:val="20"/>
          <w:szCs w:val="20"/>
          <w:color w:val="auto"/>
        </w:rPr>
      </w:pPr>
    </w:p>
    <w:p>
      <w:pPr>
        <w:jc w:val="both"/>
        <w:ind w:firstLine="6"/>
        <w:spacing w:after="0" w:line="264" w:lineRule="auto"/>
        <w:tabs>
          <w:tab w:leader="none" w:pos="2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are, and hold ourselves out as being, engaged primarily in the business of providing a go-to-market intelligence and engagement platform for sales and marketing teams through our majority- and wholly-owned operating subsidiaries. As a result, we do not believe that we are an “investment company,” as such term is defined in either of those sections of the 1940 Act.</w:t>
      </w:r>
    </w:p>
    <w:p>
      <w:pPr>
        <w:spacing w:after="0" w:line="130"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parties to our stockholders agreement continue to have influence over us, and their interests may conflict with ours or yours in the future.</w:t>
      </w:r>
    </w:p>
    <w:p>
      <w:pPr>
        <w:spacing w:after="0" w:line="1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Pursuant to the terms of our stockholders agreement, we agreed to nominate to our board of directors individuals designated by TA Associates, Carlyle, and our Founders. Our Founders retained the right to designate at least one director for so long as they beneficially own at least 5% of the voting power of all shares of our outstanding capital stock entitled to vote generally in the election of our directors. Therefore, for so long as a party to our stockholders agreement beneficially owns at least 5% of the voting power of all shares of our outstanding capital stock entitled to vote generally in the election of our directors, or has a designee continuing to serve on our board of directors, they will still be able to significantly influence our management, business plans, and policies, including the appointment and removal of our officers, the composition of our board of directors, and decisions about whether to enter or not enter into significant transactions. The concentration of ownership or the rights provided under the terms of the stockholders agreement could deprive you of an opportunity to receive a premium for your shares of Class A common stock as part of a sale of our Company and ultimately might affect the market price of our Class A common stock.</w:t>
      </w:r>
    </w:p>
    <w:p>
      <w:pPr>
        <w:spacing w:after="0" w:line="1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does not limit the ability of our Sponsors to compete with us, and they and certain of our executive officers may have investments in businesses whose interests conflict with ours.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Sponsors and their respective affiliates engage in a broad spectrum of activities, including investments in businesses that may compete with us. In the ordinary course of their business activities, our Sponsors and their respective affiliates may engage in activities where their interests conflict with our interests or those of our stockholders. Our amended and restated certificate of incorporation provides that none of our Sponsors or any of their respective affiliates or any of our directors who are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Our Sponsors and their respective affiliates also may pursue acquisition opportunities that may be complementary to our business, and, as a result, those acquisition opportunities may not be available to us. In addition, our Sponsors may have an interest in our pursuing acquisitions, divestitures, and other transactions that, in their judgment, could enhance their investment, even though such transactions might involve risks to us and our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You may be diluted by the future issuance of additional Class A common stock in connection with our incentive plans, acquisitions, or otherwise.</w:t>
      </w:r>
    </w:p>
    <w:p>
      <w:pPr>
        <w:spacing w:after="0" w:line="199"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Your percentage ownership in our Class A common stock potentially could be diluted in the future because of additional equity awards that we expect will be granted to our directors, officers and employees. Our 2020 Omnibus Incentive Plan provides for the grant of common stock-based equity awards to our directors, officers and other employees. In addition, we may issue equity in order to raise capital or in connection with future acquisitions and strategic investments, which could dilute your percentage ownership</w:t>
      </w:r>
      <w:r>
        <w:rPr>
          <w:rFonts w:ascii="Arial" w:cs="Arial" w:eastAsia="Arial" w:hAnsi="Arial"/>
          <w:sz w:val="15"/>
          <w:szCs w:val="15"/>
          <w:b w:val="1"/>
          <w:bCs w:val="1"/>
          <w:i w:val="1"/>
          <w:iCs w:val="1"/>
          <w:color w:val="auto"/>
        </w:rPr>
        <w:t>.</w:t>
      </w:r>
      <w:r>
        <w:rPr>
          <w:rFonts w:ascii="Arial" w:cs="Arial" w:eastAsia="Arial" w:hAnsi="Arial"/>
          <w:sz w:val="15"/>
          <w:szCs w:val="15"/>
          <w:color w:val="auto"/>
        </w:rPr>
        <w:t xml:space="preserve"> Any Class A common stock that we issue, including under our 2020 Omnibus Incentive Plan or other equity incentive plans that we may adopt in the future, would dilute the percentage ownership held by our Class A common stockholders.</w:t>
      </w:r>
    </w:p>
    <w:p>
      <w:pPr>
        <w:spacing w:after="0" w:line="98"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Class A common stock.</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amended and restated certificate of incorporation authorizes us to issue, without the approval of our stockholders, one or more classes or series of preferred stock having such designations, preferences, limitations, and relative rights, including preferences over our Class A common stock respecting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or our Pre-IPO Owners sell additional shares of our Class A common stock or are perceived by the public markets as intending to sell them, the market price of our Class A common stock could decline.</w:t>
      </w:r>
    </w:p>
    <w:p>
      <w:pPr>
        <w:spacing w:after="0" w:line="128"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We have filed a registration statement on Form S-8 under the Securities Act to register shares of our Class A common stock or securities convertible into or exchangeable for shares of our Class A common stock issued pursuant to the 2020 Omnibus Incentive Plan. Such Form S-8 registration statement automatically became effective upon filing. Accordingly, shares registered under such registration statement will be available for sale in the open market. Our registration statement on Form S-8 covers 18,650,000 shares of our Class A common stock. In addition, we have an effective registration statement on Form S-3 under the Securities Act on file that registered 10,287,643 shares of our Class A common stock that may be sold from time to time by certain of our officers and employees prior to the IPO.</w:t>
      </w:r>
    </w:p>
    <w:p>
      <w:pPr>
        <w:spacing w:after="0" w:line="10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the future, we may also issue our securities in connection with investments or acquisitions. The number of shares of our Class A common stock (or securities convertible into or exchangeable for our Class A common stock) issued in connection with an investment or acquisition could constitute a material portion of our then-outstanding shares of Class A common stock. As restrictions on resale end, the market price of our shares of Class A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12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28" w:lineRule="exact"/>
        <w:rPr>
          <w:sz w:val="20"/>
          <w:szCs w:val="20"/>
          <w:color w:val="auto"/>
        </w:rPr>
      </w:pPr>
    </w:p>
    <w:p>
      <w:pPr>
        <w:ind w:left="640" w:hanging="316"/>
        <w:spacing w:after="0" w:line="264"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93" w:lineRule="exact"/>
        <w:rPr>
          <w:rFonts w:ascii="Arial" w:cs="Arial" w:eastAsia="Arial" w:hAnsi="Arial"/>
          <w:sz w:val="18"/>
          <w:szCs w:val="18"/>
          <w:color w:val="auto"/>
        </w:rPr>
      </w:pPr>
    </w:p>
    <w:p>
      <w:pPr>
        <w:jc w:val="both"/>
        <w:ind w:left="640" w:hanging="316"/>
        <w:spacing w:after="0" w:line="27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18"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include super voting, special approval, dividend, or other rights or preferences superior to the rights of the holders of common stock;</w:t>
      </w:r>
    </w:p>
    <w:p>
      <w:pPr>
        <w:spacing w:after="0" w:line="164" w:lineRule="exact"/>
        <w:rPr>
          <w:sz w:val="20"/>
          <w:szCs w:val="20"/>
          <w:color w:val="auto"/>
        </w:rPr>
      </w:pPr>
    </w:p>
    <w:p>
      <w:pPr>
        <w:jc w:val="both"/>
        <w:ind w:left="640" w:hanging="316"/>
        <w:spacing w:after="0" w:line="255"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 by holders of Class A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135"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for certain limitations on convening special stockholder meetings;</w:t>
      </w:r>
    </w:p>
    <w:p>
      <w:pPr>
        <w:spacing w:after="0" w:line="16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13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that certain provisions of our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elections to our board of directors or for proposing matters that can be acted upon by stockholders at stockholder meetings.</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 in Exhibit 4.1 to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other stockholders.</w:t>
      </w:r>
    </w:p>
    <w:p>
      <w:pPr>
        <w:spacing w:after="0" w:line="11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an alternative forum, the Court of Chancery of the State of Delaware will, to the fullest extent permitted by law, be the sole and exclusive forum for any (i) derivative action or proceeding brought on our behalf,</w:t>
      </w:r>
    </w:p>
    <w:p>
      <w:pPr>
        <w:spacing w:after="0" w:line="1" w:lineRule="exact"/>
        <w:rPr>
          <w:sz w:val="20"/>
          <w:szCs w:val="20"/>
          <w:color w:val="auto"/>
        </w:rPr>
      </w:pPr>
    </w:p>
    <w:p>
      <w:pPr>
        <w:jc w:val="both"/>
        <w:ind w:firstLine="6"/>
        <w:spacing w:after="0" w:line="261" w:lineRule="auto"/>
        <w:tabs>
          <w:tab w:leader="none" w:pos="285"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action asserting a claim of breach of a fiduciary duty owed by any current or former director, officer, stockholder or employee of ours to us or our stockholders, (iii) action asserting a claim arising under any provision of the Delaware General Corporation Law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 Unless we consent in writing to the selection of an alternative forum, the federal district courts of the United States of America shall be the exclusive forum for the resolution of any complaint asserting a cause of action arising under the Exchange Act or the Securities Act. To the fullest extent permitted by law, any person or entity purchasing or otherwise acquiring any interest in any shares of our capital stock shall be deemed to have notice of and to have consented to the forum provision in our amended and restated certificate of incorporation. This choice-of-forum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protect and maintain our brand, our ability to attract and retain customers will be impaired, our reputation may be harmed, and our business, results of operations, and financial condition may suffer.</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Furthermore, we believe that the importance of brand recognition will increase as competition in our market increases. Successful promotion of our brand will depend largely on the effectiveness of our marketing efforts and on our ability to ensure that our products and services remains high-quality, reliable, and useful at competitive prices.</w:t>
      </w:r>
    </w:p>
    <w:p>
      <w:pPr>
        <w:spacing w:after="0" w:line="12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we may fail to attract new customers to the extent necessary to realize a sufficient return on our brand-building efforts, and our business, results of operations, and financial condition could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 subject to litigation for any of a variety of claims, which could harm our reputation and adversely affect our business, results of operations, and financial condition.</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intellectual property,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3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are subject to numerous obligations in our contracts with organizations using our products and services,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credit and other ratings could adversely impact our operations and lower our profitability.</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Credit rating and other rating agencies continually revise their ratings and ratings methodologies for the companies that they follow, including us. These rating agencies also evaluate our industry as a whole and may change their credit and other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12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trading market for our Class A common stock is influenced by the research and reports that industry or securities analysts publish about us or our business. We do not control these analysts. If any of the analysts who cover us downgrade our Class A common stock or our industry, or the stock of any of our competitors, or publish inaccurate or unfavorable research about our business, the price of our Class A common stock may decline. If analysts cease coverage of us or fail to regularly publish reports on us, we could lose visibility in the financial markets, which in turn could cause the price or trading volume of our Class A common stock to decline and our Class A common stock to be less liquid.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1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You may not be able to resell your shares of our Class A common stock at or above the public offering price due to a number of factors, such as those listed elsewhere in this “Risk Factors” section and the following:</w:t>
      </w:r>
    </w:p>
    <w:p>
      <w:pPr>
        <w:spacing w:after="0" w:line="93" w:lineRule="exact"/>
        <w:rPr>
          <w:sz w:val="20"/>
          <w:szCs w:val="20"/>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our competitors, or other comparable companies report operating results below the expectations of public market analysts and investors;</w:t>
      </w:r>
    </w:p>
    <w:p>
      <w:pPr>
        <w:spacing w:after="0" w:line="175" w:lineRule="exact"/>
        <w:rPr>
          <w:rFonts w:ascii="Arial" w:cs="Arial" w:eastAsia="Arial" w:hAnsi="Arial"/>
          <w:sz w:val="17"/>
          <w:szCs w:val="17"/>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variations in our, our competitors’, or other comparable companies’ quarterly operating results or dividends, if any, to stockholders;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guidance, if any, that we, our competitors, or other comparable companies provide to the public, any changes in this guidance, or failure to meet this guidance;</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by us or others in our industry to meet analysts’ earnings estimates;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publication of research reports about our industry;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valuations of similar companies or speculation in the press or investment community;</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similar companies;</w:t>
      </w:r>
    </w:p>
    <w:p>
      <w:pPr>
        <w:spacing w:after="0" w:line="164"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partnerships, joint ventures, or capital commitments;</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Class A common stock relative to other investment alternatives;</w:t>
      </w:r>
    </w:p>
    <w:p>
      <w:pPr>
        <w:spacing w:after="0" w:line="175" w:lineRule="exact"/>
        <w:rPr>
          <w:rFonts w:ascii="Arial" w:cs="Arial" w:eastAsia="Arial" w:hAnsi="Arial"/>
          <w:sz w:val="17"/>
          <w:szCs w:val="17"/>
          <w:color w:val="auto"/>
        </w:rPr>
      </w:pPr>
    </w:p>
    <w:p>
      <w:pPr>
        <w:ind w:left="640" w:hanging="316"/>
        <w:spacing w:after="0" w:line="26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litigation, government investigations, changes in laws, or changes in business or regulatory conditions, or differing interpretations or enforcement thereof;</w:t>
      </w:r>
    </w:p>
    <w:p>
      <w:pPr>
        <w:spacing w:after="0" w:line="127"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 publicity about the industries we participate in; or</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scandals.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8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 regardless of the outcome of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sanctions, anti-corruption, anti-bribery, and similar laws, and non-compliance with such laws can subject us to criminal penalties or significant fines and harm our business and reputation.</w:t>
      </w:r>
    </w:p>
    <w:p>
      <w:pPr>
        <w:spacing w:after="0" w:line="128"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We are subject to requirements under the U.S. Treasury Department’s Office of Foreign Assets Control, anti-corruption, anti-bribery, and similar laws, such as the U.S. Foreign Corrupt Practices Act of 1977, as amended (the “FCPA”), the U.S. domestic bribery statute contained in 18 U.S.C. § 201, the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offering, or providing anything of value to a “foreign official” for the purposes of influencing official decisions or obtaining or retaining business, or otherwise obtaining favorable treatment.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107"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and we can be held liable for the corrupt or other illegal activities of such future third-party intermediaries, and our employees, representatives, contractors, partners, and agents, even if we do not explicitly authorize such activities. We cannot provide assurance that our internal controls and compliance systems will always protect us from liability for acts committed by employees, agents, or business partners of ours (or of businesses we acquire or partner with) that would violate U.S. and/or non-U.S. laws, including the laws governing payments to government officials, bribery, fraud, kickbacks, false claims, pricing, sales and marketing practices, conflicts of interest, competition, employment practices and workplace behavior, export and import compliance, economic and trade sanctions, money laundering, data privacy, and other related laws. Any such improper actions or allegations of such acts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Software intended to prevent access to our products and service from certain geographies may not be effective in all cases.</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Any violation of economic and trade sanction laws, export and import laws, the FCPA, or other applicable anti-corruption laws or anti-money laundering laws could also result in whistleblower complaints, adverse media coverage, investigations, loss of export privileges, severe criminal or civil sanctions, and, in the case of the FCPA, suspension or debarment from U.S. government contracts, any of which could have a materially adverse effect on our reputation, business, results of operations, and prospects.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corporate headquarters is located in Vancouver, Washington and consists of 57,576 square feet under a lease agreement that expires on August 31, 2025. In the third quarter of 2021, we executed a lease to occupy a new corporate headquarters in Vancouver, Washington that will consist of 366,253 square feet upon completion of construction. We plan to take possession of various spaces within our new headquarters in phases as sections of the property are ready for occupancy, with the first phase expected to commence at the earliest in January 2025.</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maintain additional offices in the United States, including in Waltham, Massachusetts; Bellevue, Washington; Bethesda, Maryland; Conshohocken, Pennsylvania; Grand Rapids, Michigan; San Mateo and San Francisco, California; Melville, New York; and Roswell, Georgia; as well as an international presence in Tel Aviv and Ra’anana, Israel, and London, England.</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lease all of our facilities and do not own any real property. Our infrastructure operates out of third-party data centers hosted by Google and Amazon Web Services.</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6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A common stock is listed and traded on the Nasdaq Global Select Market under the trading symbol “ZI.”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As of February 1, 2022, there were 27 holders of record of our Class A common stock.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0"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have no current plans to pay dividends on our Class A common stock. The declaration, amount, and payment of any future dividends on shares of Class A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or the Exchange Act.</w:t>
      </w:r>
    </w:p>
    <w:p>
      <w:pPr>
        <w:spacing w:after="0" w:line="58"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graph below compares the cumulative total stockholder return on our common stock with the cumulative total return on the S&amp;P 500 Index (^GSPC) and the Nasdaq Computer Index (^IXCO), assuming an initial investment of $100 at the market close on June 4, 2020, the date our stock commenced trading on the Nasdaq Global Select Market. Data for the S&amp;P 500 Index and the Nasdaq Computer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1139825</wp:posOffset>
            </wp:positionH>
            <wp:positionV relativeFrom="paragraph">
              <wp:posOffset>88900</wp:posOffset>
            </wp:positionV>
            <wp:extent cx="5073650" cy="295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73650" cy="295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OpCo Merger (as defined below), on October 29, 2021, the Company issued 27,824,157 shares of New Class A Common Stock to holders of Class A Common Units, Class P Units, and LTIP Units (in each case, as defined in the limited liability company agreement of ZoomInfo OpCo) immediately prior to the effective time of the OpCo Merger as described under “Recent Developments—UP-C Corporate Structure and Multi-Class Voting Structure Elimination” in Part II, Item 7 of this Annual Report on Form 10-K. No underwriters were involved in such issuance of shares of New Class A 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sets forth information with respect to shares of our Class A common stock purchased by the Company during the periods indicated: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5"/>
              </w:rPr>
              <w:t>Maximum Number (or</w:t>
            </w:r>
          </w:p>
        </w:tc>
      </w:tr>
      <w:tr>
        <w:trPr>
          <w:trHeight w:val="159"/>
        </w:trPr>
        <w:tc>
          <w:tcPr>
            <w:tcW w:w="3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3"/>
              </w:rPr>
              <w:t>Approximate Dollar Value) of</w:t>
            </w:r>
          </w:p>
        </w:tc>
      </w:tr>
      <w:tr>
        <w:trPr>
          <w:trHeight w:val="159"/>
        </w:trPr>
        <w:tc>
          <w:tcPr>
            <w:tcW w:w="3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gridSpan w:val="2"/>
          </w:tcPr>
          <w:p>
            <w:pPr>
              <w:jc w:val="center"/>
              <w:ind w:right="120"/>
              <w:spacing w:after="0" w:line="159" w:lineRule="exact"/>
              <w:rPr>
                <w:sz w:val="20"/>
                <w:szCs w:val="20"/>
                <w:color w:val="auto"/>
              </w:rPr>
            </w:pPr>
            <w:r>
              <w:rPr>
                <w:rFonts w:ascii="Arial" w:cs="Arial" w:eastAsia="Arial" w:hAnsi="Arial"/>
                <w:sz w:val="14"/>
                <w:szCs w:val="14"/>
                <w:b w:val="1"/>
                <w:bCs w:val="1"/>
                <w:color w:val="auto"/>
                <w:w w:val="91"/>
              </w:rPr>
              <w:t>Total Number of Shares</w:t>
            </w:r>
          </w:p>
        </w:tc>
        <w:tc>
          <w:tcPr>
            <w:tcW w:w="19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Shares that May Yet be</w:t>
            </w:r>
          </w:p>
        </w:tc>
      </w:tr>
      <w:tr>
        <w:trPr>
          <w:trHeight w:val="156"/>
        </w:trPr>
        <w:tc>
          <w:tcPr>
            <w:tcW w:w="3280" w:type="dxa"/>
            <w:vAlign w:val="bottom"/>
          </w:tcPr>
          <w:p>
            <w:pPr>
              <w:spacing w:after="0"/>
              <w:rPr>
                <w:sz w:val="13"/>
                <w:szCs w:val="13"/>
                <w:color w:val="auto"/>
              </w:rPr>
            </w:pPr>
          </w:p>
        </w:tc>
        <w:tc>
          <w:tcPr>
            <w:tcW w:w="1900" w:type="dxa"/>
            <w:vAlign w:val="bottom"/>
          </w:tcPr>
          <w:p>
            <w:pPr>
              <w:jc w:val="right"/>
              <w:ind w:right="158"/>
              <w:spacing w:after="0" w:line="156" w:lineRule="exact"/>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3"/>
                <w:szCs w:val="13"/>
                <w:color w:val="auto"/>
              </w:rPr>
            </w:pPr>
          </w:p>
        </w:tc>
        <w:tc>
          <w:tcPr>
            <w:tcW w:w="2000" w:type="dxa"/>
            <w:vAlign w:val="bottom"/>
            <w:gridSpan w:val="3"/>
          </w:tcPr>
          <w:p>
            <w:pPr>
              <w:ind w:left="80"/>
              <w:spacing w:after="0" w:line="156" w:lineRule="exact"/>
              <w:rPr>
                <w:sz w:val="20"/>
                <w:szCs w:val="20"/>
                <w:color w:val="auto"/>
              </w:rPr>
            </w:pPr>
            <w:r>
              <w:rPr>
                <w:rFonts w:ascii="Arial" w:cs="Arial" w:eastAsia="Arial" w:hAnsi="Arial"/>
                <w:sz w:val="14"/>
                <w:szCs w:val="14"/>
                <w:b w:val="1"/>
                <w:bCs w:val="1"/>
                <w:color w:val="auto"/>
                <w:w w:val="98"/>
              </w:rPr>
              <w:t>Weighted Average Price Paid</w:t>
            </w:r>
          </w:p>
        </w:tc>
        <w:tc>
          <w:tcPr>
            <w:tcW w:w="2000" w:type="dxa"/>
            <w:vAlign w:val="bottom"/>
            <w:gridSpan w:val="2"/>
          </w:tcPr>
          <w:p>
            <w:pPr>
              <w:jc w:val="center"/>
              <w:ind w:right="100"/>
              <w:spacing w:after="0" w:line="156" w:lineRule="exact"/>
              <w:rPr>
                <w:sz w:val="20"/>
                <w:szCs w:val="20"/>
                <w:color w:val="auto"/>
              </w:rPr>
            </w:pPr>
            <w:r>
              <w:rPr>
                <w:rFonts w:ascii="Arial" w:cs="Arial" w:eastAsia="Arial" w:hAnsi="Arial"/>
                <w:sz w:val="14"/>
                <w:szCs w:val="14"/>
                <w:b w:val="1"/>
                <w:bCs w:val="1"/>
                <w:color w:val="auto"/>
                <w:w w:val="90"/>
              </w:rPr>
              <w:t>Purchased as Part of Publicly</w:t>
            </w:r>
          </w:p>
        </w:tc>
        <w:tc>
          <w:tcPr>
            <w:tcW w:w="1920" w:type="dxa"/>
            <w:vAlign w:val="bottom"/>
          </w:tcPr>
          <w:p>
            <w:pPr>
              <w:jc w:val="right"/>
              <w:ind w:right="2"/>
              <w:spacing w:after="0" w:line="156" w:lineRule="exact"/>
              <w:rPr>
                <w:sz w:val="20"/>
                <w:szCs w:val="20"/>
                <w:color w:val="auto"/>
              </w:rPr>
            </w:pPr>
            <w:r>
              <w:rPr>
                <w:rFonts w:ascii="Arial" w:cs="Arial" w:eastAsia="Arial" w:hAnsi="Arial"/>
                <w:sz w:val="14"/>
                <w:szCs w:val="14"/>
                <w:b w:val="1"/>
                <w:bCs w:val="1"/>
                <w:color w:val="auto"/>
                <w:w w:val="94"/>
              </w:rPr>
              <w:t>Purchased Under the Plan or</w:t>
            </w:r>
          </w:p>
        </w:tc>
      </w:tr>
      <w:tr>
        <w:trPr>
          <w:trHeight w:val="211"/>
        </w:trPr>
        <w:tc>
          <w:tcPr>
            <w:tcW w:w="32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Period</w:t>
            </w:r>
          </w:p>
        </w:tc>
        <w:tc>
          <w:tcPr>
            <w:tcW w:w="190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 xml:space="preserve">Purchased </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Announced Plans or Programs</w:t>
            </w: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r>
      <w:tr>
        <w:trPr>
          <w:trHeight w:val="218"/>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1 through October 31, 2021</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25"/>
        </w:trPr>
        <w:tc>
          <w:tcPr>
            <w:tcW w:w="3280" w:type="dxa"/>
            <w:vAlign w:val="bottom"/>
          </w:tcPr>
          <w:p>
            <w:pPr>
              <w:ind w:left="20"/>
              <w:spacing w:after="0"/>
              <w:rPr>
                <w:sz w:val="20"/>
                <w:szCs w:val="20"/>
                <w:color w:val="auto"/>
              </w:rPr>
            </w:pPr>
            <w:r>
              <w:rPr>
                <w:rFonts w:ascii="Arial" w:cs="Arial" w:eastAsia="Arial" w:hAnsi="Arial"/>
                <w:sz w:val="14"/>
                <w:szCs w:val="14"/>
                <w:color w:val="auto"/>
              </w:rPr>
              <w:t>November 1 through November 30, 2021</w:t>
            </w:r>
          </w:p>
        </w:tc>
        <w:tc>
          <w:tcPr>
            <w:tcW w:w="1900" w:type="dxa"/>
            <w:vAlign w:val="bottom"/>
          </w:tcPr>
          <w:p>
            <w:pPr>
              <w:jc w:val="right"/>
              <w:spacing w:after="0"/>
              <w:rPr>
                <w:sz w:val="20"/>
                <w:szCs w:val="20"/>
                <w:color w:val="auto"/>
              </w:rPr>
            </w:pPr>
            <w:r>
              <w:rPr>
                <w:rFonts w:ascii="Arial" w:cs="Arial" w:eastAsia="Arial" w:hAnsi="Arial"/>
                <w:sz w:val="18"/>
                <w:szCs w:val="18"/>
                <w:color w:val="auto"/>
              </w:rPr>
              <w:t>6,023</w:t>
            </w:r>
          </w:p>
        </w:tc>
        <w:tc>
          <w:tcPr>
            <w:tcW w:w="46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69.71</w:t>
            </w:r>
          </w:p>
        </w:tc>
        <w:tc>
          <w:tcPr>
            <w:tcW w:w="100" w:type="dxa"/>
            <w:vAlign w:val="bottom"/>
          </w:tcPr>
          <w:p>
            <w:pPr>
              <w:spacing w:after="0"/>
              <w:rPr>
                <w:sz w:val="19"/>
                <w:szCs w:val="19"/>
                <w:color w:val="auto"/>
              </w:rPr>
            </w:pP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25"/>
        </w:trPr>
        <w:tc>
          <w:tcPr>
            <w:tcW w:w="3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1 through December 31, 2021</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c>
          <w:tcPr>
            <w:tcW w:w="460" w:type="dxa"/>
            <w:vAlign w:val="bottom"/>
            <w:gridSpan w:val="2"/>
            <w:shd w:val="clear" w:color="auto" w:fill="CCEEFF"/>
          </w:tcPr>
          <w:p>
            <w:pPr>
              <w:jc w:val="right"/>
              <w:ind w:right="189"/>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9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w:t>
            </w:r>
          </w:p>
        </w:tc>
      </w:tr>
      <w:tr>
        <w:trPr>
          <w:trHeight w:val="219"/>
        </w:trPr>
        <w:tc>
          <w:tcPr>
            <w:tcW w:w="3280" w:type="dxa"/>
            <w:vAlign w:val="bottom"/>
          </w:tcPr>
          <w:p>
            <w:pPr>
              <w:ind w:left="180"/>
              <w:spacing w:after="0"/>
              <w:rPr>
                <w:sz w:val="20"/>
                <w:szCs w:val="20"/>
                <w:color w:val="auto"/>
              </w:rPr>
            </w:pPr>
            <w:r>
              <w:rPr>
                <w:rFonts w:ascii="Arial" w:cs="Arial" w:eastAsia="Arial" w:hAnsi="Arial"/>
                <w:sz w:val="14"/>
                <w:szCs w:val="14"/>
                <w:color w:val="auto"/>
              </w:rPr>
              <w:t>Total</w:t>
            </w:r>
          </w:p>
        </w:tc>
        <w:tc>
          <w:tcPr>
            <w:tcW w:w="1900" w:type="dxa"/>
            <w:vAlign w:val="bottom"/>
          </w:tcPr>
          <w:p>
            <w:pPr>
              <w:jc w:val="right"/>
              <w:spacing w:after="0"/>
              <w:rPr>
                <w:sz w:val="20"/>
                <w:szCs w:val="20"/>
                <w:color w:val="auto"/>
              </w:rPr>
            </w:pPr>
            <w:r>
              <w:rPr>
                <w:rFonts w:ascii="Arial" w:cs="Arial" w:eastAsia="Arial" w:hAnsi="Arial"/>
                <w:sz w:val="18"/>
                <w:szCs w:val="18"/>
                <w:color w:val="auto"/>
              </w:rPr>
              <w:t>13,545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gridSpan w:val="2"/>
          </w:tcPr>
          <w:p>
            <w:pPr>
              <w:ind w:left="16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ind w:firstLine="6"/>
        <w:spacing w:after="0" w:line="247" w:lineRule="auto"/>
        <w:tabs>
          <w:tab w:leader="none" w:pos="209"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of these shares were acquired through the withholding of shares to satisfy tax withholding obligations incurred upon the vesting of HSKB Phantom Units awarded under the HSKB Funds, LLC 2019 Phantom Unit Plan. These shares were not acquired pursuant to any repurchase plan 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related notes included elsewhere in this Annual Report on Form 10-K.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“Risk Factors” and “Cautionary Statement Regarding Forward-Looking Statements” included elsewhere in this Annual Report on Form 10-K.</w:t>
      </w:r>
    </w:p>
    <w:p>
      <w:pPr>
        <w:spacing w:after="0" w:line="12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i w:val="1"/>
          <w:iCs w:val="1"/>
          <w:color w:val="auto"/>
        </w:rPr>
        <w:t>References in this Annual Report on Form 10-K to “ZoomInfo Technologies Inc.” refer to ZoomInfo Technologies Inc. and not to any of its subsidiaries unless the context indicates otherwise. References in this Form 10-K to “ZoomInfo,” the “Company,” “we,” “us,” and “our”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 unless the context indicates otherwise. Numerical figures included in this Annual Report on Form 10-K have been subject to rounding adjustments. Accordingly, numerical figures shown as totals in various tables may not be arithmetic aggregations of the figures that precede them.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ZoomInfo is a global leader in modern go-to-market software, data, and intelligence for sales, marketing, operations, and recruiting teams.</w:t>
      </w:r>
    </w:p>
    <w:p>
      <w:pPr>
        <w:spacing w:after="0" w:line="17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RevOS – our modern, cloud-based operating system for revenue professionals allows sales, marketing, operations, and recruiting teams to shorten sales cycles and increase win rates by delivering the right message to the right person at the right time in the right way. We do this by delivering timely competitive intelligence and offering services that make reaching prospects fast and easy.</w:t>
      </w:r>
    </w:p>
    <w:p>
      <w:pPr>
        <w:spacing w:after="0" w:line="13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ZoomInfo, formerly known as DiscoverOrg, was co-founded in 2007 by our CEO, Henry Schuck. We have grown our company by developing innovative ways of gathering and improving our data and insights, and using intelligent automation to put those insights into action.</w:t>
      </w:r>
    </w:p>
    <w:p>
      <w:pPr>
        <w:spacing w:after="0" w:line="1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Today, our company defines the modern go-to-market technology stack across three distinct layers that build upon each other:</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Our Intelligence Layer is the foundation of our data-driven strategies. Our best-in-class data, curated through first- and third-party sources, includes billions of data points about companies and contacts, such as intent, hierarchy, location, and financial information.</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Orchestration Layer stitches together and enriches our data sources. At this stage, our products assign and route data, leads, and insights to the appropriate people. This creates a “living” dataset that is continuously updated and can be used to power automated business workflows. Our services connect with major CRM providers.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Our Engagement Layer, which includes category-competing solutions such as Engage, Chat, and Chorus, allows sales, marketing, operations, and recruiting professionals to put our data-driven insights into action by using multiple channels to reach and communicate with prospects and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generate substantially all of our revenue from sales of subscriptions to our platform. Our subscription fees include the use of our platform and access to customer support. Subscriptions generally range from one to three years in length with over 35% of our contracts (based on annualized value) under multi-year agreements. We typically bill our customers at the beginning of each annual, semi-annual, or quarterly period and recognize revenue ratably over the term of the subscription period.</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sell our software to both new and existing customers. Some existing customers continue to renew their subscriptions to pre-acquisition versions of the Pre-Acquisition ZI and DiscoverOrg solutions. We price our subscriptions based on the functionality, users, and records under management that are included in each product edition. Our paid product platforms are SalesOS, MarketingOS, OperationsOS, and RecruitingOS (with add-on options for some platforms), and we have a free Community Edition.</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software, insights, and data enable over 25,000 companies to sell and market more effectively and efficiently. Our customers operate in almost every industry vertical, including software, business services, manufacturing, telecommunications, financial services, retail, media and internet, transportation, education, hospitality, and real estate. They range from the largest global enterprises, to mid-market companies, down to small businesses. Many of our customers are software and business services companies. In 2021, approximately 44% and 22% of our customers, as measured by ACV, operated in the software and business services industries, respectively. In 2021, less than 4% of our customers, as measured by ACV, operated in the retail, travel, hospitality, consumer goods and services, or oil and gas industries. Our net annual retention rate was 116%, 108%, and 109% in 2021, 2020, and 2019, respectively.</w:t>
      </w:r>
    </w:p>
    <w:p>
      <w:pPr>
        <w:spacing w:after="0" w:line="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 ended December 31, 2021, no single customer contributed more than 1% of revenue. Revenues derived from customers and partners located outside the United States, as determined based on the address provided by our customers and partners, accounted for approximately 11%, 9%, and 9% of total revenue for the years ended December 31, 2021, 2020, and 2019, respectively. As of December 31, 2021, 1,452 customers contracted for more than $100,000 in ACV for ZoomInfo services.</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To address our market opportunity, we have built and continue to tune our efficient and comprehensive go-to-market engine. We have integrated our insights and data into an automated engine with defined processes and specialized roles in order to market and sell our services. We are constantly improving the effectiveness of our engine in order to identify and close more business.</w:t>
      </w:r>
    </w:p>
    <w:p>
      <w:pPr>
        <w:spacing w:after="0" w:line="135"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We have experienced rapid organic growth, supplemented by additional growth from acquisitions. We generated revenue of $747.2 million for the year ended December 31, 2021, as compared to revenue for the year ended December 31, 2020 of $476.2 million, and income from operations of $113.3 million for the year ended December 31, 2021, as compared to income from operations of $37.1 million for the year ended December 31, 2020. Operating income margin was 15% for the year ended December 31, 2021, as compared to 8% in 2020. In addition to our consolidated U.S GAAP financial measures, we review various non-GAAP financial measures, including Adjusted Operating Income, Adjusted Operating Income Margin, and Adjusted Net Income. See “Non-GAAP Financial Measures” below. Our Adjusted Operating Income was $306.6 million for the year ended December 31, 2021, as compared to $226.0 million for the year ended December 31, 2020. Our Adjusted Operating Income Margin was 41% for the year ended December 31, 2021, as compared to 47% in 2020. Adjusted Operating Income and Adjusted Operating Margin do not include results of operations from acquired entities before their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ongoing COVID-19 pandemic continues to have unpredictable and rapidly shifting impacts on global financial markets, economies, and business practices. The extent and continued impact of the pandemic on our operational and financial condition will depend on certain developments, including: the duration and spread of the outbreak, including the impact of new variants of the COVID-19 virus; global government responses to the pandemic, including continued vaccine availability, deployment, and efficacy; the impact on the health and welfare of our employees and their families; the impact on our customers and our sales cycles; the impact on customer, industry, or employee events; delays in hiring and onboarding new employees; and the effects on our partners, vendors, and supply chains, all of which are uncertain and cannot be predicted. Furthermore, because of our largely subscription-based business model, the effect of the pandemic may not be fully reflected in our results of operations and overall financial condition until future periods, if at all.</w:t>
      </w:r>
    </w:p>
    <w:p>
      <w:pPr>
        <w:spacing w:after="0" w:line="10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To address the safety and health of our employees during the pandemic, in the first quarter of 2020 we temporarily closed all of our offices and enabled our entire workforce to work remotely. Throughout 2021, most of our workforce continued to work remotely. The impact, if any, of these and any additional operational changes we may implement is uncertain, but changes we have implemented to date have not affected, and are not expected to materially affect, our ability to maintain operations, including financial reporting systems, internal control over financial reporting, and disclosure controls and procedures. See “Human Capital” in Part I, Item 1 and “Risk Factors” in Part I, Item 1A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June 2021, the Company acquired all the outstanding equity interests of Insent, a conversational marketing platform, for a total purchase consideration of $34.0 million, consisting of $32.9 million in cash consideration and $1.1 million in estimated deferred consideration. The purchase price was primarily comprised of acquired technology and goodwill. In July 2021, the Company acquired substantially all of the net assets of AffectLayer, Inc. (d/b/a Chorus.ai), a leader in conversation intelligence, for a total purchase consideration of $547.4 million (the “Chorus.ai Acquisition”). The purchase price was primarily comprised of acquired technology and goodwill. The Company funded cash payments made at closing with $225.0 million of revolving credit borrowings under the agreement (the “First Lien Credit Agreement”) governing our existing First Lien Credit Facilities, and the remainder with cash on hand.</w:t>
      </w:r>
    </w:p>
    <w:p>
      <w:pPr>
        <w:spacing w:after="0" w:line="9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September 2021, the Company acquired substantially all of the net assets of RingLead, an leader in data orchestration and revenue operations automation, for a total purchase consideration of $118.0 million, consisting of $116.9 million in cash consideration and $1.1 million in estimated deferred consideration. The purchase price was primarily comprised of acquired technology and goodwill. The Company has included the financial results of each of these businesses in the consolidated financial statements from their respective dates of acquisition. The purchase accounting for the Insent and Chorus transactions is finalized, but is not yet finalized for the RingLead transaction. Refer to Note 4 - Business Combinations to our audited consolidated financial statements included in Part II, Item 8 of this Form 10-K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Unsecured Notes Offering</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February 2021, ZoomInfo Technologies LLC and ZoomInfo Finance Corp. (collectively, the “Issuers”), indirect subsidiaries of ZoomInfo Technologies Inc., completed an offering of $350.0 million in aggregate principal amount of 3.875% senior notes due 2029 (the “Existing Notes”). We used all the net proceeds, along with cash on hand, to prepay $356.4 million aggregate principal amount of our first lien term loans outstanding under the first lien credit agreement (the “Debt Prepayment”). Following the Debt Prepayment, as of February 2, 2021, $400.0 million aggregate principal amount of first lien term loans were outstanding under our first lien credit agreement.</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July 2021, the Issuers issued and sold $300.0 million in aggregate principal amount of additional 3.875% senior notes due 2029 (the “Additional Notes”). The notes were issued under the same indenture as the Existing Notes, which were issued in February 2021, and constitute part of the same series as the Existing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 Amendment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February 2021, ZoomInfo LLC entered into an amendment to our First Lien Credit Agreement, pursuant to which, among other things, the agreement was amended to (i) increase the aggregate commitments to $250.0 million under our first lien revolving credit facility, (ii) add ZoomInfo Technologies LLC as a co-borrower, (iii) reprice of our first lien term loan facility maturing in February 2026 and first lien revolving credit facility and (iv) extend the maturity date of our first lien revolving credit facility to November 2025.</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July 2021, the Company entered into an amendment (the “Credit Agreement Amendment”) to the First Lien Credit Agreement that provided for, among other things, the incurrence of an additional $200.0 million aggregate principal amount of additional term loans under the First Lien Credit Agreement.</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net proceeds from the Credit Agreement Amendment were used, together with the net proceeds from the offering (the “Offering”) by the Issuers the Additional Notes, to (i) repay $225.0 million of outstanding borrowings under the revolving credit facility which were used to pay a portion of the consideration for the Chorus.ai Acquisition, and (ii) pay fees and expenses related to the Credit Agreement Amendment, the Offering and the Chorus.ai Acquisition, and the remainder for general corporate purposes. Refer to Note 8 - Financing Arrangements to our audited consolidated financial statements included in Part II, Item 8 of this Form 10-K for additional information.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ZoomInfo HoldCo.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(the “PubCo Merger”) with and into ZoomInfo Intermediate Inc. (formerly known as ZoomInfo Technologies Inc.) (“Old ZoomInfo”), which resulted in New ZoomInfo becoming the direct parent company of Old ZoomInfo, and (ii) immediately thereafter, another subsidiary of New ZoomInfo merged (the “OpCo Merger”) with and into ZoomInfo Holdings LLC (“ZoomInfo OpCo”), which resulted in ZoomInfo OpCo becoming a subsidiary of New ZoomInfo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connection with the PubCo Merger, (i) each outstanding share of Old ZoomInfo’s Class A common stock, par value $0.01 per share (“Old Class A Common Stock”), was automatically converted into one share of New ZoomInfo’s Class A common stock, par value $0.01 per share (“New Class A Common Stock”), having the same designation, rights, powers, and preferences, and qualifications, limitations, and restrictions as a share of Old Class A Common Stock immediately prior to the PubCo Merger, and (ii) each outstanding share of Old ZoomInfo’s Class B common stock, par value $0.01 per share (“Old Class B Common Stock”), was automatically converted into one share of New ZoomInfo’s Class B common stock, par value $0.01 per share (“New Class B Common Stock”), having the same designation, rights, powers, and preferences, and qualifications, limitations, and restrictions as a share of Old Class B Common Stock immediately prior to the PubCo Merger. Accordingly, upon consummation of the PubCo Merger, stockholders of Old ZoomInfo automatically became stockholders of New ZoomInfo, on a one-for-one basis, with the same number and ownership percentage of shares of the same class as they held in Old ZoomInfo immediately prior to the effective time of the PubCo Merger.</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OpCo Merger, (i) each outstanding Class A Common Unit, Class P Unit and LTIP Unit was automatically converted into the number of shares of New Class A Common Stock equal to the number of shares of Old Class A Common Stock such unit was exchangeable for under the limited liability company agreement of ZoomInfo OpCo and (ii) all outstanding shares of New Class B Common Stock were surrendered to New ZoomInfo and cancelled.</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After the consummation of the Holding Company Reorganization, the only class of common stock of the New ZoomInfo remaining issued and outstanding is the New Class A Common Stock. We do not intend to issue any shares of Class B common stock or Class C common stock of New ZoomInfo.</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Our Results of Operations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As a result of a number of factors, 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Reorganization Transactions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ZoomInfo Technologies Inc. is a corporation for U.S. federal and state income tax purposes. Our accounting predecessor, ZoomInfo OpCo, was and is treated as a flow-through entity for U.S. federal income tax purposes, and as such, only certain subsidiaries that were organized as corporations for U.S. federal income tax purposes have been subject to U.S. federal income tax at the entity level historically. Accordingly, unless otherwise specified, the historical results of operations and other financial information set forth in this Annual Report on Form 10-K only include a provision for U.S. federal income tax for income allocated to those subsidiaries that were organized as corporations for U.S. federal income tax purposes. Following the completion of the Reorganization Transactions, ZoomInfo Technologies Inc. pays U.S. federal and state income taxes as a corporation on its share of our taxable income.</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ZoomInfo OpCo is the predecessor of ZoomInfo Technologies Inc. for financial reporting purposes. As a result, the consolidated financial statements of ZoomInfo Technologies Inc. recognize the assets and liabilities received in the reorganization at their historical carrying amounts, as reflected in the historical consolidated financial statements of ZoomInfo OpCo, the accounting predecessor.</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addition, in connection with the Reorganization Transactions and the IPO, we entered into the tax receivable agreements described in Note 18 - Tax Receivable Agreements to our audited consolidated financial statements included in Part II,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June 2020, the company completed its IPO which significantly impacted our cash, first and second lien indebtedness, and temporary and permanent equity balances. See “—Recent Developments.” The IPO, driven by the associated first and second lien term loan repayments, significantly reduced our interest expense relative to historical results.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Acquisitions</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seek to grow through both internal development and the acquisition of businesses that broaden and strengthen our platform. Our recent acquisitions include Pre-Acquisition ZI in February 2019, Komiko in October 2019, Clickagy in October 2020, EverString in November 2020, Insent in June 2021, Chorus.ai in July 2021, and RingLead in September 2021. As discussed below under “—Results of Operations,” these acquisitions have been a significant driver of our revenue, cost of service, operating expense, and interest expense growth.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Zoom Information Acquisition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1, 2019, we acquired, through a newly formed wholly owned subsidiary, Zebra Acquisition Corporation, 100% of the stock of Pre-Acquisition ZI for $748.0 million, net of cash acquired (the “Zoom Information Acquisition”). Pre-Acquisition ZI was a provider of company and contact information to sales and marketing professionals.</w:t>
      </w:r>
    </w:p>
    <w:p>
      <w:pPr>
        <w:spacing w:after="0" w:line="135"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The Zoom Information Acquisition qualifies as a business combination and was accounted for as such. We included the financial results of Pre-Acquisition ZI in the consolidated financial statements of ZoomInfo OpCo from the date of the Zoom Information Acquisition. Accordingly, the financial statements for the period prior to the Zoom Information Acquisition may not be comparable to those from the periods after the Zoom Information Acquisition.</w:t>
      </w:r>
    </w:p>
    <w:p>
      <w:pPr>
        <w:spacing w:after="0" w:line="8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connection with the Zoom Information Acquisition, ZoomInfo OpCo entered into an $865.0 million first lien term loan facility, a $100.0 million first lien revolving credit facility, which was undrawn at the time of the acquisition, and a $370.0 million second lien term loan facility, and issued $207.0 million of Series A Preferred Units. In addition to funding the Zoom Information Acquisition, the additional proceeds from such facilities and Series A Preferred Units were used to repay existing debt. These debt facilities drove a significant impact to our interest expense from the date of the acquisition. We would have expected interest expense for the year ended December 31, 2020 to be greater than that of the year ended December 31, 2019 due to the debt being outstanding for the entire period in 2020. However, this increase was mitigated and offset by (a) a reduction in interest rates period over period, and (b) the debt repayments and prepayments referenced above and in Note 8 - Financing Arrangements to our audited consolidated financial statements included in Part II, Item 8 of this Form 10-K.</w:t>
      </w:r>
    </w:p>
    <w:p>
      <w:pPr>
        <w:spacing w:after="0" w:line="14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recognized approximately $85.3 million of revenue from legacy Pre-Acquisition ZI platform contracts with acquired customers, including the renewals and upsells thereof, during the year ended December 31, 2019, of which $32.3 million was included in the unearned revenue balance recorded at the acquisition date. The fair value of acquired unearned revenue was $34.5 million, which differs from the unearned revenue recorded by Pre-Acquisition ZI immediately prior to the acquisition of $68.3 million. For the year ended December 31, 2019, the amounts received or billed by Pre-Acquisition ZI in advance of revenue recognition as of the acquisition date allocated over the service period post-acquisition was $63.9 million, which was $31.6 million greater than the amount recognized into revenue for those receipts and billings based on their fair value.</w:t>
      </w:r>
    </w:p>
    <w:p>
      <w:pPr>
        <w:spacing w:after="0" w:line="126"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incurred approximately $2.7 million of transaction costs related to the Zoom Information Acquisition. We paid $29.7 million related to the secured credit facilities, which was accounted for as a debt discount. We also incurred $0.6 million in transaction costs associated with issuing the new Series A Preferred Units, which were issued at a 3% discount, which transaction costs were deducted from the proceeds received from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During 2019, we completed the integration of Pre-Acquisition ZI, including aligning reporting structures for all employees along functional lines, migrating all front-office sales and marketing activities onto a single technology stack with a single instance for key technology components, migrating back-office activities onto a single technology stack, integrating accounting, legal, and human resources activities, including financial reporting processes and benefits for employees, and developing a single platform that is being used for all sales to new customers.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Additionally, as part of the integration of Pre-Acquisition ZI, we identified that certain roles and responsibilities were redundant between the two companies and terminated the employment of certain executives immediately upon the closing of the transaction. We subsequently eliminated additional positions that were no longer needed as a result of the functionally aligned reporting structure, including the Russia operations of Pre-Acquisition ZI, certain development positions in Vancouver, Washington, and certain executives from DiscoverOrg and Pre-Acquisition ZI. Expenses relating to severance paid were recorded as </w:t>
      </w:r>
      <w:r>
        <w:rPr>
          <w:rFonts w:ascii="Arial" w:cs="Arial" w:eastAsia="Arial" w:hAnsi="Arial"/>
          <w:sz w:val="17"/>
          <w:szCs w:val="17"/>
          <w:i w:val="1"/>
          <w:iCs w:val="1"/>
          <w:color w:val="auto"/>
        </w:rPr>
        <w:t>Restructuring and transaction related expenses</w:t>
      </w:r>
      <w:r>
        <w:rPr>
          <w:rFonts w:ascii="Arial" w:cs="Arial" w:eastAsia="Arial" w:hAnsi="Arial"/>
          <w:sz w:val="17"/>
          <w:szCs w:val="17"/>
          <w:color w:val="auto"/>
        </w:rPr>
        <w:t xml:space="preserve"> on our Consolidated Statements of Operations with the majority of those expenses being recognized in the three months ended March, 31, 2019, and not recurring in 2020. Expenses relating to any accelerated payments under the Cash Vesting Payment Program (refer to Note 4 - Business Combinations to our audited consolidated financial statements included in Part II, Item 8 of this Form 10-K) were recorded as operating expense according to the functional area aligning to the employee’s salary and is included in integration and transaction-related compensation expenses when calculating non-GAAP metrics.</w:t>
      </w:r>
    </w:p>
    <w:p>
      <w:pPr>
        <w:spacing w:after="0" w:line="13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All new customers are sold the ZoomInfo platform that we released in September 2019. We continue to support pre-existing customers on the legacy DiscoverOrg and Pre-Acquisition ZI platforms, although many pre-existing customers have agreed to upgrade to the ZoomInfo platform. The pricing constructs for subscriptions on the platforms are similar among the platforms and based on a combination of the number of seats to which the customer commits and the level of functionality and data access that the customer requires. Based on the increased level of functionality and data access, upgrading to the ZoomInfo platform will often require an increase in subscription pricing for an equivalent number of users.</w:t>
      </w:r>
    </w:p>
    <w:p>
      <w:pPr>
        <w:spacing w:after="0" w:line="128"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 xml:space="preserve">We incurred expenses related to the integration of Pre-Acquisition ZI during 2019. Additionally, as part of the purchase of Pre-Acquisition ZI, we agreed with the former owners of Pre-Acquisition ZI to implement a Cash Vesting Payment Program to make payments to employees with respect to unvested options that were canceled at the time of the Zoom Information Acquisition. We agreed to make the payments to employees according to the remaining vesting schedule as of the acquisition date in amounts that would have been paid had the options been vested at the time of the acquisition. We reduced the originally agreed purchase price to the former owners of Pre-Acquisition ZI as a result of agreeing to make such payments. These payments are recorded as expense over the period of service on our Consolidated Statements of Operations in the same expense line item as the salary of recipients, and we will continue to record expense for the majority of employees until 2021, and for some employees into 2022. Additionally, we engaged consulting firms and other professional services firms to help integrate our companies, including developing branding and pricing strategies for the combined platform. These expenses were recorded as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and </w:t>
      </w:r>
      <w:r>
        <w:rPr>
          <w:rFonts w:ascii="Arial" w:cs="Arial" w:eastAsia="Arial" w:hAnsi="Arial"/>
          <w:sz w:val="15"/>
          <w:szCs w:val="15"/>
          <w:i w:val="1"/>
          <w:iCs w:val="1"/>
          <w:color w:val="auto"/>
        </w:rPr>
        <w:t>General and administrative</w:t>
      </w:r>
      <w:r>
        <w:rPr>
          <w:rFonts w:ascii="Arial" w:cs="Arial" w:eastAsia="Arial" w:hAnsi="Arial"/>
          <w:sz w:val="15"/>
          <w:szCs w:val="15"/>
          <w:color w:val="auto"/>
        </w:rPr>
        <w:t xml:space="preserve"> expenses on our Consolidated Statements of Operations. For analyses and non-GAAP metrics that include adjustments to operating expenses, the expenses are deemed to be integration expenses and acquisition-related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December 2019, HSKB modified all outstanding awards to add an alternative performance and time vesting condition and to also permit settlement through exchange into the Company’s public shares in addition to the existing cash-settlement option. This modification resulted in the revaluation of the awards in accordance with U.S. GAAP. Through the date of modification, no equity-based compensation had been recognized for these awards as the qualifying event (i.e., the IPO) was not probable. Upon completion of the IPO, the Company recognized $57.6 million of additional compensation expense attributable to service periods already elapsed on HSKB awards and the acceleration of vesting select Class P Units. The remaining unamortized fair value as of the modification date will be recognized as equity-based compensation over the remaining service period of the awards. In addition to the impact of the modified HSKB awards, new awards and modifications that took place as part of the Reorganization Transactions and the IPO has contributed to higher equity-based compensation expense in 2020 and 2021. Refer to Note 16 - Equity-based Compensation to our audited consolidated financial statements included in Part II, Item 8 of this Form 10-K for unamortized equity-based compensation costs related to each type of equity-based incentive award.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Holding Company Reorganization</w:t>
      </w:r>
    </w:p>
    <w:p>
      <w:pPr>
        <w:spacing w:after="0" w:line="164"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UP-C and multi-class voting structure. In October 2021, the Company implemented the Holding Company Reorganization. As a result of the Holding Company Reorganization, New ZoomInfo became the successor issuer and reporting company to Old ZoomInfo pursuant to Rule 12g-3(a) under the Exchange Act, and replaced Old ZoomInfo as the public company trading on the Nasdaq under Old ZoomInfo’s ticker symbol “ZI.” In addition, New ZoomInfo changed its name to “ZoomInfo Technologies Inc.” and Old ZoomInfo changed its name to “ZoomInfo Intermediate Inc.”</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Accordingly, upon consummation of the Holding Company Reorganization, Old ZoomInfo stockholders automatically became stockholders of New ZoomInfo, on a one-for-one basis, with the same number and ownership percentage of shares they held in Old ZoomInfo immediately prior to the effective time of the Holding Company Reorganization.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Old ZoomInfo is the predecessor of New ZoomInfo for financial reporting purposes. As a result, the consolidated financial statements of New ZoomInfo recognize the assets and liabilities received in the reorganization at their historical carrying amounts, as reflected in the historical consolidated financial statements of Old ZoomInfo, the accounting predecessor.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Continuing to Acquire New Customers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focused on continuing to grow the number of customers that use our platform. The majority of revenue growth when comparing the year ended December 31, 2021 to the year ended December 31, 2020 was the result of new customers added over the last 24 months. Our operating results and growth prospects will depend, in part, on our ability to continue to attract new customers. Additionally, acquiring new customers strengthens the power of our contributory network. We will need to continue to invest in our efficient go-to-market effort to acquire new customers. As of December 31, 2021, 2020 and 2019, we had over 25,000, 20,000, and 14,000 customers, respectively. We define a customer as a company that maintains one or more active paid subscriptions to our platform.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Delivering Additional High-Value Solutions to Our Existing Customers</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Many of our customers purchase additional high-value solutions as they expand their use of our platform. Customers add additional services and/or upgrade their platform. We believe there is a significant opportunity for expansion with our existing customers through additional solutions.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Many of our customers increase spending with us by adding users or integrating incremental data as they increase their use of our platform. Several of our largest customers have expanded the deployment of our platform across their organizations following their initial deployment. We believe there is a significant opportunity to add additional users and data integration within our existing customers.</w:t>
      </w:r>
    </w:p>
    <w:p>
      <w:pPr>
        <w:spacing w:after="0" w:line="135"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an annual metric that we calculate based on customers that were contracted for services at the beginning of the year, or, for those that became customers through an acquisition, at the time of the acquisition. Net revenue retention is calculated as: (a) the ACV for those customers at the end of the year divided by (b) ZoomInfo ACV at the beginning of the year plus the ACV of acquired companies at the time of acquisition. Our net annual retention rate was 116%, 108%, and 109% for the years ended December 31, 2021, 2020, and 2019, respectively. We also measure our success in expanding relationships with existing customers by the number of customers that contract for more than $100,000 in ACV. As of December 31, 2021, we had 1,452 customers with over $100,000 in ACV.</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Adjusted Net Income, and Adjusted Net Income per diluted share which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view Adjusted Operating Income, Adjusted Operating Income Margin, Adjusted EBITDA, Adjusted Net Income and Adjusted Net Income per diluted share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 and the most directly comparable U.S. GAAP financial measure to Adjusted Net Income per diluted share is U.S. GAAP net earnings per diluted share.</w:t>
      </w:r>
    </w:p>
    <w:p>
      <w:pPr>
        <w:spacing w:after="0" w:line="1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Operating Income, Adjusted Operating Income Margin, and Adjusted Net Income</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We define Adjusted Operating Income as income from operations plus (i) impact of fair value adjustments to acquired unearned revenue, (ii) amortization of acquired technology and other acquired intangibles, (iii) equity-based compensation expense, (iv) restructuring and transaction-related expenses, and (v) integration costs and acquisition-related compensation. We exclude the impact of fair value adjustments to acquired unearned revenue and amortization of acquired technology and other acquired intangibles, as well as equity-based compensation,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Operating Income should not be considered as an alternative to operating income as an indicator of operating performance.</w:t>
      </w:r>
    </w:p>
    <w:p>
      <w:pPr>
        <w:spacing w:after="0" w:line="109"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define Adjusted Net Income as Adjusted Operating Income less (i) interest expense, net (ii) other (income) expense, net, excluding TRA liability remeasurement expense (benefit) and (iii) income tax expense (benefit) including incremental tax effects of adjustments to arrive at Adjusted Operating Income and current tax benefits related to the TRA.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 xml:space="preserve">The following table presents a reconciliation of </w:t>
      </w:r>
      <w:r>
        <w:rPr>
          <w:rFonts w:ascii="Arial" w:cs="Arial" w:eastAsia="Arial" w:hAnsi="Arial"/>
          <w:sz w:val="18"/>
          <w:szCs w:val="18"/>
          <w:i w:val="1"/>
          <w:iCs w:val="1"/>
          <w:color w:val="auto"/>
        </w:rPr>
        <w:t>Net income (loss)</w:t>
      </w:r>
      <w:r>
        <w:rPr>
          <w:rFonts w:ascii="Arial" w:cs="Arial" w:eastAsia="Arial" w:hAnsi="Arial"/>
          <w:sz w:val="18"/>
          <w:szCs w:val="18"/>
          <w:color w:val="auto"/>
        </w:rPr>
        <w:t xml:space="preserve"> to Adjusted Net Income and </w:t>
      </w:r>
      <w:r>
        <w:rPr>
          <w:rFonts w:ascii="Arial" w:cs="Arial" w:eastAsia="Arial" w:hAnsi="Arial"/>
          <w:sz w:val="18"/>
          <w:szCs w:val="18"/>
          <w:i w:val="1"/>
          <w:iCs w:val="1"/>
          <w:color w:val="auto"/>
        </w:rPr>
        <w:t>Income (loss) from operations</w:t>
      </w:r>
      <w:r>
        <w:rPr>
          <w:rFonts w:ascii="Arial" w:cs="Arial" w:eastAsia="Arial" w:hAnsi="Arial"/>
          <w:sz w:val="18"/>
          <w:szCs w:val="18"/>
          <w:color w:val="auto"/>
        </w:rPr>
        <w:t xml:space="preserve"> to Adjusted Operating Income for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(less): Expense (benefit)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Loss on debt modification and extinguishment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 xml:space="preserve">Add (less): Other expense (income), net </w:t>
            </w:r>
            <w:r>
              <w:rPr>
                <w:rFonts w:ascii="Arial" w:cs="Arial" w:eastAsia="Arial" w:hAnsi="Arial"/>
                <w:sz w:val="22"/>
                <w:szCs w:val="22"/>
                <w:color w:val="auto"/>
                <w:vertAlign w:val="superscript"/>
              </w:rPr>
              <w:t>(a)</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Pr>
          <w:p>
            <w:pPr>
              <w:ind w:left="42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113.3</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180"/>
              <w:spacing w:after="0" w:line="219" w:lineRule="exact"/>
              <w:rPr>
                <w:sz w:val="20"/>
                <w:szCs w:val="20"/>
                <w:color w:val="auto"/>
              </w:rPr>
            </w:pPr>
            <w:r>
              <w:rPr>
                <w:rFonts w:ascii="Arial" w:cs="Arial" w:eastAsia="Arial" w:hAnsi="Arial"/>
                <w:sz w:val="18"/>
                <w:szCs w:val="18"/>
                <w:color w:val="auto"/>
              </w:rPr>
              <w:t xml:space="preserve">Add: Impact of fair value adjustments to acquired unearned revenue </w:t>
            </w:r>
            <w:r>
              <w:rPr>
                <w:rFonts w:ascii="Arial" w:cs="Arial" w:eastAsia="Arial" w:hAnsi="Arial"/>
                <w:sz w:val="22"/>
                <w:szCs w:val="22"/>
                <w:color w:val="auto"/>
                <w:vertAlign w:val="superscript"/>
              </w:rPr>
              <w:t>(b)</w:t>
            </w: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Amortization of other acquired intangibles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Equity-based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180"/>
              <w:spacing w:after="0" w:line="226" w:lineRule="exact"/>
              <w:rPr>
                <w:sz w:val="20"/>
                <w:szCs w:val="20"/>
                <w:color w:val="auto"/>
              </w:rPr>
            </w:pPr>
            <w:r>
              <w:rPr>
                <w:rFonts w:ascii="Arial" w:cs="Arial" w:eastAsia="Arial" w:hAnsi="Arial"/>
                <w:sz w:val="18"/>
                <w:szCs w:val="18"/>
                <w:color w:val="auto"/>
              </w:rPr>
              <w:t xml:space="preserve">Add: Restructuring and transaction-related expenses </w:t>
            </w:r>
            <w:r>
              <w:rPr>
                <w:rFonts w:ascii="Arial" w:cs="Arial" w:eastAsia="Arial" w:hAnsi="Arial"/>
                <w:sz w:val="22"/>
                <w:szCs w:val="22"/>
                <w:color w:val="auto"/>
                <w:vertAlign w:val="superscript"/>
              </w:rPr>
              <w:t>(c)</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180"/>
              <w:spacing w:after="0" w:line="225" w:lineRule="exact"/>
              <w:rPr>
                <w:sz w:val="20"/>
                <w:szCs w:val="20"/>
                <w:color w:val="auto"/>
              </w:rPr>
            </w:pPr>
            <w:r>
              <w:rPr>
                <w:rFonts w:ascii="Arial" w:cs="Arial" w:eastAsia="Arial" w:hAnsi="Arial"/>
                <w:sz w:val="18"/>
                <w:szCs w:val="18"/>
                <w:color w:val="auto"/>
              </w:rPr>
              <w:t xml:space="preserve">Add: Integration costs and acquisition-related expenses </w:t>
            </w:r>
            <w:r>
              <w:rPr>
                <w:rFonts w:ascii="Arial" w:cs="Arial" w:eastAsia="Arial" w:hAnsi="Arial"/>
                <w:sz w:val="22"/>
                <w:szCs w:val="22"/>
                <w:color w:val="auto"/>
                <w:vertAlign w:val="superscript"/>
              </w:rPr>
              <w:t>(d)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8"/>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Less: Interest expense, net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74"/>
        </w:trPr>
        <w:tc>
          <w:tcPr>
            <w:tcW w:w="6360" w:type="dxa"/>
            <w:vAlign w:val="bottom"/>
            <w:shd w:val="clear" w:color="auto" w:fill="CCEEFF"/>
          </w:tcPr>
          <w:p>
            <w:pPr>
              <w:ind w:left="180"/>
              <w:spacing w:after="0" w:line="174" w:lineRule="exact"/>
              <w:rPr>
                <w:sz w:val="20"/>
                <w:szCs w:val="20"/>
                <w:color w:val="auto"/>
              </w:rPr>
            </w:pPr>
            <w:r>
              <w:rPr>
                <w:rFonts w:ascii="Arial" w:cs="Arial" w:eastAsia="Arial" w:hAnsi="Arial"/>
                <w:sz w:val="18"/>
                <w:szCs w:val="18"/>
                <w:color w:val="auto"/>
                <w:w w:val="96"/>
              </w:rPr>
              <w:t>Less (add): Other expense (income), net, excluding TRA liability remeasurement</w:t>
            </w: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expense</w:t>
            </w: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180"/>
              <w:spacing w:after="0"/>
              <w:rPr>
                <w:sz w:val="20"/>
                <w:szCs w:val="20"/>
                <w:color w:val="auto"/>
              </w:rPr>
            </w:pPr>
            <w:r>
              <w:rPr>
                <w:rFonts w:ascii="Arial" w:cs="Arial" w:eastAsia="Arial" w:hAnsi="Arial"/>
                <w:sz w:val="18"/>
                <w:szCs w:val="18"/>
                <w:color w:val="auto"/>
              </w:rPr>
              <w:t>Add (less): Benefit (expense)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Tax impacts of adjustments to net income (loss)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231.1</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4"/>
        <w:spacing w:after="0" w:line="237" w:lineRule="auto"/>
        <w:tabs>
          <w:tab w:leader="none" w:pos="3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37" w:lineRule="auto"/>
        <w:tabs>
          <w:tab w:leader="none" w:pos="318"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2021, this expense related primarily to costs incurred related to 2021 acquisitions and impairment charges related to the Company’s Waltham office relocation. For the year ended December 31, 2020, this expense related primarily to professional fees for the preparation for an initial public offering and deferred acquisition cost revaluations. For the year ended December 31, 2019, this expense related primarily to the acquisition of Pre-Acquisition ZI, including professional fees, severance, and acceleration of payments for terminated employees.</w:t>
      </w:r>
    </w:p>
    <w:p>
      <w:pPr>
        <w:jc w:val="both"/>
        <w:ind w:left="320" w:hanging="314"/>
        <w:spacing w:after="0" w:line="260" w:lineRule="auto"/>
        <w:tabs>
          <w:tab w:leader="none" w:pos="312"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2021, this expense related primarily to retention awards from the acquisitions of Clickagy and Everstring, cash vesting payments from the acquisition of Pre-Acquisition ZI, and professional fees incurred to integrate acquired businesses. For the year ended December 31, 2020, this expense related primarily to cash vesting payments from the acquisition of Pre-Acquisition ZI. For the year ended December 31, 2019, this expense related primarily to activities resulting from the acquisition of Pre-Acquisition ZI, including cash vesting payments and transaction bonuses, as well as expense incurred for retention awards granted upon the Company’s acquisitions of RainKing, NeverBounce, and Komiko. Refer to Note 4 - Business Combinations to our audited consolidated financial statements included in Part II, Item 8 of this Form 10-K for additional information. This expense is included in cost of service, sales and marketing expense, research and development expense, and general and administrative expense as follows:</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8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2019</w:t>
            </w:r>
          </w:p>
        </w:tc>
      </w:tr>
      <w:tr>
        <w:trPr>
          <w:trHeight w:val="19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460" w:type="dxa"/>
            <w:vAlign w:val="bottom"/>
            <w:gridSpan w:val="3"/>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0.4</w:t>
            </w:r>
          </w:p>
        </w:tc>
      </w:tr>
      <w:tr>
        <w:trPr>
          <w:trHeight w:val="207"/>
        </w:trPr>
        <w:tc>
          <w:tcPr>
            <w:tcW w:w="44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5.8</w:t>
            </w:r>
          </w:p>
        </w:tc>
      </w:tr>
      <w:tr>
        <w:trPr>
          <w:trHeight w:val="21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3.9</w:t>
            </w:r>
          </w:p>
        </w:tc>
      </w:tr>
      <w:tr>
        <w:trPr>
          <w:trHeight w:val="206"/>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5.4</w:t>
            </w:r>
          </w:p>
        </w:tc>
      </w:tr>
      <w:tr>
        <w:trPr>
          <w:trHeight w:val="209"/>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compensation</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define Adjusted Operating Income Margin as Adjusted Operating Income divided by the sum of revenue and the impact of fair value adjustments to acquired unearned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Year Ended December 31,</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226.0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65"/>
        </w:trPr>
        <w:tc>
          <w:tcPr>
            <w:tcW w:w="6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60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476.2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Impact of fair value adjustments to acquired unearned revenue</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4"/>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 for adjusted operating margin calculation</w:t>
            </w: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751.8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478.8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325.6</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Adjusted Operating Income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197" w:lineRule="exact"/>
              <w:rPr>
                <w:sz w:val="20"/>
                <w:szCs w:val="20"/>
                <w:color w:val="auto"/>
              </w:rPr>
            </w:pPr>
            <w:r>
              <w:rPr>
                <w:rFonts w:ascii="Arial" w:cs="Arial" w:eastAsia="Arial" w:hAnsi="Arial"/>
                <w:sz w:val="18"/>
                <w:szCs w:val="18"/>
                <w:i w:val="1"/>
                <w:iCs w:val="1"/>
                <w:color w:val="auto"/>
              </w:rPr>
              <w:t>41 %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197" w:lineRule="exact"/>
              <w:rPr>
                <w:sz w:val="20"/>
                <w:szCs w:val="20"/>
                <w:color w:val="auto"/>
              </w:rPr>
            </w:pPr>
            <w:r>
              <w:rPr>
                <w:rFonts w:ascii="Arial" w:cs="Arial" w:eastAsia="Arial" w:hAnsi="Arial"/>
                <w:sz w:val="18"/>
                <w:szCs w:val="18"/>
                <w:i w:val="1"/>
                <w:iCs w:val="1"/>
                <w:color w:val="auto"/>
              </w:rPr>
              <w:t>47 %</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jc w:val="right"/>
              <w:spacing w:after="0" w:line="197" w:lineRule="exact"/>
              <w:rPr>
                <w:sz w:val="20"/>
                <w:szCs w:val="20"/>
                <w:color w:val="auto"/>
              </w:rPr>
            </w:pPr>
            <w:r>
              <w:rPr>
                <w:rFonts w:ascii="Arial" w:cs="Arial" w:eastAsia="Arial" w:hAnsi="Arial"/>
                <w:sz w:val="18"/>
                <w:szCs w:val="18"/>
                <w:i w:val="1"/>
                <w:iCs w:val="1"/>
                <w:color w:val="auto"/>
              </w:rPr>
              <w:t>51 %</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Adjusted Operating Income for the year ended December 31, 2021 was $306.6 million and represented an Adjusted Operating Income Margin of 41%. Adjusted Operating Income for the year ended December 31, 2020 was $226.0 million and represented an Adjusted Operating Income Margin of 47%. Growth in Adjusted Operating Income in the year ended December 31, 2021 relative to the year ended December 31, 2020 was an increase of $80.6 million, or 36%, and was driven primarily from the growth in customers and increasing revenue from existing customers. Adjusted Operating Income Margin decreased to 41% in the year ended December 31, 2021 from 47% in the year ended December 31, 2020 due to increased investment in research and development and sales and marketing capacity that has helped accelerate revenue growth, as well as general and administrative costs to support incremental public company related requirements.</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Adjusted Operating Income for the year ended December 31, 2019 was $167.1 million and represented an Adjusted Operating Income Margin of 51%. Growth in Adjusted Operating Income in the year ended December 31, 2020 relative to the year ended December 31, 2019 was an increase of $58.8 million, or 35%, and was driven primarily from the growth in customers and increasing revenue from existing customers. Adjusted Operating Income Margin decreased to 47% in the year ended December 31, 2020 from 51% in the year ended December 31, 2019 due to incremental sales and marketing expenses related to signing new customers and retaining and upselling existing customers, and general and administrative costs to support incremental public company related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EBITDA is defined as earnings before debt-related costs, including interest and loss on debt modification and extinguishment, provision for taxes, depreciation, and amortization. Management further adjusts EBITDA to exclude certain items of a significant or unusual nature, including other (income) expense, net, impact of certain non-cash items, such as fair value adjustments to acquired unearned revenue and equity-based compensation, restructuring and transaction-related expenses, and integration costs and acquisition-related compensation.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net income (loss) to Adjusted EBITDA for the periods presented: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Add (less): Expense (benefit) from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Add: Loss on debt modification and extinguishment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Depreciation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Add: Amortization of acquired technology</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Amortization of other acquired intangibles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8"/>
        </w:trPr>
        <w:tc>
          <w:tcPr>
            <w:tcW w:w="6360" w:type="dxa"/>
            <w:vAlign w:val="bottom"/>
          </w:tcPr>
          <w:p>
            <w:pPr>
              <w:ind w:left="80"/>
              <w:spacing w:after="0"/>
              <w:rPr>
                <w:sz w:val="20"/>
                <w:szCs w:val="20"/>
                <w:color w:val="auto"/>
              </w:rPr>
            </w:pPr>
            <w:r>
              <w:rPr>
                <w:rFonts w:ascii="Arial" w:cs="Arial" w:eastAsia="Arial" w:hAnsi="Arial"/>
                <w:sz w:val="18"/>
                <w:szCs w:val="18"/>
                <w:b w:val="1"/>
                <w:bCs w:val="1"/>
                <w:i w:val="1"/>
                <w:iCs w:val="1"/>
                <w:color w:val="auto"/>
              </w:rPr>
              <w:t>EBITDA</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222.0</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 xml:space="preserve">Add (less): Other expense (income), net </w:t>
            </w:r>
            <w:r>
              <w:rPr>
                <w:rFonts w:ascii="Arial" w:cs="Arial" w:eastAsia="Arial" w:hAnsi="Arial"/>
                <w:sz w:val="22"/>
                <w:szCs w:val="22"/>
                <w:color w:val="auto"/>
                <w:vertAlign w:val="superscript"/>
              </w:rPr>
              <w:t>(a)</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line="225" w:lineRule="exact"/>
              <w:rPr>
                <w:sz w:val="20"/>
                <w:szCs w:val="20"/>
                <w:color w:val="auto"/>
              </w:rPr>
            </w:pPr>
            <w:r>
              <w:rPr>
                <w:rFonts w:ascii="Arial" w:cs="Arial" w:eastAsia="Arial" w:hAnsi="Arial"/>
                <w:sz w:val="18"/>
                <w:szCs w:val="18"/>
                <w:color w:val="auto"/>
              </w:rPr>
              <w:t xml:space="preserve">Add: Impact of fair value adjustments to acquired unearned revenue </w:t>
            </w:r>
            <w:r>
              <w:rPr>
                <w:rFonts w:ascii="Arial" w:cs="Arial" w:eastAsia="Arial" w:hAnsi="Arial"/>
                <w:sz w:val="22"/>
                <w:szCs w:val="22"/>
                <w:color w:val="auto"/>
                <w:vertAlign w:val="superscript"/>
              </w:rPr>
              <w:t>(b)</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Equity-based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line="225" w:lineRule="exact"/>
              <w:rPr>
                <w:sz w:val="20"/>
                <w:szCs w:val="20"/>
                <w:color w:val="auto"/>
              </w:rPr>
            </w:pPr>
            <w:r>
              <w:rPr>
                <w:rFonts w:ascii="Arial" w:cs="Arial" w:eastAsia="Arial" w:hAnsi="Arial"/>
                <w:sz w:val="18"/>
                <w:szCs w:val="18"/>
                <w:color w:val="auto"/>
                <w:w w:val="96"/>
              </w:rPr>
              <w:t xml:space="preserve">Add: Restructuring and transaction related expenses (excluding depreciation) </w:t>
            </w:r>
            <w:r>
              <w:rPr>
                <w:rFonts w:ascii="Arial" w:cs="Arial" w:eastAsia="Arial" w:hAnsi="Arial"/>
                <w:sz w:val="22"/>
                <w:szCs w:val="22"/>
                <w:color w:val="auto"/>
                <w:w w:val="96"/>
                <w:vertAlign w:val="superscript"/>
              </w:rPr>
              <w:t>(c)</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 xml:space="preserve">Add: Integration costs and acquisition-related expenses </w:t>
            </w:r>
            <w:r>
              <w:rPr>
                <w:rFonts w:ascii="Arial" w:cs="Arial" w:eastAsia="Arial" w:hAnsi="Arial"/>
                <w:sz w:val="22"/>
                <w:szCs w:val="22"/>
                <w:color w:val="auto"/>
                <w:vertAlign w:val="superscript"/>
              </w:rPr>
              <w:t>(d)</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318.2</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234.8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20" w:hanging="314"/>
        <w:spacing w:after="0" w:line="237" w:lineRule="auto"/>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37" w:lineRule="auto"/>
        <w:tabs>
          <w:tab w:leader="none" w:pos="318"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2021, this expense related primarily to costs incurred related to 2021 acquisitions and impairment charges related to the Company’s Waltham office relocation. For the year ended December 31, 2020, this expense related primarily to professional fees for the preparation for an initial public offering and deferred acquisition cost revaluations. For the year ended December 31, 2019, this expense related primarily to the acquisition of Pre-Acquisition ZI, including professional fees, severance and acceleration of payments for terminated employees.</w:t>
      </w:r>
    </w:p>
    <w:p>
      <w:pPr>
        <w:jc w:val="both"/>
        <w:ind w:left="320" w:hanging="314"/>
        <w:spacing w:after="0" w:line="260" w:lineRule="auto"/>
        <w:tabs>
          <w:tab w:leader="none" w:pos="312"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costs directly associated with integration activities for acquisitions and acquisition-related compensation, which includes transaction bonuses and retention awards. For the year ended December 31, 2021, this expense related primarily to retention awards from the acquisitions of Clickagy and Everstring, cash vesting payments from the acquisition of Pre-Acquisition ZI, and professional fees incurred to integrate acquired businesses. For the year ended December 31, 2020, this expense related primarily to cash vesting payments from the acquisition of Pre-Acquisition ZI. For the year ended December 31, 2019, this expense related primarily to activities resulting from the acquisition of Pre-Acquisition ZI, including cash vesting payments and transaction bonuses, as well as expense incurred for retention awards granted upon the Company’s acquisitions of RainKing, NeverBounce, and Komiko. Refer to Note 4 - Business Combinations to our audited consolidated financial statements included in Part II, Item 8 of this Form 10-K for additional information. This expense is included in cost of service, sales and marketing expense, research and development expense, and general and administrative expense as follows:</w:t>
      </w:r>
    </w:p>
    <w:p>
      <w:pPr>
        <w:spacing w:after="0" w:line="10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780" w:type="dxa"/>
            <w:vAlign w:val="bottom"/>
            <w:gridSpan w:val="6"/>
          </w:tcPr>
          <w:p>
            <w:pPr>
              <w:jc w:val="right"/>
              <w:ind w:right="129"/>
              <w:spacing w:after="0"/>
              <w:rPr>
                <w:sz w:val="20"/>
                <w:szCs w:val="20"/>
                <w:color w:val="auto"/>
              </w:rPr>
            </w:pPr>
            <w:r>
              <w:rPr>
                <w:rFonts w:ascii="Arial" w:cs="Arial" w:eastAsia="Arial" w:hAnsi="Arial"/>
                <w:sz w:val="14"/>
                <w:szCs w:val="14"/>
                <w:b w:val="1"/>
                <w:bCs w:val="1"/>
                <w:color w:val="auto"/>
                <w:w w:val="90"/>
              </w:rPr>
              <w:t>Year Ended December 31,</w:t>
            </w:r>
          </w:p>
        </w:tc>
        <w:tc>
          <w:tcPr>
            <w:tcW w:w="940" w:type="dxa"/>
            <w:vAlign w:val="bottom"/>
          </w:tcPr>
          <w:p>
            <w:pPr>
              <w:spacing w:after="0"/>
              <w:rPr>
                <w:sz w:val="15"/>
                <w:szCs w:val="15"/>
                <w:color w:val="auto"/>
              </w:rPr>
            </w:pPr>
          </w:p>
        </w:tc>
      </w:tr>
      <w:tr>
        <w:trPr>
          <w:trHeight w:val="24"/>
        </w:trPr>
        <w:tc>
          <w:tcPr>
            <w:tcW w:w="44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0"/>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2019</w:t>
            </w:r>
          </w:p>
        </w:tc>
      </w:tr>
      <w:tr>
        <w:trPr>
          <w:trHeight w:val="18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0.4</w:t>
            </w:r>
          </w:p>
        </w:tc>
      </w:tr>
      <w:tr>
        <w:trPr>
          <w:trHeight w:val="193"/>
        </w:trPr>
        <w:tc>
          <w:tcPr>
            <w:tcW w:w="44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204"/>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19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209"/>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integration costs and acquisition-related expenses</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15.5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26"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Adjusted EBITDA for the year ended December 31, 2021 was $318.2 million, an increase of $83.4 million, or 36%, relative to the year ended December 31, 2020. This growth was driven primarily from the growth in revenue that resulted from additional customers in 2021 and 2020.</w:t>
      </w:r>
    </w:p>
    <w:p>
      <w:pPr>
        <w:spacing w:after="0" w:line="104" w:lineRule="exact"/>
        <w:rPr>
          <w:sz w:val="20"/>
          <w:szCs w:val="20"/>
          <w:color w:val="auto"/>
        </w:rPr>
      </w:pPr>
    </w:p>
    <w:p>
      <w:pPr>
        <w:ind w:firstLine="318"/>
        <w:spacing w:after="0" w:line="294" w:lineRule="auto"/>
        <w:rPr>
          <w:sz w:val="20"/>
          <w:szCs w:val="20"/>
          <w:color w:val="auto"/>
        </w:rPr>
      </w:pPr>
      <w:r>
        <w:rPr>
          <w:rFonts w:ascii="Arial" w:cs="Arial" w:eastAsia="Arial" w:hAnsi="Arial"/>
          <w:sz w:val="17"/>
          <w:szCs w:val="17"/>
          <w:color w:val="auto"/>
        </w:rPr>
        <w:t>Adjusted EBITDA for the year ended December 31, 2020 was $234.8 million, an increase of $61.6 million, or 36%, relative to the year ended December 31, 2019. This growth was driven primarily from the growth in revenue that resulted from additional customers in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derive 99% of our revenue from subscription services and the remainder from recurring usage-based services. Our subscription services consist of our SaaS applications. Pricing of our subscription contracts are generally based on the functionality provided, the number of users that access our applications,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The amount of revenue recognized reflects the consideration we expect to be entitled to receive in exchange for these services. We record a contract asset when revenue recognized on a contract exceeds the billings to date for that contract.</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Unearned revenue results from cash received or amounts billed to customers in advance of revenue recognized upon the satisfaction of performance obligations. The unearned revenue balance is influenced by several factors, including purchase accounting adjustments, seasonality, the compounding effects of renewals, invoice duration, invoice timing, dollar size, and new business timing within the period. The unearned revenue balance does not represent the total contract value of annual or multi-year, non-cancelable subscription agreements.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excluding amortization of acquired technology. </w:t>
      </w:r>
      <w:r>
        <w:rPr>
          <w:rFonts w:ascii="Arial" w:cs="Arial" w:eastAsia="Arial" w:hAnsi="Arial"/>
          <w:sz w:val="18"/>
          <w:szCs w:val="18"/>
          <w:color w:val="auto"/>
        </w:rPr>
        <w:t>Cost of service, excluding amortization of acquired technology includes direct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the support and operations of our SaaS services and related to our research teams, including salaries, benefits, equity-based compensation, and related expenses, such as employer taxes, allocated overhead for facilities, IT, third-party hosting fees, third-party data costs, and amortization of internally developed capitalized software.</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anticipate that we will continue to invest in costs of service and that costs of service as a percentage of revenue will stay consistent or modestly decrease as we realize operating leverage in the business.</w:t>
      </w:r>
    </w:p>
    <w:p>
      <w:pPr>
        <w:spacing w:after="0" w:line="128"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i w:val="1"/>
          <w:iCs w:val="1"/>
          <w:color w:val="auto"/>
        </w:rPr>
        <w:t xml:space="preserve">Amortization of acquired technology. </w:t>
      </w:r>
      <w:r>
        <w:rPr>
          <w:rFonts w:ascii="Arial" w:cs="Arial" w:eastAsia="Arial" w:hAnsi="Arial"/>
          <w:sz w:val="18"/>
          <w:szCs w:val="18"/>
          <w:color w:val="auto"/>
        </w:rPr>
        <w:t>Amortization of acquired technology includes amortization expense for technology acquired in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combinations.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acquired technology will increase if we make additional acquisitions in the future.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Gross profit is revenue less cost of service,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operating expenses consist of sales and marketing, research and development, general and administrative, restructuring and transaction expenses, and amortization of acquired intangibles (other than acquired technology). The most significant component of our operating expenses is personnel costs, which consists of salaries, bonuses, sales commissions, stock-based compensation, and other employee-related benefits. Operating expenses also include overhead costs for facilities, technology, professional fees, depreciation and amortization expense,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anticipate that we will continue to invest in sales and marketing capacity to enable future growth, but that sales and marketing expense as a percentage of revenue will decrease as equity-based compensation expense related to the modification of HSKB awards and triggered by the IPO become a less significant component of overall sales and marketing expense. We anticipate that sales and marketing expense excluding equity-based compensation will fluctuate from period to period depending on the interplay of our growing investments in sales and marketing capacity excluding equity-based compensation, the recognition of revenue, and the amortization of contract acquisition costs.</w:t>
      </w:r>
    </w:p>
    <w:p>
      <w:pPr>
        <w:spacing w:after="0" w:line="12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support our efforts to enhance our existing platform and develop new software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Research and development expenses do not reflect amortization of internally developed capitalized software. We believe that our core technologies and ongoing innovation represent a significant competitive advantage for us, and we expect our research and development expenses to continue to increase as we invest in research and development resources to further strengthen and enhance our solutions.</w:t>
      </w:r>
    </w:p>
    <w:p>
      <w:pPr>
        <w:spacing w:after="0" w:line="143"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long term.</w:t>
      </w:r>
    </w:p>
    <w:p>
      <w:pPr>
        <w:spacing w:after="0" w:line="1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employee-related costs such as salaries, bonuses, equity-based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 related benefits for our executive, finance, legal, human resources, IT, and business operations and administrative teams, as well as overhead costs. Additionally, we incur expenses for professional fees including legal services, accounting, and other consulting services, including those associated with operating as a public company.</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We expect general and administrative expenses as a percentage of revenue to stay consistent or modestly decrease from 2021 as we realize operating leverage in the business.</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i w:val="1"/>
          <w:iCs w:val="1"/>
          <w:color w:val="auto"/>
        </w:rPr>
        <w:t>Amortization of other acquired intangibles</w:t>
      </w:r>
      <w:r>
        <w:rPr>
          <w:rFonts w:ascii="Arial" w:cs="Arial" w:eastAsia="Arial" w:hAnsi="Arial"/>
          <w:sz w:val="18"/>
          <w:szCs w:val="18"/>
          <w:color w:val="auto"/>
        </w:rPr>
        <w:t>. Amortization of acquired intangibles primarily consists of amortization of customer relationships,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and brand portfolios.</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amortization of other acquired intangibles will increase if we make additional acquisitions in the future.</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i w:val="1"/>
          <w:iCs w:val="1"/>
          <w:color w:val="auto"/>
        </w:rPr>
        <w:t xml:space="preserve">Restructuring and transaction related expenses. </w:t>
      </w:r>
      <w:r>
        <w:rPr>
          <w:rFonts w:ascii="Arial" w:cs="Arial" w:eastAsia="Arial" w:hAnsi="Arial"/>
          <w:sz w:val="15"/>
          <w:szCs w:val="15"/>
          <w:color w:val="auto"/>
        </w:rPr>
        <w:t>Restructuring and transaction expenses primarily consist of various restructuring and acquisition</w:t>
      </w:r>
      <w:r>
        <w:rPr>
          <w:rFonts w:ascii="Arial" w:cs="Arial" w:eastAsia="Arial" w:hAnsi="Arial"/>
          <w:sz w:val="15"/>
          <w:szCs w:val="15"/>
          <w:i w:val="1"/>
          <w:iCs w:val="1"/>
          <w:color w:val="auto"/>
        </w:rPr>
        <w:t xml:space="preserve"> </w:t>
      </w:r>
      <w:r>
        <w:rPr>
          <w:rFonts w:ascii="Arial" w:cs="Arial" w:eastAsia="Arial" w:hAnsi="Arial"/>
          <w:sz w:val="15"/>
          <w:szCs w:val="15"/>
          <w:color w:val="auto"/>
        </w:rPr>
        <w:t>activities we have undertaken to achieve strategic or financial objectives. Restructuring and acquisition activities include, but are not limited to, consolidation of offices and responsibilities, office relocation, administrative cost structure realignment, and acquisition-related professional services fees.</w:t>
      </w:r>
    </w:p>
    <w:p>
      <w:pPr>
        <w:spacing w:after="0" w:line="8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We anticipate that restructuring and transaction expenses will be correlated with future acquisition activity or strategic restructuring activities, which could be greater than or less than our historic levels.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Interest expense represents the interest payable on our debt obligations and the amortization of debt discounts and debt issuance costs, less interest income.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anticipate that interest expense could be impacted by changes in variable interest rates or the issuance of additional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Modification and Extinguishment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Loss on debt modification and extinguishment consists of prepayment penalties and impairment of deferred financing costs associated with the modification or extinguishment of debt, as well as new fees incurred with third parties in connection with debt modifications.</w:t>
      </w:r>
    </w:p>
    <w:p>
      <w:pPr>
        <w:spacing w:after="0" w:line="128" w:lineRule="exact"/>
        <w:rPr>
          <w:sz w:val="20"/>
          <w:szCs w:val="20"/>
          <w:color w:val="auto"/>
        </w:rPr>
      </w:pPr>
    </w:p>
    <w:p>
      <w:pPr>
        <w:ind w:right="920" w:firstLine="318"/>
        <w:spacing w:after="0" w:line="430" w:lineRule="auto"/>
        <w:rPr>
          <w:sz w:val="20"/>
          <w:szCs w:val="20"/>
          <w:color w:val="auto"/>
        </w:rPr>
      </w:pPr>
      <w:r>
        <w:rPr>
          <w:rFonts w:ascii="Arial" w:cs="Arial" w:eastAsia="Arial" w:hAnsi="Arial"/>
          <w:sz w:val="18"/>
          <w:szCs w:val="18"/>
          <w:color w:val="auto"/>
        </w:rPr>
        <w:t xml:space="preserve">We anticipate that losses related to debt extinguishment will only occur if we extinguish indebtedness before the contractual repayment dates. </w:t>
      </w:r>
      <w:r>
        <w:rPr>
          <w:rFonts w:ascii="Arial" w:cs="Arial" w:eastAsia="Arial" w:hAnsi="Arial"/>
          <w:sz w:val="18"/>
          <w:szCs w:val="18"/>
          <w:b w:val="1"/>
          <w:bCs w:val="1"/>
          <w:i w:val="1"/>
          <w:iCs w:val="1"/>
          <w:color w:val="auto"/>
        </w:rPr>
        <w:t>Other (Income) Expense, Net</w:t>
      </w:r>
    </w:p>
    <w:p>
      <w:pPr>
        <w:jc w:val="both"/>
        <w:ind w:firstLine="318"/>
        <w:spacing w:after="0" w:line="264" w:lineRule="auto"/>
        <w:rPr>
          <w:sz w:val="20"/>
          <w:szCs w:val="20"/>
          <w:color w:val="auto"/>
        </w:rPr>
      </w:pPr>
      <w:r>
        <w:rPr>
          <w:rFonts w:ascii="Arial" w:cs="Arial" w:eastAsia="Arial" w:hAnsi="Arial"/>
          <w:sz w:val="18"/>
          <w:szCs w:val="18"/>
          <w:color w:val="auto"/>
        </w:rPr>
        <w:t>Other (income) expense, net consists primarily of the revaluation of tax receivable agreement liabilities and foreign currency realized and unrealized gains and losses related to the impact of transactions denominated in a foreign currency.</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Changes to existing tax law including changes to the corporate income tax rates and the Company’s state tax footprint could lead to substantial revaluations of the tax receivable agreement liability recorded through other income and expense, net.</w:t>
      </w:r>
    </w:p>
    <w:p>
      <w:pPr>
        <w:spacing w:after="0" w:line="128" w:lineRule="exact"/>
        <w:rPr>
          <w:sz w:val="20"/>
          <w:szCs w:val="20"/>
          <w:color w:val="auto"/>
        </w:rPr>
      </w:pPr>
    </w:p>
    <w:p>
      <w:pPr>
        <w:ind w:right="860" w:firstLine="318"/>
        <w:spacing w:after="0" w:line="430" w:lineRule="auto"/>
        <w:rPr>
          <w:sz w:val="20"/>
          <w:szCs w:val="20"/>
          <w:color w:val="auto"/>
        </w:rPr>
      </w:pPr>
      <w:r>
        <w:rPr>
          <w:rFonts w:ascii="Arial" w:cs="Arial" w:eastAsia="Arial" w:hAnsi="Arial"/>
          <w:sz w:val="18"/>
          <w:szCs w:val="18"/>
          <w:color w:val="auto"/>
        </w:rPr>
        <w:t xml:space="preserve">The magnitude of other income and expenses, net may increase as we expand operations internationally and add complexity to our operations. </w:t>
      </w:r>
      <w:r>
        <w:rPr>
          <w:rFonts w:ascii="Arial" w:cs="Arial" w:eastAsia="Arial" w:hAnsi="Arial"/>
          <w:sz w:val="18"/>
          <w:szCs w:val="18"/>
          <w:b w:val="1"/>
          <w:bCs w:val="1"/>
          <w:i w:val="1"/>
          <w:iCs w:val="1"/>
          <w:color w:val="auto"/>
        </w:rPr>
        <w:t>Income Tax Expense (Benefit)</w:t>
      </w:r>
    </w:p>
    <w:p>
      <w:pPr>
        <w:jc w:val="both"/>
        <w:ind w:firstLine="318"/>
        <w:spacing w:after="0" w:line="300" w:lineRule="auto"/>
        <w:rPr>
          <w:sz w:val="20"/>
          <w:szCs w:val="20"/>
          <w:color w:val="auto"/>
        </w:rPr>
      </w:pPr>
      <w:r>
        <w:rPr>
          <w:rFonts w:ascii="Arial" w:cs="Arial" w:eastAsia="Arial" w:hAnsi="Arial"/>
          <w:sz w:val="15"/>
          <w:szCs w:val="15"/>
          <w:color w:val="auto"/>
        </w:rPr>
        <w:t xml:space="preserve">ZoomInfo OpCo is currently treated as a pass-through entity for U.S. federal income tax purposes and most applicable state and local income tax purposes. </w:t>
      </w:r>
      <w:r>
        <w:rPr>
          <w:rFonts w:ascii="Arial" w:cs="Arial" w:eastAsia="Arial" w:hAnsi="Arial"/>
          <w:sz w:val="15"/>
          <w:szCs w:val="15"/>
          <w:i w:val="1"/>
          <w:iCs w:val="1"/>
          <w:color w:val="auto"/>
        </w:rPr>
        <w:t>Income tax expense (benefit)</w:t>
      </w:r>
      <w:r>
        <w:rPr>
          <w:rFonts w:ascii="Arial" w:cs="Arial" w:eastAsia="Arial" w:hAnsi="Arial"/>
          <w:sz w:val="15"/>
          <w:szCs w:val="15"/>
          <w:color w:val="auto"/>
        </w:rPr>
        <w:t xml:space="preserve">, </w:t>
      </w:r>
      <w:r>
        <w:rPr>
          <w:rFonts w:ascii="Arial" w:cs="Arial" w:eastAsia="Arial" w:hAnsi="Arial"/>
          <w:sz w:val="15"/>
          <w:szCs w:val="15"/>
          <w:i w:val="1"/>
          <w:iCs w:val="1"/>
          <w:color w:val="auto"/>
        </w:rPr>
        <w:t>Deferred tax assets, Deferred tax liabilities</w:t>
      </w:r>
      <w:r>
        <w:rPr>
          <w:rFonts w:ascii="Arial" w:cs="Arial" w:eastAsia="Arial" w:hAnsi="Arial"/>
          <w:sz w:val="15"/>
          <w:szCs w:val="15"/>
          <w:color w:val="auto"/>
        </w:rPr>
        <w:t>, and liabilities for unrecognized tax benefits reflect management’s best assessment of estimated current and future taxes to be paid by our corporate subsidiaries and, to the extent paid directly by our limited liability companies and partnerships that are treated as partnerships for tax purposes, our partnerships. Our corporate subsidiary, RKSI Acquisition Corporation was subject to income taxes in the United States and held noncontrolling interests in our subsidiary, ZoomInfo Technologies LLC. ZoomInfo Technologies LLC was treated as a partnership for U.S. federal and most applicable state and local income tax purposes. Any taxable income or loss generated by ZoomInfo Technologies LLC during the period it was treated as a partnership for income tax purposes was passed through to and included in the taxable income or loss of its partners, including ZoomInfo LLC, and RKSI Acquisition Corporation. However, because RKSI Acquisition Corporation is subject to income taxes in the United States, income allocated to such corporate subsidiary for tax purposes reduced the taxable income allocated to and distributions made to ZoomInfo OpCo. During the three months ended September 30, 2021, RKSI Acquisition Corporation was distributed up to ZoomInfo HoldCo followed by the merger of RKSI Acquisition Corporation with and into ZoomInfo HoldCo and the merger of ZoomInfo HoldCo with and into ZoomInfo Technologies Inc. Significant judgments and estimates are required in determining our consolidated income tax expense. Refer to Note 2 - Basis of Presentation and Summary of Significant Accounting Policies to our audited consolidated financial statements included in Part II, Item 8 of this Form 10-K for additional information. During the three months ended December 31, 2021, ZoomInfo Technologies LLC made an election to be taxed as a corporation. Therefore, taxable income from the operations will no longer flow up to ZoomInfo Intermediate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After consummation of the Reorganization Transactions, ZoomInfo Intermediate Inc. became subject to U.S. federal income taxes with respect to our allocable share of any U.S. taxable income of ZoomInfo OpCo, and is taxed at the prevailing corporate tax rates. ZoomInfo Technologies Inc. is treated as a U.S. corporation for U.S. federal, state, and local income tax purposes. Accordingly, a provision for income taxes will be recorded for the anticipated tax consequences of our reported results of operations for federal income taxes. In addition to tax expenses, we also will incur expenses related to our operations, as well as payments under the tax receivable agreements, which we expect to be significant. In addition, because RKSI Acquisition Corporation (prior to its merger with and into ZoomInfo HoldCo) and Zebra Acquisition Corporation (prior to its merger with RKSI Acquisition Corporation) will continue to be subject to income taxes in the United States, income allocated to such corporate subsidiaries for tax purposes will reduce the distributions made to ZoomInfo OpCo, thereby reducing our allocable share of U.S. taxable income of ZoomInfo OpCo. See “Risk Factors - Risks Related to Our Organizational Structure” in Part I, Item 1A of this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results of operations for the years ended December 31, 2021, 2020, and 2019:</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4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Amortization of acquired technology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5"/>
        </w:trPr>
        <w:tc>
          <w:tcPr>
            <w:tcW w:w="6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4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5"/>
        </w:trPr>
        <w:tc>
          <w:tcPr>
            <w:tcW w:w="6420" w:type="dxa"/>
            <w:vAlign w:val="bottom"/>
          </w:tcPr>
          <w:p>
            <w:pPr>
              <w:ind w:left="24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4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5"/>
        </w:trPr>
        <w:tc>
          <w:tcPr>
            <w:tcW w:w="6420" w:type="dxa"/>
            <w:vAlign w:val="bottom"/>
          </w:tcPr>
          <w:p>
            <w:pPr>
              <w:ind w:left="240"/>
              <w:spacing w:after="0"/>
              <w:rPr>
                <w:sz w:val="20"/>
                <w:szCs w:val="20"/>
                <w:color w:val="auto"/>
              </w:rPr>
            </w:pPr>
            <w:r>
              <w:rPr>
                <w:rFonts w:ascii="Arial" w:cs="Arial" w:eastAsia="Arial" w:hAnsi="Arial"/>
                <w:sz w:val="18"/>
                <w:szCs w:val="18"/>
                <w:color w:val="auto"/>
              </w:rPr>
              <w:t>Amortization of other acquired intangibles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Restructuring and transaction related expenses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8"/>
        </w:trPr>
        <w:tc>
          <w:tcPr>
            <w:tcW w:w="64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5"/>
        </w:trPr>
        <w:tc>
          <w:tcPr>
            <w:tcW w:w="6420" w:type="dxa"/>
            <w:vAlign w:val="bottom"/>
          </w:tcPr>
          <w:p>
            <w:pPr>
              <w:ind w:left="2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6"/>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debt modification and extinguishment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5"/>
        </w:trPr>
        <w:tc>
          <w:tcPr>
            <w:tcW w:w="6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 tax expense (benefit)</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642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53"/>
        </w:trPr>
        <w:tc>
          <w:tcPr>
            <w:tcW w:w="6420" w:type="dxa"/>
            <w:vAlign w:val="bottom"/>
          </w:tcPr>
          <w:p>
            <w:pPr>
              <w:ind w:left="20"/>
              <w:spacing w:after="0" w:line="154" w:lineRule="exact"/>
              <w:rPr>
                <w:sz w:val="20"/>
                <w:szCs w:val="20"/>
                <w:color w:val="auto"/>
              </w:rPr>
            </w:pPr>
            <w:r>
              <w:rPr>
                <w:rFonts w:ascii="Arial" w:cs="Arial" w:eastAsia="Arial" w:hAnsi="Arial"/>
                <w:sz w:val="17"/>
                <w:szCs w:val="17"/>
                <w:color w:val="auto"/>
              </w:rPr>
              <w:t>Less: Net income (loss) attributable to ZoomInfo OpCo prior to the Reorganization</w:t>
            </w:r>
          </w:p>
        </w:tc>
        <w:tc>
          <w:tcPr>
            <w:tcW w:w="36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4"/>
        </w:trPr>
        <w:tc>
          <w:tcPr>
            <w:tcW w:w="6420" w:type="dxa"/>
            <w:vAlign w:val="bottom"/>
          </w:tcPr>
          <w:p>
            <w:pPr>
              <w:ind w:left="20"/>
              <w:spacing w:after="0"/>
              <w:rPr>
                <w:sz w:val="20"/>
                <w:szCs w:val="20"/>
                <w:color w:val="auto"/>
              </w:rPr>
            </w:pPr>
            <w:r>
              <w:rPr>
                <w:rFonts w:ascii="Arial" w:cs="Arial" w:eastAsia="Arial" w:hAnsi="Arial"/>
                <w:sz w:val="18"/>
                <w:szCs w:val="18"/>
                <w:color w:val="auto"/>
              </w:rPr>
              <w:t>Transactions</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420" w:type="dxa"/>
            <w:vAlign w:val="bottom"/>
          </w:tcPr>
          <w:p>
            <w:pPr>
              <w:ind w:left="24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116.8</w:t>
            </w:r>
          </w:p>
        </w:tc>
        <w:tc>
          <w:tcPr>
            <w:tcW w:w="4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Includes equity-based compensation expense as follows:</w:t>
      </w:r>
    </w:p>
    <w:p>
      <w:pPr>
        <w:spacing w:after="0" w:line="48" w:lineRule="exact"/>
        <w:rPr>
          <w:sz w:val="20"/>
          <w:szCs w:val="20"/>
          <w:color w:val="auto"/>
        </w:rPr>
      </w:pPr>
    </w:p>
    <w:tbl>
      <w:tblPr>
        <w:tblLayout w:type="fixed"/>
        <w:tblInd w:w="320" w:type="dxa"/>
        <w:tblCellMar>
          <w:top w:w="0" w:type="dxa"/>
          <w:left w:w="0" w:type="dxa"/>
          <w:bottom w:w="0" w:type="dxa"/>
          <w:right w:w="0" w:type="dxa"/>
        </w:tblCellMar>
      </w:tblPr>
      <w:tr>
        <w:trPr>
          <w:trHeight w:val="189"/>
        </w:trPr>
        <w:tc>
          <w:tcPr>
            <w:tcW w:w="4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right"/>
              <w:ind w:right="149"/>
              <w:spacing w:after="0"/>
              <w:rPr>
                <w:sz w:val="20"/>
                <w:szCs w:val="20"/>
                <w:color w:val="auto"/>
              </w:rPr>
            </w:pPr>
            <w:r>
              <w:rPr>
                <w:rFonts w:ascii="Arial" w:cs="Arial" w:eastAsia="Arial" w:hAnsi="Arial"/>
                <w:sz w:val="14"/>
                <w:szCs w:val="14"/>
                <w:b w:val="1"/>
                <w:bCs w:val="1"/>
                <w:color w:val="auto"/>
                <w:w w:val="89"/>
              </w:rPr>
              <w:t>Year Ended December 31,</w:t>
            </w:r>
          </w:p>
        </w:tc>
        <w:tc>
          <w:tcPr>
            <w:tcW w:w="940" w:type="dxa"/>
            <w:vAlign w:val="bottom"/>
            <w:tcBorders>
              <w:bottom w:val="single" w:sz="8" w:color="auto"/>
            </w:tcBorders>
          </w:tcPr>
          <w:p>
            <w:pPr>
              <w:spacing w:after="0"/>
              <w:rPr>
                <w:sz w:val="16"/>
                <w:szCs w:val="16"/>
                <w:color w:val="auto"/>
              </w:rPr>
            </w:pPr>
          </w:p>
        </w:tc>
      </w:tr>
      <w:tr>
        <w:trPr>
          <w:trHeight w:val="192"/>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9"/>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b w:val="1"/>
                <w:bCs w:val="1"/>
                <w:color w:val="auto"/>
              </w:rPr>
              <w:t>2019</w:t>
            </w:r>
          </w:p>
        </w:tc>
      </w:tr>
      <w:tr>
        <w:trPr>
          <w:trHeight w:val="19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60" w:type="dxa"/>
            <w:vAlign w:val="bottom"/>
            <w:gridSpan w:val="3"/>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r>
      <w:tr>
        <w:trPr>
          <w:trHeight w:val="207"/>
        </w:trPr>
        <w:tc>
          <w:tcPr>
            <w:tcW w:w="442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9"/>
              <w:spacing w:after="0"/>
              <w:rPr>
                <w:sz w:val="20"/>
                <w:szCs w:val="20"/>
                <w:color w:val="auto"/>
              </w:rPr>
            </w:pPr>
            <w:r>
              <w:rPr>
                <w:rFonts w:ascii="Arial" w:cs="Arial" w:eastAsia="Arial" w:hAnsi="Arial"/>
                <w:sz w:val="14"/>
                <w:szCs w:val="14"/>
                <w:color w:val="auto"/>
              </w:rPr>
              <w:t>11.2</w:t>
            </w:r>
          </w:p>
        </w:tc>
      </w:tr>
      <w:tr>
        <w:trPr>
          <w:trHeight w:val="218"/>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w:t>
            </w:r>
          </w:p>
        </w:tc>
      </w:tr>
      <w:tr>
        <w:trPr>
          <w:trHeight w:val="206"/>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w:t>
            </w:r>
          </w:p>
        </w:tc>
      </w:tr>
      <w:tr>
        <w:trPr>
          <w:trHeight w:val="209"/>
        </w:trPr>
        <w:tc>
          <w:tcPr>
            <w:tcW w:w="4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Total equity-based compensation expense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25.1</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and Year Ended December 31, 2020</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was $747.2 million for the year ended December 31, 2021, an increase of $271.0 million, or 57%, as compared to $476.2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 ended December 31, 2020. This increase was primarily due to the addition of new customers over the past 12 months and net expansion with existing customers. Products acquired within the last 12 months contributed $13.2 million for the year ended December 31, 2021.</w:t>
      </w:r>
    </w:p>
    <w:p>
      <w:pPr>
        <w:spacing w:after="0" w:line="11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$136.7 million for the year ended December 31, 2021, an increase of $29.2 million, or 27%,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$107.5 million for the year ended December 31, 2020. The increase was primarily due to additional headcount and related salaries and benefits, hosting expense to support new and growing customers, and increased amortization of acquired technology related to acquisitions, partially offset by reduced equity-based compensation expense.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$497.2 million for the year ended December 31, 2021, an increase of $165.6 million, or 50%,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$331.6 million for the year ended December 31, 2020. Excluding equity-based compensation expenses, operating expenses were $417.5 million for the year ended December 31, 2021, an increase of $180.0 million, or 76%, as compared to $237.5 million for the year ended December 31, 2020. The increase excluding equity-based compensation was primarily due to:</w:t>
      </w:r>
    </w:p>
    <w:p>
      <w:pPr>
        <w:spacing w:after="0" w:line="138" w:lineRule="exact"/>
        <w:rPr>
          <w:sz w:val="20"/>
          <w:szCs w:val="20"/>
          <w:color w:val="auto"/>
        </w:rPr>
      </w:pPr>
    </w:p>
    <w:p>
      <w:pPr>
        <w:jc w:val="both"/>
        <w:ind w:left="640" w:hanging="316"/>
        <w:spacing w:after="0" w:line="252"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a decrease in equity-based compensation of $24.4 million) of $80.5 million, or 66%, to $202.9 million for the year ended December 31, 2021, due primarily to additional headcount and related salaries and benefits expenses added to drive continued incremental sales, additional commission expense and amortization of deferred commissions related to obtaining contracts with customers and additional marketing expense;</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an increase in equity-based compensation of $10.7 million) of $57.6 million, or 152%, to $95.5 million for the year ended December 31, 2021, due primarily to additional headcount and related salaries and benefits expenses to support continued innovation of our services;</w:t>
      </w:r>
    </w:p>
    <w:p>
      <w:pPr>
        <w:spacing w:after="0" w:line="135"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(excluding a decrease in equity-based compensation of $0.7 million) of $30.4 million, or 68%, to $75.2 million for the year ended December 31, 2021, due primarily to additional headcount and related salaries and benefits expenses, and corporate expenses to support the larger organization;</w:t>
      </w:r>
    </w:p>
    <w:p>
      <w:pPr>
        <w:spacing w:after="0" w:line="135" w:lineRule="exact"/>
        <w:rPr>
          <w:rFonts w:ascii="Arial" w:cs="Arial" w:eastAsia="Arial" w:hAnsi="Arial"/>
          <w:sz w:val="18"/>
          <w:szCs w:val="18"/>
          <w:color w:val="auto"/>
        </w:rPr>
      </w:pPr>
    </w:p>
    <w:p>
      <w:pPr>
        <w:ind w:left="640" w:hanging="316"/>
        <w:spacing w:after="0" w:line="294"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an increase in amortization of acquired intangibles expense of $1.6 million, or 9%, to $20.3 million for the year ended December 31, 2021, due to amortization expense related to intangible assets acquired from 2021 acquisitions during the full period for the current year; and</w:t>
      </w:r>
    </w:p>
    <w:p>
      <w:pPr>
        <w:spacing w:after="0" w:line="104" w:lineRule="exact"/>
        <w:rPr>
          <w:rFonts w:ascii="Arial" w:cs="Arial" w:eastAsia="Arial" w:hAnsi="Arial"/>
          <w:sz w:val="17"/>
          <w:szCs w:val="17"/>
          <w:color w:val="auto"/>
        </w:rPr>
      </w:pPr>
    </w:p>
    <w:p>
      <w:pPr>
        <w:jc w:val="both"/>
        <w:ind w:left="640" w:hanging="316"/>
        <w:spacing w:after="0" w:line="330" w:lineRule="auto"/>
        <w:tabs>
          <w:tab w:leader="none" w:pos="635" w:val="left"/>
        </w:tabs>
        <w:numPr>
          <w:ilvl w:val="0"/>
          <w:numId w:val="27"/>
        </w:numPr>
        <w:rPr>
          <w:rFonts w:ascii="Arial" w:cs="Arial" w:eastAsia="Arial" w:hAnsi="Arial"/>
          <w:sz w:val="15"/>
          <w:szCs w:val="15"/>
          <w:i w:val="1"/>
          <w:iCs w:val="1"/>
          <w:color w:val="auto"/>
        </w:rPr>
      </w:pPr>
      <w:r>
        <w:rPr>
          <w:rFonts w:ascii="Arial" w:cs="Arial" w:eastAsia="Arial" w:hAnsi="Arial"/>
          <w:sz w:val="15"/>
          <w:szCs w:val="15"/>
          <w:color w:val="auto"/>
        </w:rPr>
        <w:t>an increase in restructuring and transaction-related expense of $9.9 million, or 72%, to $23.7 million for the year ended December 31, 2021, due to costs incurred in completing 2021 acquisitions and Reorganization Transactions, and impairment and accelerated depreciation related to the Company’s Waltham office relocation offset by a decrease in IPO costs incurred in the year ended December 31, 2020 that did not reoccur.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$43.9 million for the year ended December 31, 2021, a decrease of $25.4 million, or 37%,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$69.3 million for the year ended December 31, 2020. The decrease was primarily due to lower average cost of debt due to the net impact of the repayment of the second lien debt and $100.0 million first lien debt principal repayment in June 2020, the first lien debt repricing and debt prepayment in February 2021, and increases in the amount of debt resulting from the February and July 2021 issuances of Senior Notes.</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5"/>
          <w:szCs w:val="15"/>
          <w:i w:val="1"/>
          <w:iCs w:val="1"/>
          <w:color w:val="auto"/>
        </w:rPr>
        <w:t>Loss on debt modification and extinguishment</w:t>
      </w:r>
      <w:r>
        <w:rPr>
          <w:rFonts w:ascii="Arial" w:cs="Arial" w:eastAsia="Arial" w:hAnsi="Arial"/>
          <w:sz w:val="15"/>
          <w:szCs w:val="15"/>
          <w:color w:val="auto"/>
        </w:rPr>
        <w:t>. Loss on debt modification and extinguishment was $7.7 million for the year ended December 31, 2021,</w:t>
      </w:r>
    </w:p>
    <w:p>
      <w:pPr>
        <w:spacing w:after="0" w:line="51" w:lineRule="exact"/>
        <w:rPr>
          <w:sz w:val="20"/>
          <w:szCs w:val="20"/>
          <w:color w:val="auto"/>
        </w:rPr>
      </w:pPr>
    </w:p>
    <w:p>
      <w:pPr>
        <w:spacing w:after="0"/>
        <w:rPr>
          <w:sz w:val="20"/>
          <w:szCs w:val="20"/>
          <w:color w:val="auto"/>
        </w:rPr>
      </w:pPr>
      <w:r>
        <w:rPr>
          <w:rFonts w:ascii="Arial" w:cs="Arial" w:eastAsia="Arial" w:hAnsi="Arial"/>
          <w:sz w:val="15"/>
          <w:szCs w:val="15"/>
          <w:color w:val="auto"/>
        </w:rPr>
        <w:t>primarily related to the write-off of unamortized debt issuance costs resulting from the February 2021 Debt Prepayment. This represented a decrease of</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$7.2 million, or 48%, as compared to expense of $14.9 million for the year ended December 31, 2020, related to penalties and derecognition of deferred and</w:t>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color w:val="auto"/>
        </w:rPr>
        <w:t>unamortized debt issuance costs resulting from the repayment of the second lien term loans and $100.0 million first lien term loan principal repayment after</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IPO that did not reoccur.</w:t>
      </w:r>
    </w:p>
    <w:p>
      <w:pPr>
        <w:spacing w:after="0" w:line="153"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Other (income) expense, net. </w:t>
      </w:r>
      <w:r>
        <w:rPr>
          <w:rFonts w:ascii="Arial" w:cs="Arial" w:eastAsia="Arial" w:hAnsi="Arial"/>
          <w:sz w:val="15"/>
          <w:szCs w:val="15"/>
          <w:color w:val="auto"/>
        </w:rPr>
        <w:t>Other income was $39.3 million for the year ended December 31, 2021, an increase of $23.8 million, as compared to Other</w:t>
      </w:r>
      <w:r>
        <w:rPr>
          <w:rFonts w:ascii="Arial" w:cs="Arial" w:eastAsia="Arial" w:hAnsi="Arial"/>
          <w:sz w:val="15"/>
          <w:szCs w:val="15"/>
          <w:i w:val="1"/>
          <w:iCs w:val="1"/>
          <w:color w:val="auto"/>
        </w:rPr>
        <w:t xml:space="preserve"> </w:t>
      </w:r>
      <w:r>
        <w:rPr>
          <w:rFonts w:ascii="Arial" w:cs="Arial" w:eastAsia="Arial" w:hAnsi="Arial"/>
          <w:sz w:val="15"/>
          <w:szCs w:val="15"/>
          <w:color w:val="auto"/>
        </w:rPr>
        <w:t>income of $15.4 million for the year ended December 31, 2020, primarily due to the recognition of a TRA remeasurement gain of $39.5 million.</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Expense from income taxes for the year ended December 31, 2021 was $6.1 million,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6.1%, as compared to expense from income taxes of $4.7 million, representing an effective tax rate of (14.8)% for the year ended December 31, 2020. The 2021 effective tax rate is lower than the statutory rate primarily due to a benefit from the election to tax ZoomInfo Technologies LLC as a corporation partially offset by non-cash tax expense due to shifts in GAAP basis. The 2020 effective tax rate was lower than the statutory rate primarily due to the impact of nondeductible stock compensation applied to a net loss.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 and Year Ended December 31, 2019</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i w:val="1"/>
          <w:iCs w:val="1"/>
          <w:color w:val="auto"/>
        </w:rPr>
        <w:t>Revenue</w:t>
      </w:r>
      <w:r>
        <w:rPr>
          <w:rFonts w:ascii="Arial" w:cs="Arial" w:eastAsia="Arial" w:hAnsi="Arial"/>
          <w:sz w:val="15"/>
          <w:szCs w:val="15"/>
          <w:color w:val="auto"/>
        </w:rPr>
        <w:t>. Revenue was $476.2 million for the year ended December 31, 2020, an increase of $182.9 million, or 62%, as compared to $293.3 million for</w:t>
      </w:r>
      <w:r>
        <w:rPr>
          <w:rFonts w:ascii="Arial" w:cs="Arial" w:eastAsia="Arial" w:hAnsi="Arial"/>
          <w:sz w:val="15"/>
          <w:szCs w:val="15"/>
          <w:i w:val="1"/>
          <w:iCs w:val="1"/>
          <w:color w:val="auto"/>
        </w:rPr>
        <w:t xml:space="preserve"> </w:t>
      </w:r>
      <w:r>
        <w:rPr>
          <w:rFonts w:ascii="Arial" w:cs="Arial" w:eastAsia="Arial" w:hAnsi="Arial"/>
          <w:sz w:val="15"/>
          <w:szCs w:val="15"/>
          <w:color w:val="auto"/>
        </w:rPr>
        <w:t>the year ended December 31, 2019. This increase was primarily due to the addition of new customers over the 18 months ended December 31, 2020 and net expansion with existing customers, and, to a lesser extent, due to the recognition of revenue for renewed contracted value, as opposed to the fair value ascribed to acquired contracts under purchase accounting during the prior year period or recognized by Pre-Acquisition ZI before the acquisition on February 1, 2019. Revenues for the year ended December 31, 2020 include $2.0 million from products acquired during the period.</w:t>
      </w:r>
    </w:p>
    <w:p>
      <w:pPr>
        <w:spacing w:after="0" w:line="9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i w:val="1"/>
          <w:iCs w:val="1"/>
          <w:color w:val="auto"/>
        </w:rPr>
        <w:t xml:space="preserve">Cost of service. </w:t>
      </w:r>
      <w:r>
        <w:rPr>
          <w:rFonts w:ascii="Arial" w:cs="Arial" w:eastAsia="Arial" w:hAnsi="Arial"/>
          <w:sz w:val="18"/>
          <w:szCs w:val="18"/>
          <w:color w:val="auto"/>
        </w:rPr>
        <w:t>Cost of service was $107.5 million for the year ended December 31, 2020, an increase of $38.8 million, or 57%,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$68.7 million for the year ended December 31, 2019. The increase was primarily due to additional equity-based compensation expense related to grants previously made by HSKB, modified in December 2019, and triggered by the IPO. Additional expenses related to additional headcount and hosting expense to support new and growing customers also contributed to the increase.</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$331.6 million for the year ended December 31, 2020, an increase of $143.0 million, or 76%,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$188.6 million for the year ended December 31, 2019. The increase was primarily due to additional equity-based compensation expense related to grants previously made by HSKB, modified in December 2019, and triggered by the IPO. Excluding equity-based compensation expenses, operating expenses were $237.5 million for the year ended December 31, 2020, an increase of $70.0 million, or 42%, as compared to $167.5 million for the year ended December 31, 2019. The increase was primarily due to:</w:t>
      </w:r>
    </w:p>
    <w:p>
      <w:pPr>
        <w:spacing w:after="0" w:line="141" w:lineRule="exact"/>
        <w:rPr>
          <w:sz w:val="20"/>
          <w:szCs w:val="20"/>
          <w:color w:val="auto"/>
        </w:rPr>
      </w:pPr>
    </w:p>
    <w:p>
      <w:pPr>
        <w:jc w:val="both"/>
        <w:ind w:left="640" w:hanging="316"/>
        <w:spacing w:after="0" w:line="252"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sales and marketing expense (excluding an increase in equity-based compensation of $51.3 million) of $43.4 million, or 55%, to $122.4 million for the year ended December 31, 2020, due primarily to additional headcount and related salaries and benefits expenses added to drive continued incremental sales, as well as additional commission expense and amortization of deferred commissions related to obtaining contracts with customers;</w:t>
      </w:r>
    </w:p>
    <w:p>
      <w:pPr>
        <w:spacing w:after="0" w:line="137" w:lineRule="exact"/>
        <w:rPr>
          <w:rFonts w:ascii="Arial" w:cs="Arial" w:eastAsia="Arial" w:hAnsi="Arial"/>
          <w:sz w:val="18"/>
          <w:szCs w:val="18"/>
          <w:color w:val="auto"/>
        </w:rPr>
      </w:pPr>
    </w:p>
    <w:p>
      <w:pPr>
        <w:ind w:left="640" w:hanging="316"/>
        <w:spacing w:after="0" w:line="26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increase in research and development expense (excluding an increase in equity-based compensation of $8.9 million) of $12.5 million, or 49%, to $37.8 million for the year ended December 31, 2020,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primarily to additional engineering and product management resources added to support continued innovation of our services;</w:t>
      </w:r>
    </w:p>
    <w:p>
      <w:pPr>
        <w:spacing w:after="0" w:line="164" w:lineRule="exact"/>
        <w:rPr>
          <w:sz w:val="20"/>
          <w:szCs w:val="20"/>
          <w:color w:val="auto"/>
        </w:rPr>
      </w:pPr>
    </w:p>
    <w:p>
      <w:pPr>
        <w:jc w:val="both"/>
        <w:ind w:left="640" w:hanging="316"/>
        <w:spacing w:after="0" w:line="318" w:lineRule="auto"/>
        <w:tabs>
          <w:tab w:leader="none" w:pos="635"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increase in general and administrative expense (excluding an increase in equity-based compensation of $12.8 million) of $14.8 million, or 49%, to $44.8 million for the year ended December 31, 2020, due primarily to additional headcount and related salaries and benefits expenses to support the larger organization and additional corporate expenses related to operating as a public company, which were partially offset by a decrease in integration-related expenses in the year ended December 31, 2019, which did not recur in the year ended December 31, 2020;</w:t>
      </w:r>
    </w:p>
    <w:p>
      <w:pPr>
        <w:spacing w:after="0" w:line="92" w:lineRule="exact"/>
        <w:rPr>
          <w:rFonts w:ascii="Arial" w:cs="Arial" w:eastAsia="Arial" w:hAnsi="Arial"/>
          <w:sz w:val="15"/>
          <w:szCs w:val="15"/>
          <w:color w:val="auto"/>
        </w:rPr>
      </w:pPr>
    </w:p>
    <w:p>
      <w:pPr>
        <w:ind w:left="640" w:hanging="316"/>
        <w:spacing w:after="0" w:line="365" w:lineRule="auto"/>
        <w:tabs>
          <w:tab w:leader="none" w:pos="635" w:val="left"/>
        </w:tabs>
        <w:numPr>
          <w:ilvl w:val="0"/>
          <w:numId w:val="29"/>
        </w:numPr>
        <w:rPr>
          <w:rFonts w:ascii="Arial" w:cs="Arial" w:eastAsia="Arial" w:hAnsi="Arial"/>
          <w:sz w:val="15"/>
          <w:szCs w:val="15"/>
          <w:color w:val="auto"/>
        </w:rPr>
      </w:pPr>
      <w:r>
        <w:rPr>
          <w:rFonts w:ascii="Arial" w:cs="Arial" w:eastAsia="Arial" w:hAnsi="Arial"/>
          <w:sz w:val="15"/>
          <w:szCs w:val="15"/>
          <w:color w:val="auto"/>
        </w:rPr>
        <w:t>an increase in amortization of acquired intangibles expense of $1.1 million, or 6%, to $18.7 million for the year ended December 31, 2020, due to amortization expense related to intangible assets acquired in the Zoom Information Acquisition during the full period for the current year; and</w:t>
      </w:r>
    </w:p>
    <w:p>
      <w:pPr>
        <w:spacing w:after="0" w:line="58" w:lineRule="exact"/>
        <w:rPr>
          <w:rFonts w:ascii="Arial" w:cs="Arial" w:eastAsia="Arial" w:hAnsi="Arial"/>
          <w:sz w:val="15"/>
          <w:szCs w:val="15"/>
          <w:color w:val="auto"/>
        </w:rPr>
      </w:pPr>
    </w:p>
    <w:p>
      <w:pPr>
        <w:ind w:left="640" w:hanging="316"/>
        <w:spacing w:after="0" w:line="26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restructuring and transaction-related expense of $1.8 million, or 12%, to $13.8 million for the year ended December 31, 2020, due to expenses incurred in completing the Zoom Information Acquisition.</w:t>
      </w:r>
    </w:p>
    <w:p>
      <w:pPr>
        <w:spacing w:after="0" w:line="12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 Interest expense, net was $69.3 million for the year ended December 31, 2020, a decrease of $33.2 million, or 32%, as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$102.4 million for the year ended December 31, 2019. The decrease was primarily due to interest savings resulting from the repayment of our second lien term loans in full and $100.0 million of first lien term loans, offset by nonrecurring interest expense recognized upon partial dedesignation of cash flow hedges resulting from reclassification from accumulated other comprehensive income (loss).</w:t>
      </w:r>
    </w:p>
    <w:p>
      <w:pPr>
        <w:spacing w:after="0" w:line="124" w:lineRule="exact"/>
        <w:rPr>
          <w:sz w:val="20"/>
          <w:szCs w:val="20"/>
          <w:color w:val="auto"/>
        </w:rPr>
      </w:pPr>
    </w:p>
    <w:p>
      <w:pPr>
        <w:ind w:firstLine="318"/>
        <w:spacing w:after="0" w:line="250" w:lineRule="auto"/>
        <w:rPr>
          <w:sz w:val="20"/>
          <w:szCs w:val="20"/>
          <w:color w:val="auto"/>
        </w:rPr>
      </w:pPr>
      <w:r>
        <w:rPr>
          <w:rFonts w:ascii="Arial" w:cs="Arial" w:eastAsia="Arial" w:hAnsi="Arial"/>
          <w:sz w:val="18"/>
          <w:szCs w:val="18"/>
          <w:i w:val="1"/>
          <w:iCs w:val="1"/>
          <w:color w:val="auto"/>
        </w:rPr>
        <w:t>Loss on debt modification and extinguishment</w:t>
      </w:r>
      <w:r>
        <w:rPr>
          <w:rFonts w:ascii="Arial" w:cs="Arial" w:eastAsia="Arial" w:hAnsi="Arial"/>
          <w:sz w:val="18"/>
          <w:szCs w:val="18"/>
          <w:color w:val="auto"/>
        </w:rPr>
        <w:t>. Loss on debt modification and extinguishment was $14.9 million for the year ended December 31, 2020,</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penalties and derecognition of deferred and unamortized debt issuance costs resulting from the repayment of the second lien term loans and $100.0 million first lien term loan principal repayment after the IPO. This represented a decrease of $3.2 million, or 18%, as compared to expense of $18.2 million the year ended December 31, 2019, related to cost incurred with respect to prior debt instruments that were repaid in conjunction with the Zoom Information Acquisition in February 2019.</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i w:val="1"/>
          <w:iCs w:val="1"/>
          <w:color w:val="auto"/>
        </w:rPr>
        <w:t xml:space="preserve">Other (income) expense, net. </w:t>
      </w:r>
      <w:r>
        <w:rPr>
          <w:rFonts w:ascii="Arial" w:cs="Arial" w:eastAsia="Arial" w:hAnsi="Arial"/>
          <w:sz w:val="15"/>
          <w:szCs w:val="15"/>
          <w:color w:val="auto"/>
        </w:rPr>
        <w:t>Other (income) expense, net was $(15.4) million for the year ended December 31, 2020, a decrease of $15.4 million, as</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$0.0 million for the year ended December 31, 2019, primarily due to the recognition of a TRA remeasurement gain of $15.7 million.</w:t>
      </w:r>
    </w:p>
    <w:p>
      <w:pPr>
        <w:spacing w:after="0" w:line="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Expense from income taxes for the year ended December 31, 2020 was $4.7 million, representing an effective tax rate of</w:t>
      </w:r>
      <w:r>
        <w:rPr>
          <w:rFonts w:ascii="Arial" w:cs="Arial" w:eastAsia="Arial" w:hAnsi="Arial"/>
          <w:sz w:val="18"/>
          <w:szCs w:val="18"/>
          <w:i w:val="1"/>
          <w:iCs w:val="1"/>
          <w:color w:val="auto"/>
        </w:rPr>
        <w:t xml:space="preserve"> </w:t>
      </w:r>
      <w:r>
        <w:rPr>
          <w:rFonts w:ascii="Arial" w:cs="Arial" w:eastAsia="Arial" w:hAnsi="Arial"/>
          <w:sz w:val="18"/>
          <w:szCs w:val="18"/>
          <w:color w:val="auto"/>
        </w:rPr>
        <w:t>(14.8)%, as compared to benefit from income taxes of $(6.5) million, representing an effective tax rate of 7.7% for the year ended December 31, 2019. The decrease in the effective tax rate was primarily due to a GAAP loss driven by non-deductible stock-based compensation expense resulting in positive tax expense despite the GAAP loss. Furthermore, the Reorganization Transactions resulted in a higher proportion of GAAP earnings being allocated to tax paying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2021, we had $308.3 million of cash and cash equivalents, $18.4 million of short-term investments,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35"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We are currently in compliance with the covenants under the credit agreements governing our secured credit facilities, and we expect to remain in compliance with our covenants.</w:t>
      </w:r>
    </w:p>
    <w:p>
      <w:pPr>
        <w:spacing w:after="0" w:line="118"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generally invoice our subscription customers annually, semi-annually, or quarterly in advance of our subscription services.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December 31, 2021, we had unearned revenue of $364.2 million, of which $361.5 million was recorded as a current liability and is expected to be recorded as revenue in the next 12 months, provided all other revenue recognition criteria have been met.</w:t>
      </w:r>
    </w:p>
    <w:p>
      <w:pPr>
        <w:spacing w:after="0" w:line="98"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After the consummation of the Reorganization Transactions, ZoomInfo Intermediate Inc. (formerly known as ZoomInfo Technologies Inc.) became a holding company with no material assets other than its ownership of HoldCo Units, and ZoomInfo HoldCo became a holding company with no material assets other than its ownership of ZoomInfo OpCo Units. During the quarter ended September 30, 2021, ZoomInfo HoldCo was merged with and into ZoomInfo Intermediate Inc. During the quarter ended December 31, 2021, ZoomInfo Intermediate Inc. became a wholly owned subsidiary of ZoomInfo Technologies Inc. ZoomInfo Technologies Inc. and ZoomInfo Intermediate Inc. have no independent means of generating revenue. In the event ZoomInfo Technologies Inc. declares any cash dividend, we expect that ZoomInfo Technologies Inc. to cause ZoomInfo MidCo LLC to make distributions to ZoomInfo Technologies Inc. in part through distributions to ZoomInfo Intermediate Inc. and ZoomInfo OpCo, in an amount sufficient to cover such cash dividends declared by us. Deterioration in the financial condition, earnings, or cash flow of ZoomInfo MidCo LLC and its subsidiaries for any reason could limit or impair their ability to pay such distributions. In addition, the terms of our financing arrangements contain covenants that may restrict ZoomInfo MidCo LLC and its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Risks Related to Our Organizational Structure” in Part I, Item 1A of this Annual Report on Form 10-K.</w:t>
      </w:r>
    </w:p>
    <w:p>
      <w:pPr>
        <w:spacing w:after="0" w:line="14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4"/>
          </w:tcPr>
          <w:p>
            <w:pPr>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
        </w:trPr>
        <w:tc>
          <w:tcPr>
            <w:tcW w:w="65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r>
      <w:tr>
        <w:trPr>
          <w:trHeight w:val="224"/>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84"/>
              </w:rPr>
              <w:t>169.6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25"/>
        </w:trPr>
        <w:tc>
          <w:tcPr>
            <w:tcW w:w="658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5"/>
              <w:spacing w:after="0"/>
              <w:rPr>
                <w:sz w:val="20"/>
                <w:szCs w:val="20"/>
                <w:color w:val="auto"/>
              </w:rPr>
            </w:pPr>
            <w:r>
              <w:rPr>
                <w:rFonts w:ascii="Arial" w:cs="Arial" w:eastAsia="Arial" w:hAnsi="Arial"/>
                <w:sz w:val="18"/>
                <w:szCs w:val="18"/>
                <w:color w:val="auto"/>
                <w:w w:val="91"/>
              </w:rPr>
              <w:t>(113.3)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(736.7)</w:t>
            </w:r>
          </w:p>
        </w:tc>
      </w:tr>
      <w:tr>
        <w:trPr>
          <w:trHeight w:val="225"/>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84"/>
              </w:rPr>
              <w:t>172.2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r>
      <w:tr>
        <w:trPr>
          <w:trHeight w:val="219"/>
        </w:trPr>
        <w:tc>
          <w:tcPr>
            <w:tcW w:w="65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19"/>
                <w:szCs w:val="19"/>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center"/>
              <w:ind w:left="475"/>
              <w:spacing w:after="0"/>
              <w:rPr>
                <w:sz w:val="20"/>
                <w:szCs w:val="20"/>
                <w:color w:val="auto"/>
              </w:rPr>
            </w:pPr>
            <w:r>
              <w:rPr>
                <w:rFonts w:ascii="Arial" w:cs="Arial" w:eastAsia="Arial" w:hAnsi="Arial"/>
                <w:sz w:val="18"/>
                <w:szCs w:val="18"/>
                <w:color w:val="auto"/>
                <w:w w:val="84"/>
              </w:rPr>
              <w:t>228.5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r>
      <w:tr>
        <w:trPr>
          <w:trHeight w:val="20"/>
        </w:trPr>
        <w:tc>
          <w:tcPr>
            <w:tcW w:w="6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Operating Activities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cash provided by operations was $299.4 million for the year ended December 31, 2021 as a result of net income of $94.9 million, adjusted by non-cash charges of $167.6 million and the change in our operating assets net of operating liabilities of $36.9 million. The non-cash charges are primarily comprised of equity-based compensation of $93.0 million, depreciation and amortization of $69.3 million, amortization of deferred commission costs of $41.7 million, partially offset by tax receivable agreement remeasurement of $39.5 million and deferred income taxes of $14.5 million. The change in operating assets net of operating liabilities was primarily the result of an increase in unearned revenue of $131.4 million and an increase in accrued expenses and other liabilities of $32.5 million, largely offset by an increase in accounts receivable of $66.1 million, and an increase in deferred costs and other assets of $53.4 million.</w:t>
      </w:r>
    </w:p>
    <w:p>
      <w:pPr>
        <w:spacing w:after="0" w:line="14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Net cash provided by operations was $169.6 million for the year ended December 31, 2020 as a result of a net loss of $36.4 million, adjusted by non-cash charges of $201.5 million and a change in our operating assets net of operating liabilities of $4.5 million. The non-cash charges are primarily comprised of depreciation and amortization of $50.8 million, equity-based compensation of $121.6 million, loss on early extinguishment of debt of $14.9 million, and amortization of deferred commissions cost of $25.1 million, partially offset by tax receivable agreement measurement of $15.7 million. The change in operating assets net of operating liabilities was primarily the result of an increase in unearned revenue of $60.1 million, and an increase in accrued expenses and other liabilities of $21.9 million, largely offset by an increase in deferred costs and other assets of $40.0 million and an increase in accounts receivable of $32.9 million.</w:t>
      </w:r>
    </w:p>
    <w:p>
      <w:pPr>
        <w:spacing w:after="0" w:line="14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Net cash provided by operations was $44.4 million for the year ended December 31, 2019 as a result of a net loss of $78.0 million, adjusted by non-cash charges of $93.8 million and a change in our operating assets net of operating liabilities of $28.6 million. The non-cash charges are primarily comprised of depreciation and amortization of $48.7 million, equity-based compensation of $25.1 million, and loss of early extinguishment of $9.4 million. The change in operating assets net of operating liabilities was primarily the result of an increase in unearned revenue of $71.9 million and an increase in accrued expenses and other liabilities of $18.2 million, partially offset by an increase in accounts receivable of $34.5 million and in deferred costs and other assets of $27.8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Restructuring and transaction-related cash costs for the year ended December 31, 2021 primarily related to 2021 acquisitions transaction costs and entity conversions tax payments, which are not expected to reoccur. However, we may continue to make future acquisitions as part of our business strategy which may require the use of capital resources and drive additional future restructuring and transaction-related cash expenditures as well as integration and acquisition-related compensation cash costs. During the years ended December 31, 2021, 2020, and 2019, we incurred the following cash expenditures: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34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1280" w:type="dxa"/>
            <w:vAlign w:val="bottom"/>
            <w:tcBorders>
              <w:bottom w:val="single" w:sz="8" w:color="auto"/>
            </w:tcBorders>
          </w:tcPr>
          <w:p>
            <w:pPr>
              <w:spacing w:after="0"/>
              <w:rPr>
                <w:sz w:val="16"/>
                <w:szCs w:val="16"/>
                <w:color w:val="auto"/>
              </w:rPr>
            </w:pPr>
          </w:p>
        </w:tc>
      </w:tr>
      <w:tr>
        <w:trPr>
          <w:trHeight w:val="184"/>
        </w:trPr>
        <w:tc>
          <w:tcPr>
            <w:tcW w:w="6340" w:type="dxa"/>
            <w:vAlign w:val="bottom"/>
          </w:tcPr>
          <w:p>
            <w:pPr>
              <w:spacing w:after="0"/>
              <w:rPr>
                <w:sz w:val="20"/>
                <w:szCs w:val="20"/>
                <w:color w:val="auto"/>
              </w:rPr>
            </w:pPr>
            <w:r>
              <w:rPr>
                <w:rFonts w:ascii="Arial" w:cs="Arial" w:eastAsia="Arial" w:hAnsi="Arial"/>
                <w:sz w:val="14"/>
                <w:szCs w:val="14"/>
                <w:b w:val="1"/>
                <w:bCs w:val="1"/>
                <w:i w:val="1"/>
                <w:iCs w:val="1"/>
                <w:color w:val="auto"/>
              </w:rPr>
              <w:t>(in millions)</w:t>
            </w:r>
          </w:p>
        </w:tc>
        <w:tc>
          <w:tcPr>
            <w:tcW w:w="1300" w:type="dxa"/>
            <w:vAlign w:val="bottom"/>
          </w:tcPr>
          <w:p>
            <w:pPr>
              <w:jc w:val="right"/>
              <w:ind w:right="309"/>
              <w:spacing w:after="0"/>
              <w:rPr>
                <w:sz w:val="20"/>
                <w:szCs w:val="20"/>
                <w:color w:val="auto"/>
              </w:rPr>
            </w:pPr>
            <w:r>
              <w:rPr>
                <w:rFonts w:ascii="Arial" w:cs="Arial" w:eastAsia="Arial" w:hAnsi="Arial"/>
                <w:sz w:val="14"/>
                <w:szCs w:val="14"/>
                <w:b w:val="1"/>
                <w:bCs w:val="1"/>
                <w:color w:val="auto"/>
              </w:rPr>
              <w:t>2021</w:t>
            </w:r>
          </w:p>
        </w:tc>
        <w:tc>
          <w:tcPr>
            <w:tcW w:w="2300" w:type="dxa"/>
            <w:vAlign w:val="bottom"/>
          </w:tcPr>
          <w:p>
            <w:pPr>
              <w:jc w:val="right"/>
              <w:ind w:right="949"/>
              <w:spacing w:after="0"/>
              <w:rPr>
                <w:sz w:val="20"/>
                <w:szCs w:val="20"/>
                <w:color w:val="auto"/>
              </w:rPr>
            </w:pPr>
            <w:r>
              <w:rPr>
                <w:rFonts w:ascii="Arial" w:cs="Arial" w:eastAsia="Arial" w:hAnsi="Arial"/>
                <w:sz w:val="14"/>
                <w:szCs w:val="14"/>
                <w:b w:val="1"/>
                <w:bCs w:val="1"/>
                <w:color w:val="auto"/>
              </w:rPr>
              <w:t>2020</w:t>
            </w:r>
          </w:p>
        </w:tc>
        <w:tc>
          <w:tcPr>
            <w:tcW w:w="1280" w:type="dxa"/>
            <w:vAlign w:val="bottom"/>
          </w:tcPr>
          <w:p>
            <w:pPr>
              <w:jc w:val="right"/>
              <w:ind w:right="569"/>
              <w:spacing w:after="0"/>
              <w:rPr>
                <w:sz w:val="20"/>
                <w:szCs w:val="20"/>
                <w:color w:val="auto"/>
              </w:rPr>
            </w:pPr>
            <w:r>
              <w:rPr>
                <w:rFonts w:ascii="Arial" w:cs="Arial" w:eastAsia="Arial" w:hAnsi="Arial"/>
                <w:sz w:val="14"/>
                <w:szCs w:val="14"/>
                <w:b w:val="1"/>
                <w:bCs w:val="1"/>
                <w:color w:val="auto"/>
              </w:rPr>
              <w:t>2019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66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Restructuring and transaction-related expenses paid in cash</w:t>
            </w:r>
            <w:r>
              <w:rPr>
                <w:rFonts w:ascii="Arial" w:cs="Arial" w:eastAsia="Arial" w:hAnsi="Arial"/>
                <w:sz w:val="22"/>
                <w:szCs w:val="22"/>
                <w:color w:val="auto"/>
                <w:vertAlign w:val="superscript"/>
              </w:rPr>
              <w:t>(a)</w:t>
            </w:r>
          </w:p>
        </w:tc>
        <w:tc>
          <w:tcPr>
            <w:tcW w:w="660" w:type="dxa"/>
            <w:vAlign w:val="bottom"/>
          </w:tcPr>
          <w:p>
            <w:pPr>
              <w:jc w:val="right"/>
              <w:ind w:right="45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640" w:type="dxa"/>
            <w:vAlign w:val="bottom"/>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Integration costs and acquisition-related compensation paid in cash</w:t>
            </w:r>
            <w:r>
              <w:rPr>
                <w:rFonts w:ascii="Arial" w:cs="Arial" w:eastAsia="Arial" w:hAnsi="Arial"/>
                <w:sz w:val="22"/>
                <w:szCs w:val="22"/>
                <w:color w:val="auto"/>
                <w:vertAlign w:val="superscript"/>
              </w:rPr>
              <w:t>(b)</w:t>
            </w:r>
          </w:p>
        </w:tc>
        <w:tc>
          <w:tcPr>
            <w:tcW w:w="66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152"/>
        </w:trPr>
        <w:tc>
          <w:tcPr>
            <w:tcW w:w="6360" w:type="dxa"/>
            <w:vAlign w:val="bottom"/>
          </w:tcPr>
          <w:p>
            <w:pPr>
              <w:spacing w:after="0" w:line="153" w:lineRule="exact"/>
              <w:rPr>
                <w:sz w:val="20"/>
                <w:szCs w:val="20"/>
                <w:color w:val="auto"/>
              </w:rPr>
            </w:pPr>
            <w:r>
              <w:rPr>
                <w:rFonts w:ascii="Arial" w:cs="Arial" w:eastAsia="Arial" w:hAnsi="Arial"/>
                <w:sz w:val="14"/>
                <w:szCs w:val="14"/>
                <w:color w:val="auto"/>
              </w:rPr>
              <w:t>__________________</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r>
    </w:tbl>
    <w:p>
      <w:pPr>
        <w:jc w:val="both"/>
        <w:ind w:left="320" w:hanging="314"/>
        <w:spacing w:after="0" w:line="237" w:lineRule="auto"/>
        <w:tabs>
          <w:tab w:leader="none" w:pos="318"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cash payments directly associated with acquisition or disposal activities, including employee severance and termination benefits, contract termination fees and penalties, and other exit or disposal costs. For the year ended December 31, 2021, these payments related primarily to transaction costs related to 2021 acquisitions and tax payments related to entity conversions. For the year ended December 31, 2020, these payments related primarily to the IPO, including professional fees, severance and acceleration of payments for terminated employees, and deferred consideration. For the year ended December 31, 2019, these payments related primarily to the acquisition of Pre-Acquisition ZI, including professional fees, severance and acceleration of payments for terminated employees, and deferred consideration.</w:t>
      </w:r>
    </w:p>
    <w:p>
      <w:pPr>
        <w:jc w:val="both"/>
        <w:ind w:left="320" w:hanging="314"/>
        <w:spacing w:after="0" w:line="286" w:lineRule="auto"/>
        <w:tabs>
          <w:tab w:leader="none" w:pos="312"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cash payments directly associated with integration activities for acquisitions and acquisition-related compensation, which includes transaction bonuses and retention awards. For the year ended December 31, 2021, these payments related primarily to retention awards from the acquisitions of Clickagy and Everstring, cash vesting payments from the acquisition of Pre-Acquisition ZI, as well as professional fees related to 2021 acquisitions. For the year ended December 31, 2020, these payments related primarily to cash vesting payments from the acquisition of Pre-Acquisition ZI. For the year ended December 31, 2019, these payments related primarily to activities resulting from the acquisition of Pre-Acquisition ZI, including consulting and professional services costs, cash vesting payments (Refer to Note 4 - Business Combinations – Business Combinations to our audited consolidated financial statements included in Part II, Item 8 of this Form 10-K), and transaction bonuses and other compensation, as well as payments of retention awards granted upon the Company’s acquisitions of RainKing and NeverBounce.</w:t>
      </w:r>
    </w:p>
    <w:p>
      <w:pPr>
        <w:spacing w:after="0" w:line="12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Investing Activities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used in investing activities for the year ended December 31, 2021 was $695.8 million, consisting of cash paid for acquisitions of $684.2 million, purchases of short-term investments of $119.8 million, and purchases of property and equipment and other assets of $23.6 million, partially offset by proceeds from sales of short-term investments of $70.5 million, and maturities of short-term investments of $61.3 million.</w:t>
      </w:r>
    </w:p>
    <w:p>
      <w:pPr>
        <w:spacing w:after="0" w:line="118"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Cash used in investing activities for the year ended December 31, 2020 was $113.3 million, consisting of cash paid for acquisitions of $65.9 million, purchases of short-term investments of $30.6 million, and purchases of property and equipment and other assets of $16.8 million.</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Cash used in investing activities for the year ended December 31, 2019 was $736.7 million, primarily as a result of cash payments for the acquisition of $723.1 million and purchases of property and equipment and other assets of $13.6 million.</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we continue to grow and invest in our business, we expect to continue to invest in property and equipment and opportunistically pursue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(used in) Financing Activities</w:t>
      </w:r>
    </w:p>
    <w:p>
      <w:pPr>
        <w:spacing w:after="0" w:line="16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Cash provided by financing activities for the year ended December 31, 2021 was $439.5 million, primarily comprised of proceeds from debt of $1,071.8 million, partially offset by payments on long-term debt of $581.4 million, tax distributions to equity partners of $19.9 million, payments of debt issuance and modification costs of $11.6 million, and taxes paid related to net share settlement of equity awards of $10.4 million.</w:t>
      </w:r>
    </w:p>
    <w:p>
      <w:pPr>
        <w:spacing w:after="0" w:line="11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Cash provided by financing activities for the year ended December 31, 2020 was $172.2 million, primarily consisting of the IPO proceeds, net of the underwriters discount, of $1,023.7 million, proceeds from debt of $35.0 million, partially offset by the redemption of Series A Preferred Units of $274.2 million, repayment of debt of $510.9 million, purchase of OpCo Units from Pre-IPO OpCo Unitholders for $47.2 million, payments of deferred consideration of $24.7 million, payment of IPO issuance costs of $7.2 million, and tax distributions to equity partners of $9.9 million.</w:t>
      </w:r>
    </w:p>
    <w:p>
      <w:pPr>
        <w:spacing w:after="0" w:line="12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Cash provided by financing activities for the year ended December 31, 2019 was $725.8 million, primarily as a result of issuance of new debt of $1,220.8 million and the Series A Preferred Unit issuance of $200.2 million, partially offset by payments on long-term debt of $649.8 million, payment of debt issuance costs of $16.7 million, and tax distributions to equity partners of $16.5 million.</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Note 8 - Financing Arrangements to our audited consolidated financial statements included in Part II, Item 8 of this Form 10-K for additional information related to each of our borrowings.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of December 31, 2021, the aggregate remaining balance of $600.0 million of first lien term loans is due, in its entirety, at the contractual maturity date of February 1, 2026. As of December 31, 2021, the aggregate remaining balance of $650.0 million of 3.875% Senior Notes is due, in its entirety, at the contractual maturity date of February 1, 2029. Interest on the Senior Notes is payable semi-annually in arrears beginning on August 1, 2021. The foregoing represent the only existing required future debt principal repayment obligations that will require future uses of the Company’s cash.</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The first lien term debt has a variable interest rate whereby the Company can elect to use a Base Rate or the London Interbank Offer Rate (“LIBOR”) plus an applicable rate. The applicable rate is 2.00% for Base Rate loans or 3.00% for LIBOR Based Loans, depending on the Company’s leverage. 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 The effective interest rate on the first lien debt was 3.41% and 4.30% as of December 31, 2021 and December 31, 2020, respectively.</w:t>
      </w:r>
    </w:p>
    <w:p>
      <w:pPr>
        <w:spacing w:after="0" w:line="9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total net leverage ratio to Adjusted EBITDA is defined as total contractual maturity of outstanding indebtedness less cash and cash equivalents, restricted cash, and short-term investments, divided by trailing twelve months Adjusted EBITDA. Adjusted EBITDA for the 12 months ended December 31, 2021 was $318.2 million. Our total net leverage ratio to Adjusted EBITDA as of December 31, 2021 was 2.9x.</w:t>
      </w:r>
    </w:p>
    <w:p>
      <w:pPr>
        <w:spacing w:after="0" w:line="13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consolidated first lien net leverage ratio is defined in our First Lien Credit Agreement as total contractual maturity of outstanding First Lien indebtedness less cash and cash equivalents and short-term investments,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12 months ended December 31, 2021 was $444.6 million. Our consolidated first lien net leverage ratio as of December 31, 2021 was 0.6x.</w:t>
      </w:r>
    </w:p>
    <w:p>
      <w:pPr>
        <w:spacing w:after="0" w:line="141"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Our total net leverage ratio to Cash EBITDA (defined as Consolidated EBITDA in our Credit Agreements) is defined as total contractual maturity of outstanding indebtedness less cash and cash equivalents, restricted cash, and short-term investments, divided by trailing twelve months Cash EBITDA. Cash EBITDA for the 12 months ended December 31, 2021 was $444.6 million. Our total net leverage ratio to Cash EBITDA as of December 31, 2021 was 2.1x.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tcPr>
          <w:p>
            <w:pPr>
              <w:jc w:val="right"/>
              <w:ind w:right="453"/>
              <w:spacing w:after="0"/>
              <w:rPr>
                <w:sz w:val="20"/>
                <w:szCs w:val="20"/>
                <w:color w:val="auto"/>
              </w:rPr>
            </w:pPr>
            <w:r>
              <w:rPr>
                <w:rFonts w:ascii="Arial" w:cs="Arial" w:eastAsia="Arial" w:hAnsi="Arial"/>
                <w:sz w:val="14"/>
                <w:szCs w:val="14"/>
                <w:b w:val="1"/>
                <w:bCs w:val="1"/>
                <w:color w:val="auto"/>
              </w:rPr>
              <w:t>Trailing Twelve Months as of</w:t>
            </w:r>
          </w:p>
        </w:tc>
      </w:tr>
      <w:tr>
        <w:trPr>
          <w:trHeight w:val="191"/>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jc w:val="right"/>
              <w:ind w:right="753"/>
              <w:spacing w:after="0"/>
              <w:rPr>
                <w:sz w:val="20"/>
                <w:szCs w:val="20"/>
                <w:color w:val="auto"/>
              </w:rPr>
            </w:pPr>
            <w:r>
              <w:rPr>
                <w:rFonts w:ascii="Arial" w:cs="Arial" w:eastAsia="Arial" w:hAnsi="Arial"/>
                <w:sz w:val="14"/>
                <w:szCs w:val="14"/>
                <w:b w:val="1"/>
                <w:bCs w:val="1"/>
                <w:color w:val="auto"/>
              </w:rPr>
              <w:t>December 31, 2021</w:t>
            </w:r>
          </w:p>
        </w:tc>
      </w:tr>
      <w:tr>
        <w:trPr>
          <w:trHeight w:val="224"/>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(less): Expense (benefit) from income taxes</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Interest expense, net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Loss on debt modification and extinguishment</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Depreciation</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Amortization of acquired technology</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Amortization of other acquired intangibles</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EBITDA</w:t>
            </w:r>
          </w:p>
        </w:tc>
        <w:tc>
          <w:tcPr>
            <w:tcW w:w="3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222.0</w:t>
            </w:r>
          </w:p>
        </w:tc>
      </w:tr>
      <w:tr>
        <w:trPr>
          <w:trHeight w:val="226"/>
        </w:trPr>
        <w:tc>
          <w:tcPr>
            <w:tcW w:w="8400" w:type="dxa"/>
            <w:vAlign w:val="bottom"/>
            <w:shd w:val="clear" w:color="auto" w:fill="CCEEFF"/>
          </w:tcPr>
          <w:p>
            <w:pPr>
              <w:ind w:left="120"/>
              <w:spacing w:after="0" w:line="226" w:lineRule="exact"/>
              <w:rPr>
                <w:sz w:val="20"/>
                <w:szCs w:val="20"/>
                <w:color w:val="auto"/>
              </w:rPr>
            </w:pPr>
            <w:r>
              <w:rPr>
                <w:rFonts w:ascii="Arial" w:cs="Arial" w:eastAsia="Arial" w:hAnsi="Arial"/>
                <w:sz w:val="18"/>
                <w:szCs w:val="18"/>
                <w:color w:val="auto"/>
              </w:rPr>
              <w:t xml:space="preserve">Add (less): Other expense (income), net </w:t>
            </w:r>
            <w:r>
              <w:rPr>
                <w:rFonts w:ascii="Arial" w:cs="Arial" w:eastAsia="Arial" w:hAnsi="Arial"/>
                <w:sz w:val="22"/>
                <w:szCs w:val="22"/>
                <w:color w:val="auto"/>
                <w:vertAlign w:val="superscript"/>
              </w:rPr>
              <w:t>(a)</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r>
      <w:tr>
        <w:trPr>
          <w:trHeight w:val="225"/>
        </w:trPr>
        <w:tc>
          <w:tcPr>
            <w:tcW w:w="8400" w:type="dxa"/>
            <w:vAlign w:val="bottom"/>
          </w:tcPr>
          <w:p>
            <w:pPr>
              <w:ind w:left="120"/>
              <w:spacing w:after="0" w:line="225" w:lineRule="exact"/>
              <w:rPr>
                <w:sz w:val="20"/>
                <w:szCs w:val="20"/>
                <w:color w:val="auto"/>
              </w:rPr>
            </w:pPr>
            <w:r>
              <w:rPr>
                <w:rFonts w:ascii="Arial" w:cs="Arial" w:eastAsia="Arial" w:hAnsi="Arial"/>
                <w:sz w:val="18"/>
                <w:szCs w:val="18"/>
                <w:color w:val="auto"/>
              </w:rPr>
              <w:t>Add: Impact of fair value adjustments to acquired unearned revenue</w:t>
            </w:r>
            <w:r>
              <w:rPr>
                <w:rFonts w:ascii="Arial" w:cs="Arial" w:eastAsia="Arial" w:hAnsi="Arial"/>
                <w:sz w:val="22"/>
                <w:szCs w:val="22"/>
                <w:color w:val="auto"/>
                <w:vertAlign w:val="superscript"/>
              </w:rPr>
              <w:t>(b)</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Equity-based compensation expense</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25"/>
        </w:trPr>
        <w:tc>
          <w:tcPr>
            <w:tcW w:w="8400" w:type="dxa"/>
            <w:vAlign w:val="bottom"/>
          </w:tcPr>
          <w:p>
            <w:pPr>
              <w:ind w:left="120"/>
              <w:spacing w:after="0" w:line="225" w:lineRule="exact"/>
              <w:rPr>
                <w:sz w:val="20"/>
                <w:szCs w:val="20"/>
                <w:color w:val="auto"/>
              </w:rPr>
            </w:pPr>
            <w:r>
              <w:rPr>
                <w:rFonts w:ascii="Arial" w:cs="Arial" w:eastAsia="Arial" w:hAnsi="Arial"/>
                <w:sz w:val="18"/>
                <w:szCs w:val="18"/>
                <w:color w:val="auto"/>
              </w:rPr>
              <w:t>Add: Restructuring and transaction related expenses (excluding depreciation)</w:t>
            </w:r>
            <w:r>
              <w:rPr>
                <w:rFonts w:ascii="Arial" w:cs="Arial" w:eastAsia="Arial" w:hAnsi="Arial"/>
                <w:sz w:val="22"/>
                <w:szCs w:val="22"/>
                <w:color w:val="auto"/>
                <w:vertAlign w:val="superscript"/>
              </w:rPr>
              <w:t>(c)</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25"/>
        </w:trPr>
        <w:tc>
          <w:tcPr>
            <w:tcW w:w="8400" w:type="dxa"/>
            <w:vAlign w:val="bottom"/>
            <w:shd w:val="clear" w:color="auto" w:fill="CCEEFF"/>
          </w:tcPr>
          <w:p>
            <w:pPr>
              <w:ind w:left="120"/>
              <w:spacing w:after="0" w:line="225" w:lineRule="exact"/>
              <w:rPr>
                <w:sz w:val="20"/>
                <w:szCs w:val="20"/>
                <w:color w:val="auto"/>
              </w:rPr>
            </w:pPr>
            <w:r>
              <w:rPr>
                <w:rFonts w:ascii="Arial" w:cs="Arial" w:eastAsia="Arial" w:hAnsi="Arial"/>
                <w:sz w:val="18"/>
                <w:szCs w:val="18"/>
                <w:color w:val="auto"/>
              </w:rPr>
              <w:t>Add: Integration costs and acquisition-related expenses</w:t>
            </w:r>
            <w:r>
              <w:rPr>
                <w:rFonts w:ascii="Arial" w:cs="Arial" w:eastAsia="Arial" w:hAnsi="Arial"/>
                <w:sz w:val="22"/>
                <w:szCs w:val="22"/>
                <w:color w:val="auto"/>
                <w:vertAlign w:val="superscript"/>
              </w:rPr>
              <w:t>(d)</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18"/>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40" w:type="dxa"/>
            <w:vAlign w:val="bottom"/>
          </w:tcPr>
          <w:p>
            <w:pPr>
              <w:spacing w:after="0"/>
              <w:rPr>
                <w:sz w:val="18"/>
                <w:szCs w:val="18"/>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318.2</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Unearned revenue adjustment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Pro forma cost savings</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6"/>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Cash rent adjustment</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8400" w:type="dxa"/>
            <w:vAlign w:val="bottom"/>
          </w:tcPr>
          <w:p>
            <w:pPr>
              <w:ind w:left="120"/>
              <w:spacing w:after="0"/>
              <w:rPr>
                <w:sz w:val="20"/>
                <w:szCs w:val="20"/>
                <w:color w:val="auto"/>
              </w:rPr>
            </w:pPr>
            <w:r>
              <w:rPr>
                <w:rFonts w:ascii="Arial" w:cs="Arial" w:eastAsia="Arial" w:hAnsi="Arial"/>
                <w:sz w:val="18"/>
                <w:szCs w:val="18"/>
                <w:color w:val="auto"/>
              </w:rPr>
              <w:t>Add (less): Pre-Acquisition EBITDA</w:t>
            </w:r>
          </w:p>
        </w:tc>
        <w:tc>
          <w:tcPr>
            <w:tcW w:w="3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5"/>
        </w:trPr>
        <w:tc>
          <w:tcPr>
            <w:tcW w:w="8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(less): Other lender adjustments</w:t>
            </w:r>
          </w:p>
        </w:tc>
        <w:tc>
          <w:tcPr>
            <w:tcW w:w="340" w:type="dxa"/>
            <w:vAlign w:val="bottom"/>
            <w:tcBorders>
              <w:bottom w:val="single" w:sz="8" w:color="auto"/>
            </w:tcBorders>
            <w:shd w:val="clear" w:color="auto" w:fill="CCEEFF"/>
          </w:tcPr>
          <w:p>
            <w:pPr>
              <w:spacing w:after="0"/>
              <w:rPr>
                <w:sz w:val="19"/>
                <w:szCs w:val="19"/>
                <w:color w:val="auto"/>
              </w:rPr>
            </w:pP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19"/>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Cash EBITDA</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444.6</w:t>
            </w:r>
          </w:p>
        </w:tc>
      </w:tr>
      <w:tr>
        <w:trPr>
          <w:trHeight w:val="20"/>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8" w:lineRule="exact"/>
        <w:rPr>
          <w:sz w:val="20"/>
          <w:szCs w:val="20"/>
          <w:color w:val="auto"/>
        </w:rPr>
      </w:pPr>
    </w:p>
    <w:p>
      <w:pPr>
        <w:ind w:left="320" w:hanging="314"/>
        <w:spacing w:after="0"/>
        <w:tabs>
          <w:tab w:leader="none" w:pos="3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Primarily represents revaluations on tax receivable agreement liability and foreign exchange remeasurement gains and losses.</w:t>
      </w:r>
    </w:p>
    <w:p>
      <w:pPr>
        <w:jc w:val="both"/>
        <w:ind w:left="320" w:hanging="314"/>
        <w:spacing w:after="0" w:line="237" w:lineRule="auto"/>
        <w:tabs>
          <w:tab w:leader="none" w:pos="312"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jc w:val="both"/>
        <w:ind w:left="320" w:hanging="314"/>
        <w:spacing w:after="0" w:line="237" w:lineRule="auto"/>
        <w:tabs>
          <w:tab w:leader="none" w:pos="318"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costs directly associated with acquisition or disposal activities, including employee severance and termination benefits, contract termination fees and penalties, and other exit or disposal costs. For the year ended December 31, 2021, this expense related primarily to costs incurred related to 2021 acquisitions and impairment charges related to the Company’s Waltham office relocation.</w:t>
      </w:r>
    </w:p>
    <w:p>
      <w:pPr>
        <w:jc w:val="both"/>
        <w:ind w:left="320" w:hanging="314"/>
        <w:spacing w:after="0"/>
        <w:tabs>
          <w:tab w:leader="none" w:pos="312"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costs directly associated with integration activities for acquisitions and acquisition-related compensation, which includes transaction bonuses and retention awards. For the year ended December 31, 2021, this expense related primarily to retention awards from the acquisitions of Clickagy and Everstring, cash vesting payments from the acquisition of Pre-Acquisition ZI, and professional fees incurred to integrate acquired businesses. This expense is included in cost of service, sales and marketing expense, research and development expense, and general and administrative expense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340"/>
        <w:spacing w:after="0"/>
        <w:rPr>
          <w:sz w:val="20"/>
          <w:szCs w:val="20"/>
          <w:color w:val="auto"/>
        </w:rPr>
      </w:pPr>
      <w:r>
        <w:rPr>
          <w:rFonts w:ascii="Arial" w:cs="Arial" w:eastAsia="Arial" w:hAnsi="Arial"/>
          <w:sz w:val="14"/>
          <w:szCs w:val="14"/>
          <w:b w:val="1"/>
          <w:bCs w:val="1"/>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19050</wp:posOffset>
            </wp:positionV>
            <wp:extent cx="4905375" cy="1263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05375" cy="12636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Cost of service</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Sales and marketing</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-98425</wp:posOffset>
            </wp:positionV>
            <wp:extent cx="4905375" cy="1174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05375" cy="117475"/>
                    </a:xfrm>
                    <a:prstGeom prst="rect">
                      <a:avLst/>
                    </a:prstGeom>
                    <a:noFill/>
                  </pic:spPr>
                </pic:pic>
              </a:graphicData>
            </a:graphic>
          </wp:anchor>
        </w:drawing>
      </w:r>
    </w:p>
    <w:p>
      <w:pPr>
        <w:spacing w:after="0" w:line="5" w:lineRule="exact"/>
        <w:rPr>
          <w:sz w:val="20"/>
          <w:szCs w:val="20"/>
          <w:color w:val="auto"/>
        </w:rPr>
      </w:pPr>
    </w:p>
    <w:p>
      <w:pPr>
        <w:ind w:left="340"/>
        <w:spacing w:after="0"/>
        <w:rPr>
          <w:sz w:val="20"/>
          <w:szCs w:val="20"/>
          <w:color w:val="auto"/>
        </w:rPr>
      </w:pPr>
      <w:r>
        <w:rPr>
          <w:rFonts w:ascii="Arial" w:cs="Arial" w:eastAsia="Arial" w:hAnsi="Arial"/>
          <w:sz w:val="14"/>
          <w:szCs w:val="14"/>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19050</wp:posOffset>
            </wp:positionV>
            <wp:extent cx="4905375" cy="142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05375" cy="142875"/>
                    </a:xfrm>
                    <a:prstGeom prst="rect">
                      <a:avLst/>
                    </a:prstGeom>
                    <a:noFill/>
                  </pic:spPr>
                </pic:pic>
              </a:graphicData>
            </a:graphic>
          </wp:anchor>
        </w:drawing>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2"/>
          <w:szCs w:val="12"/>
          <w:color w:val="auto"/>
        </w:rPr>
        <w:t>Total integration costs and acquisition-related compensation</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center"/>
        <w:ind w:right="3216"/>
        <w:spacing w:after="0"/>
        <w:rPr>
          <w:sz w:val="20"/>
          <w:szCs w:val="20"/>
          <w:color w:val="auto"/>
        </w:rPr>
      </w:pPr>
      <w:r>
        <w:rPr>
          <w:rFonts w:ascii="Arial" w:cs="Arial" w:eastAsia="Arial" w:hAnsi="Arial"/>
          <w:sz w:val="13"/>
          <w:szCs w:val="13"/>
          <w:b w:val="1"/>
          <w:bCs w:val="1"/>
          <w:color w:val="auto"/>
        </w:rPr>
        <w:t>Year Ended December</w:t>
      </w:r>
    </w:p>
    <w:p>
      <w:pPr>
        <w:spacing w:after="0" w:line="26" w:lineRule="exact"/>
        <w:rPr>
          <w:sz w:val="20"/>
          <w:szCs w:val="20"/>
          <w:color w:val="auto"/>
        </w:rPr>
      </w:pPr>
    </w:p>
    <w:p>
      <w:pPr>
        <w:jc w:val="center"/>
        <w:ind w:right="3216"/>
        <w:spacing w:after="0"/>
        <w:rPr>
          <w:sz w:val="20"/>
          <w:szCs w:val="20"/>
          <w:color w:val="auto"/>
        </w:rPr>
      </w:pPr>
      <w:r>
        <w:rPr>
          <w:rFonts w:ascii="Arial" w:cs="Arial" w:eastAsia="Arial" w:hAnsi="Arial"/>
          <w:sz w:val="14"/>
          <w:szCs w:val="14"/>
          <w:b w:val="1"/>
          <w:bCs w:val="1"/>
          <w:color w:val="auto"/>
        </w:rPr>
        <w:t>31,</w:t>
      </w:r>
    </w:p>
    <w:p>
      <w:pPr>
        <w:spacing w:after="0" w:line="35" w:lineRule="exact"/>
        <w:rPr>
          <w:sz w:val="20"/>
          <w:szCs w:val="20"/>
          <w:color w:val="auto"/>
        </w:rPr>
      </w:pPr>
    </w:p>
    <w:p>
      <w:pPr>
        <w:ind w:left="624"/>
        <w:spacing w:after="0"/>
        <w:rPr>
          <w:sz w:val="20"/>
          <w:szCs w:val="20"/>
          <w:color w:val="auto"/>
        </w:rPr>
      </w:pPr>
      <w:r>
        <w:rPr>
          <w:rFonts w:ascii="Arial" w:cs="Arial" w:eastAsia="Arial" w:hAnsi="Arial"/>
          <w:sz w:val="14"/>
          <w:szCs w:val="14"/>
          <w:b w:val="1"/>
          <w:bCs w:val="1"/>
          <w:color w:val="auto"/>
        </w:rPr>
        <w:t>2021</w:t>
      </w:r>
    </w:p>
    <w:p>
      <w:pPr>
        <w:spacing w:after="0" w:line="55" w:lineRule="exact"/>
        <w:rPr>
          <w:sz w:val="20"/>
          <w:szCs w:val="20"/>
          <w:color w:val="auto"/>
        </w:rPr>
      </w:pPr>
    </w:p>
    <w:p>
      <w:pPr>
        <w:ind w:left="1304" w:hanging="1304"/>
        <w:spacing w:after="0"/>
        <w:tabs>
          <w:tab w:leader="none" w:pos="1304" w:val="left"/>
        </w:tabs>
        <w:numPr>
          <w:ilvl w:val="0"/>
          <w:numId w:val="32"/>
        </w:numPr>
        <w:rPr>
          <w:rFonts w:ascii="Arial" w:cs="Arial" w:eastAsia="Arial" w:hAnsi="Arial"/>
          <w:sz w:val="11"/>
          <w:szCs w:val="11"/>
          <w:color w:val="auto"/>
        </w:rPr>
      </w:pPr>
      <w:r>
        <w:rPr>
          <w:rFonts w:ascii="Arial" w:cs="Arial" w:eastAsia="Arial" w:hAnsi="Arial"/>
          <w:sz w:val="11"/>
          <w:szCs w:val="11"/>
          <w:color w:val="auto"/>
        </w:rPr>
        <w:t>2.1</w:t>
      </w:r>
    </w:p>
    <w:p>
      <w:pPr>
        <w:spacing w:after="0" w:line="59" w:lineRule="exact"/>
        <w:rPr>
          <w:rFonts w:ascii="Arial" w:cs="Arial" w:eastAsia="Arial" w:hAnsi="Arial"/>
          <w:sz w:val="11"/>
          <w:szCs w:val="11"/>
          <w:color w:val="auto"/>
        </w:rPr>
      </w:pPr>
    </w:p>
    <w:p>
      <w:pPr>
        <w:ind w:left="1304"/>
        <w:spacing w:after="0"/>
        <w:rPr>
          <w:rFonts w:ascii="Arial" w:cs="Arial" w:eastAsia="Arial" w:hAnsi="Arial"/>
          <w:sz w:val="11"/>
          <w:szCs w:val="11"/>
          <w:color w:val="auto"/>
        </w:rPr>
      </w:pPr>
      <w:r>
        <w:rPr>
          <w:rFonts w:ascii="Arial" w:cs="Arial" w:eastAsia="Arial" w:hAnsi="Arial"/>
          <w:sz w:val="11"/>
          <w:szCs w:val="11"/>
          <w:color w:val="auto"/>
        </w:rPr>
        <w:t>6.1</w:t>
      </w:r>
    </w:p>
    <w:p>
      <w:pPr>
        <w:spacing w:after="0" w:line="59" w:lineRule="exact"/>
        <w:rPr>
          <w:rFonts w:ascii="Arial" w:cs="Arial" w:eastAsia="Arial" w:hAnsi="Arial"/>
          <w:sz w:val="11"/>
          <w:szCs w:val="11"/>
          <w:color w:val="auto"/>
        </w:rPr>
      </w:pPr>
    </w:p>
    <w:p>
      <w:pPr>
        <w:ind w:left="1304"/>
        <w:spacing w:after="0"/>
        <w:rPr>
          <w:rFonts w:ascii="Arial" w:cs="Arial" w:eastAsia="Arial" w:hAnsi="Arial"/>
          <w:sz w:val="11"/>
          <w:szCs w:val="11"/>
          <w:color w:val="auto"/>
        </w:rPr>
      </w:pPr>
      <w:r>
        <w:rPr>
          <w:rFonts w:ascii="Arial" w:cs="Arial" w:eastAsia="Arial" w:hAnsi="Arial"/>
          <w:sz w:val="11"/>
          <w:szCs w:val="11"/>
          <w:color w:val="auto"/>
        </w:rPr>
        <w:t>5.8</w:t>
      </w:r>
    </w:p>
    <w:p>
      <w:pPr>
        <w:spacing w:after="0" w:line="59" w:lineRule="exact"/>
        <w:rPr>
          <w:rFonts w:ascii="Arial" w:cs="Arial" w:eastAsia="Arial" w:hAnsi="Arial"/>
          <w:sz w:val="11"/>
          <w:szCs w:val="11"/>
          <w:color w:val="auto"/>
        </w:rPr>
      </w:pPr>
    </w:p>
    <w:p>
      <w:pPr>
        <w:ind w:left="1304"/>
        <w:spacing w:after="0"/>
        <w:rPr>
          <w:rFonts w:ascii="Arial" w:cs="Arial" w:eastAsia="Arial" w:hAnsi="Arial"/>
          <w:sz w:val="11"/>
          <w:szCs w:val="11"/>
          <w:color w:val="auto"/>
        </w:rPr>
      </w:pPr>
      <w:r>
        <w:rPr>
          <w:rFonts w:ascii="Arial" w:cs="Arial" w:eastAsia="Arial" w:hAnsi="Arial"/>
          <w:sz w:val="11"/>
          <w:szCs w:val="11"/>
          <w:color w:val="auto"/>
        </w:rPr>
        <w:t>2.4</w:t>
      </w:r>
    </w:p>
    <w:p>
      <w:pPr>
        <w:spacing w:after="0" w:line="72" w:lineRule="exact"/>
        <w:rPr>
          <w:sz w:val="20"/>
          <w:szCs w:val="20"/>
          <w:color w:val="auto"/>
        </w:rPr>
      </w:pPr>
    </w:p>
    <w:p>
      <w:pPr>
        <w:ind w:left="1224" w:hanging="1224"/>
        <w:spacing w:after="0"/>
        <w:tabs>
          <w:tab w:leader="none" w:pos="1224" w:val="left"/>
        </w:tabs>
        <w:numPr>
          <w:ilvl w:val="0"/>
          <w:numId w:val="33"/>
        </w:numPr>
        <w:rPr>
          <w:rFonts w:ascii="Arial" w:cs="Arial" w:eastAsia="Arial" w:hAnsi="Arial"/>
          <w:sz w:val="12"/>
          <w:szCs w:val="12"/>
          <w:color w:val="auto"/>
        </w:rPr>
      </w:pPr>
      <w:r>
        <w:rPr>
          <w:rFonts w:ascii="Arial" w:cs="Arial" w:eastAsia="Arial" w:hAnsi="Arial"/>
          <w:sz w:val="12"/>
          <w:szCs w:val="12"/>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98425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425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5796" w:space="720"/>
            <w:col w:w="4724"/>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2" w:name="page83"/>
    <w:bookmarkEnd w:id="8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addition, our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expenditures increased by $6.8 million, or 40%, to $23.6 million in the year ended December 31, 2021 compared to the year ended December 31, 2020. The increase reflects increased capital expenditures to support the larger company and greater capitalization of internal development costs.</w:t>
      </w:r>
    </w:p>
    <w:p>
      <w:pPr>
        <w:spacing w:after="0" w:line="5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Capital expenditures increased by $3.2 million, or 24%, to $16.8 million in the year ended December 31, 2020 compared to the year ended December 31, 2019. The increase reflects increased capital expenditures to support the larger company and greater capitalization of internal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97" w:lineRule="auto"/>
        <w:rPr>
          <w:sz w:val="20"/>
          <w:szCs w:val="20"/>
          <w:color w:val="auto"/>
        </w:rPr>
      </w:pPr>
      <w:r>
        <w:rPr>
          <w:rFonts w:ascii="Arial" w:cs="Arial" w:eastAsia="Arial" w:hAnsi="Arial"/>
          <w:sz w:val="15"/>
          <w:szCs w:val="15"/>
          <w:color w:val="auto"/>
        </w:rPr>
        <w:t>We have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The Reorganization Tax Receivable Agreement provides for the payment by ZoomInfo Intermediate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In each case, these increases in existing tax basis and tax basis adjustments generated over time may increase (for tax purposes) the ZoomInfo Tax Group’s depreciation and amortization deductions and, therefore, may reduce the amount of tax that the ZoomInfo Tax Group would otherwise be required to pay in the future, although the IRS may challenge all or part of the validity of that tax basis, and a court could sustain such a challenge. The ZoomInfo Tax Group’s allocable share of existing tax basis acquired in the IPO and the increase in the ZoomInfo Tax Group’s allocable share of existing tax basis and the tax basis adjustments upon exchanges of OpCo Units for shares of Class A common stock may also decrease gains (or increase losses) on future dispositions of certain capital assets to the extent tax basis is allocated to those capital assets. The payment obligations under the tax receivable agreements are an obligation of members of the ZoomInfo Tax group, but not of ZoomInfo OpCo. The ZoomInfo Tax Group expects to benefit from the remaining 15% of realized cash tax benefits. 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and had ZoomInfo Intermediate Inc. not entered into the tax receivable agreements. The term of each tax receivable agreement will continue until all such tax benefits have been utilized or expired, unless (i) ZoomInfo Intermediate Inc. exercises its right to terminate one or both tax receivable agreements for an amount based on the agreed payments remaining to be made under the agreement,</w:t>
      </w:r>
    </w:p>
    <w:p>
      <w:pPr>
        <w:spacing w:after="0" w:line="186" w:lineRule="exact"/>
        <w:rPr>
          <w:sz w:val="20"/>
          <w:szCs w:val="20"/>
          <w:color w:val="auto"/>
        </w:rPr>
      </w:pPr>
    </w:p>
    <w:p>
      <w:pPr>
        <w:jc w:val="both"/>
        <w:ind w:firstLine="6"/>
        <w:spacing w:after="0" w:line="263" w:lineRule="auto"/>
        <w:tabs>
          <w:tab w:leader="none" w:pos="2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ZoomInfo Intermediate Inc. breaches any of its material obligations under one or both tax receivable agreements in which case all obligations (including any additional interest due relating to any deferred payments) generally will be accelerated and due as if ZoomInfo Intermediate Inc. had exercised its right to terminate the tax receivable agreements, or (iii) there is a change of control of ZoomInfo Intermediate Inc.,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and the amount and timing of our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OpCo Units for shares of Class A common stock and our possible utilization of certain tax attributes, the payments that ZoomInfo Intermediate Inc. may make under the tax receivable agreements will be substantial. As of December 31, 2021, the Company had a liability of $3,056.4 million related to its projected obligations under the Tax Receivable Agreements in connection with the Reorganization Transactions and OpCo Units. The payments under the tax receivable agreements are not conditioned upon continued ownership of us by the exchanging holders of OpCo Units. Refer to Note 18 - Tax Receivable Agreements to our audited consolidated financial statements included in Part II Item 8 of this Form 10-K for additional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material contractual obligations as of December 31, 2021 and the years in which these obligations are due: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1"/>
                <w:szCs w:val="11"/>
                <w:color w:val="auto"/>
              </w:rPr>
            </w:pPr>
          </w:p>
        </w:tc>
        <w:tc>
          <w:tcPr>
            <w:tcW w:w="100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Less than one year</w:t>
            </w:r>
          </w:p>
        </w:tc>
        <w:tc>
          <w:tcPr>
            <w:tcW w:w="100" w:type="dxa"/>
            <w:vAlign w:val="bottom"/>
            <w:vMerge w:val="restart"/>
          </w:tcPr>
          <w:p>
            <w:pPr>
              <w:spacing w:after="0"/>
              <w:rPr>
                <w:sz w:val="11"/>
                <w:szCs w:val="11"/>
                <w:color w:val="auto"/>
              </w:rPr>
            </w:pPr>
          </w:p>
        </w:tc>
        <w:tc>
          <w:tcPr>
            <w:tcW w:w="132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w w:val="97"/>
              </w:rPr>
              <w:t>One to three years</w:t>
            </w:r>
          </w:p>
        </w:tc>
        <w:tc>
          <w:tcPr>
            <w:tcW w:w="80" w:type="dxa"/>
            <w:vAlign w:val="bottom"/>
            <w:vMerge w:val="restart"/>
          </w:tcPr>
          <w:p>
            <w:pPr>
              <w:spacing w:after="0"/>
              <w:rPr>
                <w:sz w:val="11"/>
                <w:szCs w:val="11"/>
                <w:color w:val="auto"/>
              </w:rPr>
            </w:pPr>
          </w:p>
        </w:tc>
        <w:tc>
          <w:tcPr>
            <w:tcW w:w="13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w w:val="96"/>
              </w:rPr>
              <w:t>Three to five years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right"/>
              <w:ind w:right="57"/>
              <w:spacing w:after="0" w:line="131" w:lineRule="exact"/>
              <w:rPr>
                <w:sz w:val="20"/>
                <w:szCs w:val="20"/>
                <w:color w:val="auto"/>
              </w:rPr>
            </w:pPr>
            <w:r>
              <w:rPr>
                <w:rFonts w:ascii="Arial" w:cs="Arial" w:eastAsia="Arial" w:hAnsi="Arial"/>
                <w:sz w:val="14"/>
                <w:szCs w:val="14"/>
                <w:b w:val="1"/>
                <w:bCs w:val="1"/>
                <w:color w:val="auto"/>
                <w:w w:val="91"/>
              </w:rPr>
              <w:t>Greater than five</w:t>
            </w:r>
          </w:p>
        </w:tc>
        <w:tc>
          <w:tcPr>
            <w:tcW w:w="0" w:type="dxa"/>
            <w:vAlign w:val="bottom"/>
          </w:tcPr>
          <w:p>
            <w:pPr>
              <w:spacing w:after="0"/>
              <w:rPr>
                <w:sz w:val="1"/>
                <w:szCs w:val="1"/>
                <w:color w:val="auto"/>
              </w:rPr>
            </w:pPr>
          </w:p>
        </w:tc>
      </w:tr>
      <w:tr>
        <w:trPr>
          <w:trHeight w:val="185"/>
        </w:trPr>
        <w:tc>
          <w:tcPr>
            <w:tcW w:w="43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ind w:left="20"/>
              <w:spacing w:after="0" w:line="220" w:lineRule="exact"/>
              <w:rPr>
                <w:sz w:val="20"/>
                <w:szCs w:val="20"/>
                <w:color w:val="auto"/>
              </w:rPr>
            </w:pPr>
            <w:r>
              <w:rPr>
                <w:rFonts w:ascii="Arial" w:cs="Arial" w:eastAsia="Arial" w:hAnsi="Arial"/>
                <w:sz w:val="18"/>
                <w:szCs w:val="18"/>
                <w:color w:val="auto"/>
              </w:rPr>
              <w:t>Long-term indebtedness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Arial" w:cs="Arial" w:eastAsia="Arial" w:hAnsi="Arial"/>
                <w:sz w:val="18"/>
                <w:szCs w:val="18"/>
                <w:color w:val="auto"/>
              </w:rPr>
              <w:t>Operating leases</w:t>
            </w:r>
            <w:r>
              <w:rPr>
                <w:rFonts w:ascii="Arial" w:cs="Arial" w:eastAsia="Arial" w:hAnsi="Arial"/>
                <w:sz w:val="22"/>
                <w:szCs w:val="22"/>
                <w:color w:val="auto"/>
                <w:vertAlign w:val="superscript"/>
              </w:rPr>
              <w:t>(2)</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w w:val="98"/>
              </w:rPr>
              <w:t>Deferred consideration and employee compensation</w:t>
            </w:r>
            <w:r>
              <w:rPr>
                <w:rFonts w:ascii="Arial" w:cs="Arial" w:eastAsia="Arial" w:hAnsi="Arial"/>
                <w:sz w:val="22"/>
                <w:szCs w:val="22"/>
                <w:color w:val="auto"/>
                <w:w w:val="98"/>
                <w:vertAlign w:val="superscript"/>
              </w:rPr>
              <w:t>(3)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2"/>
                <w:szCs w:val="22"/>
                <w:color w:val="auto"/>
                <w:vertAlign w:val="superscript"/>
              </w:rPr>
              <w:t>(4)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8"/>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ind w:right="578"/>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615.0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3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320" w:hanging="314"/>
        <w:spacing w:after="0" w:line="237" w:lineRule="auto"/>
        <w:tabs>
          <w:tab w:leader="none" w:pos="31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future principal payments on long-term indebtedness through the scheduled maturity dates thereof. Indebtedness is discussed in Note 8 - Financing Arrangements to our audited consolidated financial statements included in Part II, Item 8 of this Form 10-K.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ind w:left="320" w:hanging="314"/>
        <w:spacing w:after="0"/>
        <w:tabs>
          <w:tab w:leader="none" w:pos="3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Represents future payments on existing operating leases through the scheduled expiration dates thereof. This amount excludes lease agreements executed after December 31, 2021.</w:t>
      </w:r>
    </w:p>
    <w:p>
      <w:pPr>
        <w:spacing w:after="0" w:line="9" w:lineRule="exact"/>
        <w:rPr>
          <w:rFonts w:ascii="Arial" w:cs="Arial" w:eastAsia="Arial" w:hAnsi="Arial"/>
          <w:sz w:val="13"/>
          <w:szCs w:val="13"/>
          <w:color w:val="auto"/>
        </w:rPr>
      </w:pPr>
    </w:p>
    <w:p>
      <w:pPr>
        <w:jc w:val="both"/>
        <w:ind w:left="320" w:hanging="314"/>
        <w:spacing w:after="0" w:line="237" w:lineRule="auto"/>
        <w:tabs>
          <w:tab w:leader="none" w:pos="312"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deferred consideration and employee compensation related to the Insent and RingLead acquisitions at the currently estimated payout amounts, undiscounted. Acquisitions and related deferred consideration are discussed in Note 11 - Commitments and Contingencies to our audited consolidated financial statements included in Part II, Item 8 of this Form 10-K. Estimated contingent consideration is subject to change depending on results of factors each arrangement is based on.</w:t>
      </w:r>
    </w:p>
    <w:p>
      <w:pPr>
        <w:ind w:left="320" w:hanging="314"/>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Primarily relates to third-party cloud hosting and software as a service arrangements.</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amounts included in the table above represent agreements that are enforceable and legally binding; any obligations under contracts that we can cancel without significant penalty are not included here.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41"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spacing w:after="0" w:line="124"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In certain circumstances, however, the preparation of consolidated financial statements in conformity with U.S. GAAP requires us to make certain estimates, judgments, and assumptions that effect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11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While our significant accounting policies are more fully described in Note 2 - Basis of Presentation and Summary of Significant Accounting Policies to our audited consolidated financial statements included in Part II, Item 8 of this Form 10-K, we believe the following topics reflect our critical accounting policies and our more significant judgment and estimates used in the preparation of our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derive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one to three years and are non-cancelable. We typically bill for services annually, semi-annually, or quarterly in advance of delivery.</w:t>
      </w:r>
    </w:p>
    <w:p>
      <w:pPr>
        <w:spacing w:after="0" w:line="138"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We account for revenue contracts with customers using the following steps: (i) identification of contracts with customers, (ii) identification of distinct performance obligations in the contract, (iii) determination of contract transaction price, (iv) allocation of contract transaction price to the performance obligations, and (v) determination of revenue recognition based on the timing of satisfaction of the performance obligation(s).</w:t>
      </w:r>
    </w:p>
    <w:p>
      <w:pPr>
        <w:spacing w:after="0" w:line="11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for the business combination.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99"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estimates are inherently uncertain and subject to refinement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 related valuation allowances assumed in connection with a business combination are initially estimated as of the acquisition date. We re-evaluate these items based upon the facts and circumstances that existed as of the acquisition date, with any adjustments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We account for amounts payable under the TRA in accordance with Accounting Standards Codification (“ASC”) Topic 450, </w:t>
      </w:r>
      <w:r>
        <w:rPr>
          <w:rFonts w:ascii="Arial" w:cs="Arial" w:eastAsia="Arial" w:hAnsi="Arial"/>
          <w:sz w:val="18"/>
          <w:szCs w:val="18"/>
          <w:i w:val="1"/>
          <w:iCs w:val="1"/>
          <w:color w:val="auto"/>
        </w:rPr>
        <w:t>Contingencies</w:t>
      </w:r>
      <w:r>
        <w:rPr>
          <w:rFonts w:ascii="Arial" w:cs="Arial" w:eastAsia="Arial" w:hAnsi="Arial"/>
          <w:sz w:val="18"/>
          <w:szCs w:val="18"/>
          <w:color w:val="auto"/>
        </w:rPr>
        <w:t>. As such, subsequent changes to the measurement of the TRA liability are recognized in the statements of income as a component of other income (expense), net. As of December 31, 2021, the Company had a liability of $3,056.4 million related to its projected obligations under the Tax Receivable Agreements in connection with the Reorganization Transactions and OpCo units exchanged. For the year ended December 31, 2021, we recognized a TRA remeasurement gain of $39.5 million. Refer to Note 18 - Tax Receivable Agreements to our audited consolidated financial statements included in Part II, Item 8 of this Form 10-K for further details on the TRA liability.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126"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ZoomInfo Intermediate Inc. is a corporation and is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During the quarter ended December 31, 2021, our operating entity, ZoomInfo Technologies LLC, made an election to be taxed as a corporation for U.S. federal and state income tax purposes. As a result, taxable income from our operations is no longer expected to flow up to ZoomInfo Technologies Inc. ZoomInfo Technologies LLC is subject to the Texas Margins Tax. Additionally, our operations in Canada, India, Israel, and the U.K. are subject to local country income taxes. Refer to Note 19 - Income Taxes to our audited consolidated financial statements included in Part II, Item 8 of this Form 10-K for additional information regarding 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from Prior Periodic Reports</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this Annual Report on Form 10-K, we have adopted the changes in the disclosure standards included in SEC Release No. 33-10890, “Management’s Discussion and Analysis, Selected Financial Data, Supplementary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Refer to Note 2 - Basis of Presentation and Summary of Significant Accounting Policies to our consolidated financial statements included in Part II, Item 8 of this Form 10-K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have operations in the United States and internationally, and we are exposed to market risk in the ordinary course of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operating results are subject to market risk from interest rate fluctuations on our First Lien Term Loan, which bears a variable interest rate based on LIBOR. As of December 31, 2021, the total principal balance outstanding was $600.0 million. We have implemented a hedging strategy to mitigate the interest rate risk by entering into certain derivative instruments (refer to Note 8 - Financing Arrangements to our audited consolidated financial statements included in Part II, Item 8 of this Form 10-K). Based on the outstanding balances and interest rates of our debt as of December 31, 2021, a hypothetical relative increase or decrease in our effective interest rate by 100 basis points or 1% would have caused a corresponding change in interest expense of approximately $0.5 million over the next 12 months.</w:t>
      </w:r>
    </w:p>
    <w:p>
      <w:pPr>
        <w:spacing w:after="0" w:line="143"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Additionally, from time to time, we have dedesignated certain cash flow hedging relationships due to repricing of the terms and partial prepayment of the outstanding principal of our First Lien Term Loan since loan inception. As of December 31, 2021, $400.0 million of the notional amount of the interest rate cap contract is not designated as an accounting hedge. Future fair value adjustments on this dedesignated instrument are recorded 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on our Consolidated Statements of Operations. A hypothetical 1% relative increase or decrease in interest rates would cause a decrease in interest expense of $3.0 million and $0.2 million, respectively, due to changes in the fair value of these instruments.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To date, our sales contracts have primarily been denominated in U.S. dollars. We have one foreign entity established in Israel. The functional currency of this foreign subsidiary is the U.S. dollar.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70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w:t>
            </w:r>
          </w:p>
        </w:tc>
        <w:tc>
          <w:tcPr>
            <w:tcW w:w="180" w:type="dxa"/>
            <w:vAlign w:val="bottom"/>
          </w:tcPr>
          <w:p>
            <w:pPr>
              <w:spacing w:after="0"/>
              <w:rPr>
                <w:sz w:val="19"/>
                <w:szCs w:val="19"/>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80" w:type="dxa"/>
            <w:vAlign w:val="bottom"/>
            <w:gridSpan w:val="4"/>
          </w:tcPr>
          <w:p>
            <w:pPr>
              <w:ind w:left="20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0680" w:type="dxa"/>
            <w:vAlign w:val="bottom"/>
            <w:gridSpan w:val="8"/>
          </w:tcPr>
          <w:p>
            <w:pPr>
              <w:ind w:left="40"/>
              <w:spacing w:after="0"/>
              <w:rPr>
                <w:sz w:val="20"/>
                <w:szCs w:val="20"/>
                <w:color w:val="auto"/>
              </w:rPr>
            </w:pPr>
            <w:r>
              <w:rPr>
                <w:rFonts w:ascii="Arial" w:cs="Arial" w:eastAsia="Arial" w:hAnsi="Arial"/>
                <w:sz w:val="18"/>
                <w:szCs w:val="18"/>
                <w:b w:val="1"/>
                <w:bCs w:val="1"/>
                <w:color w:val="auto"/>
              </w:rPr>
              <w:t>Audited Consolidated Financial Statements of ZoomInfo Technologies Inc. and Subsidiaries</w:t>
            </w:r>
          </w:p>
        </w:tc>
        <w:tc>
          <w:tcPr>
            <w:tcW w:w="180" w:type="dxa"/>
            <w:vAlign w:val="bottom"/>
          </w:tcPr>
          <w:p>
            <w:pPr>
              <w:spacing w:after="0"/>
              <w:rPr>
                <w:sz w:val="24"/>
                <w:szCs w:val="24"/>
                <w:color w:val="auto"/>
              </w:rPr>
            </w:pPr>
          </w:p>
        </w:tc>
      </w:tr>
      <w:tr>
        <w:trPr>
          <w:trHeight w:val="451"/>
        </w:trPr>
        <w:tc>
          <w:tcPr>
            <w:tcW w:w="20" w:type="dxa"/>
            <w:vAlign w:val="bottom"/>
          </w:tcPr>
          <w:p>
            <w:pPr>
              <w:spacing w:after="0"/>
              <w:rPr>
                <w:sz w:val="24"/>
                <w:szCs w:val="24"/>
                <w:color w:val="auto"/>
              </w:rPr>
            </w:pPr>
          </w:p>
        </w:tc>
        <w:tc>
          <w:tcPr>
            <w:tcW w:w="10680" w:type="dxa"/>
            <w:vAlign w:val="bottom"/>
            <w:gridSpan w:val="8"/>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(KPMG</w:t>
            </w:r>
            <w:r>
              <w:rPr>
                <w:rFonts w:ascii="Arial" w:cs="Arial" w:eastAsia="Arial" w:hAnsi="Arial"/>
                <w:sz w:val="18"/>
                <w:szCs w:val="18"/>
                <w:color w:val="0000FF"/>
              </w:rPr>
              <w:t xml:space="preserve"> </w:t>
            </w:r>
            <w:r>
              <w:rPr>
                <w:rFonts w:ascii="Arial" w:cs="Arial" w:eastAsia="Arial" w:hAnsi="Arial"/>
                <w:sz w:val="18"/>
                <w:szCs w:val="18"/>
                <w:color w:val="000000"/>
              </w:rPr>
              <w:t>LLP; Portland, Oregon; Auditor Firm ID: 185)</w:t>
            </w:r>
          </w:p>
        </w:tc>
        <w:tc>
          <w:tcPr>
            <w:tcW w:w="180" w:type="dxa"/>
            <w:vAlign w:val="bottom"/>
          </w:tcPr>
          <w:p>
            <w:pPr>
              <w:jc w:val="right"/>
              <w:spacing w:after="0"/>
              <w:rPr>
                <w:rFonts w:ascii="Arial" w:cs="Arial" w:eastAsia="Arial" w:hAnsi="Arial"/>
                <w:sz w:val="18"/>
                <w:szCs w:val="18"/>
                <w:color w:val="3051F2"/>
                <w:w w:val="79"/>
              </w:rPr>
            </w:pPr>
            <w:hyperlink w:anchor="page91">
              <w:r>
                <w:rPr>
                  <w:rFonts w:ascii="Arial" w:cs="Arial" w:eastAsia="Arial" w:hAnsi="Arial"/>
                  <w:sz w:val="18"/>
                  <w:szCs w:val="18"/>
                  <w:color w:val="3051F2"/>
                  <w:w w:val="79"/>
                </w:rPr>
                <w:t>83</w:t>
              </w:r>
            </w:hyperlink>
          </w:p>
        </w:tc>
      </w:tr>
      <w:tr>
        <w:trPr>
          <w:trHeight w:val="205"/>
        </w:trPr>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205" w:lineRule="exact"/>
              <w:rPr>
                <w:rFonts w:ascii="Arial" w:cs="Arial" w:eastAsia="Arial" w:hAnsi="Arial"/>
                <w:sz w:val="18"/>
                <w:szCs w:val="18"/>
                <w:color w:val="0000FF"/>
                <w:w w:val="86"/>
              </w:rPr>
            </w:pPr>
            <w:hyperlink w:anchor="page93">
              <w:r>
                <w:rPr>
                  <w:rFonts w:ascii="Arial" w:cs="Arial" w:eastAsia="Arial" w:hAnsi="Arial"/>
                  <w:sz w:val="18"/>
                  <w:szCs w:val="18"/>
                  <w:color w:val="0000FF"/>
                  <w:w w:val="86"/>
                </w:rPr>
                <w:t>Consolidated Balance Sheets</w:t>
              </w:r>
            </w:hyperlink>
          </w:p>
        </w:tc>
        <w:tc>
          <w:tcPr>
            <w:tcW w:w="2080" w:type="dxa"/>
            <w:vAlign w:val="bottom"/>
            <w:tcBorders>
              <w:top w:val="single" w:sz="8" w:color="0000FF"/>
            </w:tcBorders>
            <w:gridSpan w:val="5"/>
          </w:tcPr>
          <w:p>
            <w:pPr>
              <w:spacing w:after="0"/>
              <w:rPr>
                <w:sz w:val="17"/>
                <w:szCs w:val="17"/>
                <w:color w:val="auto"/>
              </w:rPr>
            </w:pPr>
          </w:p>
        </w:tc>
        <w:tc>
          <w:tcPr>
            <w:tcW w:w="6540" w:type="dxa"/>
            <w:vAlign w:val="bottom"/>
            <w:gridSpan w:val="2"/>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rFonts w:ascii="Arial" w:cs="Arial" w:eastAsia="Arial" w:hAnsi="Arial"/>
                <w:sz w:val="18"/>
                <w:szCs w:val="18"/>
                <w:color w:val="3051F2"/>
                <w:w w:val="79"/>
              </w:rPr>
            </w:pPr>
            <w:hyperlink w:anchor="page93">
              <w:r>
                <w:rPr>
                  <w:rFonts w:ascii="Arial" w:cs="Arial" w:eastAsia="Arial" w:hAnsi="Arial"/>
                  <w:sz w:val="18"/>
                  <w:szCs w:val="18"/>
                  <w:color w:val="3051F2"/>
                  <w:w w:val="79"/>
                </w:rPr>
                <w:t>86</w:t>
              </w:r>
            </w:hyperlink>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rFonts w:ascii="Arial" w:cs="Arial" w:eastAsia="Arial" w:hAnsi="Arial"/>
                <w:sz w:val="18"/>
                <w:szCs w:val="18"/>
                <w:color w:val="0000FF"/>
              </w:rPr>
            </w:pPr>
            <w:hyperlink w:anchor="page94">
              <w:r>
                <w:rPr>
                  <w:rFonts w:ascii="Arial" w:cs="Arial" w:eastAsia="Arial" w:hAnsi="Arial"/>
                  <w:sz w:val="18"/>
                  <w:szCs w:val="18"/>
                  <w:color w:val="0000FF"/>
                </w:rPr>
                <w:t>Consolidated Statements of Operations</w:t>
              </w:r>
            </w:hyperlink>
          </w:p>
        </w:tc>
        <w:tc>
          <w:tcPr>
            <w:tcW w:w="180" w:type="dxa"/>
            <w:vAlign w:val="bottom"/>
          </w:tcPr>
          <w:p>
            <w:pPr>
              <w:jc w:val="right"/>
              <w:spacing w:after="0" w:line="205" w:lineRule="exact"/>
              <w:rPr>
                <w:rFonts w:ascii="Arial" w:cs="Arial" w:eastAsia="Arial" w:hAnsi="Arial"/>
                <w:sz w:val="18"/>
                <w:szCs w:val="18"/>
                <w:color w:val="3051F2"/>
                <w:w w:val="79"/>
              </w:rPr>
            </w:pPr>
            <w:hyperlink w:anchor="page94">
              <w:r>
                <w:rPr>
                  <w:rFonts w:ascii="Arial" w:cs="Arial" w:eastAsia="Arial" w:hAnsi="Arial"/>
                  <w:sz w:val="18"/>
                  <w:szCs w:val="18"/>
                  <w:color w:val="3051F2"/>
                  <w:w w:val="79"/>
                </w:rPr>
                <w:t>87</w:t>
              </w:r>
            </w:hyperlink>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rFonts w:ascii="Arial" w:cs="Arial" w:eastAsia="Arial" w:hAnsi="Arial"/>
                <w:sz w:val="18"/>
                <w:szCs w:val="18"/>
                <w:color w:val="0000FF"/>
              </w:rPr>
            </w:pPr>
            <w:hyperlink w:anchor="page95">
              <w:r>
                <w:rPr>
                  <w:rFonts w:ascii="Arial" w:cs="Arial" w:eastAsia="Arial" w:hAnsi="Arial"/>
                  <w:sz w:val="18"/>
                  <w:szCs w:val="18"/>
                  <w:color w:val="0000FF"/>
                </w:rPr>
                <w:t>Consolidated Statements of Comprehensive Income (Loss)</w:t>
              </w:r>
            </w:hyperlink>
          </w:p>
        </w:tc>
        <w:tc>
          <w:tcPr>
            <w:tcW w:w="180" w:type="dxa"/>
            <w:vAlign w:val="bottom"/>
          </w:tcPr>
          <w:p>
            <w:pPr>
              <w:jc w:val="right"/>
              <w:spacing w:after="0" w:line="205" w:lineRule="exact"/>
              <w:rPr>
                <w:rFonts w:ascii="Arial" w:cs="Arial" w:eastAsia="Arial" w:hAnsi="Arial"/>
                <w:sz w:val="18"/>
                <w:szCs w:val="18"/>
                <w:color w:val="3051F2"/>
                <w:w w:val="79"/>
              </w:rPr>
            </w:pPr>
            <w:hyperlink w:anchor="page95">
              <w:r>
                <w:rPr>
                  <w:rFonts w:ascii="Arial" w:cs="Arial" w:eastAsia="Arial" w:hAnsi="Arial"/>
                  <w:sz w:val="18"/>
                  <w:szCs w:val="18"/>
                  <w:color w:val="3051F2"/>
                  <w:w w:val="79"/>
                </w:rPr>
                <w:t>88</w:t>
              </w:r>
            </w:hyperlink>
          </w:p>
        </w:tc>
      </w:tr>
      <w:tr>
        <w:trPr>
          <w:trHeight w:val="205"/>
        </w:trPr>
        <w:tc>
          <w:tcPr>
            <w:tcW w:w="20" w:type="dxa"/>
            <w:vAlign w:val="bottom"/>
          </w:tcPr>
          <w:p>
            <w:pPr>
              <w:spacing w:after="0"/>
              <w:rPr>
                <w:sz w:val="17"/>
                <w:szCs w:val="17"/>
                <w:color w:val="auto"/>
              </w:rPr>
            </w:pPr>
          </w:p>
        </w:tc>
        <w:tc>
          <w:tcPr>
            <w:tcW w:w="4160" w:type="dxa"/>
            <w:vAlign w:val="bottom"/>
            <w:tcBorders>
              <w:top w:val="single" w:sz="8" w:color="0000FF"/>
            </w:tcBorders>
            <w:gridSpan w:val="7"/>
          </w:tcPr>
          <w:p>
            <w:pPr>
              <w:spacing w:after="0" w:line="205" w:lineRule="exact"/>
              <w:rPr>
                <w:rFonts w:ascii="Arial" w:cs="Arial" w:eastAsia="Arial" w:hAnsi="Arial"/>
                <w:sz w:val="18"/>
                <w:szCs w:val="18"/>
                <w:color w:val="0000FF"/>
                <w:w w:val="94"/>
              </w:rPr>
            </w:pPr>
            <w:hyperlink w:anchor="page98">
              <w:r>
                <w:rPr>
                  <w:rFonts w:ascii="Arial" w:cs="Arial" w:eastAsia="Arial" w:hAnsi="Arial"/>
                  <w:sz w:val="18"/>
                  <w:szCs w:val="18"/>
                  <w:color w:val="0000FF"/>
                  <w:w w:val="94"/>
                </w:rPr>
                <w:t>Consolidated Statements of Changes in Equity (Deficit)</w:t>
              </w:r>
            </w:hyperlink>
          </w:p>
        </w:tc>
        <w:tc>
          <w:tcPr>
            <w:tcW w:w="6520" w:type="dxa"/>
            <w:vAlign w:val="bottom"/>
          </w:tcPr>
          <w:p>
            <w:pPr>
              <w:spacing w:after="0"/>
              <w:rPr>
                <w:sz w:val="17"/>
                <w:szCs w:val="17"/>
                <w:color w:val="auto"/>
              </w:rPr>
            </w:pPr>
          </w:p>
        </w:tc>
        <w:tc>
          <w:tcPr>
            <w:tcW w:w="180" w:type="dxa"/>
            <w:vAlign w:val="bottom"/>
            <w:tcBorders>
              <w:top w:val="single" w:sz="8" w:color="3051F2"/>
            </w:tcBorders>
          </w:tcPr>
          <w:p>
            <w:pPr>
              <w:jc w:val="right"/>
              <w:spacing w:after="0" w:line="205" w:lineRule="exact"/>
              <w:rPr>
                <w:rFonts w:ascii="Arial" w:cs="Arial" w:eastAsia="Arial" w:hAnsi="Arial"/>
                <w:sz w:val="18"/>
                <w:szCs w:val="18"/>
                <w:color w:val="3051F2"/>
                <w:w w:val="79"/>
              </w:rPr>
            </w:pPr>
            <w:hyperlink w:anchor="page96">
              <w:r>
                <w:rPr>
                  <w:rFonts w:ascii="Arial" w:cs="Arial" w:eastAsia="Arial" w:hAnsi="Arial"/>
                  <w:sz w:val="18"/>
                  <w:szCs w:val="18"/>
                  <w:color w:val="3051F2"/>
                  <w:w w:val="79"/>
                </w:rPr>
                <w:t>89</w:t>
              </w:r>
            </w:hyperlink>
          </w:p>
        </w:tc>
      </w:tr>
      <w:tr>
        <w:trPr>
          <w:trHeight w:val="205"/>
        </w:trPr>
        <w:tc>
          <w:tcPr>
            <w:tcW w:w="20" w:type="dxa"/>
            <w:vAlign w:val="bottom"/>
          </w:tcPr>
          <w:p>
            <w:pPr>
              <w:spacing w:after="0"/>
              <w:rPr>
                <w:sz w:val="17"/>
                <w:szCs w:val="17"/>
                <w:color w:val="auto"/>
              </w:rPr>
            </w:pPr>
          </w:p>
        </w:tc>
        <w:tc>
          <w:tcPr>
            <w:tcW w:w="2820" w:type="dxa"/>
            <w:vAlign w:val="bottom"/>
            <w:tcBorders>
              <w:top w:val="single" w:sz="8" w:color="0000FF"/>
              <w:bottom w:val="single" w:sz="8" w:color="0000FF"/>
            </w:tcBorders>
            <w:gridSpan w:val="3"/>
          </w:tcPr>
          <w:p>
            <w:pPr>
              <w:spacing w:after="0" w:line="205" w:lineRule="exact"/>
              <w:rPr>
                <w:rFonts w:ascii="Arial" w:cs="Arial" w:eastAsia="Arial" w:hAnsi="Arial"/>
                <w:sz w:val="18"/>
                <w:szCs w:val="18"/>
                <w:color w:val="0000FF"/>
                <w:w w:val="87"/>
              </w:rPr>
            </w:pPr>
            <w:hyperlink w:anchor="page99">
              <w:r>
                <w:rPr>
                  <w:rFonts w:ascii="Arial" w:cs="Arial" w:eastAsia="Arial" w:hAnsi="Arial"/>
                  <w:sz w:val="18"/>
                  <w:szCs w:val="18"/>
                  <w:color w:val="0000FF"/>
                  <w:w w:val="87"/>
                </w:rPr>
                <w:t>Consolidated Statements of Cash Flows</w:t>
              </w:r>
            </w:hyperlink>
          </w:p>
        </w:tc>
        <w:tc>
          <w:tcPr>
            <w:tcW w:w="1120" w:type="dxa"/>
            <w:vAlign w:val="bottom"/>
            <w:tcBorders>
              <w:top w:val="single" w:sz="8" w:color="0000FF"/>
            </w:tcBorders>
            <w:gridSpan w:val="2"/>
          </w:tcPr>
          <w:p>
            <w:pPr>
              <w:spacing w:after="0"/>
              <w:rPr>
                <w:sz w:val="17"/>
                <w:szCs w:val="17"/>
                <w:color w:val="auto"/>
              </w:rPr>
            </w:pPr>
          </w:p>
        </w:tc>
        <w:tc>
          <w:tcPr>
            <w:tcW w:w="6740" w:type="dxa"/>
            <w:vAlign w:val="bottom"/>
            <w:gridSpan w:val="3"/>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rFonts w:ascii="Arial" w:cs="Arial" w:eastAsia="Arial" w:hAnsi="Arial"/>
                <w:sz w:val="18"/>
                <w:szCs w:val="18"/>
                <w:color w:val="3051F2"/>
                <w:w w:val="79"/>
              </w:rPr>
            </w:pPr>
            <w:hyperlink w:anchor="page99">
              <w:r>
                <w:rPr>
                  <w:rFonts w:ascii="Arial" w:cs="Arial" w:eastAsia="Arial" w:hAnsi="Arial"/>
                  <w:sz w:val="18"/>
                  <w:szCs w:val="18"/>
                  <w:color w:val="3051F2"/>
                  <w:w w:val="79"/>
                </w:rPr>
                <w:t>92</w:t>
              </w:r>
            </w:hyperlink>
          </w:p>
        </w:tc>
      </w:tr>
      <w:tr>
        <w:trPr>
          <w:trHeight w:val="205"/>
        </w:trPr>
        <w:tc>
          <w:tcPr>
            <w:tcW w:w="20" w:type="dxa"/>
            <w:vAlign w:val="bottom"/>
          </w:tcPr>
          <w:p>
            <w:pPr>
              <w:spacing w:after="0"/>
              <w:rPr>
                <w:sz w:val="17"/>
                <w:szCs w:val="17"/>
                <w:color w:val="auto"/>
              </w:rPr>
            </w:pPr>
          </w:p>
        </w:tc>
        <w:tc>
          <w:tcPr>
            <w:tcW w:w="3100" w:type="dxa"/>
            <w:vAlign w:val="bottom"/>
            <w:tcBorders>
              <w:bottom w:val="single" w:sz="8" w:color="0000FF"/>
            </w:tcBorders>
            <w:gridSpan w:val="4"/>
          </w:tcPr>
          <w:p>
            <w:pPr>
              <w:spacing w:after="0" w:line="205" w:lineRule="exact"/>
              <w:rPr>
                <w:rFonts w:ascii="Arial" w:cs="Arial" w:eastAsia="Arial" w:hAnsi="Arial"/>
                <w:sz w:val="18"/>
                <w:szCs w:val="18"/>
                <w:color w:val="0000FF"/>
                <w:w w:val="87"/>
              </w:rPr>
            </w:pPr>
            <w:hyperlink w:anchor="page101">
              <w:r>
                <w:rPr>
                  <w:rFonts w:ascii="Arial" w:cs="Arial" w:eastAsia="Arial" w:hAnsi="Arial"/>
                  <w:sz w:val="18"/>
                  <w:szCs w:val="18"/>
                  <w:color w:val="0000FF"/>
                  <w:w w:val="87"/>
                </w:rPr>
                <w:t>Notes to Consolidated Financial Statements</w:t>
              </w:r>
            </w:hyperlink>
          </w:p>
        </w:tc>
        <w:tc>
          <w:tcPr>
            <w:tcW w:w="7580" w:type="dxa"/>
            <w:vAlign w:val="bottom"/>
            <w:gridSpan w:val="4"/>
          </w:tcPr>
          <w:p>
            <w:pPr>
              <w:spacing w:after="0"/>
              <w:rPr>
                <w:sz w:val="17"/>
                <w:szCs w:val="17"/>
                <w:color w:val="auto"/>
              </w:rPr>
            </w:pPr>
          </w:p>
        </w:tc>
        <w:tc>
          <w:tcPr>
            <w:tcW w:w="180" w:type="dxa"/>
            <w:vAlign w:val="bottom"/>
            <w:tcBorders>
              <w:bottom w:val="single" w:sz="8" w:color="3051F2"/>
            </w:tcBorders>
          </w:tcPr>
          <w:p>
            <w:pPr>
              <w:jc w:val="right"/>
              <w:spacing w:after="0" w:line="205" w:lineRule="exact"/>
              <w:rPr>
                <w:rFonts w:ascii="Arial" w:cs="Arial" w:eastAsia="Arial" w:hAnsi="Arial"/>
                <w:sz w:val="18"/>
                <w:szCs w:val="18"/>
                <w:color w:val="3051F2"/>
                <w:w w:val="79"/>
              </w:rPr>
            </w:pPr>
            <w:hyperlink w:anchor="page101">
              <w:r>
                <w:rPr>
                  <w:rFonts w:ascii="Arial" w:cs="Arial" w:eastAsia="Arial" w:hAnsi="Arial"/>
                  <w:sz w:val="18"/>
                  <w:szCs w:val="18"/>
                  <w:color w:val="3051F2"/>
                  <w:w w:val="79"/>
                </w:rPr>
                <w:t>94</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ZoomInfo Technologies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audited the accompanying consolidated balance sheets of ZoomInfo Technologies Inc. and subsidiaries (the Company) as of December 31, 2021 and 2020, the related consolidated statements of operations, statements of comprehensive income (loss), changes in equity (deficit), and cash flows for each of the years in the three-year period ended December 31, 2021, and the related notes (collectively, the consolidated financial statements). We also have audited the Company’s internal control over financial reporting as of December 31, 2021, based on criteria established in Internal Control – Integrated Framework (2013) issued by the Committee of Sponsoring Organizations of the Treadway Commission.</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Internal Control – Integrated Framework (2013) issued by the Committee of Sponsoring Organizations of the Treadway Commission.</w:t>
      </w:r>
    </w:p>
    <w:p>
      <w:pPr>
        <w:spacing w:after="0" w:line="141"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The Company acquired Insent, Inc. ("Insent"), AffectLayer, Inc. (d/b/a Chorus.ai) ("Chorus.ai"), and RingLead, Inc. ("RingLead") during 2021, and management excluded from its assessment of the effectiveness of the Company’s internal control over financial reporting as of December 31, 2021, Insent, Inc. ("Insent"), AffectLayer, Inc. (d/b/a Chorus.ai) ("Chorus.ai"), and RingLead, Inc. ("RingLead")’s internal control over financial reporting associated with less than 1% of consolidated total assets (excluding goodwill and intangible assets which were included in management’s assessment of internal control over financial reporting) and less than 2% of consolidated total revenues included in the consolidated financial statements of the Company as of and for the year ended December 31, 2021. Our audit of internal control over financial reporting of the Company also excluded an evaluation of the internal control over financial reporting of Insent, Inc. ("Insent"), AffectLayer, Inc. (d/b/a Chorus.ai) ("Chorus.ai"), and RingLead, Inc. ("RingLead").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64"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0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acquired developed technology intangible asset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As discussed in Note 4 to the consolidated financial statements, the Company completed multiple acquisitions, including the acquisition of AffectLayer, Inc. (Chorus.ai) on July 12, 2021. The Chorus.ai acquisition was accounted for as a business combination and included the acquisition of a developed technology intangible asset. As of December 31, 2021, the acquired developed technology intangible assets was $107.7 million, a portion of which related to Chorus.ai.</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identified the evaluation of the fair value of the developed technology intangible asset from the Chorus.ai acquisition as a critical audit matter.</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Challenging auditor judgment was required to evaluate forecasted future revenue due to its significant measurement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developed technology asset valuation process, including controls over the estimates of projected future revenue. We compared the Company’s forecasted revenue for Chorus.ai to actual revenue to evaluate the Company’s ability to forecast. We evaluated the Company’s forecasted revenue growth rates used to value developed technology by (1) comparing them to historical and forecasted growth rates of peer entities, in which we involved valuation professionals with specialized skills and knowledge, who assisted in providing third-party market data for comparable entities, and (2) comparing forecasted growth rates to historical growth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realizability of deferred tax assets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As discussed in Note 19 to the consolidated financial statements, at December 31, 2021, the Company had deferred tax assets of $4,129.6 million. These deferred tax assets consist primarily of $3,999.7 million of deductible temporary differences related to intangibles. The Company recognizes deferred tax assets to the extent it is more likely than not that the assets will be realized. The Company considered positive and negative evidence, including future reversals of existing taxable temporary differences, projected future taxable income, tax planning strategies, and recent results of operations.</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identified the evaluation of the realizability of deferred tax assets as a critical audit matter. The evaluation of the realizability of deferred tax assets required subjective auditor judgment to assess the projections of future taxable income, including projected revenue growth rates, over the periods in which those temporary differences become deductible.</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following are the primary procedures we performed to address this critical audit matter. We evaluated the design and tested the operating effectiveness of certain internal controls related to assessing the realizability of deferred tax assets, which included the Company's evaluation of assumptions used to estimate projected future taxable income and projected revenue growth rates. We evaluated the Company’s projected revenue growth rates used to project future taxable income by (1) comparing them to historical and projected growth rates of peer entities and (2) comparing projected revenue growth rates to historical growth rates of the Company. We performed a sensitivity analysis to assess the impact of reasonably possible changes in the projected future taxable income, including changes to projected revenue growth rates, on the Company's determination of the realizability of deferred tax assets.</w:t>
      </w:r>
    </w:p>
    <w:p>
      <w:pPr>
        <w:spacing w:after="0" w:line="9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 KPMG LLP</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8020" w:type="dxa"/>
            <w:vAlign w:val="bottom"/>
            <w:gridSpan w:val="2"/>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4"/>
        </w:trPr>
        <w:tc>
          <w:tcPr>
            <w:tcW w:w="1000" w:type="dxa"/>
            <w:vAlign w:val="bottom"/>
            <w:tcBorders>
              <w:top w:val="single" w:sz="8" w:color="0000FF"/>
            </w:tcBorders>
          </w:tcPr>
          <w:p>
            <w:pPr>
              <w:spacing w:after="0"/>
              <w:rPr>
                <w:sz w:val="24"/>
                <w:szCs w:val="24"/>
                <w:color w:val="auto"/>
              </w:rPr>
            </w:pPr>
          </w:p>
        </w:tc>
        <w:tc>
          <w:tcPr>
            <w:tcW w:w="7020" w:type="dxa"/>
            <w:vAlign w:val="bottom"/>
          </w:tcPr>
          <w:p>
            <w:pPr>
              <w:jc w:val="center"/>
              <w:ind w:left="2149"/>
              <w:spacing w:after="0"/>
              <w:rPr>
                <w:sz w:val="20"/>
                <w:szCs w:val="20"/>
                <w:color w:val="auto"/>
              </w:rPr>
            </w:pPr>
            <w:r>
              <w:rPr>
                <w:rFonts w:ascii="Arial" w:cs="Arial" w:eastAsia="Arial" w:hAnsi="Arial"/>
                <w:sz w:val="14"/>
                <w:szCs w:val="14"/>
                <w:b w:val="1"/>
                <w:bCs w:val="1"/>
                <w:color w:val="auto"/>
                <w:w w:val="90"/>
              </w:rPr>
              <w:t>ZoomInfo Technologies Inc.</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00" w:type="dxa"/>
            <w:vAlign w:val="bottom"/>
          </w:tcPr>
          <w:p>
            <w:pPr>
              <w:spacing w:after="0"/>
              <w:rPr>
                <w:sz w:val="16"/>
                <w:szCs w:val="16"/>
                <w:color w:val="auto"/>
              </w:rPr>
            </w:pPr>
          </w:p>
        </w:tc>
        <w:tc>
          <w:tcPr>
            <w:tcW w:w="7020" w:type="dxa"/>
            <w:vAlign w:val="bottom"/>
          </w:tcPr>
          <w:p>
            <w:pPr>
              <w:jc w:val="center"/>
              <w:ind w:left="2149"/>
              <w:spacing w:after="0"/>
              <w:rPr>
                <w:sz w:val="20"/>
                <w:szCs w:val="20"/>
                <w:color w:val="auto"/>
              </w:rPr>
            </w:pPr>
            <w:r>
              <w:rPr>
                <w:rFonts w:ascii="Arial" w:cs="Arial" w:eastAsia="Arial" w:hAnsi="Arial"/>
                <w:sz w:val="14"/>
                <w:szCs w:val="14"/>
                <w:b w:val="1"/>
                <w:bCs w:val="1"/>
                <w:color w:val="auto"/>
                <w:w w:val="87"/>
              </w:rPr>
              <w:t>Consolidated Balance Sheets</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7020" w:type="dxa"/>
            <w:vAlign w:val="bottom"/>
          </w:tcPr>
          <w:p>
            <w:pPr>
              <w:jc w:val="center"/>
              <w:ind w:left="2149"/>
              <w:spacing w:after="0"/>
              <w:rPr>
                <w:sz w:val="20"/>
                <w:szCs w:val="20"/>
                <w:color w:val="auto"/>
              </w:rPr>
            </w:pPr>
            <w:r>
              <w:rPr>
                <w:rFonts w:ascii="Arial" w:cs="Arial" w:eastAsia="Arial" w:hAnsi="Arial"/>
                <w:sz w:val="14"/>
                <w:szCs w:val="14"/>
                <w:b w:val="1"/>
                <w:bCs w:val="1"/>
                <w:i w:val="1"/>
                <w:iCs w:val="1"/>
                <w:color w:val="auto"/>
                <w:w w:val="87"/>
              </w:rPr>
              <w:t>(in millions, except share data)</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Borders>
              <w:bottom w:val="single" w:sz="8" w:color="CCEEFF"/>
            </w:tcBorders>
          </w:tcPr>
          <w:p>
            <w:pPr>
              <w:spacing w:after="0"/>
              <w:rPr>
                <w:sz w:val="15"/>
                <w:szCs w:val="15"/>
                <w:color w:val="auto"/>
              </w:rPr>
            </w:pPr>
          </w:p>
        </w:tc>
        <w:tc>
          <w:tcPr>
            <w:tcW w:w="70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000" w:type="dxa"/>
            <w:vAlign w:val="bottom"/>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269.8</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Short-term investments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Restricted cash, current</w:t>
            </w:r>
          </w:p>
        </w:tc>
        <w:tc>
          <w:tcPr>
            <w:tcW w:w="10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187.0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83"/>
        </w:trPr>
        <w:tc>
          <w:tcPr>
            <w:tcW w:w="8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receivable</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79"/>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10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545.7</w:t>
            </w: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439.5</w:t>
            </w:r>
          </w:p>
        </w:tc>
        <w:tc>
          <w:tcPr>
            <w:tcW w:w="0" w:type="dxa"/>
            <w:vAlign w:val="bottom"/>
          </w:tcPr>
          <w:p>
            <w:pPr>
              <w:spacing w:after="0"/>
              <w:rPr>
                <w:sz w:val="1"/>
                <w:szCs w:val="1"/>
                <w:color w:val="auto"/>
              </w:rPr>
            </w:pPr>
          </w:p>
        </w:tc>
      </w:tr>
      <w:tr>
        <w:trPr>
          <w:trHeight w:val="182"/>
        </w:trPr>
        <w:tc>
          <w:tcPr>
            <w:tcW w:w="100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Restricted cash, non-current</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Property and equipment, net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Operating lease right-of-use assets, net</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Intangible assets, net</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431.0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Goodwill</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1,575.1</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1,000.1</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Deferred tax assets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4,116.0</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415.7</w:t>
            </w:r>
          </w:p>
        </w:tc>
        <w:tc>
          <w:tcPr>
            <w:tcW w:w="0" w:type="dxa"/>
            <w:vAlign w:val="bottom"/>
          </w:tcPr>
          <w:p>
            <w:pPr>
              <w:spacing w:after="0"/>
              <w:rPr>
                <w:sz w:val="1"/>
                <w:szCs w:val="1"/>
                <w:color w:val="auto"/>
              </w:rPr>
            </w:pPr>
          </w:p>
        </w:tc>
      </w:tr>
      <w:tr>
        <w:trPr>
          <w:trHeight w:val="185"/>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Deferred costs and other assets, net of current portion</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0" w:type="dxa"/>
            <w:vAlign w:val="bottom"/>
          </w:tcPr>
          <w:p>
            <w:pPr>
              <w:spacing w:after="0"/>
              <w:rPr>
                <w:sz w:val="1"/>
                <w:szCs w:val="1"/>
                <w:color w:val="auto"/>
              </w:rPr>
            </w:pPr>
          </w:p>
        </w:tc>
      </w:tr>
      <w:tr>
        <w:trPr>
          <w:trHeight w:val="182"/>
        </w:trPr>
        <w:tc>
          <w:tcPr>
            <w:tcW w:w="8020" w:type="dxa"/>
            <w:vAlign w:val="bottom"/>
            <w:gridSpan w:val="2"/>
          </w:tcPr>
          <w:p>
            <w:pPr>
              <w:ind w:left="460"/>
              <w:spacing w:after="0"/>
              <w:rPr>
                <w:sz w:val="20"/>
                <w:szCs w:val="20"/>
                <w:color w:val="auto"/>
              </w:rPr>
            </w:pPr>
            <w:r>
              <w:rPr>
                <w:rFonts w:ascii="Arial" w:cs="Arial" w:eastAsia="Arial" w:hAnsi="Arial"/>
                <w:sz w:val="14"/>
                <w:szCs w:val="14"/>
                <w:color w:val="auto"/>
              </w:rPr>
              <w:t>Total assets</w:t>
            </w:r>
          </w:p>
        </w:tc>
        <w:tc>
          <w:tcPr>
            <w:tcW w:w="100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6,852.9</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2,327.4</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1000" w:type="dxa"/>
            <w:vAlign w:val="bottom"/>
            <w:shd w:val="clear" w:color="auto" w:fill="CCEEFF"/>
          </w:tcPr>
          <w:p>
            <w:pPr>
              <w:spacing w:after="0"/>
              <w:rPr>
                <w:sz w:val="14"/>
                <w:szCs w:val="14"/>
                <w:color w:val="auto"/>
              </w:rPr>
            </w:pPr>
          </w:p>
        </w:tc>
        <w:tc>
          <w:tcPr>
            <w:tcW w:w="70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 and Permanent Equity</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Accounts payable</w:t>
            </w:r>
          </w:p>
        </w:tc>
        <w:tc>
          <w:tcPr>
            <w:tcW w:w="100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5"/>
                <w:szCs w:val="15"/>
                <w:color w:val="auto"/>
              </w:rPr>
            </w:pP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Accrued expenses and other current liabilities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20"/>
              <w:spacing w:after="0"/>
              <w:rPr>
                <w:sz w:val="20"/>
                <w:szCs w:val="20"/>
                <w:color w:val="auto"/>
              </w:rPr>
            </w:pPr>
            <w:r>
              <w:rPr>
                <w:rFonts w:ascii="Arial" w:cs="Arial" w:eastAsia="Arial" w:hAnsi="Arial"/>
                <w:sz w:val="14"/>
                <w:szCs w:val="14"/>
                <w:color w:val="auto"/>
              </w:rPr>
              <w:t>Unearned revenue, current portion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221.3</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40"/>
              <w:spacing w:after="0"/>
              <w:rPr>
                <w:sz w:val="20"/>
                <w:szCs w:val="20"/>
                <w:color w:val="auto"/>
              </w:rPr>
            </w:pPr>
            <w:r>
              <w:rPr>
                <w:rFonts w:ascii="Arial" w:cs="Arial" w:eastAsia="Arial" w:hAnsi="Arial"/>
                <w:sz w:val="14"/>
                <w:szCs w:val="14"/>
                <w:color w:val="auto"/>
              </w:rPr>
              <w:t>Current portion of tax receivable agreements liability</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Current portion of operating lease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current liabilities</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507.6</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320.8</w:t>
            </w: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spacing w:after="0"/>
              <w:rPr>
                <w:sz w:val="15"/>
                <w:szCs w:val="15"/>
                <w:color w:val="auto"/>
              </w:rPr>
            </w:pPr>
          </w:p>
        </w:tc>
        <w:tc>
          <w:tcPr>
            <w:tcW w:w="70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Unearned revenue, net of current portion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Tax receivable agreements liability, net of current portion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3,046.0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Long-term debt, net of current portion</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1,232.9</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744.9</w:t>
            </w:r>
          </w:p>
        </w:tc>
        <w:tc>
          <w:tcPr>
            <w:tcW w:w="0" w:type="dxa"/>
            <w:vAlign w:val="bottom"/>
          </w:tcPr>
          <w:p>
            <w:pPr>
              <w:spacing w:after="0"/>
              <w:rPr>
                <w:sz w:val="1"/>
                <w:szCs w:val="1"/>
                <w:color w:val="auto"/>
              </w:rPr>
            </w:pPr>
          </w:p>
        </w:tc>
      </w:tr>
      <w:tr>
        <w:trPr>
          <w:trHeight w:val="18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Deferred tax liabilities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10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76"/>
        </w:trPr>
        <w:tc>
          <w:tcPr>
            <w:tcW w:w="8020" w:type="dxa"/>
            <w:vAlign w:val="bottom"/>
            <w:tcBorders>
              <w:bottom w:val="single" w:sz="8" w:color="CCEEFF"/>
            </w:tcBorders>
            <w:gridSpan w:val="2"/>
          </w:tcPr>
          <w:p>
            <w:pPr>
              <w:ind w:left="460"/>
              <w:spacing w:after="0"/>
              <w:rPr>
                <w:sz w:val="20"/>
                <w:szCs w:val="20"/>
                <w:color w:val="auto"/>
              </w:rPr>
            </w:pPr>
            <w:r>
              <w:rPr>
                <w:rFonts w:ascii="Arial" w:cs="Arial" w:eastAsia="Arial" w:hAnsi="Arial"/>
                <w:sz w:val="14"/>
                <w:szCs w:val="14"/>
                <w:color w:val="auto"/>
              </w:rPr>
              <w:t>Total liabilities</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4,855.0</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1,387.8</w:t>
            </w:r>
          </w:p>
        </w:tc>
        <w:tc>
          <w:tcPr>
            <w:tcW w:w="0" w:type="dxa"/>
            <w:vAlign w:val="bottom"/>
          </w:tcPr>
          <w:p>
            <w:pPr>
              <w:spacing w:after="0"/>
              <w:rPr>
                <w:sz w:val="1"/>
                <w:szCs w:val="1"/>
                <w:color w:val="auto"/>
              </w:rPr>
            </w:pPr>
          </w:p>
        </w:tc>
      </w:tr>
      <w:tr>
        <w:trPr>
          <w:trHeight w:val="182"/>
        </w:trPr>
        <w:tc>
          <w:tcPr>
            <w:tcW w:w="1000" w:type="dxa"/>
            <w:vAlign w:val="bottom"/>
            <w:shd w:val="clear" w:color="auto" w:fill="CCEEFF"/>
          </w:tcPr>
          <w:p>
            <w:pPr>
              <w:spacing w:after="0"/>
              <w:rPr>
                <w:sz w:val="15"/>
                <w:szCs w:val="15"/>
                <w:color w:val="auto"/>
              </w:rPr>
            </w:pPr>
          </w:p>
        </w:tc>
        <w:tc>
          <w:tcPr>
            <w:tcW w:w="70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Commitments and Contingencies (Note 11)</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020" w:type="dxa"/>
            <w:vAlign w:val="bottom"/>
            <w:gridSpan w:val="2"/>
          </w:tcPr>
          <w:p>
            <w:pPr>
              <w:ind w:left="20"/>
              <w:spacing w:after="0"/>
              <w:rPr>
                <w:sz w:val="20"/>
                <w:szCs w:val="20"/>
                <w:color w:val="auto"/>
              </w:rPr>
            </w:pPr>
            <w:r>
              <w:rPr>
                <w:rFonts w:ascii="Arial" w:cs="Arial" w:eastAsia="Arial" w:hAnsi="Arial"/>
                <w:sz w:val="14"/>
                <w:szCs w:val="14"/>
                <w:color w:val="auto"/>
              </w:rPr>
              <w:t>Permanent Equity</w:t>
            </w: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4"/>
                <w:szCs w:val="14"/>
                <w:color w:val="auto"/>
                <w:w w:val="94"/>
              </w:rPr>
              <w:t>Preferred stock, par value $0.01; 200,000,000 shares authorized, 0 and 0 issued and outstanding as of December 31, 2021 and 2020,</w:t>
            </w:r>
          </w:p>
        </w:tc>
        <w:tc>
          <w:tcPr>
            <w:tcW w:w="10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respectively</w:t>
            </w:r>
          </w:p>
        </w:tc>
        <w:tc>
          <w:tcPr>
            <w:tcW w:w="10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Class A common stock</w:t>
            </w:r>
            <w:r>
              <w:rPr>
                <w:rFonts w:ascii="Arial" w:cs="Arial" w:eastAsia="Arial" w:hAnsi="Arial"/>
                <w:sz w:val="15"/>
                <w:szCs w:val="15"/>
                <w:color w:val="auto"/>
                <w:vertAlign w:val="superscript"/>
              </w:rPr>
              <w:t>(1)</w:t>
            </w:r>
            <w:r>
              <w:rPr>
                <w:rFonts w:ascii="Arial" w:cs="Arial" w:eastAsia="Arial" w:hAnsi="Arial"/>
                <w:sz w:val="12"/>
                <w:szCs w:val="12"/>
                <w:color w:val="auto"/>
              </w:rPr>
              <w:t>, par value $0.01; 2,500,000,000 shares authorized, 403,315,989 and 87,697,381 issued and outstanding as of</w:t>
            </w:r>
          </w:p>
        </w:tc>
        <w:tc>
          <w:tcPr>
            <w:tcW w:w="10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8020" w:type="dxa"/>
            <w:vAlign w:val="bottom"/>
            <w:gridSpan w:val="2"/>
          </w:tcPr>
          <w:p>
            <w:pPr>
              <w:ind w:left="140"/>
              <w:spacing w:after="0"/>
              <w:rPr>
                <w:sz w:val="20"/>
                <w:szCs w:val="20"/>
                <w:color w:val="auto"/>
              </w:rPr>
            </w:pPr>
            <w:r>
              <w:rPr>
                <w:rFonts w:ascii="Arial" w:cs="Arial" w:eastAsia="Arial" w:hAnsi="Arial"/>
                <w:sz w:val="14"/>
                <w:szCs w:val="14"/>
                <w:color w:val="auto"/>
              </w:rPr>
              <w:t>December 31, 2021 and 2020, respectively</w:t>
            </w:r>
          </w:p>
        </w:tc>
        <w:tc>
          <w:tcPr>
            <w:tcW w:w="10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8020" w:type="dxa"/>
            <w:vAlign w:val="bottom"/>
            <w:gridSpan w:val="2"/>
            <w:shd w:val="clear" w:color="auto" w:fill="CCEEFF"/>
          </w:tcPr>
          <w:p>
            <w:pPr>
              <w:ind w:left="140"/>
              <w:spacing w:after="0" w:line="136" w:lineRule="exact"/>
              <w:rPr>
                <w:sz w:val="20"/>
                <w:szCs w:val="20"/>
                <w:color w:val="auto"/>
              </w:rPr>
            </w:pPr>
            <w:r>
              <w:rPr>
                <w:rFonts w:ascii="Arial" w:cs="Arial" w:eastAsia="Arial" w:hAnsi="Arial"/>
                <w:sz w:val="12"/>
                <w:szCs w:val="12"/>
                <w:color w:val="auto"/>
              </w:rPr>
              <w:t>Class B common stock</w:t>
            </w:r>
            <w:r>
              <w:rPr>
                <w:rFonts w:ascii="Arial" w:cs="Arial" w:eastAsia="Arial" w:hAnsi="Arial"/>
                <w:sz w:val="15"/>
                <w:szCs w:val="15"/>
                <w:color w:val="auto"/>
                <w:vertAlign w:val="superscript"/>
              </w:rPr>
              <w:t>(1)</w:t>
            </w:r>
            <w:r>
              <w:rPr>
                <w:rFonts w:ascii="Arial" w:cs="Arial" w:eastAsia="Arial" w:hAnsi="Arial"/>
                <w:sz w:val="12"/>
                <w:szCs w:val="12"/>
                <w:color w:val="auto"/>
              </w:rPr>
              <w:t>, par value $0.01; 500,000,000 shares authorized, 0 and 216,652,704 issued and outstanding as of December 31,</w:t>
            </w:r>
          </w:p>
        </w:tc>
        <w:tc>
          <w:tcPr>
            <w:tcW w:w="1000" w:type="dxa"/>
            <w:vAlign w:val="bottom"/>
            <w:shd w:val="clear" w:color="auto" w:fill="CCEEFF"/>
          </w:tcPr>
          <w:p>
            <w:pPr>
              <w:spacing w:after="0"/>
              <w:rPr>
                <w:sz w:val="11"/>
                <w:szCs w:val="11"/>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5"/>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2021 and 2020, respectively</w:t>
            </w:r>
          </w:p>
        </w:tc>
        <w:tc>
          <w:tcPr>
            <w:tcW w:w="10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802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Class C common stock</w:t>
            </w:r>
            <w:r>
              <w:rPr>
                <w:rFonts w:ascii="Arial" w:cs="Arial" w:eastAsia="Arial" w:hAnsi="Arial"/>
                <w:sz w:val="15"/>
                <w:szCs w:val="15"/>
                <w:color w:val="auto"/>
                <w:vertAlign w:val="superscript"/>
              </w:rPr>
              <w:t>(1)</w:t>
            </w:r>
            <w:r>
              <w:rPr>
                <w:rFonts w:ascii="Arial" w:cs="Arial" w:eastAsia="Arial" w:hAnsi="Arial"/>
                <w:sz w:val="12"/>
                <w:szCs w:val="12"/>
                <w:color w:val="auto"/>
              </w:rPr>
              <w:t>, par value $0.01; 300,000,000 shares authorized, 0 and 86,123,230 issued and outstanding as of December 31,</w:t>
            </w:r>
          </w:p>
        </w:tc>
        <w:tc>
          <w:tcPr>
            <w:tcW w:w="100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3"/>
        </w:trPr>
        <w:tc>
          <w:tcPr>
            <w:tcW w:w="8020" w:type="dxa"/>
            <w:vAlign w:val="bottom"/>
            <w:gridSpan w:val="2"/>
          </w:tcPr>
          <w:p>
            <w:pPr>
              <w:ind w:left="140"/>
              <w:spacing w:after="0"/>
              <w:rPr>
                <w:sz w:val="20"/>
                <w:szCs w:val="20"/>
                <w:color w:val="auto"/>
              </w:rPr>
            </w:pPr>
            <w:r>
              <w:rPr>
                <w:rFonts w:ascii="Arial" w:cs="Arial" w:eastAsia="Arial" w:hAnsi="Arial"/>
                <w:sz w:val="14"/>
                <w:szCs w:val="14"/>
                <w:color w:val="auto"/>
              </w:rPr>
              <w:t>2021 and 2020, respectively</w:t>
            </w:r>
          </w:p>
        </w:tc>
        <w:tc>
          <w:tcPr>
            <w:tcW w:w="10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Additional paid-in capital</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1,871.6</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505.2</w:t>
            </w:r>
          </w:p>
        </w:tc>
        <w:tc>
          <w:tcPr>
            <w:tcW w:w="0" w:type="dxa"/>
            <w:vAlign w:val="bottom"/>
          </w:tcPr>
          <w:p>
            <w:pPr>
              <w:spacing w:after="0"/>
              <w:rPr>
                <w:sz w:val="1"/>
                <w:szCs w:val="1"/>
                <w:color w:val="auto"/>
              </w:rPr>
            </w:pPr>
          </w:p>
        </w:tc>
      </w:tr>
      <w:tr>
        <w:trPr>
          <w:trHeight w:val="183"/>
        </w:trPr>
        <w:tc>
          <w:tcPr>
            <w:tcW w:w="8020" w:type="dxa"/>
            <w:vAlign w:val="bottom"/>
            <w:gridSpan w:val="2"/>
          </w:tcPr>
          <w:p>
            <w:pPr>
              <w:ind w:left="140"/>
              <w:spacing w:after="0"/>
              <w:rPr>
                <w:sz w:val="20"/>
                <w:szCs w:val="20"/>
                <w:color w:val="auto"/>
              </w:rPr>
            </w:pPr>
            <w:r>
              <w:rPr>
                <w:rFonts w:ascii="Arial" w:cs="Arial" w:eastAsia="Arial" w:hAnsi="Arial"/>
                <w:sz w:val="14"/>
                <w:szCs w:val="14"/>
                <w:color w:val="auto"/>
              </w:rPr>
              <w:t>Accumulated other comprehensive income (loss)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8"/>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Retained Earnings</w:t>
            </w:r>
          </w:p>
        </w:tc>
        <w:tc>
          <w:tcPr>
            <w:tcW w:w="10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3"/>
        </w:trPr>
        <w:tc>
          <w:tcPr>
            <w:tcW w:w="8020" w:type="dxa"/>
            <w:vAlign w:val="bottom"/>
            <w:gridSpan w:val="2"/>
          </w:tcPr>
          <w:p>
            <w:pPr>
              <w:ind w:left="140"/>
              <w:spacing w:after="0"/>
              <w:rPr>
                <w:sz w:val="20"/>
                <w:szCs w:val="20"/>
                <w:color w:val="auto"/>
              </w:rPr>
            </w:pPr>
            <w:r>
              <w:rPr>
                <w:rFonts w:ascii="Arial" w:cs="Arial" w:eastAsia="Arial" w:hAnsi="Arial"/>
                <w:sz w:val="14"/>
                <w:szCs w:val="14"/>
                <w:color w:val="auto"/>
              </w:rPr>
              <w:t>Noncontrolling interests</w:t>
            </w:r>
          </w:p>
        </w:tc>
        <w:tc>
          <w:tcPr>
            <w:tcW w:w="100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436.8</w:t>
            </w:r>
          </w:p>
        </w:tc>
        <w:tc>
          <w:tcPr>
            <w:tcW w:w="0" w:type="dxa"/>
            <w:vAlign w:val="bottom"/>
          </w:tcPr>
          <w:p>
            <w:pPr>
              <w:spacing w:after="0"/>
              <w:rPr>
                <w:sz w:val="1"/>
                <w:szCs w:val="1"/>
                <w:color w:val="auto"/>
              </w:rPr>
            </w:pPr>
          </w:p>
        </w:tc>
      </w:tr>
      <w:tr>
        <w:trPr>
          <w:trHeight w:val="179"/>
        </w:trPr>
        <w:tc>
          <w:tcPr>
            <w:tcW w:w="8020" w:type="dxa"/>
            <w:vAlign w:val="bottom"/>
            <w:tcBorders>
              <w:top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Total equity</w:t>
            </w:r>
          </w:p>
        </w:tc>
        <w:tc>
          <w:tcPr>
            <w:tcW w:w="1000" w:type="dxa"/>
            <w:vAlign w:val="bottom"/>
            <w:tcBorders>
              <w:top w:val="single" w:sz="8" w:color="auto"/>
              <w:bottom w:val="single" w:sz="8" w:color="auto"/>
            </w:tcBorders>
            <w:shd w:val="clear" w:color="auto" w:fill="CCEEFF"/>
          </w:tcPr>
          <w:p>
            <w:pPr>
              <w:spacing w:after="0"/>
              <w:rPr>
                <w:sz w:val="15"/>
                <w:szCs w:val="15"/>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1,997.9</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182"/>
        </w:trPr>
        <w:tc>
          <w:tcPr>
            <w:tcW w:w="8020" w:type="dxa"/>
            <w:vAlign w:val="bottom"/>
            <w:gridSpan w:val="2"/>
          </w:tcPr>
          <w:p>
            <w:pPr>
              <w:ind w:left="460"/>
              <w:spacing w:after="0"/>
              <w:rPr>
                <w:sz w:val="20"/>
                <w:szCs w:val="20"/>
                <w:color w:val="auto"/>
              </w:rPr>
            </w:pPr>
            <w:r>
              <w:rPr>
                <w:rFonts w:ascii="Arial" w:cs="Arial" w:eastAsia="Arial" w:hAnsi="Arial"/>
                <w:sz w:val="14"/>
                <w:szCs w:val="14"/>
                <w:color w:val="auto"/>
              </w:rPr>
              <w:t>Total liabilities and permanent equity</w:t>
            </w:r>
          </w:p>
        </w:tc>
        <w:tc>
          <w:tcPr>
            <w:tcW w:w="1000" w:type="dxa"/>
            <w:vAlign w:val="bottom"/>
            <w:tcBorders>
              <w:bottom w:val="single" w:sz="8" w:color="auto"/>
            </w:tcBorders>
          </w:tcPr>
          <w:p>
            <w:pPr>
              <w:jc w:val="right"/>
              <w:ind w:right="82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6,852.9</w:t>
            </w:r>
          </w:p>
        </w:tc>
        <w:tc>
          <w:tcPr>
            <w:tcW w:w="100" w:type="dxa"/>
            <w:vAlign w:val="bottom"/>
          </w:tcPr>
          <w:p>
            <w:pPr>
              <w:spacing w:after="0"/>
              <w:rPr>
                <w:sz w:val="15"/>
                <w:szCs w:val="15"/>
                <w:color w:val="auto"/>
              </w:rPr>
            </w:pPr>
          </w:p>
        </w:tc>
        <w:tc>
          <w:tcPr>
            <w:tcW w:w="5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2,327.4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jc w:val="both"/>
        <w:ind w:left="320" w:hanging="314"/>
        <w:spacing w:after="0" w:line="242" w:lineRule="auto"/>
        <w:tabs>
          <w:tab w:leader="none" w:pos="312" w:val="left"/>
        </w:tabs>
        <w:numPr>
          <w:ilvl w:val="0"/>
          <w:numId w:val="36"/>
        </w:numPr>
        <w:rPr>
          <w:rFonts w:ascii="Arial" w:cs="Arial" w:eastAsia="Arial" w:hAnsi="Arial"/>
          <w:sz w:val="14"/>
          <w:szCs w:val="14"/>
          <w:color w:val="auto"/>
        </w:rPr>
      </w:pPr>
      <w:r>
        <w:rPr>
          <w:rFonts w:ascii="Arial" w:cs="Arial" w:eastAsia="Arial" w:hAnsi="Arial"/>
          <w:sz w:val="14"/>
          <w:szCs w:val="14"/>
          <w:color w:val="auto"/>
        </w:rPr>
        <w:t>December 31, 2020 balances presented represent shares of Old ZoomInfo, while December 31, 2021 represent shares of New ZoomInfo due to the UP-C Corporate Structure and Multi-Class Voting Structure Elimination as described in Note 1 - Organization and Background. Refer to Note 12 - Stockholders' Equity and Members' Deficit for descriptions of our authorized capital stock.</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 except per share amounts)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Cost of service:</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Cost of service</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of acquired technology</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line="22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line="225"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2"/>
                <w:szCs w:val="22"/>
                <w:color w:val="auto"/>
                <w:vertAlign w:val="superscript"/>
              </w:rPr>
              <w:t>(2)</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line="225"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Amortization of other acquired intangibles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transaction related expenses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debt modification and extinguishment</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(income) expense, net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Net income (loss)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153"/>
        </w:trPr>
        <w:tc>
          <w:tcPr>
            <w:tcW w:w="6360" w:type="dxa"/>
            <w:vAlign w:val="bottom"/>
          </w:tcPr>
          <w:p>
            <w:pPr>
              <w:ind w:left="20"/>
              <w:spacing w:after="0" w:line="154" w:lineRule="exact"/>
              <w:rPr>
                <w:sz w:val="20"/>
                <w:szCs w:val="20"/>
                <w:color w:val="auto"/>
              </w:rPr>
            </w:pPr>
            <w:r>
              <w:rPr>
                <w:rFonts w:ascii="Arial" w:cs="Arial" w:eastAsia="Arial" w:hAnsi="Arial"/>
                <w:sz w:val="17"/>
                <w:szCs w:val="17"/>
                <w:color w:val="auto"/>
              </w:rPr>
              <w:t>Less: Net income (loss) attributable to ZoomInfo OpCo prior to the Reorganization</w:t>
            </w:r>
          </w:p>
        </w:tc>
        <w:tc>
          <w:tcPr>
            <w:tcW w:w="102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Transactions</w:t>
            </w:r>
          </w:p>
        </w:tc>
        <w:tc>
          <w:tcPr>
            <w:tcW w:w="10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income (loss) attributable to noncontrolling interests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40"/>
              <w:spacing w:after="0"/>
              <w:rPr>
                <w:sz w:val="20"/>
                <w:szCs w:val="20"/>
                <w:color w:val="auto"/>
              </w:rPr>
            </w:pPr>
            <w:r>
              <w:rPr>
                <w:rFonts w:ascii="Arial" w:cs="Arial" w:eastAsia="Arial" w:hAnsi="Arial"/>
                <w:sz w:val="18"/>
                <w:szCs w:val="18"/>
                <w:b w:val="1"/>
                <w:bCs w:val="1"/>
                <w:color w:val="auto"/>
              </w:rPr>
              <w:t>Net income (loss) attributable to ZoomInfo Technologies Inc.</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116.8</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636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line="225" w:lineRule="exact"/>
              <w:rPr>
                <w:sz w:val="20"/>
                <w:szCs w:val="20"/>
                <w:color w:val="auto"/>
              </w:rPr>
            </w:pPr>
            <w:r>
              <w:rPr>
                <w:rFonts w:ascii="Arial" w:cs="Arial" w:eastAsia="Arial" w:hAnsi="Arial"/>
                <w:sz w:val="18"/>
                <w:szCs w:val="18"/>
                <w:color w:val="auto"/>
              </w:rPr>
              <w:t>Net income (loss) per share of Class A and Class C common stock</w:t>
            </w:r>
            <w:r>
              <w:rPr>
                <w:rFonts w:ascii="Arial" w:cs="Arial" w:eastAsia="Arial" w:hAnsi="Arial"/>
                <w:sz w:val="22"/>
                <w:szCs w:val="22"/>
                <w:color w:val="auto"/>
                <w:vertAlign w:val="superscript"/>
              </w:rPr>
              <w:t>(1)</w:t>
            </w: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64"/>
        </w:trPr>
        <w:tc>
          <w:tcPr>
            <w:tcW w:w="6360" w:type="dxa"/>
            <w:vAlign w:val="bottom"/>
          </w:tcPr>
          <w:p>
            <w:pPr>
              <w:ind w:left="340"/>
              <w:spacing w:after="0"/>
              <w:rPr>
                <w:sz w:val="20"/>
                <w:szCs w:val="20"/>
                <w:color w:val="auto"/>
              </w:rPr>
            </w:pPr>
            <w:r>
              <w:rPr>
                <w:rFonts w:ascii="Arial" w:cs="Arial" w:eastAsia="Arial" w:hAnsi="Arial"/>
                <w:sz w:val="18"/>
                <w:szCs w:val="18"/>
                <w:color w:val="auto"/>
              </w:rPr>
              <w:t>Diluted</w:t>
            </w:r>
          </w:p>
        </w:tc>
        <w:tc>
          <w:tcPr>
            <w:tcW w:w="1020" w:type="dxa"/>
            <w:vAlign w:val="bottom"/>
          </w:tcPr>
          <w:p>
            <w:pPr>
              <w:jc w:val="right"/>
              <w:ind w:right="815"/>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0.43</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0" w:lineRule="exact"/>
        <w:rPr>
          <w:sz w:val="20"/>
          <w:szCs w:val="20"/>
          <w:color w:val="auto"/>
        </w:rPr>
      </w:pPr>
    </w:p>
    <w:p>
      <w:pPr>
        <w:jc w:val="both"/>
        <w:ind w:left="320" w:hanging="314"/>
        <w:spacing w:after="0" w:line="237" w:lineRule="auto"/>
        <w:tabs>
          <w:tab w:leader="none" w:pos="312"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Basic and diluted net income (loss) per share of Class A and Class C common stock is applicable only for periods after the initial public offering ("IPO") and related Reorganization Transactions (as defined in Note 1 - Organization and Background to the Consolidated Financial Statements). Basic and diluted net income (loss) per share for the year ended December 31, 2021 assumes all Old ZoomInfo shares at the time of the UP-C Corporate Structure and Multi-Class Voting Structure Elimination (as defined in Note 1 - Organization and Background to the Consolidated Financial Statements) equal shares of New ZoomInfo. Refer to Note 14 - Earnings Per Share for the number of shares used in the computation of net income (loss) per share of Class A and Class C common stock and the basis for the computation of net income (loss) per share.</w:t>
      </w:r>
    </w:p>
    <w:p>
      <w:pPr>
        <w:ind w:left="320" w:hanging="314"/>
        <w:spacing w:after="0"/>
        <w:tabs>
          <w:tab w:leader="none" w:pos="32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Amounts include equity-based compensation expense, as follows:</w:t>
      </w:r>
    </w:p>
    <w:p>
      <w:pPr>
        <w:spacing w:after="0" w:line="101" w:lineRule="exact"/>
        <w:rPr>
          <w:sz w:val="20"/>
          <w:szCs w:val="20"/>
          <w:color w:val="auto"/>
        </w:rPr>
      </w:pPr>
    </w:p>
    <w:tbl>
      <w:tblPr>
        <w:tblLayout w:type="fixed"/>
        <w:tblInd w:w="320" w:type="dxa"/>
        <w:tblCellMar>
          <w:top w:w="0" w:type="dxa"/>
          <w:left w:w="0" w:type="dxa"/>
          <w:bottom w:w="0" w:type="dxa"/>
          <w:right w:w="0" w:type="dxa"/>
        </w:tblCellMar>
      </w:tblPr>
      <w:tr>
        <w:trPr>
          <w:trHeight w:val="188"/>
        </w:trPr>
        <w:tc>
          <w:tcPr>
            <w:tcW w:w="6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93"/>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2019</w:t>
            </w:r>
          </w:p>
        </w:tc>
      </w:tr>
      <w:tr>
        <w:trPr>
          <w:trHeight w:val="211"/>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service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r>
      <w:tr>
        <w:trPr>
          <w:trHeight w:val="207"/>
        </w:trPr>
        <w:tc>
          <w:tcPr>
            <w:tcW w:w="616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62.6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18"/>
        </w:trPr>
        <w:tc>
          <w:tcPr>
            <w:tcW w:w="6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06"/>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r>
      <w:tr>
        <w:trPr>
          <w:trHeight w:val="231"/>
        </w:trPr>
        <w:tc>
          <w:tcPr>
            <w:tcW w:w="61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equity-based compensation expense</w:t>
            </w:r>
          </w:p>
        </w:tc>
        <w:tc>
          <w:tcPr>
            <w:tcW w:w="36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cash flow hedges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6360" w:type="dxa"/>
            <w:vAlign w:val="bottom"/>
          </w:tcPr>
          <w:p>
            <w:pPr>
              <w:ind w:left="220"/>
              <w:spacing w:after="0"/>
              <w:rPr>
                <w:sz w:val="20"/>
                <w:szCs w:val="20"/>
                <w:color w:val="auto"/>
              </w:rPr>
            </w:pPr>
            <w:r>
              <w:rPr>
                <w:rFonts w:ascii="Arial" w:cs="Arial" w:eastAsia="Arial" w:hAnsi="Arial"/>
                <w:sz w:val="18"/>
                <w:szCs w:val="18"/>
                <w:color w:val="auto"/>
              </w:rPr>
              <w:t>Realized loss (gain) on settlement of cash flow hedges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Amortization of deferred losses related to the dedesignated Interest Rate Swap</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 before tax</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Tax effect</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9"/>
        </w:trPr>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w:t>
            </w:r>
          </w:p>
        </w:tc>
        <w:tc>
          <w:tcPr>
            <w:tcW w:w="10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173"/>
        </w:trPr>
        <w:tc>
          <w:tcPr>
            <w:tcW w:w="6360" w:type="dxa"/>
            <w:vAlign w:val="bottom"/>
          </w:tcPr>
          <w:p>
            <w:pPr>
              <w:ind w:left="240"/>
              <w:spacing w:after="0" w:line="173" w:lineRule="exact"/>
              <w:rPr>
                <w:sz w:val="20"/>
                <w:szCs w:val="20"/>
                <w:color w:val="auto"/>
              </w:rPr>
            </w:pPr>
            <w:r>
              <w:rPr>
                <w:rFonts w:ascii="Arial" w:cs="Arial" w:eastAsia="Arial" w:hAnsi="Arial"/>
                <w:sz w:val="18"/>
                <w:szCs w:val="18"/>
                <w:color w:val="auto"/>
              </w:rPr>
              <w:t>Less: Comprehensive income attributable to ZoomInfo OpCo prior to the</w:t>
            </w:r>
          </w:p>
        </w:tc>
        <w:tc>
          <w:tcPr>
            <w:tcW w:w="10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24"/>
        </w:trPr>
        <w:tc>
          <w:tcPr>
            <w:tcW w:w="6360" w:type="dxa"/>
            <w:vAlign w:val="bottom"/>
          </w:tcPr>
          <w:p>
            <w:pPr>
              <w:ind w:left="240"/>
              <w:spacing w:after="0"/>
              <w:rPr>
                <w:sz w:val="20"/>
                <w:szCs w:val="20"/>
                <w:color w:val="auto"/>
              </w:rPr>
            </w:pPr>
            <w:r>
              <w:rPr>
                <w:rFonts w:ascii="Arial" w:cs="Arial" w:eastAsia="Arial" w:hAnsi="Arial"/>
                <w:sz w:val="18"/>
                <w:szCs w:val="18"/>
                <w:color w:val="auto"/>
              </w:rPr>
              <w:t>Reorganization Transactions</w:t>
            </w:r>
          </w:p>
        </w:tc>
        <w:tc>
          <w:tcPr>
            <w:tcW w:w="102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ZoomInfo Technologies Inc.</w:t>
            </w:r>
          </w:p>
        </w:tc>
        <w:tc>
          <w:tcPr>
            <w:tcW w:w="1020" w:type="dxa"/>
            <w:vAlign w:val="bottom"/>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127.5</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Arial" w:cs="Arial" w:eastAsia="Arial" w:hAnsi="Arial"/>
          <w:sz w:val="15"/>
          <w:szCs w:val="15"/>
          <w:b w:val="1"/>
          <w:bCs w:val="1"/>
          <w:color w:val="auto"/>
        </w:rPr>
        <w:t>Consolidated Statements of Changes in Equity (Deficit)</w:t>
      </w:r>
    </w:p>
    <w:p>
      <w:pPr>
        <w:spacing w:after="0" w:line="99" w:lineRule="exact"/>
        <w:rPr>
          <w:sz w:val="20"/>
          <w:szCs w:val="20"/>
          <w:color w:val="auto"/>
        </w:rPr>
      </w:pPr>
    </w:p>
    <w:tbl>
      <w:tblPr>
        <w:tblLayout w:type="fixed"/>
        <w:tblInd w:w="306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2840" w:type="dxa"/>
            <w:vAlign w:val="bottom"/>
          </w:tcPr>
          <w:p>
            <w:pPr>
              <w:jc w:val="right"/>
              <w:ind w:right="163"/>
              <w:spacing w:after="0"/>
              <w:rPr>
                <w:sz w:val="20"/>
                <w:szCs w:val="20"/>
                <w:color w:val="auto"/>
              </w:rPr>
            </w:pPr>
            <w:r>
              <w:rPr>
                <w:rFonts w:ascii="Arial" w:cs="Arial" w:eastAsia="Arial" w:hAnsi="Arial"/>
                <w:sz w:val="18"/>
                <w:szCs w:val="18"/>
                <w:b w:val="1"/>
                <w:bCs w:val="1"/>
                <w:i w:val="1"/>
                <w:iCs w:val="1"/>
                <w:color w:val="auto"/>
                <w:w w:val="98"/>
              </w:rPr>
              <w:t>(in millions, except share data)</w:t>
            </w:r>
          </w:p>
        </w:tc>
        <w:tc>
          <w:tcPr>
            <w:tcW w:w="0" w:type="dxa"/>
            <w:vAlign w:val="bottom"/>
          </w:tcPr>
          <w:p>
            <w:pPr>
              <w:spacing w:after="0"/>
              <w:rPr>
                <w:sz w:val="1"/>
                <w:szCs w:val="1"/>
                <w:color w:val="auto"/>
              </w:rPr>
            </w:pPr>
          </w:p>
        </w:tc>
      </w:tr>
      <w:tr>
        <w:trPr>
          <w:trHeight w:val="266"/>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Old ZoomInfo</w:t>
            </w: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New ZoomInfo</w:t>
            </w:r>
          </w:p>
        </w:tc>
        <w:tc>
          <w:tcPr>
            <w:tcW w:w="0" w:type="dxa"/>
            <w:vAlign w:val="bottom"/>
          </w:tcPr>
          <w:p>
            <w:pPr>
              <w:spacing w:after="0"/>
              <w:rPr>
                <w:sz w:val="1"/>
                <w:szCs w:val="1"/>
                <w:color w:val="auto"/>
              </w:rPr>
            </w:pPr>
          </w:p>
        </w:tc>
      </w:tr>
      <w:tr>
        <w:trPr>
          <w:trHeight w:val="184"/>
        </w:trPr>
        <w:tc>
          <w:tcPr>
            <w:tcW w:w="1240" w:type="dxa"/>
            <w:vAlign w:val="bottom"/>
            <w:vMerge w:val="continue"/>
          </w:tcPr>
          <w:p>
            <w:pPr>
              <w:spacing w:after="0"/>
              <w:rPr>
                <w:sz w:val="15"/>
                <w:szCs w:val="15"/>
                <w:color w:val="auto"/>
              </w:rPr>
            </w:pPr>
          </w:p>
        </w:tc>
        <w:tc>
          <w:tcPr>
            <w:tcW w:w="2840" w:type="dxa"/>
            <w:vAlign w:val="bottom"/>
          </w:tcPr>
          <w:p>
            <w:pPr>
              <w:jc w:val="right"/>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Class A</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B</w:t>
            </w: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Class C</w:t>
            </w:r>
          </w:p>
        </w:tc>
        <w:tc>
          <w:tcPr>
            <w:tcW w:w="600" w:type="dxa"/>
            <w:vAlign w:val="bottom"/>
            <w:gridSpan w:val="2"/>
          </w:tcPr>
          <w:p>
            <w:pPr>
              <w:jc w:val="right"/>
              <w:ind w:right="9"/>
              <w:spacing w:after="0"/>
              <w:rPr>
                <w:sz w:val="20"/>
                <w:szCs w:val="20"/>
                <w:color w:val="auto"/>
              </w:rPr>
            </w:pPr>
            <w:r>
              <w:rPr>
                <w:rFonts w:ascii="Arial" w:cs="Arial" w:eastAsia="Arial" w:hAnsi="Arial"/>
                <w:sz w:val="14"/>
                <w:szCs w:val="14"/>
                <w:b w:val="1"/>
                <w:bCs w:val="1"/>
                <w:color w:val="auto"/>
                <w:w w:val="97"/>
              </w:rPr>
              <w:t>Class C</w:t>
            </w:r>
          </w:p>
        </w:tc>
        <w:tc>
          <w:tcPr>
            <w:tcW w:w="0" w:type="dxa"/>
            <w:vAlign w:val="bottom"/>
          </w:tcPr>
          <w:p>
            <w:pPr>
              <w:spacing w:after="0"/>
              <w:rPr>
                <w:sz w:val="1"/>
                <w:szCs w:val="1"/>
                <w:color w:val="auto"/>
              </w:rPr>
            </w:pPr>
          </w:p>
        </w:tc>
      </w:tr>
      <w:tr>
        <w:trPr>
          <w:trHeight w:val="184"/>
        </w:trPr>
        <w:tc>
          <w:tcPr>
            <w:tcW w:w="1180" w:type="dxa"/>
            <w:vAlign w:val="bottom"/>
          </w:tcPr>
          <w:p>
            <w:pPr>
              <w:spacing w:after="0"/>
              <w:rPr>
                <w:sz w:val="15"/>
                <w:szCs w:val="15"/>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14"/>
        </w:trPr>
        <w:tc>
          <w:tcPr>
            <w:tcW w:w="1180" w:type="dxa"/>
            <w:vAlign w:val="bottom"/>
          </w:tcPr>
          <w:p>
            <w:pPr>
              <w:spacing w:after="0" w:line="114" w:lineRule="exact"/>
              <w:rPr>
                <w:sz w:val="20"/>
                <w:szCs w:val="20"/>
                <w:color w:val="auto"/>
              </w:rPr>
            </w:pPr>
            <w:r>
              <w:rPr>
                <w:rFonts w:ascii="Arial" w:cs="Arial" w:eastAsia="Arial" w:hAnsi="Arial"/>
                <w:sz w:val="13"/>
                <w:szCs w:val="13"/>
                <w:color w:val="auto"/>
              </w:rPr>
              <w:t>Balance,</w:t>
            </w:r>
          </w:p>
        </w:tc>
        <w:tc>
          <w:tcPr>
            <w:tcW w:w="8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December 31,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87,697,381</w:t>
            </w:r>
          </w:p>
        </w:tc>
        <w:tc>
          <w:tcPr>
            <w:tcW w:w="80" w:type="dxa"/>
            <w:vAlign w:val="bottom"/>
          </w:tcPr>
          <w:p>
            <w:pPr>
              <w:spacing w:after="0"/>
              <w:rPr>
                <w:sz w:val="11"/>
                <w:szCs w:val="11"/>
                <w:color w:val="auto"/>
              </w:rPr>
            </w:pPr>
          </w:p>
        </w:tc>
        <w:tc>
          <w:tcPr>
            <w:tcW w:w="180" w:type="dxa"/>
            <w:vAlign w:val="bottom"/>
            <w:vMerge w:val="restart"/>
          </w:tcPr>
          <w:p>
            <w:pPr>
              <w:jc w:val="right"/>
              <w:ind w:right="29"/>
              <w:spacing w:after="0"/>
              <w:rPr>
                <w:sz w:val="20"/>
                <w:szCs w:val="20"/>
                <w:color w:val="auto"/>
              </w:rPr>
            </w:pPr>
            <w:r>
              <w:rPr>
                <w:rFonts w:ascii="Arial" w:cs="Arial" w:eastAsia="Arial" w:hAnsi="Arial"/>
                <w:sz w:val="14"/>
                <w:szCs w:val="14"/>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5"/>
              </w:rPr>
              <w:t>216,652,704</w:t>
            </w:r>
          </w:p>
        </w:tc>
        <w:tc>
          <w:tcPr>
            <w:tcW w:w="80" w:type="dxa"/>
            <w:vAlign w:val="bottom"/>
          </w:tcPr>
          <w:p>
            <w:pPr>
              <w:spacing w:after="0"/>
              <w:rPr>
                <w:sz w:val="11"/>
                <w:szCs w:val="11"/>
                <w:color w:val="auto"/>
              </w:rPr>
            </w:pPr>
          </w:p>
        </w:tc>
        <w:tc>
          <w:tcPr>
            <w:tcW w:w="20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6"/>
              </w:rPr>
              <w:t>86,123,230</w:t>
            </w:r>
          </w:p>
        </w:tc>
        <w:tc>
          <w:tcPr>
            <w:tcW w:w="80" w:type="dxa"/>
            <w:vAlign w:val="bottom"/>
          </w:tcPr>
          <w:p>
            <w:pPr>
              <w:spacing w:after="0"/>
              <w:rPr>
                <w:sz w:val="11"/>
                <w:szCs w:val="11"/>
                <w:color w:val="auto"/>
              </w:rPr>
            </w:pPr>
          </w:p>
        </w:tc>
        <w:tc>
          <w:tcPr>
            <w:tcW w:w="200" w:type="dxa"/>
            <w:vAlign w:val="bottom"/>
            <w:vMerge w:val="restart"/>
          </w:tcPr>
          <w:p>
            <w:pPr>
              <w:jc w:val="right"/>
              <w:ind w:right="49"/>
              <w:spacing w:after="0"/>
              <w:rPr>
                <w:sz w:val="20"/>
                <w:szCs w:val="20"/>
                <w:color w:val="auto"/>
              </w:rPr>
            </w:pPr>
            <w:r>
              <w:rPr>
                <w:rFonts w:ascii="Arial" w:cs="Arial" w:eastAsia="Arial" w:hAnsi="Arial"/>
                <w:sz w:val="14"/>
                <w:szCs w:val="14"/>
                <w:color w:val="auto"/>
                <w:w w:val="76"/>
              </w:rPr>
              <w:t>$</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2020</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Effect of LLC</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7"/>
              </w:rPr>
              <w:t>287,441,782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1"/>
              </w:rPr>
              <w:t>(194,270,370)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(86,123,230)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Unit Exchanges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Effect of</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Corporate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Structure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Simplification</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Transactions</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Issuance of Class</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A common stock</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upon vesting of</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306,178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RSUs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Shares withheld</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w w:val="96"/>
              </w:rPr>
              <w:t>related to net share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settlement and</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(118,664)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other</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Exercise of stock</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65,994</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options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Forfeitures /</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(10,391)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(43,557)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cancellations</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Registered</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offering costs</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Net income (loss)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4"/>
        </w:trPr>
        <w:tc>
          <w:tcPr>
            <w:tcW w:w="1180" w:type="dxa"/>
            <w:vAlign w:val="bottom"/>
          </w:tcPr>
          <w:p>
            <w:pPr>
              <w:spacing w:after="0" w:line="143" w:lineRule="exact"/>
              <w:rPr>
                <w:sz w:val="20"/>
                <w:szCs w:val="20"/>
                <w:color w:val="auto"/>
              </w:rPr>
            </w:pPr>
            <w:r>
              <w:rPr>
                <w:rFonts w:ascii="Arial" w:cs="Arial" w:eastAsia="Arial" w:hAnsi="Arial"/>
                <w:sz w:val="14"/>
                <w:szCs w:val="14"/>
                <w:color w:val="auto"/>
              </w:rPr>
              <w:t>Other</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comprehensive</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income</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Paid and accrued</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tax distributions</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Equity-based</w:t>
            </w: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compensation</w:t>
            </w: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180" w:type="dxa"/>
            <w:vAlign w:val="bottom"/>
          </w:tcPr>
          <w:p>
            <w:pPr>
              <w:spacing w:after="0" w:line="138" w:lineRule="exact"/>
              <w:rPr>
                <w:sz w:val="20"/>
                <w:szCs w:val="20"/>
                <w:color w:val="auto"/>
              </w:rPr>
            </w:pPr>
            <w:r>
              <w:rPr>
                <w:rFonts w:ascii="Arial" w:cs="Arial" w:eastAsia="Arial" w:hAnsi="Arial"/>
                <w:sz w:val="14"/>
                <w:szCs w:val="14"/>
                <w:color w:val="auto"/>
              </w:rPr>
              <w:t>Effect of UP-C</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Corporate</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Structure and</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color w:val="auto"/>
              </w:rPr>
              <w:t>Multi-Class Voting</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180" w:type="dxa"/>
            <w:vAlign w:val="bottom"/>
          </w:tcPr>
          <w:p>
            <w:pPr>
              <w:spacing w:after="0" w:line="133" w:lineRule="exact"/>
              <w:rPr>
                <w:sz w:val="20"/>
                <w:szCs w:val="20"/>
                <w:color w:val="auto"/>
              </w:rPr>
            </w:pPr>
            <w:r>
              <w:rPr>
                <w:rFonts w:ascii="Arial" w:cs="Arial" w:eastAsia="Arial" w:hAnsi="Arial"/>
                <w:sz w:val="14"/>
                <w:szCs w:val="14"/>
                <w:color w:val="auto"/>
              </w:rPr>
              <w:t>Structure</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w w:val="91"/>
              </w:rPr>
              <w:t>(375,382,280)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w w:val="98"/>
              </w:rPr>
              <w:t>(22,338,777)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20"/>
                <w:szCs w:val="20"/>
                <w:color w:val="auto"/>
              </w:rPr>
            </w:pPr>
            <w:r>
              <w:rPr>
                <w:rFonts w:ascii="Arial" w:cs="Arial" w:eastAsia="Arial" w:hAnsi="Arial"/>
                <w:sz w:val="14"/>
                <w:szCs w:val="14"/>
                <w:color w:val="auto"/>
              </w:rPr>
              <w:t>Elimination</w:t>
            </w: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180" w:type="dxa"/>
            <w:vAlign w:val="bottom"/>
          </w:tcPr>
          <w:p>
            <w:pPr>
              <w:spacing w:after="0" w:line="118" w:lineRule="exact"/>
              <w:rPr>
                <w:sz w:val="20"/>
                <w:szCs w:val="20"/>
                <w:color w:val="auto"/>
              </w:rPr>
            </w:pPr>
            <w:r>
              <w:rPr>
                <w:rFonts w:ascii="Arial" w:cs="Arial" w:eastAsia="Arial" w:hAnsi="Arial"/>
                <w:sz w:val="13"/>
                <w:szCs w:val="13"/>
                <w:b w:val="1"/>
                <w:bCs w:val="1"/>
                <w:color w:val="auto"/>
              </w:rPr>
              <w:t>Balance,</w:t>
            </w:r>
          </w:p>
        </w:tc>
        <w:tc>
          <w:tcPr>
            <w:tcW w:w="8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80" w:type="dxa"/>
            <w:vAlign w:val="bottom"/>
          </w:tcPr>
          <w:p>
            <w:pPr>
              <w:spacing w:after="0" w:line="133" w:lineRule="exact"/>
              <w:rPr>
                <w:sz w:val="20"/>
                <w:szCs w:val="20"/>
                <w:color w:val="auto"/>
              </w:rPr>
            </w:pPr>
            <w:r>
              <w:rPr>
                <w:rFonts w:ascii="Arial" w:cs="Arial" w:eastAsia="Arial" w:hAnsi="Arial"/>
                <w:sz w:val="14"/>
                <w:szCs w:val="14"/>
                <w:b w:val="1"/>
                <w:bCs w:val="1"/>
                <w:color w:val="auto"/>
              </w:rPr>
              <w:t>December 31,</w:t>
            </w:r>
          </w:p>
        </w:tc>
        <w:tc>
          <w:tcPr>
            <w:tcW w:w="110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  $</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10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  $</w:t>
            </w: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gridSpan w:val="3"/>
            <w:vMerge w:val="restart"/>
          </w:tcPr>
          <w:p>
            <w:pPr>
              <w:jc w:val="right"/>
              <w:ind w:right="49"/>
              <w:spacing w:after="0"/>
              <w:rPr>
                <w:sz w:val="20"/>
                <w:szCs w:val="20"/>
                <w:color w:val="auto"/>
              </w:rPr>
            </w:pPr>
            <w:r>
              <w:rPr>
                <w:rFonts w:ascii="Arial" w:cs="Arial" w:eastAsia="Arial" w:hAnsi="Arial"/>
                <w:sz w:val="14"/>
                <w:szCs w:val="14"/>
                <w:color w:val="auto"/>
              </w:rPr>
              <w:t>—  $</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180" w:type="dxa"/>
            <w:vAlign w:val="bottom"/>
          </w:tcPr>
          <w:p>
            <w:pPr>
              <w:spacing w:after="0" w:line="159" w:lineRule="exact"/>
              <w:rPr>
                <w:sz w:val="20"/>
                <w:szCs w:val="20"/>
                <w:color w:val="auto"/>
              </w:rPr>
            </w:pPr>
            <w:r>
              <w:rPr>
                <w:rFonts w:ascii="Arial" w:cs="Arial" w:eastAsia="Arial" w:hAnsi="Arial"/>
                <w:sz w:val="14"/>
                <w:szCs w:val="14"/>
                <w:b w:val="1"/>
                <w:bCs w:val="1"/>
                <w:color w:val="auto"/>
              </w:rPr>
              <w:t>2021</w:t>
            </w:r>
          </w:p>
        </w:tc>
        <w:tc>
          <w:tcPr>
            <w:tcW w:w="1100" w:type="dxa"/>
            <w:vAlign w:val="bottom"/>
            <w:gridSpan w:val="3"/>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100" w:type="dxa"/>
            <w:vAlign w:val="bottom"/>
            <w:gridSpan w:val="3"/>
            <w:vMerge w:val="continue"/>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-4222750</wp:posOffset>
            </wp:positionV>
            <wp:extent cx="7134860" cy="4206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860" cy="4206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ind w:left="20"/>
              <w:spacing w:after="0" w:line="134" w:lineRule="exact"/>
              <w:rPr>
                <w:sz w:val="20"/>
                <w:szCs w:val="20"/>
                <w:color w:val="auto"/>
              </w:rPr>
            </w:pPr>
            <w:r>
              <w:rPr>
                <w:rFonts w:ascii="Arial" w:cs="Arial" w:eastAsia="Arial" w:hAnsi="Arial"/>
                <w:sz w:val="14"/>
                <w:szCs w:val="14"/>
                <w:b w:val="1"/>
                <w:bCs w:val="1"/>
                <w:color w:val="auto"/>
              </w:rPr>
              <w:t>Additional</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52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780" w:type="dxa"/>
            <w:vAlign w:val="bottom"/>
            <w:vMerge w:val="restart"/>
          </w:tcPr>
          <w:p>
            <w:pPr>
              <w:jc w:val="right"/>
              <w:ind w:right="129"/>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paid-in</w:t>
            </w:r>
          </w:p>
        </w:tc>
        <w:tc>
          <w:tcPr>
            <w:tcW w:w="720" w:type="dxa"/>
            <w:vAlign w:val="bottom"/>
            <w:gridSpan w:val="3"/>
            <w:vMerge w:val="continue"/>
          </w:tcPr>
          <w:p>
            <w:pPr>
              <w:spacing w:after="0"/>
              <w:rPr>
                <w:sz w:val="11"/>
                <w:szCs w:val="11"/>
                <w:color w:val="auto"/>
              </w:rPr>
            </w:pPr>
          </w:p>
        </w:tc>
        <w:tc>
          <w:tcPr>
            <w:tcW w:w="520" w:type="dxa"/>
            <w:vAlign w:val="bottom"/>
            <w:gridSpan w:val="2"/>
            <w:vMerge w:val="restart"/>
          </w:tcPr>
          <w:p>
            <w:pPr>
              <w:jc w:val="right"/>
              <w:ind w:right="9"/>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6"/>
                <w:szCs w:val="16"/>
                <w:color w:val="auto"/>
              </w:rPr>
            </w:pPr>
          </w:p>
        </w:tc>
        <w:tc>
          <w:tcPr>
            <w:tcW w:w="6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6"/>
                <w:szCs w:val="16"/>
                <w:color w:val="auto"/>
              </w:rPr>
            </w:pPr>
          </w:p>
        </w:tc>
        <w:tc>
          <w:tcPr>
            <w:tcW w:w="520" w:type="dxa"/>
            <w:vAlign w:val="bottom"/>
            <w:tcBorders>
              <w:bottom w:val="single" w:sz="8" w:color="auto"/>
            </w:tcBorders>
            <w:gridSpan w:val="2"/>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w w:val="95"/>
              </w:rPr>
              <w:t>interests</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420"/>
        </w:trPr>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318"/>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1,288.6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(415.2)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874.1</w:t>
            </w:r>
          </w:p>
        </w:tc>
        <w:tc>
          <w:tcPr>
            <w:tcW w:w="0" w:type="dxa"/>
            <w:vAlign w:val="bottom"/>
          </w:tcPr>
          <w:p>
            <w:pPr>
              <w:spacing w:after="0"/>
              <w:rPr>
                <w:sz w:val="1"/>
                <w:szCs w:val="1"/>
                <w:color w:val="auto"/>
              </w:rPr>
            </w:pPr>
          </w:p>
        </w:tc>
      </w:tr>
      <w:tr>
        <w:trPr>
          <w:trHeight w:val="716"/>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3"/>
        </w:trPr>
        <w:tc>
          <w:tcPr>
            <w:tcW w:w="780" w:type="dxa"/>
            <w:vAlign w:val="bottom"/>
          </w:tcPr>
          <w:p>
            <w:pPr>
              <w:jc w:val="right"/>
              <w:spacing w:after="0"/>
              <w:rPr>
                <w:sz w:val="20"/>
                <w:szCs w:val="20"/>
                <w:color w:val="auto"/>
              </w:rPr>
            </w:pPr>
            <w:r>
              <w:rPr>
                <w:rFonts w:ascii="Arial" w:cs="Arial" w:eastAsia="Arial" w:hAnsi="Arial"/>
                <w:sz w:val="14"/>
                <w:szCs w:val="14"/>
                <w:color w:val="auto"/>
              </w:rPr>
              <w:t>137,469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3"/>
        </w:trPr>
        <w:tc>
          <w:tcPr>
            <w:tcW w:w="780" w:type="dxa"/>
            <w:vAlign w:val="bottom"/>
          </w:tcPr>
          <w:p>
            <w:pPr>
              <w:jc w:val="right"/>
              <w:spacing w:after="0"/>
              <w:rPr>
                <w:sz w:val="20"/>
                <w:szCs w:val="20"/>
                <w:color w:val="auto"/>
              </w:rPr>
            </w:pPr>
            <w:r>
              <w:rPr>
                <w:rFonts w:ascii="Arial" w:cs="Arial" w:eastAsia="Arial" w:hAnsi="Arial"/>
                <w:sz w:val="14"/>
                <w:szCs w:val="14"/>
                <w:color w:val="auto"/>
              </w:rPr>
              <w:t>(46,366)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318"/>
        </w:trPr>
        <w:tc>
          <w:tcPr>
            <w:tcW w:w="780" w:type="dxa"/>
            <w:vAlign w:val="bottom"/>
          </w:tcPr>
          <w:p>
            <w:pPr>
              <w:jc w:val="right"/>
              <w:spacing w:after="0"/>
              <w:rPr>
                <w:sz w:val="20"/>
                <w:szCs w:val="20"/>
                <w:color w:val="auto"/>
              </w:rPr>
            </w:pPr>
            <w:r>
              <w:rPr>
                <w:rFonts w:ascii="Arial" w:cs="Arial" w:eastAsia="Arial" w:hAnsi="Arial"/>
                <w:sz w:val="14"/>
                <w:szCs w:val="14"/>
                <w:color w:val="auto"/>
              </w:rPr>
              <w:t>36,319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318"/>
        </w:trPr>
        <w:tc>
          <w:tcPr>
            <w:tcW w:w="780" w:type="dxa"/>
            <w:vAlign w:val="bottom"/>
          </w:tcPr>
          <w:p>
            <w:pPr>
              <w:jc w:val="right"/>
              <w:spacing w:after="0"/>
              <w:rPr>
                <w:sz w:val="20"/>
                <w:szCs w:val="20"/>
                <w:color w:val="auto"/>
              </w:rPr>
            </w:pPr>
            <w:r>
              <w:rPr>
                <w:rFonts w:ascii="Arial" w:cs="Arial" w:eastAsia="Arial" w:hAnsi="Arial"/>
                <w:sz w:val="14"/>
                <w:szCs w:val="14"/>
                <w:color w:val="auto"/>
              </w:rPr>
              <w:t>(17,870)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18"/>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116.8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94.9</w:t>
            </w:r>
          </w:p>
        </w:tc>
        <w:tc>
          <w:tcPr>
            <w:tcW w:w="0" w:type="dxa"/>
            <w:vAlign w:val="bottom"/>
          </w:tcPr>
          <w:p>
            <w:pPr>
              <w:spacing w:after="0"/>
              <w:rPr>
                <w:sz w:val="1"/>
                <w:szCs w:val="1"/>
                <w:color w:val="auto"/>
              </w:rPr>
            </w:pPr>
          </w:p>
        </w:tc>
      </w:tr>
      <w:tr>
        <w:trPr>
          <w:trHeight w:val="451"/>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318"/>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318"/>
        </w:trPr>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93.0</w:t>
            </w:r>
          </w:p>
        </w:tc>
        <w:tc>
          <w:tcPr>
            <w:tcW w:w="0" w:type="dxa"/>
            <w:vAlign w:val="bottom"/>
          </w:tcPr>
          <w:p>
            <w:pPr>
              <w:spacing w:after="0"/>
              <w:rPr>
                <w:sz w:val="1"/>
                <w:szCs w:val="1"/>
                <w:color w:val="auto"/>
              </w:rPr>
            </w:pPr>
          </w:p>
        </w:tc>
      </w:tr>
      <w:tr>
        <w:trPr>
          <w:trHeight w:val="853"/>
        </w:trPr>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403,206,437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04"/>
        </w:trPr>
        <w:tc>
          <w:tcPr>
            <w:tcW w:w="780" w:type="dxa"/>
            <w:vAlign w:val="bottom"/>
          </w:tcPr>
          <w:p>
            <w:pPr>
              <w:jc w:val="right"/>
              <w:spacing w:after="0"/>
              <w:rPr>
                <w:sz w:val="20"/>
                <w:szCs w:val="20"/>
                <w:color w:val="auto"/>
              </w:rPr>
            </w:pPr>
            <w:r>
              <w:rPr>
                <w:rFonts w:ascii="Arial" w:cs="Arial" w:eastAsia="Arial" w:hAnsi="Arial"/>
                <w:sz w:val="14"/>
                <w:szCs w:val="14"/>
                <w:color w:val="auto"/>
                <w:w w:val="95"/>
              </w:rPr>
              <w:t>403,315,989</w:t>
            </w:r>
          </w:p>
        </w:tc>
        <w:tc>
          <w:tcPr>
            <w:tcW w:w="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1,871.6</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24"/>
                <w:szCs w:val="24"/>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w w:val="94"/>
              </w:rPr>
              <w:t>1,997.9</w:t>
            </w:r>
          </w:p>
        </w:tc>
        <w:tc>
          <w:tcPr>
            <w:tcW w:w="0" w:type="dxa"/>
            <w:vAlign w:val="bottom"/>
          </w:tcPr>
          <w:p>
            <w:pPr>
              <w:spacing w:after="0"/>
              <w:rPr>
                <w:sz w:val="1"/>
                <w:szCs w:val="1"/>
                <w:color w:val="auto"/>
              </w:rPr>
            </w:pPr>
          </w:p>
        </w:tc>
      </w:tr>
      <w:tr>
        <w:trPr>
          <w:trHeight w:val="25"/>
        </w:trPr>
        <w:tc>
          <w:tcPr>
            <w:tcW w:w="7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00" w:space="160"/>
            <w:col w:w="52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80" w:type="dxa"/>
            <w:vAlign w:val="bottom"/>
            <w:gridSpan w:val="10"/>
          </w:tcPr>
          <w:p>
            <w:pPr>
              <w:jc w:val="center"/>
              <w:ind w:left="348"/>
              <w:spacing w:after="0"/>
              <w:rPr>
                <w:sz w:val="20"/>
                <w:szCs w:val="20"/>
                <w:color w:val="auto"/>
              </w:rPr>
            </w:pPr>
            <w:r>
              <w:rPr>
                <w:rFonts w:ascii="Arial" w:cs="Arial" w:eastAsia="Arial" w:hAnsi="Arial"/>
                <w:sz w:val="18"/>
                <w:szCs w:val="18"/>
                <w:b w:val="1"/>
                <w:bCs w:val="1"/>
                <w:color w:val="auto"/>
                <w:w w:val="87"/>
              </w:rPr>
              <w:t>ZoomInfo Technologies Inc.</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740" w:type="dxa"/>
            <w:vAlign w:val="bottom"/>
            <w:gridSpan w:val="17"/>
          </w:tcPr>
          <w:p>
            <w:pPr>
              <w:jc w:val="center"/>
              <w:spacing w:after="0"/>
              <w:rPr>
                <w:sz w:val="20"/>
                <w:szCs w:val="20"/>
                <w:color w:val="auto"/>
              </w:rPr>
            </w:pPr>
            <w:r>
              <w:rPr>
                <w:rFonts w:ascii="Arial" w:cs="Arial" w:eastAsia="Arial" w:hAnsi="Arial"/>
                <w:sz w:val="18"/>
                <w:szCs w:val="18"/>
                <w:b w:val="1"/>
                <w:bCs w:val="1"/>
                <w:color w:val="auto"/>
                <w:w w:val="88"/>
              </w:rPr>
              <w:t>Consolidated Statements of Changes in Equity (Deficit)</w:t>
            </w: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80" w:type="dxa"/>
            <w:vAlign w:val="bottom"/>
            <w:gridSpan w:val="10"/>
          </w:tcPr>
          <w:p>
            <w:pPr>
              <w:jc w:val="center"/>
              <w:ind w:left="328"/>
              <w:spacing w:after="0"/>
              <w:rPr>
                <w:sz w:val="20"/>
                <w:szCs w:val="20"/>
                <w:color w:val="auto"/>
              </w:rPr>
            </w:pPr>
            <w:r>
              <w:rPr>
                <w:rFonts w:ascii="Arial" w:cs="Arial" w:eastAsia="Arial" w:hAnsi="Arial"/>
                <w:sz w:val="18"/>
                <w:szCs w:val="18"/>
                <w:b w:val="1"/>
                <w:bCs w:val="1"/>
                <w:i w:val="1"/>
                <w:iCs w:val="1"/>
                <w:color w:val="auto"/>
                <w:w w:val="85"/>
              </w:rPr>
              <w:t>(in millions, except share data)</w:t>
            </w: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8"/>
              </w:rPr>
              <w:t>ZoomInfo</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000" w:type="dxa"/>
            <w:vAlign w:val="bottom"/>
            <w:gridSpan w:val="4"/>
          </w:tcPr>
          <w:p>
            <w:pPr>
              <w:jc w:val="center"/>
              <w:ind w:right="160"/>
              <w:spacing w:after="0" w:line="120" w:lineRule="exact"/>
              <w:rPr>
                <w:sz w:val="20"/>
                <w:szCs w:val="20"/>
                <w:color w:val="auto"/>
              </w:rPr>
            </w:pPr>
            <w:r>
              <w:rPr>
                <w:rFonts w:ascii="Arial" w:cs="Arial" w:eastAsia="Arial" w:hAnsi="Arial"/>
                <w:sz w:val="12"/>
                <w:szCs w:val="12"/>
                <w:b w:val="1"/>
                <w:bCs w:val="1"/>
                <w:color w:val="auto"/>
                <w:w w:val="97"/>
              </w:rPr>
              <w:t>Holdings LLC</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240"/>
              <w:spacing w:after="0" w:line="120" w:lineRule="exact"/>
              <w:rPr>
                <w:sz w:val="20"/>
                <w:szCs w:val="20"/>
                <w:color w:val="auto"/>
              </w:rPr>
            </w:pPr>
            <w:r>
              <w:rPr>
                <w:rFonts w:ascii="Arial" w:cs="Arial" w:eastAsia="Arial" w:hAnsi="Arial"/>
                <w:sz w:val="12"/>
                <w:szCs w:val="12"/>
                <w:b w:val="1"/>
                <w:bCs w:val="1"/>
                <w:color w:val="auto"/>
                <w:w w:val="98"/>
              </w:rPr>
              <w:t>(Prior to</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000" w:type="dxa"/>
            <w:vAlign w:val="bottom"/>
            <w:gridSpan w:val="4"/>
          </w:tcPr>
          <w:p>
            <w:pPr>
              <w:jc w:val="center"/>
              <w:ind w:right="140"/>
              <w:spacing w:after="0" w:line="120" w:lineRule="exact"/>
              <w:rPr>
                <w:sz w:val="20"/>
                <w:szCs w:val="20"/>
                <w:color w:val="auto"/>
              </w:rPr>
            </w:pPr>
            <w:r>
              <w:rPr>
                <w:rFonts w:ascii="Arial" w:cs="Arial" w:eastAsia="Arial" w:hAnsi="Arial"/>
                <w:sz w:val="12"/>
                <w:szCs w:val="12"/>
                <w:b w:val="1"/>
                <w:bCs w:val="1"/>
                <w:color w:val="auto"/>
                <w:w w:val="94"/>
              </w:rPr>
              <w:t>Reorganization</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80" w:type="dxa"/>
            <w:vAlign w:val="bottom"/>
            <w:gridSpan w:val="15"/>
            <w:vMerge w:val="restart"/>
          </w:tcPr>
          <w:p>
            <w:pPr>
              <w:ind w:left="300"/>
              <w:spacing w:after="0"/>
              <w:rPr>
                <w:sz w:val="20"/>
                <w:szCs w:val="20"/>
                <w:color w:val="auto"/>
              </w:rPr>
            </w:pPr>
            <w:r>
              <w:rPr>
                <w:rFonts w:ascii="Arial" w:cs="Arial" w:eastAsia="Arial" w:hAnsi="Arial"/>
                <w:sz w:val="14"/>
                <w:szCs w:val="14"/>
                <w:b w:val="1"/>
                <w:bCs w:val="1"/>
                <w:color w:val="auto"/>
              </w:rPr>
              <w:t>ZoomInfo Technologies Inc. Stockholders' Equity</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1580" w:type="dxa"/>
            <w:vAlign w:val="bottom"/>
          </w:tcPr>
          <w:p>
            <w:pPr>
              <w:spacing w:after="0"/>
              <w:rPr>
                <w:sz w:val="14"/>
                <w:szCs w:val="14"/>
                <w:color w:val="auto"/>
              </w:rPr>
            </w:pPr>
          </w:p>
        </w:tc>
        <w:tc>
          <w:tcPr>
            <w:tcW w:w="100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2"/>
                <w:szCs w:val="12"/>
                <w:b w:val="1"/>
                <w:bCs w:val="1"/>
                <w:color w:val="auto"/>
                <w:w w:val="91"/>
              </w:rPr>
              <w:t>Transactions)</w:t>
            </w: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80" w:type="dxa"/>
            <w:vAlign w:val="bottom"/>
            <w:tcBorders>
              <w:bottom w:val="single" w:sz="8" w:color="auto"/>
            </w:tcBorders>
            <w:gridSpan w:val="15"/>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Members'</w:t>
            </w:r>
          </w:p>
        </w:tc>
        <w:tc>
          <w:tcPr>
            <w:tcW w:w="4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Class B</w:t>
            </w:r>
          </w:p>
        </w:tc>
        <w:tc>
          <w:tcPr>
            <w:tcW w:w="86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4"/>
                <w:szCs w:val="14"/>
                <w:b w:val="1"/>
                <w:bCs w:val="1"/>
                <w:color w:val="auto"/>
              </w:rPr>
              <w:t>Class C</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B</w:t>
            </w:r>
          </w:p>
        </w:tc>
        <w:tc>
          <w:tcPr>
            <w:tcW w:w="7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Class C</w:t>
            </w:r>
          </w:p>
        </w:tc>
        <w:tc>
          <w:tcPr>
            <w:tcW w:w="800" w:type="dxa"/>
            <w:vAlign w:val="bottom"/>
            <w:gridSpan w:val="3"/>
          </w:tcPr>
          <w:p>
            <w:pPr>
              <w:ind w:left="40"/>
              <w:spacing w:after="0" w:line="131" w:lineRule="exact"/>
              <w:rPr>
                <w:sz w:val="20"/>
                <w:szCs w:val="20"/>
                <w:color w:val="auto"/>
              </w:rPr>
            </w:pPr>
            <w:r>
              <w:rPr>
                <w:rFonts w:ascii="Arial" w:cs="Arial" w:eastAsia="Arial" w:hAnsi="Arial"/>
                <w:sz w:val="14"/>
                <w:szCs w:val="14"/>
                <w:b w:val="1"/>
                <w:bCs w:val="1"/>
                <w:color w:val="auto"/>
              </w:rPr>
              <w:t>Additional</w:t>
            </w: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Retained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00" w:type="dxa"/>
            <w:vAlign w:val="bottom"/>
          </w:tcPr>
          <w:p>
            <w:pPr>
              <w:spacing w:after="0"/>
              <w:rPr>
                <w:sz w:val="11"/>
                <w:szCs w:val="11"/>
                <w:color w:val="auto"/>
              </w:rPr>
            </w:pPr>
          </w:p>
        </w:tc>
        <w:tc>
          <w:tcPr>
            <w:tcW w:w="540" w:type="dxa"/>
            <w:vAlign w:val="bottom"/>
            <w:vMerge w:val="restart"/>
          </w:tcPr>
          <w:p>
            <w:pPr>
              <w:jc w:val="right"/>
              <w:ind w:right="8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3"/>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8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paid-in</w:t>
            </w:r>
          </w:p>
        </w:tc>
        <w:tc>
          <w:tcPr>
            <w:tcW w:w="7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5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Borders>
              <w:bottom w:val="single" w:sz="8" w:color="CCEEFF"/>
              <w:right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right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w w:val="96"/>
              </w:rPr>
              <w:t>Earnings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w w:val="92"/>
              </w:rPr>
              <w:t>interests</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13"/>
        </w:trPr>
        <w:tc>
          <w:tcPr>
            <w:tcW w:w="1580" w:type="dxa"/>
            <w:vAlign w:val="bottom"/>
            <w:shd w:val="clear" w:color="auto" w:fill="CCEEFF"/>
          </w:tcPr>
          <w:p>
            <w:pPr>
              <w:ind w:left="20"/>
              <w:spacing w:after="0" w:line="113" w:lineRule="exact"/>
              <w:rPr>
                <w:sz w:val="20"/>
                <w:szCs w:val="20"/>
                <w:color w:val="auto"/>
              </w:rPr>
            </w:pPr>
            <w:r>
              <w:rPr>
                <w:rFonts w:ascii="Arial" w:cs="Arial" w:eastAsia="Arial" w:hAnsi="Arial"/>
                <w:sz w:val="13"/>
                <w:szCs w:val="13"/>
                <w:color w:val="auto"/>
              </w:rPr>
              <w:t>Balance, December 31,</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(207.8)</w:t>
            </w:r>
          </w:p>
        </w:tc>
        <w:tc>
          <w:tcPr>
            <w:tcW w:w="100" w:type="dxa"/>
            <w:vAlign w:val="bottom"/>
            <w:tcBorders>
              <w:right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9"/>
                <w:szCs w:val="9"/>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vMerge w:val="restart"/>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(213.8)</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w w:val="98"/>
              </w:rPr>
              <w:t>Net income (loss) prior to</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Reorganization</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4"/>
              </w:rPr>
              <w:t>Other comprehensive loss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prior to Reorganization</w:t>
            </w:r>
          </w:p>
        </w:tc>
        <w:tc>
          <w:tcPr>
            <w:tcW w:w="10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 and IPO</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w w:val="95"/>
              </w:rPr>
              <w:t>Member distributions prior</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to Reorganization</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Equity-based</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compensation prior to</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15.8</w:t>
            </w: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b w:val="1"/>
                <w:bCs w:val="1"/>
                <w:i w:val="1"/>
                <w:iCs w:val="1"/>
                <w:color w:val="auto"/>
              </w:rPr>
              <w:t>Impacts of</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b w:val="1"/>
                <w:bCs w:val="1"/>
                <w:i w:val="1"/>
                <w:iCs w:val="1"/>
                <w:color w:val="auto"/>
              </w:rPr>
              <w:t>Reorganization</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Transactions and IPO</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Initial effect of the</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9"/>
              </w:rPr>
              <w:t>Transactions and IPO on</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203.9</w:t>
            </w: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242,414,027</w:t>
            </w:r>
          </w:p>
        </w:tc>
        <w:tc>
          <w:tcPr>
            <w:tcW w:w="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98,381,656</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Issuance of Class A</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w w:val="96"/>
              </w:rPr>
              <w:t>common stock in IPO, net</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48,528,783</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1,016.1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1,016.6</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of costs</w:t>
            </w:r>
          </w:p>
        </w:tc>
        <w:tc>
          <w:tcPr>
            <w:tcW w:w="10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Purchases of ZoomInfo</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8"/>
              </w:rPr>
              <w:t>OpCo units in connection</w:t>
            </w:r>
          </w:p>
        </w:tc>
        <w:tc>
          <w:tcPr>
            <w:tcW w:w="10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2,370,948</w:t>
            </w:r>
          </w:p>
        </w:tc>
        <w:tc>
          <w:tcPr>
            <w:tcW w:w="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(2,370,948)</w:t>
            </w:r>
          </w:p>
        </w:tc>
        <w:tc>
          <w:tcPr>
            <w:tcW w:w="8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with IPO</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w w:val="91"/>
              </w:rPr>
              <w:t>Purchases of Class C units</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275,269</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ind w:left="180"/>
              <w:spacing w:after="0"/>
              <w:rPr>
                <w:sz w:val="20"/>
                <w:szCs w:val="20"/>
                <w:color w:val="auto"/>
              </w:rPr>
            </w:pPr>
            <w:r>
              <w:rPr>
                <w:rFonts w:ascii="Arial" w:cs="Arial" w:eastAsia="Arial" w:hAnsi="Arial"/>
                <w:sz w:val="14"/>
                <w:szCs w:val="14"/>
                <w:color w:val="auto"/>
                <w:w w:val="93"/>
              </w:rPr>
              <w:t>(275,269)</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in connection with IPO</w:t>
            </w:r>
          </w:p>
        </w:tc>
        <w:tc>
          <w:tcPr>
            <w:tcW w:w="10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Post IPO Activity</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Effect of LLC Unit</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36,509,748</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(23,341,829)</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0"/>
              </w:rPr>
              <w:t>(11,983,157)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7"/>
              </w:rPr>
              <w:t>(0.1)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199.8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Exchanges</w:t>
            </w:r>
          </w:p>
        </w:tc>
        <w:tc>
          <w:tcPr>
            <w:tcW w:w="10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Class A</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common stock upon</w:t>
            </w:r>
          </w:p>
        </w:tc>
        <w:tc>
          <w:tcPr>
            <w:tcW w:w="10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25,868</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RSUs</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Issuance of Class A</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common stock from</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67,075</w:t>
            </w:r>
          </w:p>
        </w:tc>
        <w:tc>
          <w:tcPr>
            <w:tcW w:w="8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business combinations</w:t>
            </w:r>
          </w:p>
        </w:tc>
        <w:tc>
          <w:tcPr>
            <w:tcW w:w="10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5"/>
              </w:rPr>
              <w:t>Shares withheld related to</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w w:val="99"/>
              </w:rPr>
              <w:t>net share settlement and</w:t>
            </w:r>
          </w:p>
        </w:tc>
        <w:tc>
          <w:tcPr>
            <w:tcW w:w="10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(20,617)</w:t>
            </w:r>
          </w:p>
        </w:tc>
        <w:tc>
          <w:tcPr>
            <w:tcW w:w="80" w:type="dxa"/>
            <w:vAlign w:val="bottom"/>
            <w:shd w:val="clear" w:color="auto" w:fill="CCEEFF"/>
          </w:tcPr>
          <w:p>
            <w:pPr>
              <w:spacing w:after="0"/>
              <w:rPr>
                <w:sz w:val="11"/>
                <w:szCs w:val="11"/>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w w:val="96"/>
              </w:rPr>
              <w:t>Forfeitures / cancellations</w:t>
            </w: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(59,693)</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(48,546)</w:t>
            </w:r>
          </w:p>
        </w:tc>
        <w:tc>
          <w:tcPr>
            <w:tcW w:w="8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Series A Preferred Unit</w:t>
            </w:r>
          </w:p>
        </w:tc>
        <w:tc>
          <w:tcPr>
            <w:tcW w:w="10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accretion</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w w:val="94"/>
              </w:rPr>
              <w:t>Net income subsequent to</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Reorganization</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4"/>
              </w:rPr>
              <w:t>Other comprehensive loss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subsequent to</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Reorganization</w:t>
            </w:r>
          </w:p>
        </w:tc>
        <w:tc>
          <w:tcPr>
            <w:tcW w:w="10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4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5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Transactions and IPO</w:t>
            </w:r>
          </w:p>
        </w:tc>
        <w:tc>
          <w:tcPr>
            <w:tcW w:w="10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Equity-based</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w w:val="94"/>
              </w:rPr>
              <w:t>compensation subsequent</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580" w:type="dxa"/>
            <w:vAlign w:val="bottom"/>
          </w:tcPr>
          <w:p>
            <w:pPr>
              <w:ind w:left="20"/>
              <w:spacing w:after="0" w:line="133" w:lineRule="exact"/>
              <w:rPr>
                <w:sz w:val="20"/>
                <w:szCs w:val="20"/>
                <w:color w:val="auto"/>
              </w:rPr>
            </w:pPr>
            <w:r>
              <w:rPr>
                <w:rFonts w:ascii="Arial" w:cs="Arial" w:eastAsia="Arial" w:hAnsi="Arial"/>
                <w:sz w:val="14"/>
                <w:szCs w:val="14"/>
                <w:color w:val="auto"/>
              </w:rPr>
              <w:t>to Reorganization</w:t>
            </w:r>
          </w:p>
        </w:tc>
        <w:tc>
          <w:tcPr>
            <w:tcW w:w="10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1"/>
                <w:szCs w:val="11"/>
                <w:color w:val="auto"/>
              </w:rPr>
            </w:pP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42.2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83"/>
        </w:trPr>
        <w:tc>
          <w:tcPr>
            <w:tcW w:w="1580" w:type="dxa"/>
            <w:vAlign w:val="bottom"/>
          </w:tcPr>
          <w:p>
            <w:pPr>
              <w:ind w:left="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5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Paid and accrued tax</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85"/>
        </w:trPr>
        <w:tc>
          <w:tcPr>
            <w:tcW w:w="1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right w:val="single" w:sz="8" w:color="auto"/>
            </w:tcBorders>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1580" w:type="dxa"/>
            <w:vAlign w:val="bottom"/>
          </w:tcPr>
          <w:p>
            <w:pPr>
              <w:ind w:left="20"/>
              <w:spacing w:after="0" w:line="113" w:lineRule="exact"/>
              <w:rPr>
                <w:sz w:val="20"/>
                <w:szCs w:val="20"/>
                <w:color w:val="auto"/>
              </w:rPr>
            </w:pPr>
            <w:r>
              <w:rPr>
                <w:rFonts w:ascii="Arial" w:cs="Arial" w:eastAsia="Arial" w:hAnsi="Arial"/>
                <w:sz w:val="13"/>
                <w:szCs w:val="13"/>
                <w:b w:val="1"/>
                <w:bCs w:val="1"/>
                <w:color w:val="auto"/>
              </w:rPr>
              <w:t>Balance, December 31,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10"/>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w w:val="91"/>
              </w:rPr>
              <w:t>87,697,381</w:t>
            </w:r>
          </w:p>
        </w:tc>
        <w:tc>
          <w:tcPr>
            <w:tcW w:w="80" w:type="dxa"/>
            <w:vAlign w:val="bottom"/>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89"/>
              </w:rPr>
              <w:t>216,652,704</w:t>
            </w:r>
          </w:p>
        </w:tc>
        <w:tc>
          <w:tcPr>
            <w:tcW w:w="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w w:val="96"/>
              </w:rPr>
              <w:t>86,123,230</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9"/>
                <w:szCs w:val="9"/>
                <w:color w:val="auto"/>
              </w:rPr>
            </w:pPr>
          </w:p>
        </w:tc>
        <w:tc>
          <w:tcPr>
            <w:tcW w:w="320" w:type="dxa"/>
            <w:vAlign w:val="bottom"/>
            <w:vMerge w:val="restart"/>
          </w:tcPr>
          <w:p>
            <w:pPr>
              <w:jc w:val="right"/>
              <w:ind w:right="169"/>
              <w:spacing w:after="0"/>
              <w:rPr>
                <w:sz w:val="20"/>
                <w:szCs w:val="20"/>
                <w:color w:val="auto"/>
              </w:rPr>
            </w:pPr>
            <w:r>
              <w:rPr>
                <w:rFonts w:ascii="Arial" w:cs="Arial" w:eastAsia="Arial" w:hAnsi="Arial"/>
                <w:sz w:val="14"/>
                <w:szCs w:val="14"/>
                <w:color w:val="auto"/>
                <w:w w:val="76"/>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0.9</w:t>
            </w:r>
          </w:p>
        </w:tc>
        <w:tc>
          <w:tcPr>
            <w:tcW w:w="80" w:type="dxa"/>
            <w:vAlign w:val="bottom"/>
          </w:tcPr>
          <w:p>
            <w:pPr>
              <w:spacing w:after="0"/>
              <w:rPr>
                <w:sz w:val="9"/>
                <w:szCs w:val="9"/>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505.2</w:t>
            </w:r>
          </w:p>
        </w:tc>
        <w:tc>
          <w:tcPr>
            <w:tcW w:w="80" w:type="dxa"/>
            <w:vAlign w:val="bottom"/>
          </w:tcPr>
          <w:p>
            <w:pPr>
              <w:spacing w:after="0"/>
              <w:rPr>
                <w:sz w:val="9"/>
                <w:szCs w:val="9"/>
                <w:color w:val="auto"/>
              </w:rPr>
            </w:pPr>
          </w:p>
        </w:tc>
        <w:tc>
          <w:tcPr>
            <w:tcW w:w="220" w:type="dxa"/>
            <w:vAlign w:val="bottom"/>
            <w:vMerge w:val="restart"/>
          </w:tcPr>
          <w:p>
            <w:pPr>
              <w:jc w:val="right"/>
              <w:ind w:right="69"/>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9"/>
                <w:szCs w:val="9"/>
                <w:color w:val="auto"/>
              </w:rPr>
            </w:pP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436.8</w:t>
            </w:r>
          </w:p>
        </w:tc>
        <w:tc>
          <w:tcPr>
            <w:tcW w:w="8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939.6</w:t>
            </w:r>
          </w:p>
        </w:tc>
        <w:tc>
          <w:tcPr>
            <w:tcW w:w="0" w:type="dxa"/>
            <w:vAlign w:val="bottom"/>
          </w:tcPr>
          <w:p>
            <w:pPr>
              <w:spacing w:after="0"/>
              <w:rPr>
                <w:sz w:val="1"/>
                <w:szCs w:val="1"/>
                <w:color w:val="auto"/>
              </w:rPr>
            </w:pPr>
          </w:p>
        </w:tc>
      </w:tr>
      <w:tr>
        <w:trPr>
          <w:trHeight w:val="204"/>
        </w:trPr>
        <w:tc>
          <w:tcPr>
            <w:tcW w:w="1580" w:type="dxa"/>
            <w:vAlign w:val="bottom"/>
          </w:tcPr>
          <w:p>
            <w:pPr>
              <w:ind w:left="20"/>
              <w:spacing w:after="0" w:line="159"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 (Deficit) (continued)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Members' Deficit</w:t>
            </w:r>
          </w:p>
        </w:tc>
        <w:tc>
          <w:tcPr>
            <w:tcW w:w="8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Total Members’ Deficit</w:t>
            </w:r>
          </w:p>
        </w:tc>
        <w:tc>
          <w:tcPr>
            <w:tcW w:w="0" w:type="dxa"/>
            <w:vAlign w:val="bottom"/>
          </w:tcPr>
          <w:p>
            <w:pPr>
              <w:spacing w:after="0"/>
              <w:rPr>
                <w:sz w:val="1"/>
                <w:szCs w:val="1"/>
                <w:color w:val="auto"/>
              </w:rPr>
            </w:pPr>
          </w:p>
        </w:tc>
      </w:tr>
      <w:tr>
        <w:trPr>
          <w:trHeight w:val="185"/>
        </w:trPr>
        <w:tc>
          <w:tcPr>
            <w:tcW w:w="6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Comprehensive Loss</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Equity-based compensation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Arial" w:cs="Arial" w:eastAsia="Arial" w:hAnsi="Arial"/>
                <w:sz w:val="18"/>
                <w:szCs w:val="18"/>
                <w:color w:val="auto"/>
              </w:rPr>
              <w:t>Member distributions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unit repurchases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Arial" w:cs="Arial" w:eastAsia="Arial" w:hAnsi="Arial"/>
                <w:sz w:val="18"/>
                <w:szCs w:val="18"/>
                <w:color w:val="auto"/>
              </w:rPr>
              <w:t>Accrued unit repurchases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6"/>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adoption of new accounting standard (ASC 842)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5"/>
        </w:trPr>
        <w:tc>
          <w:tcPr>
            <w:tcW w:w="6120" w:type="dxa"/>
            <w:vAlign w:val="bottom"/>
          </w:tcPr>
          <w:p>
            <w:pPr>
              <w:ind w:left="2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0" w:type="dxa"/>
            <w:vAlign w:val="bottom"/>
          </w:tcPr>
          <w:p>
            <w:pPr>
              <w:ind w:left="1240"/>
              <w:spacing w:after="0"/>
              <w:rPr>
                <w:sz w:val="20"/>
                <w:szCs w:val="20"/>
                <w:color w:val="auto"/>
              </w:rPr>
            </w:pPr>
            <w:r>
              <w:rPr>
                <w:rFonts w:ascii="Arial" w:cs="Arial" w:eastAsia="Arial" w:hAnsi="Arial"/>
                <w:sz w:val="18"/>
                <w:szCs w:val="18"/>
                <w:color w:val="auto"/>
                <w:w w:val="91"/>
              </w:rPr>
              <w:t>(6.0)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4"/>
        </w:trPr>
        <w:tc>
          <w:tcPr>
            <w:tcW w:w="6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1"/>
              </w:rPr>
              <w:t>(6.0)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980" w:type="dxa"/>
            <w:vAlign w:val="bottom"/>
          </w:tcPr>
          <w:p>
            <w:pPr>
              <w:jc w:val="right"/>
              <w:ind w:right="803"/>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94.9</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(78.0)</w:t>
            </w:r>
          </w:p>
        </w:tc>
      </w:tr>
      <w:tr>
        <w:trPr>
          <w:trHeight w:val="165"/>
        </w:trPr>
        <w:tc>
          <w:tcPr>
            <w:tcW w:w="6360" w:type="dxa"/>
            <w:vAlign w:val="bottom"/>
            <w:shd w:val="clear" w:color="auto" w:fill="CCEEFF"/>
          </w:tcPr>
          <w:p>
            <w:pPr>
              <w:ind w:left="380"/>
              <w:spacing w:after="0" w:line="165" w:lineRule="exact"/>
              <w:rPr>
                <w:sz w:val="20"/>
                <w:szCs w:val="20"/>
                <w:color w:val="auto"/>
              </w:rPr>
            </w:pPr>
            <w:r>
              <w:rPr>
                <w:rFonts w:ascii="Arial" w:cs="Arial" w:eastAsia="Arial" w:hAnsi="Arial"/>
                <w:sz w:val="16"/>
                <w:szCs w:val="16"/>
                <w:color w:val="auto"/>
                <w:w w:val="97"/>
              </w:rPr>
              <w:t>Adjustments to reconcile net income (loss) to net cash provided by (used in) operating</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209"/>
        </w:trPr>
        <w:tc>
          <w:tcPr>
            <w:tcW w:w="6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activities: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Depreciation and amortization</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debt discounts and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Amortization of deferred commissions costs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Asset impairments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Loss on debt modification and extinguishment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5"/>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consideration valuation adjustments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Equity-based compensation expense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Tax receivable agreement remeasurement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Provision for bad debt expense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acquisitions: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receivable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costs and other assets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Income tax receivable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0"/>
        </w:trPr>
        <w:tc>
          <w:tcPr>
            <w:tcW w:w="6360" w:type="dxa"/>
            <w:vAlign w:val="bottom"/>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Unearned revenue</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w:t>
            </w:r>
          </w:p>
        </w:tc>
      </w:tr>
      <w:tr>
        <w:trPr>
          <w:trHeight w:val="203"/>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operating activities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w:t>
            </w:r>
          </w:p>
        </w:tc>
      </w:tr>
      <w:tr>
        <w:trPr>
          <w:trHeight w:val="181"/>
        </w:trPr>
        <w:tc>
          <w:tcPr>
            <w:tcW w:w="6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Purchases of short-term investments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220"/>
              <w:spacing w:after="0"/>
              <w:rPr>
                <w:sz w:val="20"/>
                <w:szCs w:val="20"/>
                <w:color w:val="auto"/>
              </w:rPr>
            </w:pPr>
            <w:r>
              <w:rPr>
                <w:rFonts w:ascii="Arial" w:cs="Arial" w:eastAsia="Arial" w:hAnsi="Arial"/>
                <w:sz w:val="16"/>
                <w:szCs w:val="16"/>
                <w:color w:val="auto"/>
              </w:rPr>
              <w:t>Maturities of short-term investments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sales of short-term investments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Purchases of property and equipment and other assets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acquisitions, net of cash acquired</w:t>
            </w:r>
          </w:p>
        </w:tc>
        <w:tc>
          <w:tcPr>
            <w:tcW w:w="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(723.1)</w:t>
            </w:r>
          </w:p>
        </w:tc>
      </w:tr>
      <w:tr>
        <w:trPr>
          <w:trHeight w:val="203"/>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provided by (used in) investing activities</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(736.7)</w:t>
            </w:r>
          </w:p>
        </w:tc>
      </w:tr>
      <w:tr>
        <w:trPr>
          <w:trHeight w:val="181"/>
        </w:trPr>
        <w:tc>
          <w:tcPr>
            <w:tcW w:w="6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deferred consideration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6360" w:type="dxa"/>
            <w:vAlign w:val="bottom"/>
          </w:tcPr>
          <w:p>
            <w:pPr>
              <w:ind w:left="220"/>
              <w:spacing w:after="0"/>
              <w:rPr>
                <w:sz w:val="20"/>
                <w:szCs w:val="20"/>
                <w:color w:val="auto"/>
              </w:rPr>
            </w:pPr>
            <w:r>
              <w:rPr>
                <w:rFonts w:ascii="Arial" w:cs="Arial" w:eastAsia="Arial" w:hAnsi="Arial"/>
                <w:sz w:val="16"/>
                <w:szCs w:val="16"/>
                <w:color w:val="auto"/>
              </w:rPr>
              <w:t>Proceeds from debt issuances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3"/>
              </w:rPr>
              <w:t>1,071.8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1,220.8</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debt issuance and modification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Repayment of debt</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(581.4)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(649.8)</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Pr>
          <w:p>
            <w:pPr>
              <w:ind w:left="220"/>
              <w:spacing w:after="0"/>
              <w:rPr>
                <w:sz w:val="20"/>
                <w:szCs w:val="20"/>
                <w:color w:val="auto"/>
              </w:rPr>
            </w:pPr>
            <w:r>
              <w:rPr>
                <w:rFonts w:ascii="Arial" w:cs="Arial" w:eastAsia="Arial" w:hAnsi="Arial"/>
                <w:sz w:val="16"/>
                <w:szCs w:val="16"/>
                <w:color w:val="auto"/>
              </w:rPr>
              <w:t>Repurchase outstanding equity / member units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Proceeds from equity offering, net of underwriting discounts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200.2</w:t>
            </w:r>
          </w:p>
        </w:tc>
      </w:tr>
      <w:tr>
        <w:trPr>
          <w:trHeight w:val="21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of equity issuance costs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Tax distributions</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05"/>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cash provided by (used in) financing activities</w:t>
            </w:r>
          </w:p>
        </w:tc>
        <w:tc>
          <w:tcPr>
            <w:tcW w:w="9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725.8</w:t>
            </w:r>
          </w:p>
        </w:tc>
      </w:tr>
      <w:tr>
        <w:trPr>
          <w:trHeight w:val="181"/>
        </w:trPr>
        <w:tc>
          <w:tcPr>
            <w:tcW w:w="6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w:t>
            </w:r>
          </w:p>
        </w:tc>
      </w:tr>
      <w:tr>
        <w:trPr>
          <w:trHeight w:val="209"/>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28"/>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980" w:type="dxa"/>
            <w:vAlign w:val="bottom"/>
            <w:shd w:val="clear" w:color="auto" w:fill="CCEEFF"/>
          </w:tcPr>
          <w:p>
            <w:pPr>
              <w:jc w:val="right"/>
              <w:ind w:right="803"/>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ZoomInfo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10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308.3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 current</w:t>
            </w:r>
          </w:p>
        </w:tc>
        <w:tc>
          <w:tcPr>
            <w:tcW w:w="10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63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Restricted cash, non-current</w:t>
            </w: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63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Total cash, cash equivalents, and restricted cash</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314.1</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181"/>
        </w:trPr>
        <w:tc>
          <w:tcPr>
            <w:tcW w:w="63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Interest paid in cash:</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6360" w:type="dxa"/>
            <w:vAlign w:val="bottom"/>
          </w:tcPr>
          <w:p>
            <w:pPr>
              <w:ind w:left="460"/>
              <w:spacing w:after="0"/>
              <w:rPr>
                <w:sz w:val="20"/>
                <w:szCs w:val="20"/>
                <w:color w:val="auto"/>
              </w:rPr>
            </w:pPr>
            <w:r>
              <w:rPr>
                <w:rFonts w:ascii="Arial" w:cs="Arial" w:eastAsia="Arial" w:hAnsi="Arial"/>
                <w:sz w:val="16"/>
                <w:szCs w:val="16"/>
                <w:color w:val="auto"/>
              </w:rPr>
              <w:t>Cash paid for taxes</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18.1</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360" w:type="dxa"/>
            <w:vAlign w:val="bottom"/>
            <w:shd w:val="clear" w:color="auto" w:fill="CCEEFF"/>
          </w:tcPr>
          <w:p>
            <w:pPr>
              <w:ind w:left="220"/>
              <w:spacing w:after="0" w:line="165" w:lineRule="exact"/>
              <w:rPr>
                <w:sz w:val="20"/>
                <w:szCs w:val="20"/>
                <w:color w:val="auto"/>
              </w:rPr>
            </w:pPr>
            <w:r>
              <w:rPr>
                <w:rFonts w:ascii="Arial" w:cs="Arial" w:eastAsia="Arial" w:hAnsi="Arial"/>
                <w:sz w:val="16"/>
                <w:szCs w:val="16"/>
                <w:color w:val="auto"/>
                <w:w w:val="91"/>
              </w:rPr>
              <w:t>Property and equipment included in accounts payable and accrued expenses and other current</w:t>
            </w:r>
          </w:p>
        </w:tc>
        <w:tc>
          <w:tcPr>
            <w:tcW w:w="1040" w:type="dxa"/>
            <w:vAlign w:val="bottom"/>
            <w:vMerge w:val="restart"/>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8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liabilities</w:t>
            </w:r>
          </w:p>
        </w:tc>
        <w:tc>
          <w:tcPr>
            <w:tcW w:w="1040" w:type="dxa"/>
            <w:vAlign w:val="bottom"/>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220"/>
              <w:spacing w:after="0"/>
              <w:rPr>
                <w:sz w:val="20"/>
                <w:szCs w:val="20"/>
                <w:color w:val="auto"/>
              </w:rPr>
            </w:pPr>
            <w:r>
              <w:rPr>
                <w:rFonts w:ascii="Arial" w:cs="Arial" w:eastAsia="Arial" w:hAnsi="Arial"/>
                <w:sz w:val="16"/>
                <w:szCs w:val="16"/>
                <w:color w:val="auto"/>
              </w:rPr>
              <w:t>Deferred consideration from acquisition of a business</w:t>
            </w:r>
          </w:p>
        </w:tc>
        <w:tc>
          <w:tcPr>
            <w:tcW w:w="1040" w:type="dxa"/>
            <w:vAlign w:val="bottom"/>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unit repurchases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left="860" w:right="1940"/>
        <w:spacing w:after="0" w:line="258" w:lineRule="auto"/>
        <w:rPr>
          <w:sz w:val="20"/>
          <w:szCs w:val="20"/>
          <w:color w:val="auto"/>
        </w:rPr>
      </w:pPr>
      <w:r>
        <w:rPr>
          <w:rFonts w:ascii="Arial" w:cs="Arial" w:eastAsia="Arial" w:hAnsi="Arial"/>
          <w:sz w:val="18"/>
          <w:szCs w:val="18"/>
          <w:b w:val="1"/>
          <w:bCs w:val="1"/>
          <w:color w:val="auto"/>
        </w:rPr>
        <w:t>ZoomInfo Technologies Inc. and Subsidiaries Notes to Audited Consolidated Financial Statements (In millions, except share/unit data and per share/unit amounts, unless otherwise noted)</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rFonts w:ascii="Arial" w:cs="Arial" w:eastAsia="Arial" w:hAnsi="Arial"/>
                <w:sz w:val="18"/>
                <w:szCs w:val="18"/>
                <w:color w:val="0000FF"/>
                <w:w w:val="86"/>
              </w:rPr>
            </w:pPr>
            <w:hyperlink w:anchor="page102">
              <w:r>
                <w:rPr>
                  <w:rFonts w:ascii="Arial" w:cs="Arial" w:eastAsia="Arial" w:hAnsi="Arial"/>
                  <w:sz w:val="18"/>
                  <w:szCs w:val="18"/>
                  <w:color w:val="0000FF"/>
                  <w:w w:val="86"/>
                </w:rPr>
                <w:t>Note 1</w:t>
              </w:r>
            </w:hyperlink>
          </w:p>
        </w:tc>
        <w:tc>
          <w:tcPr>
            <w:tcW w:w="80" w:type="dxa"/>
            <w:vAlign w:val="bottom"/>
          </w:tcPr>
          <w:p>
            <w:pPr>
              <w:spacing w:after="0"/>
              <w:rPr>
                <w:sz w:val="17"/>
                <w:szCs w:val="17"/>
                <w:color w:val="auto"/>
              </w:rPr>
            </w:pPr>
          </w:p>
        </w:tc>
        <w:tc>
          <w:tcPr>
            <w:tcW w:w="10200" w:type="dxa"/>
            <w:vAlign w:val="bottom"/>
            <w:gridSpan w:val="20"/>
          </w:tcPr>
          <w:p>
            <w:pPr>
              <w:ind w:left="640"/>
              <w:spacing w:after="0"/>
              <w:rPr>
                <w:rFonts w:ascii="Arial" w:cs="Arial" w:eastAsia="Arial" w:hAnsi="Arial"/>
                <w:sz w:val="18"/>
                <w:szCs w:val="18"/>
                <w:color w:val="0000FF"/>
              </w:rPr>
            </w:pPr>
            <w:hyperlink w:anchor="page102">
              <w:r>
                <w:rPr>
                  <w:rFonts w:ascii="Arial" w:cs="Arial" w:eastAsia="Arial" w:hAnsi="Arial"/>
                  <w:sz w:val="18"/>
                  <w:szCs w:val="18"/>
                  <w:color w:val="0000FF"/>
                </w:rPr>
                <w:t>Organization and Background</w:t>
              </w:r>
            </w:hyperlink>
          </w:p>
        </w:tc>
        <w:tc>
          <w:tcPr>
            <w:tcW w:w="180" w:type="dxa"/>
            <w:vAlign w:val="bottom"/>
          </w:tcPr>
          <w:p>
            <w:pPr>
              <w:jc w:val="center"/>
              <w:spacing w:after="0"/>
              <w:rPr>
                <w:rFonts w:ascii="Arial" w:cs="Arial" w:eastAsia="Arial" w:hAnsi="Arial"/>
                <w:sz w:val="18"/>
                <w:szCs w:val="18"/>
                <w:color w:val="3051F2"/>
                <w:w w:val="89"/>
              </w:rPr>
            </w:pPr>
            <w:hyperlink w:anchor="page102">
              <w:r>
                <w:rPr>
                  <w:rFonts w:ascii="Arial" w:cs="Arial" w:eastAsia="Arial" w:hAnsi="Arial"/>
                  <w:sz w:val="18"/>
                  <w:szCs w:val="18"/>
                  <w:color w:val="3051F2"/>
                  <w:w w:val="89"/>
                </w:rPr>
                <w:t>95</w:t>
              </w:r>
            </w:hyperlink>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05">
              <w:r>
                <w:rPr>
                  <w:rFonts w:ascii="Arial" w:cs="Arial" w:eastAsia="Arial" w:hAnsi="Arial"/>
                  <w:sz w:val="18"/>
                  <w:szCs w:val="18"/>
                  <w:color w:val="0000FF"/>
                  <w:w w:val="86"/>
                </w:rPr>
                <w:t>Note 2</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05">
              <w:r>
                <w:rPr>
                  <w:rFonts w:ascii="Arial" w:cs="Arial" w:eastAsia="Arial" w:hAnsi="Arial"/>
                  <w:sz w:val="18"/>
                  <w:szCs w:val="18"/>
                  <w:color w:val="0000FF"/>
                </w:rPr>
                <w:t>Basis of Presentation and Summary of Significant Accounting Policies</w:t>
              </w:r>
            </w:hyperlink>
          </w:p>
        </w:tc>
        <w:tc>
          <w:tcPr>
            <w:tcW w:w="180" w:type="dxa"/>
            <w:vAlign w:val="bottom"/>
          </w:tcPr>
          <w:p>
            <w:pPr>
              <w:jc w:val="center"/>
              <w:spacing w:after="0" w:line="205" w:lineRule="exact"/>
              <w:rPr>
                <w:rFonts w:ascii="Arial" w:cs="Arial" w:eastAsia="Arial" w:hAnsi="Arial"/>
                <w:sz w:val="18"/>
                <w:szCs w:val="18"/>
                <w:color w:val="3051F2"/>
                <w:w w:val="89"/>
              </w:rPr>
            </w:pPr>
            <w:hyperlink w:anchor="page105">
              <w:r>
                <w:rPr>
                  <w:rFonts w:ascii="Arial" w:cs="Arial" w:eastAsia="Arial" w:hAnsi="Arial"/>
                  <w:sz w:val="18"/>
                  <w:szCs w:val="18"/>
                  <w:color w:val="3051F2"/>
                  <w:w w:val="89"/>
                </w:rPr>
                <w:t>97</w:t>
              </w:r>
            </w:hyperlink>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14">
              <w:r>
                <w:rPr>
                  <w:rFonts w:ascii="Arial" w:cs="Arial" w:eastAsia="Arial" w:hAnsi="Arial"/>
                  <w:sz w:val="18"/>
                  <w:szCs w:val="18"/>
                  <w:color w:val="0000FF"/>
                  <w:w w:val="86"/>
                </w:rPr>
                <w:t>Note 3</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14">
              <w:r>
                <w:rPr>
                  <w:rFonts w:ascii="Arial" w:cs="Arial" w:eastAsia="Arial" w:hAnsi="Arial"/>
                  <w:sz w:val="18"/>
                  <w:szCs w:val="18"/>
                  <w:color w:val="0000FF"/>
                </w:rPr>
                <w:t>Revenue from Contracts with Customers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14">
              <w:r>
                <w:rPr>
                  <w:rFonts w:ascii="Arial" w:cs="Arial" w:eastAsia="Arial" w:hAnsi="Arial"/>
                  <w:sz w:val="18"/>
                  <w:szCs w:val="18"/>
                  <w:color w:val="3051F2"/>
                  <w:w w:val="79"/>
                </w:rPr>
                <w:t>106</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40" w:type="dxa"/>
            <w:vAlign w:val="bottom"/>
            <w:tcBorders>
              <w:right w:val="single" w:sz="8" w:color="3051F2"/>
            </w:tcBorders>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15">
              <w:r>
                <w:rPr>
                  <w:rFonts w:ascii="Arial" w:cs="Arial" w:eastAsia="Arial" w:hAnsi="Arial"/>
                  <w:sz w:val="18"/>
                  <w:szCs w:val="18"/>
                  <w:color w:val="0000FF"/>
                  <w:w w:val="86"/>
                </w:rPr>
                <w:t>Note 4</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15">
              <w:r>
                <w:rPr>
                  <w:rFonts w:ascii="Arial" w:cs="Arial" w:eastAsia="Arial" w:hAnsi="Arial"/>
                  <w:sz w:val="18"/>
                  <w:szCs w:val="18"/>
                  <w:color w:val="0000FF"/>
                </w:rPr>
                <w:t>Business Combinations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15">
              <w:r>
                <w:rPr>
                  <w:rFonts w:ascii="Arial" w:cs="Arial" w:eastAsia="Arial" w:hAnsi="Arial"/>
                  <w:sz w:val="18"/>
                  <w:szCs w:val="18"/>
                  <w:color w:val="3051F2"/>
                  <w:w w:val="79"/>
                </w:rPr>
                <w:t>107</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40" w:type="dxa"/>
            <w:vAlign w:val="bottom"/>
            <w:tcBorders>
              <w:right w:val="single" w:sz="8" w:color="3051F2"/>
            </w:tcBorders>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23">
              <w:r>
                <w:rPr>
                  <w:rFonts w:ascii="Arial" w:cs="Arial" w:eastAsia="Arial" w:hAnsi="Arial"/>
                  <w:sz w:val="18"/>
                  <w:szCs w:val="18"/>
                  <w:color w:val="0000FF"/>
                  <w:w w:val="86"/>
                </w:rPr>
                <w:t>Note 5</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23">
              <w:r>
                <w:rPr>
                  <w:rFonts w:ascii="Arial" w:cs="Arial" w:eastAsia="Arial" w:hAnsi="Arial"/>
                  <w:sz w:val="18"/>
                  <w:szCs w:val="18"/>
                  <w:color w:val="0000FF"/>
                </w:rPr>
                <w:t>Cash, Cash Equivalents, and Short-term Investments</w:t>
              </w:r>
            </w:hyperlink>
          </w:p>
        </w:tc>
        <w:tc>
          <w:tcPr>
            <w:tcW w:w="180" w:type="dxa"/>
            <w:vAlign w:val="bottom"/>
          </w:tcPr>
          <w:p>
            <w:pPr>
              <w:jc w:val="center"/>
              <w:spacing w:after="0" w:line="205" w:lineRule="exact"/>
              <w:rPr>
                <w:rFonts w:ascii="Arial" w:cs="Arial" w:eastAsia="Arial" w:hAnsi="Arial"/>
                <w:sz w:val="18"/>
                <w:szCs w:val="18"/>
                <w:color w:val="3051F2"/>
                <w:w w:val="73"/>
              </w:rPr>
            </w:pPr>
            <w:hyperlink w:anchor="page123">
              <w:r>
                <w:rPr>
                  <w:rFonts w:ascii="Arial" w:cs="Arial" w:eastAsia="Arial" w:hAnsi="Arial"/>
                  <w:sz w:val="18"/>
                  <w:szCs w:val="18"/>
                  <w:color w:val="3051F2"/>
                  <w:w w:val="73"/>
                </w:rPr>
                <w:t>115</w:t>
              </w:r>
            </w:hyperlink>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840" w:type="dxa"/>
            <w:vAlign w:val="bottom"/>
            <w:tcBorders>
              <w:right w:val="single" w:sz="8" w:color="3051F2"/>
            </w:tcBorders>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Note 6</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24">
              <w:r>
                <w:rPr>
                  <w:rFonts w:ascii="Arial" w:cs="Arial" w:eastAsia="Arial" w:hAnsi="Arial"/>
                  <w:sz w:val="18"/>
                  <w:szCs w:val="18"/>
                  <w:color w:val="0000FF"/>
                </w:rPr>
                <w:t>Property and Equipment</w:t>
              </w:r>
            </w:hyperlink>
          </w:p>
        </w:tc>
        <w:tc>
          <w:tcPr>
            <w:tcW w:w="180" w:type="dxa"/>
            <w:vAlign w:val="bottom"/>
          </w:tcPr>
          <w:p>
            <w:pPr>
              <w:jc w:val="center"/>
              <w:spacing w:after="0" w:line="205" w:lineRule="exact"/>
              <w:rPr>
                <w:rFonts w:ascii="Arial" w:cs="Arial" w:eastAsia="Arial" w:hAnsi="Arial"/>
                <w:sz w:val="18"/>
                <w:szCs w:val="18"/>
                <w:color w:val="3051F2"/>
                <w:w w:val="73"/>
              </w:rPr>
            </w:pPr>
            <w:hyperlink w:anchor="page124">
              <w:r>
                <w:rPr>
                  <w:rFonts w:ascii="Arial" w:cs="Arial" w:eastAsia="Arial" w:hAnsi="Arial"/>
                  <w:sz w:val="18"/>
                  <w:szCs w:val="18"/>
                  <w:color w:val="3051F2"/>
                  <w:w w:val="73"/>
                </w:rPr>
                <w:t>116</w:t>
              </w:r>
            </w:hyperlink>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24">
              <w:r>
                <w:rPr>
                  <w:rFonts w:ascii="Arial" w:cs="Arial" w:eastAsia="Arial" w:hAnsi="Arial"/>
                  <w:sz w:val="18"/>
                  <w:szCs w:val="18"/>
                  <w:color w:val="0000FF"/>
                  <w:w w:val="86"/>
                </w:rPr>
                <w:t>Note 7</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24">
              <w:r>
                <w:rPr>
                  <w:rFonts w:ascii="Arial" w:cs="Arial" w:eastAsia="Arial" w:hAnsi="Arial"/>
                  <w:sz w:val="18"/>
                  <w:szCs w:val="18"/>
                  <w:color w:val="0000FF"/>
                </w:rPr>
                <w:t>Goodwill and Acquired Intangible Assets</w:t>
              </w:r>
            </w:hyperlink>
          </w:p>
        </w:tc>
        <w:tc>
          <w:tcPr>
            <w:tcW w:w="180" w:type="dxa"/>
            <w:vAlign w:val="bottom"/>
          </w:tcPr>
          <w:p>
            <w:pPr>
              <w:jc w:val="center"/>
              <w:spacing w:after="0" w:line="205" w:lineRule="exact"/>
              <w:rPr>
                <w:rFonts w:ascii="Arial" w:cs="Arial" w:eastAsia="Arial" w:hAnsi="Arial"/>
                <w:sz w:val="18"/>
                <w:szCs w:val="18"/>
                <w:color w:val="3051F2"/>
                <w:w w:val="73"/>
              </w:rPr>
            </w:pPr>
            <w:hyperlink w:anchor="page124">
              <w:r>
                <w:rPr>
                  <w:rFonts w:ascii="Arial" w:cs="Arial" w:eastAsia="Arial" w:hAnsi="Arial"/>
                  <w:sz w:val="18"/>
                  <w:szCs w:val="18"/>
                  <w:color w:val="3051F2"/>
                  <w:w w:val="73"/>
                </w:rPr>
                <w:t>116</w:t>
              </w:r>
            </w:hyperlink>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25">
              <w:r>
                <w:rPr>
                  <w:rFonts w:ascii="Arial" w:cs="Arial" w:eastAsia="Arial" w:hAnsi="Arial"/>
                  <w:sz w:val="18"/>
                  <w:szCs w:val="18"/>
                  <w:color w:val="0000FF"/>
                  <w:w w:val="86"/>
                </w:rPr>
                <w:t>Note 8</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25">
              <w:r>
                <w:rPr>
                  <w:rFonts w:ascii="Arial" w:cs="Arial" w:eastAsia="Arial" w:hAnsi="Arial"/>
                  <w:sz w:val="18"/>
                  <w:szCs w:val="18"/>
                  <w:color w:val="0000FF"/>
                </w:rPr>
                <w:t>Financing Arrangements</w:t>
              </w:r>
            </w:hyperlink>
          </w:p>
        </w:tc>
        <w:tc>
          <w:tcPr>
            <w:tcW w:w="180" w:type="dxa"/>
            <w:vAlign w:val="bottom"/>
          </w:tcPr>
          <w:p>
            <w:pPr>
              <w:jc w:val="center"/>
              <w:spacing w:after="0" w:line="205" w:lineRule="exact"/>
              <w:rPr>
                <w:rFonts w:ascii="Arial" w:cs="Arial" w:eastAsia="Arial" w:hAnsi="Arial"/>
                <w:sz w:val="18"/>
                <w:szCs w:val="18"/>
                <w:color w:val="3051F2"/>
                <w:w w:val="73"/>
              </w:rPr>
            </w:pPr>
            <w:hyperlink w:anchor="page125">
              <w:r>
                <w:rPr>
                  <w:rFonts w:ascii="Arial" w:cs="Arial" w:eastAsia="Arial" w:hAnsi="Arial"/>
                  <w:sz w:val="18"/>
                  <w:szCs w:val="18"/>
                  <w:color w:val="3051F2"/>
                  <w:w w:val="73"/>
                </w:rPr>
                <w:t>118</w:t>
              </w:r>
            </w:hyperlink>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r>
      <w:tr>
        <w:trPr>
          <w:trHeight w:val="205"/>
        </w:trPr>
        <w:tc>
          <w:tcPr>
            <w:tcW w:w="480" w:type="dxa"/>
            <w:vAlign w:val="bottom"/>
          </w:tcPr>
          <w:p>
            <w:pPr>
              <w:spacing w:after="0" w:line="205" w:lineRule="exact"/>
              <w:rPr>
                <w:rFonts w:ascii="Arial" w:cs="Arial" w:eastAsia="Arial" w:hAnsi="Arial"/>
                <w:sz w:val="18"/>
                <w:szCs w:val="18"/>
                <w:color w:val="0000FF"/>
                <w:w w:val="86"/>
              </w:rPr>
            </w:pPr>
            <w:hyperlink w:anchor="page129">
              <w:r>
                <w:rPr>
                  <w:rFonts w:ascii="Arial" w:cs="Arial" w:eastAsia="Arial" w:hAnsi="Arial"/>
                  <w:sz w:val="18"/>
                  <w:szCs w:val="18"/>
                  <w:color w:val="0000FF"/>
                  <w:w w:val="86"/>
                </w:rPr>
                <w:t>Note 9</w:t>
              </w:r>
            </w:hyperlink>
          </w:p>
        </w:tc>
        <w:tc>
          <w:tcPr>
            <w:tcW w:w="80" w:type="dxa"/>
            <w:vAlign w:val="bottom"/>
          </w:tcPr>
          <w:p>
            <w:pPr>
              <w:spacing w:after="0"/>
              <w:rPr>
                <w:sz w:val="17"/>
                <w:szCs w:val="17"/>
                <w:color w:val="auto"/>
              </w:rPr>
            </w:pPr>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29">
              <w:r>
                <w:rPr>
                  <w:rFonts w:ascii="Arial" w:cs="Arial" w:eastAsia="Arial" w:hAnsi="Arial"/>
                  <w:sz w:val="18"/>
                  <w:szCs w:val="18"/>
                  <w:color w:val="0000FF"/>
                </w:rPr>
                <w:t>Derivatives and Hedging Activities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29">
              <w:r>
                <w:rPr>
                  <w:rFonts w:ascii="Arial" w:cs="Arial" w:eastAsia="Arial" w:hAnsi="Arial"/>
                  <w:sz w:val="18"/>
                  <w:szCs w:val="18"/>
                  <w:color w:val="3051F2"/>
                  <w:w w:val="79"/>
                </w:rPr>
                <w:t>121</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31">
              <w:r>
                <w:rPr>
                  <w:rFonts w:ascii="Arial" w:cs="Arial" w:eastAsia="Arial" w:hAnsi="Arial"/>
                  <w:sz w:val="18"/>
                  <w:szCs w:val="18"/>
                  <w:color w:val="0000FF"/>
                  <w:w w:val="85"/>
                </w:rPr>
                <w:t>Note 10</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31">
              <w:r>
                <w:rPr>
                  <w:rFonts w:ascii="Arial" w:cs="Arial" w:eastAsia="Arial" w:hAnsi="Arial"/>
                  <w:sz w:val="18"/>
                  <w:szCs w:val="18"/>
                  <w:color w:val="0000FF"/>
                </w:rPr>
                <w:t>Fair Value</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31">
              <w:r>
                <w:rPr>
                  <w:rFonts w:ascii="Arial" w:cs="Arial" w:eastAsia="Arial" w:hAnsi="Arial"/>
                  <w:sz w:val="18"/>
                  <w:szCs w:val="18"/>
                  <w:color w:val="3051F2"/>
                  <w:w w:val="79"/>
                </w:rPr>
                <w:t>124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34">
              <w:r>
                <w:rPr>
                  <w:rFonts w:ascii="Arial" w:cs="Arial" w:eastAsia="Arial" w:hAnsi="Arial"/>
                  <w:sz w:val="18"/>
                  <w:szCs w:val="18"/>
                  <w:color w:val="0000FF"/>
                  <w:w w:val="85"/>
                </w:rPr>
                <w:t>Note 11</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34">
              <w:r>
                <w:rPr>
                  <w:rFonts w:ascii="Arial" w:cs="Arial" w:eastAsia="Arial" w:hAnsi="Arial"/>
                  <w:sz w:val="18"/>
                  <w:szCs w:val="18"/>
                  <w:color w:val="0000FF"/>
                </w:rPr>
                <w:t>Commitments and Contingencies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34">
              <w:r>
                <w:rPr>
                  <w:rFonts w:ascii="Arial" w:cs="Arial" w:eastAsia="Arial" w:hAnsi="Arial"/>
                  <w:sz w:val="18"/>
                  <w:szCs w:val="18"/>
                  <w:color w:val="3051F2"/>
                  <w:w w:val="79"/>
                </w:rPr>
                <w:t>126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35">
              <w:r>
                <w:rPr>
                  <w:rFonts w:ascii="Arial" w:cs="Arial" w:eastAsia="Arial" w:hAnsi="Arial"/>
                  <w:sz w:val="18"/>
                  <w:szCs w:val="18"/>
                  <w:color w:val="0000FF"/>
                  <w:w w:val="85"/>
                </w:rPr>
                <w:t>Note 12</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35">
              <w:r>
                <w:rPr>
                  <w:rFonts w:ascii="Arial" w:cs="Arial" w:eastAsia="Arial" w:hAnsi="Arial"/>
                  <w:sz w:val="18"/>
                  <w:szCs w:val="18"/>
                  <w:color w:val="0000FF"/>
                </w:rPr>
                <w:t>Stockholders' Equity and Members' Deficit</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35">
              <w:r>
                <w:rPr>
                  <w:rFonts w:ascii="Arial" w:cs="Arial" w:eastAsia="Arial" w:hAnsi="Arial"/>
                  <w:sz w:val="18"/>
                  <w:szCs w:val="18"/>
                  <w:color w:val="3051F2"/>
                  <w:w w:val="79"/>
                </w:rPr>
                <w:t>127</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6520" w:type="dxa"/>
            <w:vAlign w:val="bottom"/>
            <w:tcBorders>
              <w:right w:val="single" w:sz="8" w:color="3051F2"/>
            </w:tcBorders>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37">
              <w:r>
                <w:rPr>
                  <w:rFonts w:ascii="Arial" w:cs="Arial" w:eastAsia="Arial" w:hAnsi="Arial"/>
                  <w:sz w:val="18"/>
                  <w:szCs w:val="18"/>
                  <w:color w:val="0000FF"/>
                  <w:w w:val="85"/>
                </w:rPr>
                <w:t>Note 13</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37">
              <w:r>
                <w:rPr>
                  <w:rFonts w:ascii="Arial" w:cs="Arial" w:eastAsia="Arial" w:hAnsi="Arial"/>
                  <w:sz w:val="18"/>
                  <w:szCs w:val="18"/>
                  <w:color w:val="0000FF"/>
                </w:rPr>
                <w:t>Redeemable Series A Preferred Units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37">
              <w:r>
                <w:rPr>
                  <w:rFonts w:ascii="Arial" w:cs="Arial" w:eastAsia="Arial" w:hAnsi="Arial"/>
                  <w:sz w:val="18"/>
                  <w:szCs w:val="18"/>
                  <w:color w:val="3051F2"/>
                  <w:w w:val="79"/>
                </w:rPr>
                <w:t>129</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6920" w:type="dxa"/>
            <w:vAlign w:val="bottom"/>
            <w:tcBorders>
              <w:right w:val="single" w:sz="8" w:color="3051F2"/>
            </w:tcBorders>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37">
              <w:r>
                <w:rPr>
                  <w:rFonts w:ascii="Arial" w:cs="Arial" w:eastAsia="Arial" w:hAnsi="Arial"/>
                  <w:sz w:val="18"/>
                  <w:szCs w:val="18"/>
                  <w:color w:val="0000FF"/>
                  <w:w w:val="85"/>
                </w:rPr>
                <w:t>Note 14</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37">
              <w:r>
                <w:rPr>
                  <w:rFonts w:ascii="Arial" w:cs="Arial" w:eastAsia="Arial" w:hAnsi="Arial"/>
                  <w:sz w:val="18"/>
                  <w:szCs w:val="18"/>
                  <w:color w:val="0000FF"/>
                </w:rPr>
                <w:t>Earnings Per Share</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37">
              <w:r>
                <w:rPr>
                  <w:rFonts w:ascii="Arial" w:cs="Arial" w:eastAsia="Arial" w:hAnsi="Arial"/>
                  <w:sz w:val="18"/>
                  <w:szCs w:val="18"/>
                  <w:color w:val="3051F2"/>
                  <w:w w:val="79"/>
                </w:rPr>
                <w:t>130</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41">
              <w:r>
                <w:rPr>
                  <w:rFonts w:ascii="Arial" w:cs="Arial" w:eastAsia="Arial" w:hAnsi="Arial"/>
                  <w:sz w:val="18"/>
                  <w:szCs w:val="18"/>
                  <w:color w:val="0000FF"/>
                  <w:w w:val="85"/>
                </w:rPr>
                <w:t>Note 15</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41">
              <w:r>
                <w:rPr>
                  <w:rFonts w:ascii="Arial" w:cs="Arial" w:eastAsia="Arial" w:hAnsi="Arial"/>
                  <w:sz w:val="18"/>
                  <w:szCs w:val="18"/>
                  <w:color w:val="0000FF"/>
                </w:rPr>
                <w:t>Leases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41">
              <w:r>
                <w:rPr>
                  <w:rFonts w:ascii="Arial" w:cs="Arial" w:eastAsia="Arial" w:hAnsi="Arial"/>
                  <w:sz w:val="18"/>
                  <w:szCs w:val="18"/>
                  <w:color w:val="3051F2"/>
                  <w:w w:val="79"/>
                </w:rPr>
                <w:t>134</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44">
              <w:r>
                <w:rPr>
                  <w:rFonts w:ascii="Arial" w:cs="Arial" w:eastAsia="Arial" w:hAnsi="Arial"/>
                  <w:sz w:val="18"/>
                  <w:szCs w:val="18"/>
                  <w:color w:val="0000FF"/>
                  <w:w w:val="85"/>
                </w:rPr>
                <w:t>Note 16</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44">
              <w:r>
                <w:rPr>
                  <w:rFonts w:ascii="Arial" w:cs="Arial" w:eastAsia="Arial" w:hAnsi="Arial"/>
                  <w:sz w:val="18"/>
                  <w:szCs w:val="18"/>
                  <w:color w:val="0000FF"/>
                </w:rPr>
                <w:t>Equity-based Compensation</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44">
              <w:r>
                <w:rPr>
                  <w:rFonts w:ascii="Arial" w:cs="Arial" w:eastAsia="Arial" w:hAnsi="Arial"/>
                  <w:sz w:val="18"/>
                  <w:szCs w:val="18"/>
                  <w:color w:val="3051F2"/>
                  <w:w w:val="79"/>
                </w:rPr>
                <w:t>136</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240" w:type="dxa"/>
            <w:vAlign w:val="bottom"/>
            <w:gridSpan w:val="2"/>
            <w:shd w:val="clear" w:color="auto" w:fill="3051F2"/>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49">
              <w:r>
                <w:rPr>
                  <w:rFonts w:ascii="Arial" w:cs="Arial" w:eastAsia="Arial" w:hAnsi="Arial"/>
                  <w:sz w:val="18"/>
                  <w:szCs w:val="18"/>
                  <w:color w:val="0000FF"/>
                  <w:w w:val="85"/>
                </w:rPr>
                <w:t>Note 17</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49">
              <w:r>
                <w:rPr>
                  <w:rFonts w:ascii="Arial" w:cs="Arial" w:eastAsia="Arial" w:hAnsi="Arial"/>
                  <w:sz w:val="18"/>
                  <w:szCs w:val="18"/>
                  <w:color w:val="0000FF"/>
                </w:rPr>
                <w:t>Segment and Geographic Data</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49">
              <w:r>
                <w:rPr>
                  <w:rFonts w:ascii="Arial" w:cs="Arial" w:eastAsia="Arial" w:hAnsi="Arial"/>
                  <w:sz w:val="18"/>
                  <w:szCs w:val="18"/>
                  <w:color w:val="3051F2"/>
                  <w:w w:val="79"/>
                </w:rPr>
                <w:t>141</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7400" w:type="dxa"/>
            <w:vAlign w:val="bottom"/>
            <w:tcBorders>
              <w:right w:val="single" w:sz="8" w:color="3051F2"/>
            </w:tcBorders>
            <w:gridSpan w:val="9"/>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49">
              <w:r>
                <w:rPr>
                  <w:rFonts w:ascii="Arial" w:cs="Arial" w:eastAsia="Arial" w:hAnsi="Arial"/>
                  <w:sz w:val="18"/>
                  <w:szCs w:val="18"/>
                  <w:color w:val="0000FF"/>
                  <w:w w:val="85"/>
                </w:rPr>
                <w:t>Note 18</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49">
              <w:r>
                <w:rPr>
                  <w:rFonts w:ascii="Arial" w:cs="Arial" w:eastAsia="Arial" w:hAnsi="Arial"/>
                  <w:sz w:val="18"/>
                  <w:szCs w:val="18"/>
                  <w:color w:val="0000FF"/>
                </w:rPr>
                <w:t>Tax Receivable Agreements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49">
              <w:r>
                <w:rPr>
                  <w:rFonts w:ascii="Arial" w:cs="Arial" w:eastAsia="Arial" w:hAnsi="Arial"/>
                  <w:sz w:val="18"/>
                  <w:szCs w:val="18"/>
                  <w:color w:val="3051F2"/>
                  <w:w w:val="79"/>
                </w:rPr>
                <w:t>142</w:t>
              </w:r>
            </w:hyperlink>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7580" w:type="dxa"/>
            <w:vAlign w:val="bottom"/>
            <w:tcBorders>
              <w:right w:val="single" w:sz="8" w:color="3051F2"/>
            </w:tcBorders>
            <w:gridSpan w:val="11"/>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rFonts w:ascii="Arial" w:cs="Arial" w:eastAsia="Arial" w:hAnsi="Arial"/>
                <w:sz w:val="18"/>
                <w:szCs w:val="18"/>
                <w:color w:val="0000FF"/>
                <w:w w:val="85"/>
              </w:rPr>
            </w:pPr>
            <w:hyperlink w:anchor="page150">
              <w:r>
                <w:rPr>
                  <w:rFonts w:ascii="Arial" w:cs="Arial" w:eastAsia="Arial" w:hAnsi="Arial"/>
                  <w:sz w:val="18"/>
                  <w:szCs w:val="18"/>
                  <w:color w:val="0000FF"/>
                  <w:w w:val="85"/>
                </w:rPr>
                <w:t>Note 19</w:t>
              </w:r>
            </w:hyperlink>
          </w:p>
        </w:tc>
        <w:tc>
          <w:tcPr>
            <w:tcW w:w="10200" w:type="dxa"/>
            <w:vAlign w:val="bottom"/>
            <w:gridSpan w:val="20"/>
          </w:tcPr>
          <w:p>
            <w:pPr>
              <w:ind w:left="640"/>
              <w:spacing w:after="0" w:line="205" w:lineRule="exact"/>
              <w:rPr>
                <w:rFonts w:ascii="Arial" w:cs="Arial" w:eastAsia="Arial" w:hAnsi="Arial"/>
                <w:sz w:val="18"/>
                <w:szCs w:val="18"/>
                <w:color w:val="0000FF"/>
              </w:rPr>
            </w:pPr>
            <w:hyperlink w:anchor="page150">
              <w:r>
                <w:rPr>
                  <w:rFonts w:ascii="Arial" w:cs="Arial" w:eastAsia="Arial" w:hAnsi="Arial"/>
                  <w:sz w:val="18"/>
                  <w:szCs w:val="18"/>
                  <w:color w:val="0000FF"/>
                </w:rPr>
                <w:t>Income Taxes</w:t>
              </w:r>
            </w:hyperlink>
          </w:p>
        </w:tc>
        <w:tc>
          <w:tcPr>
            <w:tcW w:w="240" w:type="dxa"/>
            <w:vAlign w:val="bottom"/>
            <w:gridSpan w:val="2"/>
          </w:tcPr>
          <w:p>
            <w:pPr>
              <w:jc w:val="center"/>
              <w:spacing w:after="0" w:line="205" w:lineRule="exact"/>
              <w:rPr>
                <w:rFonts w:ascii="Arial" w:cs="Arial" w:eastAsia="Arial" w:hAnsi="Arial"/>
                <w:sz w:val="18"/>
                <w:szCs w:val="18"/>
                <w:color w:val="3051F2"/>
                <w:w w:val="79"/>
              </w:rPr>
            </w:pPr>
            <w:hyperlink w:anchor="page150">
              <w:r>
                <w:rPr>
                  <w:rFonts w:ascii="Arial" w:cs="Arial" w:eastAsia="Arial" w:hAnsi="Arial"/>
                  <w:sz w:val="18"/>
                  <w:szCs w:val="18"/>
                  <w:color w:val="3051F2"/>
                  <w:w w:val="79"/>
                </w:rPr>
                <w:t>143</w:t>
              </w:r>
            </w:hyperlink>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Borders>
              <w:right w:val="single" w:sz="8" w:color="3051F2"/>
            </w:tcBorders>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ZoomInfo Technologies Inc., through its operating subsidiaries, provides a go-to-market intelligence and engagement platform for sales and marketing teams. The Company’s cloud-based platform provides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 Unless otherwise indicated or the context otherwise requires, references to “we,” “us,” “our,” “ZoomInfo,” and the “Company” refer (1) prior to the consummation of the Reorganization Transactions, to ZoomInfo OpCo and its consolidated subsidiaries, (2) after the consummation of the Reorganization Transactions and prior to the consummation of the Holding Company Reorganization, to ZoomInfo Intermediate Inc. (formerly known as ZoomInfo Technologies Inc.) and its consolidated subsidiaries and (3) after the consummation of the Holding Company Reorganization, to ZoomInfo Technologies Inc. (formerly known as ZoomInfo NewCo Inc.) and its consolidated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ZoomInfo Technologies Inc. was formed on November 14, 2019 with no operating assets or operations as a Delaware corporation for the purposes of facilitating an initial public offering (“IPO”) and other related transactions in order to carry on the business of ZoomInfo Holdings LLC (“ZoomInfo OpCo”) (formerly known as DiscoverOrg Holdings, LLC), a Delaware limited liability company. Following consummation of the Reorganization Transactions (as described below), ZoomInfo OpCo became a direct subsidiary of ZoomInfo Intermediate Holdings LLC (“ZoomInfo HoldCo”), a Delaware limited liability company and an indirect subsidiary of ZoomInfo Technologies Inc. Following the consummation of the Holding Company Reorganization, ZoomInfo OpCo became a direct subsidiary of ZoomInfo Technologies Inc. and ZoomInfo Intermediate Inc.</w:t>
      </w:r>
    </w:p>
    <w:p>
      <w:pPr>
        <w:spacing w:after="0" w:line="126" w:lineRule="exact"/>
        <w:rPr>
          <w:sz w:val="20"/>
          <w:szCs w:val="20"/>
          <w:color w:val="auto"/>
        </w:rPr>
      </w:pPr>
    </w:p>
    <w:p>
      <w:pPr>
        <w:ind w:right="940" w:firstLine="318"/>
        <w:spacing w:after="0" w:line="430" w:lineRule="auto"/>
        <w:rPr>
          <w:sz w:val="20"/>
          <w:szCs w:val="20"/>
          <w:color w:val="auto"/>
        </w:rPr>
      </w:pPr>
      <w:r>
        <w:rPr>
          <w:rFonts w:ascii="Arial" w:cs="Arial" w:eastAsia="Arial" w:hAnsi="Arial"/>
          <w:sz w:val="18"/>
          <w:szCs w:val="18"/>
          <w:color w:val="auto"/>
        </w:rPr>
        <w:t xml:space="preserve">The Company headquarters are located in Vancouver, WA, and we operate in ten offices throughout the U.S. and three offices internationally. </w:t>
      </w:r>
      <w:r>
        <w:rPr>
          <w:rFonts w:ascii="Arial" w:cs="Arial" w:eastAsia="Arial" w:hAnsi="Arial"/>
          <w:sz w:val="18"/>
          <w:szCs w:val="18"/>
          <w:b w:val="1"/>
          <w:bCs w:val="1"/>
          <w:i w:val="1"/>
          <w:iCs w:val="1"/>
          <w:color w:val="auto"/>
        </w:rPr>
        <w:t>Initial Public Offering</w:t>
      </w:r>
    </w:p>
    <w:p>
      <w:pPr>
        <w:jc w:val="both"/>
        <w:ind w:firstLine="318"/>
        <w:spacing w:after="0" w:line="265" w:lineRule="auto"/>
        <w:rPr>
          <w:sz w:val="20"/>
          <w:szCs w:val="20"/>
          <w:color w:val="auto"/>
        </w:rPr>
      </w:pPr>
      <w:r>
        <w:rPr>
          <w:rFonts w:ascii="Arial" w:cs="Arial" w:eastAsia="Arial" w:hAnsi="Arial"/>
          <w:sz w:val="17"/>
          <w:szCs w:val="17"/>
          <w:color w:val="auto"/>
        </w:rPr>
        <w:t>On June 8, 2020, ZoomInfo Technologies Inc. completed the IPO, in which it sold 51,175,000 shares of Class A common stock (including shares issued pursuant to the exercise in full of the underwriters’ option to purchase additional shares) at a public offering price of $21.00 per share for net proceeds of $1,019.6 million, after deducting underwriters’ discounts (but excluding other offering expenses and reimbursements). ZoomInfo Technologies Inc. used all of the proceeds from the IPO to (i) purchase 48,528,783 newly issued HoldCo Units from ZoomInfo HoldCo for approximately $966.9 million (which ZoomInfo HoldCo in turn used to purchase the same number of newly issued OpCo Units from ZoomInfo OpCo); (ii) purchase 2,370,948 OpCo Units from certain Pre-IPO OpCo Unitholders for approximately $47.2 million; and (iii) fund $5.5 million of merger consideration payable to certain Pre-IPO Blocker Holders in connection with the Blocker Mergers (as defined below).</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 Transactions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connection with the IPO, the Company completed the following transactions (“Reorganization Transactions”):</w:t>
      </w:r>
    </w:p>
    <w:p>
      <w:pPr>
        <w:spacing w:after="0" w:line="164" w:lineRule="exact"/>
        <w:rPr>
          <w:sz w:val="20"/>
          <w:szCs w:val="20"/>
          <w:color w:val="auto"/>
        </w:rPr>
      </w:pPr>
    </w:p>
    <w:p>
      <w:pPr>
        <w:ind w:left="1280" w:hanging="320"/>
        <w:spacing w:after="0"/>
        <w:tabs>
          <w:tab w:leader="none" w:pos="12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ZoomInfo OpCo effected a four—for—one reverse unit split;</w:t>
      </w:r>
    </w:p>
    <w:p>
      <w:pPr>
        <w:spacing w:after="0" w:line="164" w:lineRule="exact"/>
        <w:rPr>
          <w:rFonts w:ascii="Arial" w:cs="Arial" w:eastAsia="Arial" w:hAnsi="Arial"/>
          <w:sz w:val="18"/>
          <w:szCs w:val="18"/>
          <w:color w:val="auto"/>
        </w:rPr>
      </w:pPr>
    </w:p>
    <w:p>
      <w:pPr>
        <w:jc w:val="both"/>
        <w:ind w:left="640" w:firstLine="320"/>
        <w:spacing w:after="0" w:line="250" w:lineRule="auto"/>
        <w:tabs>
          <w:tab w:leader="none" w:pos="12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ZoomInfo Technologies Inc. formed a new merger subsidiary with respect to each of the Blocker Companies through which certain of our Pre-IPO Blocker Holders held their interests in ZoomInfo OpCo, each merger subsidiary merged with and into the respective Blocker Companies in reverse-subsidiary mergers, and the surviving entities merged with and into ZoomInfo Technologies Inc. (such mergers, the “Blocker Mergers”), which Blocker Mergers resulted in the Pre-IPO Blocker Holders receiving a combination of (i) shares of Class C common stock of ZoomInfo Technologies Inc. and (ii) a cash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respect of reductions in such Pre-IPO Blocker Holders’ equity interests, based on the initial offering price of the Class A common stock in the IPO;</w:t>
      </w:r>
    </w:p>
    <w:p>
      <w:pPr>
        <w:spacing w:after="0" w:line="199" w:lineRule="exact"/>
        <w:rPr>
          <w:sz w:val="20"/>
          <w:szCs w:val="20"/>
          <w:color w:val="auto"/>
        </w:rPr>
      </w:pPr>
    </w:p>
    <w:p>
      <w:pPr>
        <w:jc w:val="both"/>
        <w:ind w:left="640" w:firstLine="320"/>
        <w:spacing w:after="0" w:line="255" w:lineRule="auto"/>
        <w:tabs>
          <w:tab w:leader="none" w:pos="12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Pre-IPO Owners acquired interests in ZoomInfo HoldCo as a result of the merger of an entity that held OpCo Units on behalf of such Pre-IPO Owners into ZoomInfo HoldCo (the “ZoomInfo HoldCo Contributions”) and the redemption of some OpCo Units pursuant to which the holders of such OpCo Units received HoldCo Units; and</w:t>
      </w:r>
    </w:p>
    <w:p>
      <w:pPr>
        <w:spacing w:after="0" w:line="135" w:lineRule="exact"/>
        <w:rPr>
          <w:rFonts w:ascii="Arial" w:cs="Arial" w:eastAsia="Arial" w:hAnsi="Arial"/>
          <w:sz w:val="18"/>
          <w:szCs w:val="18"/>
          <w:color w:val="auto"/>
        </w:rPr>
      </w:pPr>
    </w:p>
    <w:p>
      <w:pPr>
        <w:jc w:val="both"/>
        <w:ind w:left="640" w:firstLine="320"/>
        <w:spacing w:after="0" w:line="252" w:lineRule="auto"/>
        <w:tabs>
          <w:tab w:leader="none" w:pos="127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limited liability company agreement of each of ZoomInfo OpCo and ZoomInfo HoldCo was amended and restated to, among other things, modify their capital structure by reclassifying the interests held by the Pre-IPO OpCo Unitholders, the Continuing Class P Unitholders, and the Pre-IPO HoldCo Unitholders, resulting in OpCo Units of ZoomInfo OpCo, Class P Units of ZoomInfo OpCo, and HoldCo Units of ZoomInfo HoldCo, respectively (such reclassification, the “Reclassification”).</w:t>
      </w:r>
    </w:p>
    <w:p>
      <w:pPr>
        <w:spacing w:after="0" w:line="13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refer to the Reclassification, together with the Blocker Mergers and the ZoomInfo HoldCo Contributions, as the “Reorganization Transactions.” Following the Reorganization Transactions, ZoomInfo Technologies Inc. became a holding company, with its sole material asset being a controlling equity interest in ZoomInfo HoldCo, which became a holding company with its sole material asset being a controlling equity interest in ZoomInfo OpCo. ZoomInfo Technologies Inc. will operate and control all of the business and affairs, and consolidate the financial results, of ZoomInfo OpCo through ZoomInfo HoldCo and, through ZoomInfo OpCo and its subsidiaries, conduct our business. Accordingly, ZoomInfo Technologies Inc. consolidates the financial results of ZoomInfo HoldCo, and therefore ZoomInfo OpCo, and reports the non-controlling interests of the Pre-IPO HoldCo Units and Pre-IPO OpCo Units on its consolidated financial statements.</w:t>
      </w:r>
    </w:p>
    <w:p>
      <w:pPr>
        <w:spacing w:after="0" w:line="146"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connection with the Reorganization Transactions and the IPO, ZoomInfo Technologies Inc. entered into two tax receivable agreements. Refer to Note 18 - Tax Receivable Agreements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Structure Simplification Transactions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August 2021, the Company completed a series of reorganization transactions to simplify its corporate structure, including the distribution of shares of common stock of RKSI Acquisition Corp (“RKSI”) from ZoomInfo Holdings LLC to ZoomInfo HoldCo, the merger of RKSI with and into ZoomInfo HoldCo with ZoomInfo HoldCo surviving, and the merger of ZoomInfo HoldCo with and into the Company with the Company surviving. Prior to the consummation of the HoldCo Merger, all holders of HoldCo Units (other than the Company) exchanged their HoldCo Units and paired shares of Class B common stock of the Company for shares of Class A common stock of the Company pursuant to the terms of the limited liability company agreement of ZoomInfo HoldCo.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UP-C Corporate Structure and Multi-Class Voting Structure Elimination</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In September 2021, the Board of Directors unanimously approved streamlining the Company’s corporate structure and governance by eliminating the Company’s umbrella partnership-C-corporation (“UP-C”) and multi-class voting structure. In October 2021, the Company implemented this reorganization, pursuant to which (i) a subsidiary of ZoomInfo Technologies Inc. (formerly known as ZoomInfo NewCo Inc.) (“New ZoomInfo”) merged (the “PubCo Merger”) with and into ZoomInfo Intermediate Inc. (formerly known as ZoomInfo Technologies Inc.) (“Old ZoomInfo”), which resulted in New ZoomInfo becoming the direct parent company of Old ZoomInfo, and (ii) immediately thereafter, another subsidiary of New ZoomInfo merged (the “OpCo Merger”) with and into ZoomInfo Holdings LLC (“ZoomInfo OpCo”), which resulted in ZoomInfo OpCo becoming a subsidiary of New ZoomInfo (the “Holding Company Reorganization”). As a result of the Holding Company Reorganization, New ZoomInfo became the successor issuer and reporting company to Old ZoomInfo pursuant to Rule 12g-3(a) under the Securities Exchange Act of 1934, as amended (the “Exchange Act”), and replaced the Predecessor Registrant as the public company trading on the Nasdaq Global Select Market (the “Nasdaq”) under the ticker symbol “ZI.”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Background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connection with the PubCo Merger, (i) each outstanding share of Old ZoomInfo’s Class A common stock, par value $0.01 per share (“Old Class A Common Stock”), was automatically converted into one share of New ZoomInfo’s Class A common stock, par value $0.01 per share (“New Class A Common Stock”), having the same designation, rights, powers, and preferences, and qualifications, limitations, and restrictions as a share of Old Class A Common Stock immediately prior to the PubCo Merger, and (ii) each outstanding share of Old ZoomInfo’s Class B common stock, par value $0.01 per share (“Old Class B Common Stock”), was automatically converted into one share of the New ZoomInfo’s Class B common stock, par value $0.01 per share (“New Class B Common Stock”), having the same designation, rights, powers, and preferences, and qualifications, limitations, and restrictions as a share of Old Class B Common Stock immediately prior to the PubCo Merger. Accordingly, upon consummation of the PubCo Merger, stockholders of Old ZoomInfo automatically became stockholders of New ZoomInfo, on a one-for-one basis, with the same number and ownership percentage of shares of the same class as they held in Old ZoomInfo immediately prior to the effective time of the PubCo Merger.</w:t>
      </w:r>
    </w:p>
    <w:p>
      <w:pPr>
        <w:spacing w:after="0" w:line="13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the OpCo Merger, (i) each outstanding Class A Common Unit, Class P Unit and LTIP Unit was automatically converted into the number of shares of New Class A Common Stock equal to the number of shares of Old Class A Common Stock such unit was exchangeable for under the limited liability company agreement of ZoomInfo OpCo and (ii) all outstanding shares of New Class B Common Stock were surrendered to New ZoomInfo and cancelled.</w:t>
      </w:r>
    </w:p>
    <w:p>
      <w:pPr>
        <w:spacing w:after="0" w:line="138"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After the consummation of the Holding Company Reorganization, the only class of common stock of the New ZoomInfo remaining issued and outstanding is the New Class A Common Stock. We do not intend to issue any shares of Class B common stock or Class C common stock of New ZoomInfo.</w:t>
      </w:r>
    </w:p>
    <w:p>
      <w:pPr>
        <w:spacing w:after="0" w:line="158" w:lineRule="exact"/>
        <w:rPr>
          <w:sz w:val="20"/>
          <w:szCs w:val="20"/>
          <w:color w:val="auto"/>
        </w:rPr>
      </w:pPr>
    </w:p>
    <w:p>
      <w:pPr>
        <w:ind w:right="5340"/>
        <w:spacing w:after="0" w:line="433" w:lineRule="auto"/>
        <w:rPr>
          <w:sz w:val="20"/>
          <w:szCs w:val="20"/>
          <w:color w:val="auto"/>
        </w:rPr>
      </w:pPr>
      <w:r>
        <w:rPr>
          <w:rFonts w:ascii="Arial" w:cs="Arial" w:eastAsia="Arial" w:hAnsi="Arial"/>
          <w:sz w:val="18"/>
          <w:szCs w:val="18"/>
          <w:b w:val="1"/>
          <w:bCs w:val="1"/>
          <w:color w:val="auto"/>
        </w:rPr>
        <w:t xml:space="preserve">Note 2 - Basis of Presentation and Summary of Significant Accounting Policies </w:t>
      </w:r>
      <w:r>
        <w:rPr>
          <w:rFonts w:ascii="Arial" w:cs="Arial" w:eastAsia="Arial" w:hAnsi="Arial"/>
          <w:sz w:val="18"/>
          <w:szCs w:val="18"/>
          <w:b w:val="1"/>
          <w:bCs w:val="1"/>
          <w:i w:val="1"/>
          <w:iCs w:val="1"/>
          <w:color w:val="auto"/>
        </w:rPr>
        <w:t>Accounting Principles</w:t>
      </w:r>
    </w:p>
    <w:p>
      <w:pPr>
        <w:spacing w:after="0" w:line="1"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Our consolidated financial statements and accompanying notes are prepared in accordance with accounting principles generally accepted in the United States of America (“U.S. GAAP”).</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consolidated financial statements include the accounts of ZoomInfo Technologies Inc. and its subsidiaries. All intercompany transactions and balances have been eliminated in consolidation.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derives revenue primarily from subscription services. Our subscription services consist of our SaaS applications and related access to our databases. Subscription contracts are generally based on the number of users that access our applications, the level of functionality that they can access, and the amount of data that a customer integrates with their systems. Our subscriptions contracts typically have a term of 1 to 3 years and are non-cancelable. We typically bill for services annually, semi-annually, or quarterly in advance of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accounts for revenue contracts with customers through the following steps:</w:t>
      </w:r>
    </w:p>
    <w:p>
      <w:pPr>
        <w:spacing w:after="0" w:line="164" w:lineRule="exact"/>
        <w:rPr>
          <w:sz w:val="20"/>
          <w:szCs w:val="20"/>
          <w:color w:val="auto"/>
        </w:rPr>
      </w:pPr>
    </w:p>
    <w:p>
      <w:pPr>
        <w:ind w:left="1280" w:hanging="320"/>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the contract with a customer;</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allocate the transaction price; and</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a performance obligation.</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reduces revenue recognized.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accumulated other comprehensive income,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Level 3 - Unobservable inputs that are supported by little or no market activity, including the Company’s own assumptions in determining fair value</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Customers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off-balance-sheet credit exposure related to its customers. Concentrations of credit risk with respect to accounts receivable and revenue are limited due to a large, diverse customer base. We do not require collateral from clients. We maintain an allowance for doubtful accounts based upon the expected collectability of accounts receivable. The Company performs ongoing credit evaluations of its customers and maintains allowances for possible losses, which, when realized, have been within the range of management’s expectations. No single customer accounted for 10% or more of our revenue for the years ended December 31, 2021, 2020, and 2019 or accounted for more than 10% of accounts receivable as of December 31, 2021 and December 31, 2020. Net assets located outside of the United States were immaterial as of December 31, 2021 and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Contract Assets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Accounts receivable is comprised of invoices of revenue, net of allowance for doubtful accounts and does not bear interest. We consider receivables past due based on the contractual payment terms. Management’s evaluation of the adequacy of the allowance for doubtful accounts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The Company does not have significant bad debt experience with customers, and therefore, the allowance for doubtful accounts is immaterial as of December 31, 2021 and December 31, 2020.</w:t>
      </w:r>
    </w:p>
    <w:p>
      <w:pPr>
        <w:spacing w:after="0" w:line="12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Contract assets represent a contractual right to consideration in the future. Contract assets are generated when contractual billing schedules differ from revenue recognition timing.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and purchased software license costs, are capitalized and amortized over the estimated useful life of the asset. Estimated useful lives range from 3 years to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Arial" w:cs="Arial" w:eastAsia="Arial" w:hAnsi="Arial"/>
          <w:sz w:val="15"/>
          <w:szCs w:val="15"/>
          <w:i w:val="1"/>
          <w:iCs w:val="1"/>
          <w:color w:val="auto"/>
        </w:rPr>
        <w:t>Deferred costs and other assets, net of current portion</w:t>
      </w:r>
      <w:r>
        <w:rPr>
          <w:rFonts w:ascii="Arial" w:cs="Arial" w:eastAsia="Arial" w:hAnsi="Arial"/>
          <w:sz w:val="15"/>
          <w:szCs w:val="15"/>
          <w:color w:val="auto"/>
        </w:rPr>
        <w:t xml:space="preserve"> on our Consolidated Balance Sheets. Deferred sales commissions are amortized on a straight-line basis over the estimated period of benefit from the customer relationship which we have determined to be 1 and 3 years for renewals and new clients, respectively. We determined the period of benefit by taking into consideration our customer contracts, our technology, and other factors. Amortization expense is included in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expense on our Consolidated Statements of Operations.</w:t>
      </w:r>
    </w:p>
    <w:p>
      <w:pPr>
        <w:spacing w:after="0" w:line="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 xml:space="preserve">Commissions payable at December 31, 2021 were $34.1 million, of which the current portion of $31.4 million was included in </w:t>
      </w:r>
      <w:r>
        <w:rPr>
          <w:rFonts w:ascii="Arial" w:cs="Arial" w:eastAsia="Arial" w:hAnsi="Arial"/>
          <w:sz w:val="18"/>
          <w:szCs w:val="18"/>
          <w:i w:val="1"/>
          <w:iCs w:val="1"/>
          <w:color w:val="auto"/>
        </w:rPr>
        <w:t>Accrued expenses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current liabilities </w:t>
      </w:r>
      <w:r>
        <w:rPr>
          <w:rFonts w:ascii="Arial" w:cs="Arial" w:eastAsia="Arial" w:hAnsi="Arial"/>
          <w:sz w:val="18"/>
          <w:szCs w:val="18"/>
          <w:color w:val="auto"/>
        </w:rPr>
        <w:t>on our Consolidated Balance Sheets, and the long-term portion of $2.7 million was included 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on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Consolidated Balance Sheets. Commissions payable at December 31, 2020 were $25.6 million, of which the current portion of $23.3 million was included in </w:t>
      </w:r>
      <w:r>
        <w:rPr>
          <w:rFonts w:ascii="Arial" w:cs="Arial" w:eastAsia="Arial" w:hAnsi="Arial"/>
          <w:sz w:val="18"/>
          <w:szCs w:val="18"/>
          <w:i w:val="1"/>
          <w:iCs w:val="1"/>
          <w:color w:val="auto"/>
        </w:rPr>
        <w:t xml:space="preserve">Accrued expenses and other current liabilities </w:t>
      </w:r>
      <w:r>
        <w:rPr>
          <w:rFonts w:ascii="Arial" w:cs="Arial" w:eastAsia="Arial" w:hAnsi="Arial"/>
          <w:sz w:val="18"/>
          <w:szCs w:val="18"/>
          <w:color w:val="auto"/>
        </w:rPr>
        <w:t>on our Consolidated Balance Sheets, and the long-term portion of $2.3 million was included in</w:t>
      </w:r>
      <w:r>
        <w:rPr>
          <w:rFonts w:ascii="Arial" w:cs="Arial" w:eastAsia="Arial" w:hAnsi="Arial"/>
          <w:sz w:val="18"/>
          <w:szCs w:val="18"/>
          <w:i w:val="1"/>
          <w:iCs w:val="1"/>
          <w:color w:val="auto"/>
        </w:rPr>
        <w:t xml:space="preserve"> Other long-term liabilities </w:t>
      </w:r>
      <w:r>
        <w:rPr>
          <w:rFonts w:ascii="Arial" w:cs="Arial" w:eastAsia="Arial" w:hAnsi="Arial"/>
          <w:sz w:val="18"/>
          <w:szCs w:val="18"/>
          <w:color w:val="auto"/>
        </w:rPr>
        <w:t>on our Consolidated Balance Sheets.</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Certain commissions are not capitalized as they do not represent incremental costs of obtaining a contract. Such commissions are expensed as incurred.</w:t>
      </w:r>
    </w:p>
    <w:p>
      <w:pPr>
        <w:spacing w:after="0" w:line="19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capitalized $61.0 million and $44.9 million of costs to obtain revenue contracts and amortized $41.7 million and $25.1 million to sales and marketing expense for the years ended December 31, 2021 and 2020, respectively. Costs capitalized to obtain a revenue contract, net on the Company’s Consolidated Balance Sheets totaled $59.6 million and $40.3 million at December 31, 2021 and 2020, respectively. There were no impairments of costs to obtain revenue contracts in the years ended December 31, 2021 and 2020.</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 xml:space="preserve">The Company expenses advertising costs as incurred. Advertising expenses of $22.7 million, $13.2 million, and $9.8 million were recorded for the years ended December 31, 2021, 2020, and 2019. Advertising expenses are included in </w:t>
      </w:r>
      <w:r>
        <w:rPr>
          <w:rFonts w:ascii="Arial" w:cs="Arial" w:eastAsia="Arial" w:hAnsi="Arial"/>
          <w:sz w:val="15"/>
          <w:szCs w:val="15"/>
          <w:i w:val="1"/>
          <w:iCs w:val="1"/>
          <w:color w:val="auto"/>
        </w:rPr>
        <w:t>Sales and marketing</w:t>
      </w:r>
      <w:r>
        <w:rPr>
          <w:rFonts w:ascii="Arial" w:cs="Arial" w:eastAsia="Arial" w:hAnsi="Arial"/>
          <w:sz w:val="15"/>
          <w:szCs w:val="15"/>
          <w:color w:val="auto"/>
        </w:rPr>
        <w:t xml:space="preserve"> on our Consolidated Statements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Research and development expenses consist primarily of compensation expense for our employees, including employee benefits, certain IT program expenses, facilities and related overhead costs.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Transaction-Related Expenses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 defines restructuring and transaction related expenses as costs directly associated with acquisition or disposal activities. Such costs include employee severance and termination benefits, contract termination fees and penalties, and other exit or disposal costs. In general, the Company records involuntary employee-related exit and disposal costs when there is a substantive plan for employee severance and related costs that are probable and estimable. For one-time termination benefits for key members of management (i.e., no substantive plan) expense is recorded when the employees are entitled to receive such benefits and the amount can be reasonably estimated. Transaction related bonuses and employee retention costs are recognized over the relevant service period. Contract termination fees and penalties and other exit and disposal costs are generally recorded when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2"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9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or when events and circumstances indicate that fair value of a reporting unit may be below its carrying value. The company has one reporting unit.</w:t>
      </w:r>
    </w:p>
    <w:p>
      <w:pPr>
        <w:spacing w:after="0" w:line="13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Acquired technology, customer lists, trade names or brand portfolios, and other intangible assets are related to previous acquisitions (refer to Note 7 - Goodwill and Acquired Intangible Assets). Acquired intangible assets are amortized on a straight-line basis over the estimated period over which we expect to realize economic value related to the intangible asset. The amortization periods range from 2 years to 15 years. Any costs incurred to renew or extend the life of an intangible or long-lived asset are reviewed for capitalization.</w:t>
      </w:r>
    </w:p>
    <w:p>
      <w:pPr>
        <w:spacing w:after="0" w:line="138"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Indefinite-lived intangible assets consist primarily of brand portfolios acquired from Pre-Acquisition ZI and represent costs paid to legally register phrases and graphic designs that identify and distinguish products sold by the Company. Brand portfolios are not amortized, rather potential impairment is considered on an annual basis in the fourth quarter, or more frequently upon the occurrence of a triggering event, when circumstances indicate that the book value of trademarks are greater than their fair value. The Company first assesses qualitative factors to determine whether it is more likely than not that the fair value of the indefinite-lived intangible asset is less than the carrying value as a basis to determine whether further impairment testing is necessary. No impairment charges relating to acquired goodwill or indefinite lived intangible assets were recorded for the years ended December 31, 2021, 2020, or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Long-lived assets, such as property and equipment and acquired intangible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future cash flows of the asset. During the year ended December 31, 2021, we recorded impairment charges of $1.5 million to reduce the carrying value of our existing Waltham right-of-use asset and $1.2 million to reduce the carrying value of the related leasehold improvements to their respective fair values. No impairment charges were recorded for the years ended December 31, 2020. During the year ended December 31, 2019, we recorded an impairment charge of $1.1 million to reduce the carrying value of a right-of-use asset acquired in the Pre-Acquisition ZI acquisition to its fair value.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determine if an arrangement is or contains a lease at contract inception. Determining if a contract contains a lease requires judgement. In certain of our lease arrangements, primarily those related to our data center arrangements, judgment is required in determining if a contract contains a lease. For these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 term leases, defined as leases having an original lease term less than or equal to one year, are excluded from our right-of-use assets and liabilities.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Unearned Revenue</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Arial" w:cs="Arial" w:eastAsia="Arial" w:hAnsi="Arial"/>
          <w:sz w:val="18"/>
          <w:szCs w:val="18"/>
          <w:i w:val="1"/>
          <w:iCs w:val="1"/>
          <w:color w:val="auto"/>
        </w:rPr>
        <w:t>Unearned revenue, current portion</w:t>
      </w:r>
      <w:r>
        <w:rPr>
          <w:rFonts w:ascii="Arial" w:cs="Arial" w:eastAsia="Arial" w:hAnsi="Arial"/>
          <w:sz w:val="18"/>
          <w:szCs w:val="18"/>
          <w:color w:val="auto"/>
        </w:rPr>
        <w:t xml:space="preserve"> and the remaining portion is included in </w:t>
      </w:r>
      <w:r>
        <w:rPr>
          <w:rFonts w:ascii="Arial" w:cs="Arial" w:eastAsia="Arial" w:hAnsi="Arial"/>
          <w:sz w:val="18"/>
          <w:szCs w:val="18"/>
          <w:i w:val="1"/>
          <w:iCs w:val="1"/>
          <w:color w:val="auto"/>
        </w:rPr>
        <w:t xml:space="preserve">Unearned revenue, net of current portion </w:t>
      </w:r>
      <w:r>
        <w:rPr>
          <w:rFonts w:ascii="Arial" w:cs="Arial" w:eastAsia="Arial" w:hAnsi="Arial"/>
          <w:sz w:val="18"/>
          <w:szCs w:val="18"/>
          <w:color w:val="auto"/>
        </w:rPr>
        <w:t>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64"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Arial" w:cs="Arial" w:eastAsia="Arial" w:hAnsi="Arial"/>
          <w:sz w:val="17"/>
          <w:szCs w:val="17"/>
          <w:i w:val="1"/>
          <w:iCs w:val="1"/>
          <w:color w:val="auto"/>
        </w:rPr>
        <w:t>Deferred costs and other assets, net of current portion</w:t>
      </w:r>
      <w:r>
        <w:rPr>
          <w:rFonts w:ascii="Arial" w:cs="Arial" w:eastAsia="Arial" w:hAnsi="Arial"/>
          <w:sz w:val="17"/>
          <w:szCs w:val="17"/>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have changed by greater than 10 percent from the present value of the remaining cash flows under the terms of the original debt instrument, the Company accounts for the amendment as a debt extinguishment and all previously-capitalized debt issuance costs are expensed and included in Loss on debt modification and extinguishment.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our IPO, we entered into two Tax Receivable Agreements ("TRAs") with certain non-controlling interest owners (the “TRA Holders”). The TRAs generally provide for payment by the Company to the TRA Holders of 85% of the net cash savings, if any, in U.S. federal, state and local income tax or franchise tax that the Company actually realizes or is deemed to realize in certain circumstances. The Company will retain the benefit of the remaining 15% of these net cash savings.</w:t>
      </w:r>
    </w:p>
    <w:p>
      <w:pPr>
        <w:spacing w:after="0" w:line="138"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Amounts payable under the TRA are accrued by a charge to income when it is probable that a liability has been incurred and the amount is estimable. TRA related liabilities are classified as current or noncurrent based on the expected date of payment and are included on the Company’s Consolidated Balance Sheets under the captions </w:t>
      </w:r>
      <w:r>
        <w:rPr>
          <w:rFonts w:ascii="Arial" w:cs="Arial" w:eastAsia="Arial" w:hAnsi="Arial"/>
          <w:sz w:val="17"/>
          <w:szCs w:val="17"/>
          <w:i w:val="1"/>
          <w:iCs w:val="1"/>
          <w:color w:val="auto"/>
        </w:rPr>
        <w:t>Current portion of tax receivable agreements liability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Tax receivable agreements liability, net of current portion,</w:t>
      </w:r>
      <w:r>
        <w:rPr>
          <w:rFonts w:ascii="Arial" w:cs="Arial" w:eastAsia="Arial" w:hAnsi="Arial"/>
          <w:sz w:val="17"/>
          <w:szCs w:val="17"/>
          <w:color w:val="auto"/>
        </w:rPr>
        <w:t xml:space="preserve"> respectively. Subsequent changes to the measurement of the TRA liability are recognized on our Consolidated Statements of Operations as a component of </w:t>
      </w:r>
      <w:r>
        <w:rPr>
          <w:rFonts w:ascii="Arial" w:cs="Arial" w:eastAsia="Arial" w:hAnsi="Arial"/>
          <w:sz w:val="17"/>
          <w:szCs w:val="17"/>
          <w:i w:val="1"/>
          <w:iCs w:val="1"/>
          <w:color w:val="auto"/>
        </w:rPr>
        <w:t>Other (income)</w:t>
      </w:r>
      <w:r>
        <w:rPr>
          <w:rFonts w:ascii="Arial" w:cs="Arial" w:eastAsia="Arial" w:hAnsi="Arial"/>
          <w:sz w:val="17"/>
          <w:szCs w:val="17"/>
          <w:color w:val="auto"/>
        </w:rPr>
        <w:t xml:space="preserve"> </w:t>
      </w:r>
      <w:r>
        <w:rPr>
          <w:rFonts w:ascii="Arial" w:cs="Arial" w:eastAsia="Arial" w:hAnsi="Arial"/>
          <w:sz w:val="17"/>
          <w:szCs w:val="17"/>
          <w:i w:val="1"/>
          <w:iCs w:val="1"/>
          <w:color w:val="auto"/>
        </w:rPr>
        <w:t>expense, net</w:t>
      </w:r>
      <w:r>
        <w:rPr>
          <w:rFonts w:ascii="Arial" w:cs="Arial" w:eastAsia="Arial" w:hAnsi="Arial"/>
          <w:sz w:val="17"/>
          <w:szCs w:val="17"/>
          <w:color w:val="auto"/>
        </w:rPr>
        <w:t>. Refer to Note 18 - Tax Receivable Agreements for further details on the TRA liability.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ZoomInfo Technologies Inc. is a corporation and has historically been subject to U.S. federal as well as state income tax related to its ownership percentage in ZoomInfo Holdings LLC. ZoomInfo Holdings LLC is a limited liability company treated as a partnership for U.S. federal income tax purposes and files a U.S. Return of Partnership Income. Consequently, the members of ZoomInfo Holdings are taxed individually on their share of earnings for U.S. federal and state income tax purposes. During the three months ended December 31, 2021, ZoomInfo Technologies LLC, our operating entity below ZoomInfo Holdings LLC, made an election to be classified as a corporation for U.S. federal and state income taxes. As such, ZoomInfo Technologies LLC is now subject to U.S. federal and state income tax as a result of our operations. Refer to Note 19 - Income Taxes for additional information regarding income taxes.</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 Expense</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periodically grants incentive awards to employees and non-employees, which generally vest over periods up to four-years. Incentive awards may be in the form of various equity-based awards such as Restricted Stock and Restricted Stock Units, and Class A Common Stock Options. Historically, the Company also granted awards in one of the Company’s legacy subsidiary partnerships and such awards were typically in the form of profits interests. Profits interests are an interest in the increase in the value of the entity over a participation threshold. Prior to the IPO, the participation threshold was based on the valuation determined by the Board of Managers of OpCo Units on or around the grant date. Subsequent to the IPO, the participation threshold was determined by reference to the closing price of our Class A Common Stock from the preceding trading day. The holders of profits interests had the right to participate in distributions of profits only in excess of the participation threshold. Previously awarded profits interests were converted into restricted stock awards in connection with the elimination of the UP-C Corporate Structure and Multi-Class Voting Structure Elimination (refer to Note 1 - Organization and Background).</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w:t>
      </w:r>
    </w:p>
    <w:p>
      <w:pPr>
        <w:spacing w:after="0" w:line="12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uses a Black-Scholes option pricing model to determine the fair value of stock options and profits interests, as profits interests have certain economic similarities to options. The Black-Scholes option pricing model includes various assumptions, including the expected life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be materially impacted.</w:t>
      </w:r>
    </w:p>
    <w:p>
      <w:pPr>
        <w:spacing w:after="0" w:line="141"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Company classifies equity-based compensation expense on its Consolidated Statements of Operations in the same manner in which the award recipient’s salary and related costs are classified or in which the award recipient’s service payments are classified.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Accruals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The Company has bonus programs for eligible employees. Bonuses are determined based on various criteria, including the achievement of corporate, departmental and individual goals. Bonus accruals are estimated based on various factors, including target bonus percentages per level of employee and probability of achieving the goals upon which bonuses are based. The Company’s management periodically reviews the progress made towards the goals under the bonus programs. As bonus accruals are dependent upon management’s judgments of the likelihood of achieving the various goals, it is possible for bonus expense to vary significantly in future periods if changes occur in those management estimates. Bonus accruals of $28.7 million and $11.5 million were recorded for the years ended December 31, 2021 and 2020, respectively, and were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Retirement Benefits</w:t>
      </w:r>
    </w:p>
    <w:p>
      <w:pPr>
        <w:spacing w:after="0" w:line="16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Company has a 401(k) plan that all eligible employees can contribute pre-tax and after-tax (Roth) to up to the maximum annual amount established by the Internal Revenue Code. In 2021 and 2020, the Company matched 50% of the employee’s contribution to the 401(k) plan up to the first 7% of their contribution. In 2019, the Company matched 35% of the employee's contribution to the 401(k) plan up to the first 6% of their contribution. Matching contributions made by the Company were approximately $5.4 million, $3.0 million, and $1.4 million for the years ended December 31, 2021, 2020, and 2019, respectively. Matching contributions vest 33% per year until fully vested. Employee contributions are 100% vested immediately. The increased headcount contributed to the increase in the Company’s matching contribution in 2021. The increased match percentage combined with increased headcount contributed to the increase in the Company’s matching contribution in 2020.</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Severance Pay Law</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Under Section 14 of the Israeli Severance Pay Law, employees in Israel are entitled to have monthly deposits, at a rate of 8.33% of their monthly salary, made on their behalf to their insurance funds which relieves the Company from future obligations under this law. During the years ended December 31, 2021, 2020, and 2019, the Company recorded $4.8 million, $2.0 million, and $0.7 million, respectively, in severance expenses related to these employees. The increased headcount contributed to the increase in the Company’s matching contribution in 2021 and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64"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 xml:space="preserve">In March 2020, the Financial Accounting Standards Board (“FASB”) issued Accounting Standards Update (“ASU”) 2020-04, which provides optional expedients and exceptions for applying U.S. GAAP to contracts, hedging relationships, and other transactions that reference the London Interbank Offered Rate ("LIBOR") or another reference rate expected to be discontinued because of reference rate reform, if certain criteria are met. The standard applies to contract modifications that replace a reference rate affected by reference rate reform and contemporaneous modifications of other contract terms related to the replacement of the reference rate. Further, the standard provides exceptions to certain guidance in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related to changes to the critical terms of a hedging relationship due to reference rate reform and provides optional expedients for fair value, cash flow, and net investment hedging relationships for which the component excluded from the assessment of hedge effectiveness is affected by reference rate reform. The standard is effective for us as of March 12, 2020 through December 31, 2022, and we may elect to apply the provisions of the standard as of any date from the beginning of an interim period that includes or is subsequent to March 12, 2020 up to the date that the financial statements are available to be issued. Once elected, the provisions of the standard must be applied prospectively for all similar eligible contract modifications other than derivatives, which may be applied at a hedging relationship level. In January 2021, the FASB issued ASU 2021-01, Reference Rate Reform (Topic 848): Scope, to provide supplemental guidance and to further clarify the scope of the amended guidance. The standards would apply to our existing variable rate financing and derivatives designated as hedges if elected in the future. The Company continues to evaluate the impact of the guidance and may apply other elections as applicable as additional changes in the market occur.</w:t>
      </w:r>
    </w:p>
    <w:p>
      <w:pPr>
        <w:spacing w:after="0" w:line="112"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October 2021, the FASB issued ASU 2021-08, Business Combinations (Topic 805): Accounting for Contract Assets and Contract Liabilities from Contracts with Customers, which requires contract assets and contract liabilities acquired in a business combination to be recognized and measured in accordance with ASC 606, Revenue from Contracts with Customers, as if the acquirer had originated the contract. The Update is intended to improve the accounting for acquired revenue contracts with customers in a business combination, related to the recognition of an acquired contract liability, and to payment terms and their effect on subsequent revenue recognized by the acquirer. The amendment also provides certain practical expedients when applying the guidance. ASU 2021-08 is effective for interim and annual periods beginning after December 15, 2022, on a prospective basis, with early adoption permitted. The Company intends to adopt ASU 2021-08 on January 1, 2022. The Company does not anticipate that the adoption will have a material effect on the Company’s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In January 2021, we adopted Accounting Standards Update (“ASU”) No. 2019-12, “Income Taxes (Topic 740) Simplifying the Accounting for Income Taxes” (“ASU 2019-12”) utilizing the prospective transition method. The amendments in ASU 2019-12 eliminate certain exceptions related to the approach for intraperiod tax allocation, the methodology for calculating income tax in an interim period, and the recognition of deferred tax liabilities for outside basis differences. ASU 2019-12 also clarifies and simplifies other aspects of the accounting for income taxes. During Q3 2021, the Company liquidated Insent creating a step-up in tax basis separate from the acquisition. In accordance with ASU 2019-12, the Company recorded a DTA on this step-up in tax basis. The additional DTA recognized as of December 31, 2021 was $6.3 million as a result of adoption of ASU 2019-12.</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Revenue comprised the following service offerings: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11"/>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738.6</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Usage-based</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3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9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Usage-based revenue is comprised largely of email verification and intent-driven audience and targeting services,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3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Of the total revenue recognized in the years ended December 31, 2021, 2020, and 2019, $221.3 million, $155.4 million and $52.2 million was included in the unearned revenue balance as of December 31, 2020, 2019, and 2018, respectively. Revenue recognized from performance obligations satisfied (or partially satisfied) in previous periods was not 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Unearned Revenue</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3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As of December 31, 2021 and December 31, 2020, the Company had contract assets of $3.7 million and $2.4 million respectively, which are recorded as current assets within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on our Consolidated Balance Sheets. As of December 31, 2021 and December 31, 2020, the Company had unearned revenue of $364.2 million and $222.7 million, respectively.</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remaining performance obligations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millions)</w:t>
            </w:r>
          </w:p>
        </w:tc>
        <w:tc>
          <w:tcPr>
            <w:tcW w:w="16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Recognized within one</w:t>
            </w:r>
          </w:p>
        </w:tc>
        <w:tc>
          <w:tcPr>
            <w:tcW w:w="280" w:type="dxa"/>
            <w:vAlign w:val="bottom"/>
          </w:tcPr>
          <w:p>
            <w:pPr>
              <w:spacing w:after="0"/>
              <w:rPr>
                <w:sz w:val="14"/>
                <w:szCs w:val="14"/>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Noncurrent</w:t>
            </w:r>
          </w:p>
        </w:tc>
        <w:tc>
          <w:tcPr>
            <w:tcW w:w="360" w:type="dxa"/>
            <w:vAlign w:val="bottom"/>
          </w:tcPr>
          <w:p>
            <w:pPr>
              <w:spacing w:after="0"/>
              <w:rPr>
                <w:sz w:val="14"/>
                <w:szCs w:val="14"/>
                <w:color w:val="auto"/>
              </w:rPr>
            </w:pPr>
          </w:p>
        </w:tc>
        <w:tc>
          <w:tcPr>
            <w:tcW w:w="1200" w:type="dxa"/>
            <w:vAlign w:val="bottom"/>
            <w:vMerge w:val="restart"/>
          </w:tcPr>
          <w:p>
            <w:pPr>
              <w:jc w:val="right"/>
              <w:ind w:right="53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year</w:t>
            </w:r>
          </w:p>
        </w:tc>
        <w:tc>
          <w:tcPr>
            <w:tcW w:w="2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2021</w:t>
            </w:r>
          </w:p>
        </w:tc>
        <w:tc>
          <w:tcPr>
            <w:tcW w:w="38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0" w:type="dxa"/>
            <w:vAlign w:val="bottom"/>
          </w:tcPr>
          <w:p>
            <w:pPr>
              <w:spacing w:after="0"/>
              <w:rPr>
                <w:sz w:val="1"/>
                <w:szCs w:val="1"/>
                <w:color w:val="auto"/>
              </w:rPr>
            </w:pPr>
          </w:p>
        </w:tc>
      </w:tr>
      <w:tr>
        <w:trPr>
          <w:trHeight w:val="224"/>
        </w:trPr>
        <w:tc>
          <w:tcPr>
            <w:tcW w:w="6360" w:type="dxa"/>
            <w:vAlign w:val="bottom"/>
          </w:tcPr>
          <w:p>
            <w:pPr>
              <w:ind w:left="20"/>
              <w:spacing w:after="0"/>
              <w:rPr>
                <w:sz w:val="20"/>
                <w:szCs w:val="20"/>
                <w:color w:val="auto"/>
              </w:rPr>
            </w:pPr>
            <w:r>
              <w:rPr>
                <w:rFonts w:ascii="Arial" w:cs="Arial" w:eastAsia="Arial" w:hAnsi="Arial"/>
                <w:sz w:val="18"/>
                <w:szCs w:val="18"/>
                <w:color w:val="auto"/>
              </w:rPr>
              <w:t>As of December 31, 2020</w:t>
            </w:r>
          </w:p>
        </w:tc>
        <w:tc>
          <w:tcPr>
            <w:tcW w:w="380" w:type="dxa"/>
            <w:vAlign w:val="bottom"/>
          </w:tcPr>
          <w:p>
            <w:pPr>
              <w:jc w:val="right"/>
              <w:ind w:right="178"/>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9"/>
                <w:szCs w:val="19"/>
                <w:color w:val="auto"/>
              </w:rPr>
            </w:pP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During the twelve months ended December 31, 2021, the Company consummated the following acquisitions (collectively, “2021 Acquired Companies”) which have been accounted for as business combinations under ASC Topic 805.</w:t>
      </w:r>
    </w:p>
    <w:p>
      <w:pPr>
        <w:spacing w:after="0" w:line="128" w:lineRule="exact"/>
        <w:rPr>
          <w:sz w:val="20"/>
          <w:szCs w:val="20"/>
          <w:color w:val="auto"/>
        </w:rPr>
      </w:pPr>
    </w:p>
    <w:p>
      <w:pPr>
        <w:jc w:val="both"/>
        <w:ind w:left="640" w:firstLine="320"/>
        <w:spacing w:after="0" w:line="250" w:lineRule="auto"/>
        <w:tabs>
          <w:tab w:leader="none" w:pos="12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 June 7, 2021, the Company acquired all of the outstanding equity interests of Insent, Inc. (“Insent”) for total purchase consideration of $34.0 million, consisting of $32.9 million in cash and estimated deferred purchase consideration of $1.1 million. The purchase accounting for this transaction has been finalized. As part of the acquisition, the Company issued 36,118 RSUs, at a total grant date fair value of $2.4 million, and agreed to pay $2.0 million of incentive compensation to acquired employees, subject to continued employment, to be recognized in the post-combination periods.</w:t>
      </w:r>
    </w:p>
    <w:p>
      <w:pPr>
        <w:spacing w:after="0" w:line="140" w:lineRule="exact"/>
        <w:rPr>
          <w:rFonts w:ascii="Arial" w:cs="Arial" w:eastAsia="Arial" w:hAnsi="Arial"/>
          <w:sz w:val="18"/>
          <w:szCs w:val="18"/>
          <w:color w:val="auto"/>
        </w:rPr>
      </w:pPr>
    </w:p>
    <w:p>
      <w:pPr>
        <w:jc w:val="both"/>
        <w:ind w:left="640" w:firstLine="320"/>
        <w:spacing w:after="0" w:line="264" w:lineRule="auto"/>
        <w:tabs>
          <w:tab w:leader="none" w:pos="1271"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On July 12, 2021, the Company acquired substantially all of the net assets of AffectLayer, Inc. (d/b/a Chorus.ai) (“Chorus.ai”). At the time of purchase, the Company reserved a portion of cash transferred to settle the Seller’s estimated tax liability arising from the sale of Chorus.ai’s net assets. The Seller has since completed the final determination of its tax liability, resulting in a refund to the Company of approximately $33.9 million in cash, which was received in the fourth quarter of 2021 and previously included in the </w:t>
      </w:r>
      <w:r>
        <w:rPr>
          <w:rFonts w:ascii="Arial" w:cs="Arial" w:eastAsia="Arial" w:hAnsi="Arial"/>
          <w:sz w:val="17"/>
          <w:szCs w:val="17"/>
          <w:i w:val="1"/>
          <w:iCs w:val="1"/>
          <w:color w:val="auto"/>
        </w:rPr>
        <w:t>Prepaid expenses and other current assets</w:t>
      </w:r>
      <w:r>
        <w:rPr>
          <w:rFonts w:ascii="Arial" w:cs="Arial" w:eastAsia="Arial" w:hAnsi="Arial"/>
          <w:sz w:val="17"/>
          <w:szCs w:val="17"/>
          <w:color w:val="auto"/>
        </w:rPr>
        <w:t xml:space="preserve"> balance. After adjustment for this refund, purchase consideration transferred for the assets of Chorus.ai is $547.4 million in cash. The total purchase consideration includes $31.8 million attributable to certain unvested options issued by Chorus.ai that were accelerated in contemplation of the acquisition by ZoomInfo. The purchase accounting for this transaction has been finalized. As part of the acquisition, the Company issued 572,921 RSUs that replaced previously unvested equity in Chorus.ai or were issued as incremental incentive grants at a total grant date fair value of $30.3 million, and agreed to pay $6.0 million of compensation to acquired employees, subject to continued employment, to be recognized in the post-combination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jc w:val="both"/>
        <w:ind w:left="640" w:firstLine="320"/>
        <w:spacing w:after="0" w:line="250" w:lineRule="auto"/>
        <w:tabs>
          <w:tab w:leader="none" w:pos="127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September 8, 2021, the Company acquired substantially all of the net assets of RingLead, Inc. (“RingLead”) for total purchase consideration of $118.0 million, consisting of $116.9 million in cash and estimated deferred purchase consideration of $1.1 million. The purchase accounting for this transaction is not yet finalized. As part of the acquisition, the Company issued 42,854 replacement RSUs, at a total grant date fair value of $2.8 million and agreed to pay $3.7 million of incentive compensation to acquired employees, subject to continued employment, to be recognized in the post-combination periods.</w:t>
      </w:r>
    </w:p>
    <w:p>
      <w:pPr>
        <w:spacing w:after="0" w:line="141"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Company has included the financial results of the 2021 Acquired Companies in the consolidated financial statements from each date of acquisition. During the twelve months ended December 31, 2021, the 2021 Acquired Companies contributed $13.2 million to revenue. Due to the integration of the 2021 Acquired Companies into the operations of ZoomInfo, the Company cannot practicably determine the contribution of the 2021 Acquired Companies to consolidated net earnings. Transaction costs associated with each acquisition were not material.</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Preliminary Fair Value</w:t>
            </w:r>
          </w:p>
        </w:tc>
        <w:tc>
          <w:tcPr>
            <w:tcW w:w="14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Measurement Period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Adjusted Fair Value at</w:t>
            </w:r>
          </w:p>
        </w:tc>
      </w:tr>
      <w:tr>
        <w:trPr>
          <w:trHeight w:val="185"/>
        </w:trPr>
        <w:tc>
          <w:tcPr>
            <w:tcW w:w="6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at Acquisition Date</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6"/>
                <w:szCs w:val="16"/>
                <w:color w:val="auto"/>
              </w:rPr>
            </w:pPr>
          </w:p>
        </w:tc>
        <w:tc>
          <w:tcPr>
            <w:tcW w:w="1360" w:type="dxa"/>
            <w:vAlign w:val="bottom"/>
          </w:tcPr>
          <w:p>
            <w:pPr>
              <w:jc w:val="right"/>
              <w:ind w:right="176"/>
              <w:spacing w:after="0"/>
              <w:rPr>
                <w:sz w:val="20"/>
                <w:szCs w:val="20"/>
                <w:color w:val="auto"/>
              </w:rPr>
            </w:pPr>
            <w:r>
              <w:rPr>
                <w:rFonts w:ascii="Arial" w:cs="Arial" w:eastAsia="Arial" w:hAnsi="Arial"/>
                <w:sz w:val="14"/>
                <w:szCs w:val="14"/>
                <w:b w:val="1"/>
                <w:bCs w:val="1"/>
                <w:color w:val="auto"/>
                <w:w w:val="97"/>
              </w:rPr>
              <w:t>Acquisition Date</w:t>
            </w:r>
          </w:p>
        </w:tc>
      </w:tr>
      <w:tr>
        <w:trPr>
          <w:trHeight w:val="219"/>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697.2</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Deferred purchase consideration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4"/>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purchase consideration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dates of the acquisition for the 2021</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Acquired Companies, as adjusted in the fourth quarter of 2021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b w:val="1"/>
                <w:bCs w:val="1"/>
                <w:color w:val="auto"/>
              </w:rPr>
              <w:t>Preliminary Fair Value</w:t>
            </w: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Adjusted Fair Value at</w:t>
            </w:r>
          </w:p>
        </w:tc>
      </w:tr>
      <w:tr>
        <w:trPr>
          <w:trHeight w:val="185"/>
        </w:trPr>
        <w:tc>
          <w:tcPr>
            <w:tcW w:w="64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at Acquisition Date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7"/>
              </w:rPr>
              <w:t>Acquisition Date</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120.9</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64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2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8"/>
        </w:trPr>
        <w:tc>
          <w:tcPr>
            <w:tcW w:w="6400" w:type="dxa"/>
            <w:vAlign w:val="bottom"/>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124.5</w:t>
            </w:r>
          </w:p>
        </w:tc>
      </w:tr>
      <w:tr>
        <w:trPr>
          <w:trHeight w:val="226"/>
        </w:trPr>
        <w:tc>
          <w:tcPr>
            <w:tcW w:w="64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18"/>
        </w:trPr>
        <w:tc>
          <w:tcPr>
            <w:tcW w:w="6400" w:type="dxa"/>
            <w:vAlign w:val="bottom"/>
          </w:tcPr>
          <w:p>
            <w:pPr>
              <w:ind w:left="240"/>
              <w:spacing w:after="0"/>
              <w:rPr>
                <w:sz w:val="20"/>
                <w:szCs w:val="20"/>
                <w:color w:val="auto"/>
              </w:rPr>
            </w:pPr>
            <w:r>
              <w:rPr>
                <w:rFonts w:ascii="Arial" w:cs="Arial" w:eastAsia="Arial" w:hAnsi="Arial"/>
                <w:sz w:val="18"/>
                <w:szCs w:val="18"/>
                <w:color w:val="auto"/>
              </w:rPr>
              <w:t>Total consideration</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699.9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699.4</w:t>
            </w:r>
          </w:p>
        </w:tc>
      </w:tr>
      <w:tr>
        <w:trPr>
          <w:trHeight w:val="22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refund from Chorus.ai acquisition</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400" w:type="dxa"/>
            <w:vAlign w:val="bottom"/>
          </w:tcPr>
          <w:p>
            <w:pPr>
              <w:ind w:left="340"/>
              <w:spacing w:after="0"/>
              <w:rPr>
                <w:sz w:val="20"/>
                <w:szCs w:val="20"/>
                <w:color w:val="auto"/>
              </w:rPr>
            </w:pPr>
            <w:r>
              <w:rPr>
                <w:rFonts w:ascii="Arial" w:cs="Arial" w:eastAsia="Arial" w:hAnsi="Arial"/>
                <w:sz w:val="18"/>
                <w:szCs w:val="18"/>
                <w:color w:val="auto"/>
              </w:rPr>
              <w:t>Deferred consideration</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6"/>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from adjustments to working capital balances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6400" w:type="dxa"/>
            <w:vAlign w:val="bottom"/>
          </w:tcPr>
          <w:p>
            <w:pPr>
              <w:ind w:left="340"/>
              <w:spacing w:after="0"/>
              <w:rPr>
                <w:sz w:val="20"/>
                <w:szCs w:val="20"/>
                <w:color w:val="auto"/>
              </w:rPr>
            </w:pPr>
            <w:r>
              <w:rPr>
                <w:rFonts w:ascii="Arial" w:cs="Arial" w:eastAsia="Arial" w:hAnsi="Arial"/>
                <w:sz w:val="18"/>
                <w:szCs w:val="18"/>
                <w:color w:val="auto"/>
              </w:rPr>
              <w:t>Cash paid for 2020 acquisitions in 2021 (see "2020 Acquisitions")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25"/>
        </w:trPr>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acquired</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9"/>
        </w:trPr>
        <w:tc>
          <w:tcPr>
            <w:tcW w:w="640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717.5</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684.2</w:t>
            </w:r>
          </w:p>
        </w:tc>
      </w:tr>
      <w:tr>
        <w:trPr>
          <w:trHeight w:val="20"/>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RingLead acquisition may be subject to change as additional information is received regarding purchase consideration, working capital balances at the acquisition date and the values of the identifiable intangible assets.</w:t>
      </w:r>
    </w:p>
    <w:p>
      <w:pPr>
        <w:spacing w:after="0" w:line="12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Preliminary Fair Value</w:t>
            </w:r>
          </w:p>
        </w:tc>
        <w:tc>
          <w:tcPr>
            <w:tcW w:w="14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Measurement Period</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7"/>
              </w:rPr>
              <w:t>Adjusted Fair Value at</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r>
      <w:tr>
        <w:trPr>
          <w:trHeight w:val="185"/>
        </w:trPr>
        <w:tc>
          <w:tcPr>
            <w:tcW w:w="47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4"/>
              </w:rPr>
              <w:t>at Acquisition Date</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5"/>
              </w:rPr>
              <w:t>Acquisition Date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r>
      <w:tr>
        <w:trPr>
          <w:trHeight w:val="21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6.1 years</w:t>
            </w: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7.7 years</w:t>
            </w:r>
          </w:p>
        </w:tc>
      </w:tr>
      <w:tr>
        <w:trPr>
          <w:trHeight w:val="219"/>
        </w:trPr>
        <w:tc>
          <w:tcPr>
            <w:tcW w:w="470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All goodwill acquired in the twelve months ended December 31, 2021 is expected to be deductible for U.S.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 for the 2021 Acquisitions</w:t>
      </w:r>
    </w:p>
    <w:p>
      <w:pPr>
        <w:spacing w:after="0" w:line="164"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following table presents the unaudited pro forma results for the years ended December 31, 2021 and 2020. The unaudited pro forma financial information combines the results of operations of the 2021 Acquired Companies and ZoomInfo as though each of the acquisitions had been completed on January 1, 2020. The pro forma information is presented for informational purposes only and is not indicative of the results of operations that would have been achieved if the acquisitions had taken place at such time. The unaudited pro forma results presented below primarily include adjustments for amortization of identifiable intangible assets, the valuation of deferred revenue assumed in the acquisitions (“the deferred revenue write-down”), interest expense, aggregate transaction expenses and transaction success bonuses of $12.6 million, equity-based compensation, and related tax effects of the adjustments: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Borders>
              <w:bottom w:val="single" w:sz="8" w:color="auto"/>
            </w:tcBorders>
          </w:tcPr>
          <w:p>
            <w:pPr>
              <w:spacing w:after="0"/>
              <w:rPr>
                <w:sz w:val="16"/>
                <w:szCs w:val="16"/>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490.6</w:t>
            </w:r>
          </w:p>
        </w:tc>
      </w:tr>
      <w:tr>
        <w:trPr>
          <w:trHeight w:val="224"/>
        </w:trPr>
        <w:tc>
          <w:tcPr>
            <w:tcW w:w="7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ind w:left="640"/>
              <w:spacing w:after="0"/>
              <w:rPr>
                <w:sz w:val="20"/>
                <w:szCs w:val="20"/>
                <w:color w:val="auto"/>
              </w:rPr>
            </w:pPr>
            <w:r>
              <w:rPr>
                <w:rFonts w:ascii="Arial" w:cs="Arial" w:eastAsia="Arial" w:hAnsi="Arial"/>
                <w:sz w:val="18"/>
                <w:szCs w:val="18"/>
                <w:color w:val="auto"/>
                <w:w w:val="93"/>
              </w:rPr>
              <w:t>(78.8)</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acquired all of the assets of Clickagy, LLC on October 14, 2020 and all of the membership interests in EverString Technology, LLC on November 3, 2020 for a total purchase consideration of $72.0 million. During the first half of fiscal year 2021, the Company recorded immaterial post-close net working capital adjustments. The preliminary purchase price allocation was updated to reflect the $0.3 million increase in consideration paid as well as to reflect the $0.2 million adjustment to unearned revenue and $0.1 million adjustment to goodwill. The purchase accounting from these transactions has been finalized. The Company included the financial results of these businesses in the consolidated financial statements from each date of acquisition. Transaction costs associated with each acquisition were not material. As part of the acquisitions, the Company agreed to issue 49,932 RSUs, at a total grant date fair value of $2.1 million, and agreed to pay $4.8 million of incentive compensation to acquired employees, subject to continued employment, to be recognized in the post-combination periods. The Company classifies compensation expense on its Consolidated Statements of Operations in the same manner in which the award recipient’s salary is classified.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80" w:type="dxa"/>
            <w:vAlign w:val="bottom"/>
          </w:tcPr>
          <w:p>
            <w:pPr>
              <w:ind w:left="320"/>
              <w:spacing w:after="0"/>
              <w:rPr>
                <w:sz w:val="20"/>
                <w:szCs w:val="20"/>
                <w:color w:val="auto"/>
              </w:rPr>
            </w:pPr>
            <w:r>
              <w:rPr>
                <w:rFonts w:ascii="Arial" w:cs="Arial" w:eastAsia="Arial" w:hAnsi="Arial"/>
                <w:sz w:val="18"/>
                <w:szCs w:val="18"/>
                <w:color w:val="auto"/>
              </w:rPr>
              <w:t>The acquisition date fair value of the total consideration transferred was comprised of the following (in millions):</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86"/>
        </w:trPr>
        <w:tc>
          <w:tcPr>
            <w:tcW w:w="9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Purchase consideration liabilities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following table summarizes the aggregate fair values of the assets acquired and liabilities assumed, as of the date of the acquisitions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640" w:type="dxa"/>
            <w:vAlign w:val="bottom"/>
            <w:shd w:val="clear" w:color="auto" w:fill="CCEEFF"/>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Unearned revenue</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Goodwill</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9680" w:type="dxa"/>
            <w:vAlign w:val="bottom"/>
          </w:tcPr>
          <w:p>
            <w:pPr>
              <w:ind w:left="460"/>
              <w:spacing w:after="0"/>
              <w:rPr>
                <w:sz w:val="20"/>
                <w:szCs w:val="20"/>
                <w:color w:val="auto"/>
              </w:rPr>
            </w:pPr>
            <w:r>
              <w:rPr>
                <w:rFonts w:ascii="Arial" w:cs="Arial" w:eastAsia="Arial" w:hAnsi="Arial"/>
                <w:sz w:val="18"/>
                <w:szCs w:val="18"/>
                <w:color w:val="auto"/>
              </w:rPr>
              <w:t>Issuance of 67,075 Class A shares</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6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w:t>
            </w:r>
          </w:p>
        </w:tc>
        <w:tc>
          <w:tcPr>
            <w:tcW w:w="640" w:type="dxa"/>
            <w:vAlign w:val="bottom"/>
            <w:tcBorders>
              <w:bottom w:val="single" w:sz="8" w:color="auto"/>
            </w:tcBorders>
          </w:tcPr>
          <w:p>
            <w:pPr>
              <w:jc w:val="right"/>
              <w:ind w:right="4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r>
      <w:tr>
        <w:trPr>
          <w:trHeight w:val="20"/>
        </w:trPr>
        <w:tc>
          <w:tcPr>
            <w:tcW w:w="96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w:t>
      </w:r>
    </w:p>
    <w:p>
      <w:pPr>
        <w:spacing w:after="0" w:line="10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dates of acquisition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1140" w:type="dxa"/>
            <w:vAlign w:val="bottom"/>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6.5 years</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29.6</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7.0 years</w:t>
            </w:r>
          </w:p>
        </w:tc>
        <w:tc>
          <w:tcPr>
            <w:tcW w:w="0" w:type="dxa"/>
            <w:vAlign w:val="bottom"/>
          </w:tcPr>
          <w:p>
            <w:pPr>
              <w:spacing w:after="0"/>
              <w:rPr>
                <w:sz w:val="1"/>
                <w:szCs w:val="1"/>
                <w:color w:val="auto"/>
              </w:rPr>
            </w:pP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Database</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4.0 years</w:t>
            </w: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9.3 years</w:t>
            </w:r>
          </w:p>
        </w:tc>
        <w:tc>
          <w:tcPr>
            <w:tcW w:w="0" w:type="dxa"/>
            <w:vAlign w:val="bottom"/>
          </w:tcPr>
          <w:p>
            <w:pPr>
              <w:spacing w:after="0"/>
              <w:rPr>
                <w:sz w:val="1"/>
                <w:szCs w:val="1"/>
                <w:color w:val="auto"/>
              </w:rPr>
            </w:pPr>
          </w:p>
        </w:tc>
      </w:tr>
      <w:tr>
        <w:trPr>
          <w:trHeight w:val="244"/>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1140" w:type="dxa"/>
            <w:vAlign w:val="bottom"/>
            <w:tcBorders>
              <w:bottom w:val="single" w:sz="8" w:color="auto"/>
            </w:tcBorders>
            <w:shd w:val="clear" w:color="auto" w:fill="CCEEFF"/>
          </w:tcPr>
          <w:p>
            <w:pPr>
              <w:jc w:val="right"/>
              <w:ind w:right="958"/>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37.0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The goodwill balance from both acquisitions is expected to be deductible for U.S. income tax purposes.</w:t>
      </w:r>
    </w:p>
    <w:p>
      <w:pPr>
        <w:spacing w:after="0" w:line="13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Acquisitions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Komiko</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October 9, 2019, through a newly formed wholly owned subsidiary, DiscoverOrg Acquisition (Komiko), LLC, the Company acquired certain assets and assumed certain liabilities of Komiko LTD (“Komiko”), which offered an AI-powered sales and customer success solution for business to business companies under the Komiko trade name. The Company has included the financial results of Komiko in the consolidated financial statements from the date of acquisition. Transaction costs associated with the acquisition were not material. The acquisition date fair value of the consideration transferred for Komiko was $8.5 million, comprised of the following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680" w:type="dxa"/>
            <w:vAlign w:val="bottom"/>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Contingent earnout payments</w:t>
            </w:r>
          </w:p>
        </w:tc>
        <w:tc>
          <w:tcPr>
            <w:tcW w:w="6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purchase consideration</w:t>
            </w: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fair value of the contingent earnout payments was determined based on the Company’s probability-weighted estimate of future payments. Potential contingent payments may be as high as $4.0 million if all performance criteria are met, of which 40% is attributable to purchase consideration and the balance compensation expense as it is contingent upon continued employment with the Company by Komiko’s co-founders. During the year ended December 31, 2021, the Company adjusted the Komiko contingent payment liability by $0.3 million and $2.1 million was paid out in 2021.</w:t>
      </w:r>
    </w:p>
    <w:p>
      <w:pPr>
        <w:spacing w:after="0" w:line="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as of the date of acquisition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7"/>
              </w:rPr>
              <w:t>2.4</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Unearned revenue</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91"/>
              </w:rPr>
              <w:t>(0.2)</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7"/>
              </w:rPr>
              <w:t>2.2</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72"/>
              <w:spacing w:after="0"/>
              <w:rPr>
                <w:sz w:val="20"/>
                <w:szCs w:val="20"/>
                <w:color w:val="auto"/>
              </w:rPr>
            </w:pPr>
            <w:r>
              <w:rPr>
                <w:rFonts w:ascii="Arial" w:cs="Arial" w:eastAsia="Arial" w:hAnsi="Arial"/>
                <w:sz w:val="18"/>
                <w:szCs w:val="18"/>
                <w:color w:val="auto"/>
                <w:w w:val="87"/>
              </w:rPr>
              <w:t>6.3</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2"/>
              <w:spacing w:after="0"/>
              <w:rPr>
                <w:sz w:val="20"/>
                <w:szCs w:val="20"/>
                <w:color w:val="auto"/>
              </w:rPr>
            </w:pPr>
            <w:r>
              <w:rPr>
                <w:rFonts w:ascii="Arial" w:cs="Arial" w:eastAsia="Arial" w:hAnsi="Arial"/>
                <w:sz w:val="18"/>
                <w:szCs w:val="18"/>
                <w:color w:val="auto"/>
                <w:w w:val="87"/>
              </w:rPr>
              <w:t>8.5</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Contingent Earnout Payments</w:t>
            </w:r>
          </w:p>
        </w:tc>
        <w:tc>
          <w:tcPr>
            <w:tcW w:w="6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91"/>
              </w:rPr>
              <w:t>(0.2)</w:t>
            </w:r>
          </w:p>
        </w:tc>
      </w:tr>
      <w:tr>
        <w:trPr>
          <w:trHeight w:val="244"/>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acquisitions</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center"/>
              <w:ind w:left="472"/>
              <w:spacing w:after="0"/>
              <w:rPr>
                <w:sz w:val="20"/>
                <w:szCs w:val="20"/>
                <w:color w:val="auto"/>
              </w:rPr>
            </w:pPr>
            <w:r>
              <w:rPr>
                <w:rFonts w:ascii="Arial" w:cs="Arial" w:eastAsia="Arial" w:hAnsi="Arial"/>
                <w:sz w:val="18"/>
                <w:szCs w:val="18"/>
                <w:color w:val="auto"/>
                <w:w w:val="87"/>
              </w:rPr>
              <w:t>8.3</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may be subject to change as additional information is received, including the finalization of tax assets and liabilities. Identifiable intangible assets acquired consisted of primarily $2.4 million of developed technology with an estimated useful life of 7 years.</w:t>
      </w:r>
    </w:p>
    <w:p>
      <w:pPr>
        <w:spacing w:after="0" w:line="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Developed technology represents the fair value of the Komiko technology portfolio. The goodwill balance is primarily attributed to the expanded market opportunities when integrating Komiko’s technology with DiscoverOrg’s technology and the assembled workforce. The goodwill balance is expected to be deductible for U.S. income tax purposes.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Pre-Acquisition ZI</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February 1, 2019, the Company, through a newly formed wholly owned subsidiary, Zebra Acquisition Corporation, acquired 100% of the stock of Zoom Information, Inc. (“Pre-Acquisition ZI”). Pre-Acquisition ZI was a provider of company and contact information to sales and marketing professionals. Pre-Acquisition ZI served over 8,000 customers and has operations in the U.S., Israel, and Russia. The acquisition qualifies as a business combination and will be accounted for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 xml:space="preserve">The Company has included the financial results of Pre-Acquisition ZI in the consolidated financial statements from the date of acquisition. The Company incurred approximately $2.7 million of transactions costs related to this acquisition which are included in </w:t>
      </w:r>
      <w:r>
        <w:rPr>
          <w:rFonts w:ascii="Arial" w:cs="Arial" w:eastAsia="Arial" w:hAnsi="Arial"/>
          <w:sz w:val="18"/>
          <w:szCs w:val="18"/>
          <w:i w:val="1"/>
          <w:iCs w:val="1"/>
          <w:color w:val="auto"/>
        </w:rPr>
        <w:t>Restructuring and transaction related expenses</w:t>
      </w:r>
      <w:r>
        <w:rPr>
          <w:rFonts w:ascii="Arial" w:cs="Arial" w:eastAsia="Arial" w:hAnsi="Arial"/>
          <w:sz w:val="18"/>
          <w:szCs w:val="18"/>
          <w:color w:val="auto"/>
        </w:rPr>
        <w:t xml:space="preserve"> on our Consolidated Statements of Operations.</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acquisition date fair value of the consideration paid by the Company for Pre-Acquisition ZI was $760.1 million, including cash acquired of $12.1 million, and was comprised of the following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consideration</w:t>
            </w: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Liability for equity award settlement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Portion of replacement awards attributable to pre-acquisition service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Other purchase consideration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760.1</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accordance with the purchase agreement, the Company paid deferred consideration of $25.0 million and $10.0 million on the first and second anniversary of the Pre-Acquisition ZI acquisition, respectively. In 2021, the remaining balance of $10.0 million was paid. The fair value of the deferred consideration payments was determined using a present value calculation. The following table summarizes the fair values of the assets acquired and liabilities assumed, as of the date of acquisition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322.0</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other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25"/>
        </w:trPr>
        <w:tc>
          <w:tcPr>
            <w:tcW w:w="96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26"/>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Unearned revenue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identifiable net assets acquired</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w:t>
            </w:r>
          </w:p>
        </w:tc>
      </w:tr>
      <w:tr>
        <w:trPr>
          <w:trHeight w:val="225"/>
        </w:trPr>
        <w:tc>
          <w:tcPr>
            <w:tcW w:w="96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Goodwill</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514.8</w:t>
            </w:r>
          </w:p>
        </w:tc>
      </w:tr>
      <w:tr>
        <w:trPr>
          <w:trHeight w:val="219"/>
        </w:trPr>
        <w:tc>
          <w:tcPr>
            <w:tcW w:w="9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consideration</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w:t>
            </w:r>
          </w:p>
        </w:tc>
      </w:tr>
      <w:tr>
        <w:trPr>
          <w:trHeight w:val="218"/>
        </w:trPr>
        <w:tc>
          <w:tcPr>
            <w:tcW w:w="9680" w:type="dxa"/>
            <w:vAlign w:val="bottom"/>
          </w:tcPr>
          <w:p>
            <w:pPr>
              <w:ind w:left="460"/>
              <w:spacing w:after="0"/>
              <w:rPr>
                <w:sz w:val="20"/>
                <w:szCs w:val="20"/>
                <w:color w:val="auto"/>
              </w:rPr>
            </w:pPr>
            <w:r>
              <w:rPr>
                <w:rFonts w:ascii="Arial" w:cs="Arial" w:eastAsia="Arial" w:hAnsi="Arial"/>
                <w:sz w:val="18"/>
                <w:szCs w:val="18"/>
                <w:color w:val="auto"/>
              </w:rPr>
              <w:t>Deferred consideration</w:t>
            </w:r>
          </w:p>
        </w:tc>
        <w:tc>
          <w:tcPr>
            <w:tcW w:w="6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5"/>
        </w:trPr>
        <w:tc>
          <w:tcPr>
            <w:tcW w:w="9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Cash acquired</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Cash paid for acquisitions, net of cash acquired</w:t>
            </w:r>
          </w:p>
        </w:tc>
        <w:tc>
          <w:tcPr>
            <w:tcW w:w="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excess of purchase consideration over the fair value of identifiable net tangible and intangible assets acquired was recorded as goodwill. The fair values assigned to tangible and identifiable intangible assets acquired and liabilities assumed are based on management’s estimates and assumptions given the currently available information.</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 of acquired unearned revenue was $34.5 million which differs from the unearned revenue recorded by Pre-Acquisition ZI immediately prior to the acquisition of $68.3 million. The acquired unearned revenue, net of the $33.8 million fair value adjustment, was recognized as revenue over a period of approximately one year, which represented the period the related contracted services were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the Company agreed with the sellers of Pre-Acquisition ZI to put a Cash Vesting Payment Program in place for employees that held non-vested options as of the acquisition date, after giving effect to the acquisition and any vesting that resulted from the acquisition. Under the Cash Vesting Payment Program, the Company agreed to make payments to employees in the amount of the value that they would have received, had their options been vested at the time of the acquisition. Payments will be made to employees that continue their employment with the Company through the vesting milestones defined in their Pre-Acquisition ZI option agreements, and can be accelerated in certain circumstances upon termination, if the employee is terminated without cause, as defined in the Cash Vesting Payment Agreement. Employees that terminate their employment in other circumstances will forfeit any future payments.</w:t>
      </w:r>
    </w:p>
    <w:p>
      <w:pPr>
        <w:spacing w:after="0" w:line="14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of December 31, 2021, the potential value of future payments under the Cash Vesting Payment Program was $0.1 million to be paid to employees through 2022, assuming continued employment for each employee. The Company recognized $3.8 million, $6.4 million and $8.8 million of expense under the Cash Vesting Program for the years ended December 31, 2021, 2020, and 2019 respectively. Based on the requirement for continued service, the cost related to payments under the Cash Vesting Payment Program, expense is recognized as compensation and reflected on our Consolidated Statements of Operations in the same category as salary expense of the recipient.</w:t>
      </w:r>
    </w:p>
    <w:p>
      <w:pPr>
        <w:spacing w:after="0" w:line="14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components of identifiable intangible assets acquired and the estimated useful lives as of the date of acquisition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c>
          <w:tcPr>
            <w:tcW w:w="0" w:type="dxa"/>
            <w:vAlign w:val="bottom"/>
          </w:tcPr>
          <w:p>
            <w:pPr>
              <w:spacing w:after="0"/>
              <w:rPr>
                <w:sz w:val="1"/>
                <w:szCs w:val="1"/>
                <w:color w:val="auto"/>
              </w:rPr>
            </w:pPr>
          </w:p>
        </w:tc>
      </w:tr>
      <w:tr>
        <w:trPr>
          <w:trHeight w:val="185"/>
        </w:trPr>
        <w:tc>
          <w:tcPr>
            <w:tcW w:w="8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Brand portfolio</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25"/>
        </w:trPr>
        <w:tc>
          <w:tcPr>
            <w:tcW w:w="80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6"/>
              </w:rPr>
              <w:t>5.8 years</w:t>
            </w:r>
          </w:p>
        </w:tc>
        <w:tc>
          <w:tcPr>
            <w:tcW w:w="0" w:type="dxa"/>
            <w:vAlign w:val="bottom"/>
          </w:tcPr>
          <w:p>
            <w:pPr>
              <w:spacing w:after="0"/>
              <w:rPr>
                <w:sz w:val="1"/>
                <w:szCs w:val="1"/>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15.0 years</w:t>
            </w:r>
          </w:p>
        </w:tc>
        <w:tc>
          <w:tcPr>
            <w:tcW w:w="0" w:type="dxa"/>
            <w:vAlign w:val="bottom"/>
          </w:tcPr>
          <w:p>
            <w:pPr>
              <w:spacing w:after="0"/>
              <w:rPr>
                <w:sz w:val="1"/>
                <w:szCs w:val="1"/>
                <w:color w:val="auto"/>
              </w:rPr>
            </w:pPr>
          </w:p>
        </w:tc>
      </w:tr>
      <w:tr>
        <w:trPr>
          <w:trHeight w:val="219"/>
        </w:trPr>
        <w:tc>
          <w:tcPr>
            <w:tcW w:w="8020" w:type="dxa"/>
            <w:vAlign w:val="bottom"/>
          </w:tcPr>
          <w:p>
            <w:pPr>
              <w:ind w:left="220"/>
              <w:spacing w:after="0"/>
              <w:rPr>
                <w:sz w:val="20"/>
                <w:szCs w:val="20"/>
                <w:color w:val="auto"/>
              </w:rPr>
            </w:pPr>
            <w:r>
              <w:rPr>
                <w:rFonts w:ascii="Arial" w:cs="Arial" w:eastAsia="Arial" w:hAnsi="Arial"/>
                <w:sz w:val="18"/>
                <w:szCs w:val="18"/>
                <w:color w:val="auto"/>
              </w:rPr>
              <w:t>Total intangible assets</w:t>
            </w: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Developed technology represents the fair value of the Pre-Acquisition ZI technology, including software and databases acquired. Customer relationships represent the fair values of the underlying relationships with Pre-Acquisition ZI customers. The goodwill balance is primarily attributed to the assembled workforce and the expanded market opportunities when integrating Pre-Acquisition ZI’s technology with DiscoverOrg’s technology. The goodwill balance is not expected to be deductible for U.S. income tax purposes.</w:t>
      </w:r>
    </w:p>
    <w:p>
      <w:pPr>
        <w:spacing w:after="0" w:line="13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amounts of Pre-Acquisition ZI’s revenue and earnings included in the Company’s consolidated results of operations for the year ended December 31, 2019, cannot be determined as the operations of Pre-Acquisition ZI were rapidly integrated into the DiscoverOrg operations, and many existing customer contracts were modified or replaced subsequent to the acquisition with the new contracts containing subscriptions from both Pre-Acquisition ZI and DiscoverOrg as a result of subsequent sales activities.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 for Pre-Acquisition ZI</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following table presents the unaudited pro forma results for the years ended December 31, 2019 and 2018. The unaudited pro forma financial information combines the results of operations of Pre-Acquisition ZI and the Company as though the acquisition had been completed on January 1, 2018. The pro forma information is presented for informational purposes only and is not indicative of the results of operations that would have been achieved if the acquisition had taken place at such time. The unaudited pro forma results presented below primarily include adjustments for amortization of unearned revenue fair value adjustments, acquired tangible and intangible assets, interest expense and $9.2 million of transaction costs and bonuses incurred by the Company and Pre-Acquisition ZI as if the acquisition had occurred on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Business Combinations (continued)</w:t>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Year Ended December 31,</w:t>
            </w:r>
          </w:p>
        </w:tc>
        <w:tc>
          <w:tcPr>
            <w:tcW w:w="1100" w:type="dxa"/>
            <w:vAlign w:val="bottom"/>
            <w:tcBorders>
              <w:bottom w:val="single" w:sz="8" w:color="auto"/>
            </w:tcBorders>
          </w:tcPr>
          <w:p>
            <w:pPr>
              <w:spacing w:after="0"/>
              <w:rPr>
                <w:sz w:val="16"/>
                <w:szCs w:val="16"/>
                <w:color w:val="auto"/>
              </w:rPr>
            </w:pPr>
          </w:p>
        </w:tc>
      </w:tr>
      <w:tr>
        <w:trPr>
          <w:trHeight w:val="212"/>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18"/>
              <w:spacing w:after="0"/>
              <w:rPr>
                <w:sz w:val="20"/>
                <w:szCs w:val="20"/>
                <w:color w:val="auto"/>
              </w:rPr>
            </w:pPr>
            <w:r>
              <w:rPr>
                <w:rFonts w:ascii="Arial" w:cs="Arial" w:eastAsia="Arial" w:hAnsi="Arial"/>
                <w:sz w:val="14"/>
                <w:szCs w:val="14"/>
                <w:b w:val="1"/>
                <w:bCs w:val="1"/>
                <w:color w:val="auto"/>
                <w:w w:val="89"/>
              </w:rPr>
              <w:t>2018</w:t>
            </w:r>
          </w:p>
        </w:tc>
      </w:tr>
      <w:tr>
        <w:trPr>
          <w:trHeight w:val="219"/>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100" w:type="dxa"/>
            <w:vAlign w:val="bottom"/>
            <w:shd w:val="clear" w:color="auto" w:fill="CCEEFF"/>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334.1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r>
      <w:tr>
        <w:trPr>
          <w:trHeight w:val="224"/>
        </w:trPr>
        <w:tc>
          <w:tcPr>
            <w:tcW w:w="74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100" w:type="dxa"/>
            <w:vAlign w:val="bottom"/>
          </w:tcPr>
          <w:p>
            <w:pPr>
              <w:jc w:val="right"/>
              <w:ind w:right="918"/>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320"/>
              <w:spacing w:after="0"/>
              <w:rPr>
                <w:sz w:val="20"/>
                <w:szCs w:val="20"/>
                <w:color w:val="auto"/>
              </w:rPr>
            </w:pPr>
            <w:r>
              <w:rPr>
                <w:rFonts w:ascii="Arial" w:cs="Arial" w:eastAsia="Arial" w:hAnsi="Arial"/>
                <w:sz w:val="18"/>
                <w:szCs w:val="18"/>
                <w:color w:val="auto"/>
                <w:w w:val="89"/>
              </w:rPr>
              <w:t>(48.0)</w:t>
            </w:r>
          </w:p>
        </w:tc>
        <w:tc>
          <w:tcPr>
            <w:tcW w:w="100" w:type="dxa"/>
            <w:vAlign w:val="bottom"/>
          </w:tcPr>
          <w:p>
            <w:pPr>
              <w:spacing w:after="0"/>
              <w:rPr>
                <w:sz w:val="19"/>
                <w:szCs w:val="19"/>
                <w:color w:val="auto"/>
              </w:rPr>
            </w:pPr>
          </w:p>
        </w:tc>
        <w:tc>
          <w:tcPr>
            <w:tcW w:w="780" w:type="dxa"/>
            <w:vAlign w:val="bottom"/>
          </w:tcPr>
          <w:p>
            <w:pPr>
              <w:jc w:val="right"/>
              <w:ind w:right="59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(146.4)</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cash equivalents, and short-term investments consisted of the following as of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9"/>
                <w:szCs w:val="19"/>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r>
      <w:tr>
        <w:trPr>
          <w:trHeight w:val="206"/>
        </w:trPr>
        <w:tc>
          <w:tcPr>
            <w:tcW w:w="5560" w:type="dxa"/>
            <w:vAlign w:val="bottom"/>
          </w:tcPr>
          <w:p>
            <w:pPr>
              <w:ind w:left="20"/>
              <w:spacing w:after="0" w:line="205" w:lineRule="exact"/>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r>
      <w:tr>
        <w:trPr>
          <w:trHeight w:val="205"/>
        </w:trPr>
        <w:tc>
          <w:tcPr>
            <w:tcW w:w="5560" w:type="dxa"/>
            <w:vAlign w:val="bottom"/>
          </w:tcPr>
          <w:p>
            <w:pPr>
              <w:ind w:left="220"/>
              <w:spacing w:after="0" w:line="204" w:lineRule="exact"/>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25"/>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r>
      <w:tr>
        <w:trPr>
          <w:trHeight w:val="219"/>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18"/>
        </w:trPr>
        <w:tc>
          <w:tcPr>
            <w:tcW w:w="5560" w:type="dxa"/>
            <w:vAlign w:val="bottom"/>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308.3</w:t>
            </w:r>
          </w:p>
        </w:tc>
      </w:tr>
      <w:tr>
        <w:trPr>
          <w:trHeight w:val="206"/>
        </w:trPr>
        <w:tc>
          <w:tcPr>
            <w:tcW w:w="5560" w:type="dxa"/>
            <w:vAlign w:val="bottom"/>
            <w:tcBorders>
              <w:top w:val="single" w:sz="8" w:color="CCEEFF"/>
            </w:tcBorders>
            <w:shd w:val="clear" w:color="auto" w:fill="CCEEFF"/>
          </w:tcPr>
          <w:p>
            <w:pPr>
              <w:ind w:left="220"/>
              <w:spacing w:after="0" w:line="205" w:lineRule="exact"/>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r>
      <w:tr>
        <w:trPr>
          <w:trHeight w:val="225"/>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19"/>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326.7</w:t>
            </w:r>
          </w:p>
        </w:tc>
      </w:tr>
      <w:tr>
        <w:trPr>
          <w:trHeight w:val="20"/>
        </w:trPr>
        <w:tc>
          <w:tcPr>
            <w:tcW w:w="556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760"/>
        </w:trPr>
        <w:tc>
          <w:tcPr>
            <w:tcW w:w="8440" w:type="dxa"/>
            <w:vAlign w:val="bottom"/>
            <w:gridSpan w:val="7"/>
          </w:tcPr>
          <w:p>
            <w:pPr>
              <w:ind w:left="320"/>
              <w:spacing w:after="0"/>
              <w:rPr>
                <w:sz w:val="20"/>
                <w:szCs w:val="20"/>
                <w:color w:val="auto"/>
              </w:rPr>
            </w:pPr>
            <w:r>
              <w:rPr>
                <w:rFonts w:ascii="Arial" w:cs="Arial" w:eastAsia="Arial" w:hAnsi="Arial"/>
                <w:sz w:val="18"/>
                <w:szCs w:val="18"/>
                <w:color w:val="auto"/>
                <w:w w:val="97"/>
              </w:rPr>
              <w:t>Cash, cash equivalents, and short-term investments consisted of the following as of December 31, 2020</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1"/>
        </w:trPr>
        <w:tc>
          <w:tcPr>
            <w:tcW w:w="55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16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Estimated Fair Value</w:t>
            </w:r>
          </w:p>
        </w:tc>
      </w:tr>
      <w:tr>
        <w:trPr>
          <w:trHeight w:val="206"/>
        </w:trPr>
        <w:tc>
          <w:tcPr>
            <w:tcW w:w="5560" w:type="dxa"/>
            <w:vAlign w:val="bottom"/>
          </w:tcPr>
          <w:p>
            <w:pPr>
              <w:ind w:left="20"/>
              <w:spacing w:after="0" w:line="205" w:lineRule="exact"/>
              <w:rPr>
                <w:sz w:val="20"/>
                <w:szCs w:val="20"/>
                <w:color w:val="auto"/>
              </w:rPr>
            </w:pPr>
            <w:r>
              <w:rPr>
                <w:rFonts w:ascii="Arial" w:cs="Arial" w:eastAsia="Arial" w:hAnsi="Arial"/>
                <w:sz w:val="18"/>
                <w:szCs w:val="18"/>
                <w:color w:val="auto"/>
              </w:rPr>
              <w:t>Current Assets: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05"/>
        </w:trPr>
        <w:tc>
          <w:tcPr>
            <w:tcW w:w="5560" w:type="dxa"/>
            <w:vAlign w:val="bottom"/>
          </w:tcPr>
          <w:p>
            <w:pPr>
              <w:ind w:left="220"/>
              <w:spacing w:after="0" w:line="204" w:lineRule="exact"/>
              <w:rPr>
                <w:sz w:val="20"/>
                <w:szCs w:val="20"/>
                <w:color w:val="auto"/>
              </w:rPr>
            </w:pPr>
            <w:r>
              <w:rPr>
                <w:rFonts w:ascii="Arial" w:cs="Arial" w:eastAsia="Arial" w:hAnsi="Arial"/>
                <w:sz w:val="18"/>
                <w:szCs w:val="18"/>
                <w:color w:val="auto"/>
              </w:rPr>
              <w:t>Cash equivalents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r>
      <w:tr>
        <w:trPr>
          <w:trHeight w:val="225"/>
        </w:trPr>
        <w:tc>
          <w:tcPr>
            <w:tcW w:w="5560" w:type="dxa"/>
            <w:vAlign w:val="bottom"/>
          </w:tcPr>
          <w:p>
            <w:pPr>
              <w:ind w:left="320"/>
              <w:spacing w:after="0"/>
              <w:rPr>
                <w:sz w:val="20"/>
                <w:szCs w:val="20"/>
                <w:color w:val="auto"/>
              </w:rPr>
            </w:pPr>
            <w:r>
              <w:rPr>
                <w:rFonts w:ascii="Arial" w:cs="Arial" w:eastAsia="Arial" w:hAnsi="Arial"/>
                <w:sz w:val="18"/>
                <w:szCs w:val="18"/>
                <w:color w:val="auto"/>
              </w:rPr>
              <w:t>Money market mutual funds</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8"/>
        </w:trPr>
        <w:tc>
          <w:tcPr>
            <w:tcW w:w="556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cash equivalents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w:t>
            </w:r>
          </w:p>
        </w:tc>
      </w:tr>
      <w:tr>
        <w:trPr>
          <w:trHeight w:val="219"/>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cash and cash equivalents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w:t>
            </w:r>
          </w:p>
        </w:tc>
      </w:tr>
      <w:tr>
        <w:trPr>
          <w:trHeight w:val="205"/>
        </w:trPr>
        <w:tc>
          <w:tcPr>
            <w:tcW w:w="5560" w:type="dxa"/>
            <w:vAlign w:val="bottom"/>
          </w:tcPr>
          <w:p>
            <w:pPr>
              <w:ind w:left="220"/>
              <w:spacing w:after="0" w:line="204" w:lineRule="exact"/>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26"/>
        </w:trPr>
        <w:tc>
          <w:tcPr>
            <w:tcW w:w="5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5"/>
        </w:trPr>
        <w:tc>
          <w:tcPr>
            <w:tcW w:w="55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Securities guaranteed by U.S. government</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r>
      <w:tr>
        <w:trPr>
          <w:trHeight w:val="218"/>
        </w:trPr>
        <w:tc>
          <w:tcPr>
            <w:tcW w:w="5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9"/>
        </w:trPr>
        <w:tc>
          <w:tcPr>
            <w:tcW w:w="5560" w:type="dxa"/>
            <w:vAlign w:val="bottom"/>
          </w:tcPr>
          <w:p>
            <w:pPr>
              <w:ind w:left="20"/>
              <w:spacing w:after="0"/>
              <w:rPr>
                <w:sz w:val="20"/>
                <w:szCs w:val="20"/>
                <w:color w:val="auto"/>
              </w:rPr>
            </w:pPr>
            <w:r>
              <w:rPr>
                <w:rFonts w:ascii="Arial" w:cs="Arial" w:eastAsia="Arial" w:hAnsi="Arial"/>
                <w:sz w:val="18"/>
                <w:szCs w:val="18"/>
                <w:color w:val="auto"/>
              </w:rPr>
              <w:t>Total cash, cash equivalents, and short-term investments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300.4</w:t>
            </w:r>
          </w:p>
        </w:tc>
      </w:tr>
      <w:tr>
        <w:trPr>
          <w:trHeight w:val="20"/>
        </w:trPr>
        <w:tc>
          <w:tcPr>
            <w:tcW w:w="5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Refer to Note 10 -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Gross unrealized losses on our available-for sale securities were immaterial at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Cash, Cash Equivalents, and Short-term Investments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summarizes the cost and estimated fair value of the securities classified as short-term investments based on stated effective maturities as of December 31, 2021 and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00" w:type="dxa"/>
            <w:vAlign w:val="bottom"/>
            <w:tcBorders>
              <w:bottom w:val="single" w:sz="8" w:color="auto"/>
            </w:tcBorders>
            <w:gridSpan w:val="3"/>
          </w:tcPr>
          <w:p>
            <w:pPr>
              <w:jc w:val="right"/>
              <w:ind w:right="1558"/>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December 31, 2020</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10"/>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4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Borders>
              <w:bottom w:val="single" w:sz="8" w:color="CCEEFF"/>
            </w:tcBorders>
          </w:tcPr>
          <w:p>
            <w:pPr>
              <w:spacing w:after="0"/>
              <w:rPr>
                <w:sz w:val="18"/>
                <w:szCs w:val="18"/>
                <w:color w:val="auto"/>
              </w:rPr>
            </w:pPr>
          </w:p>
        </w:tc>
        <w:tc>
          <w:tcPr>
            <w:tcW w:w="216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Estimated Fair Value</w:t>
            </w:r>
          </w:p>
        </w:tc>
        <w:tc>
          <w:tcPr>
            <w:tcW w:w="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Amortized Cost</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Estimated Fair Value</w:t>
            </w:r>
          </w:p>
        </w:tc>
      </w:tr>
      <w:tr>
        <w:trPr>
          <w:trHeight w:val="21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19"/>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$30.6</w:t>
            </w:r>
          </w:p>
        </w:tc>
      </w:tr>
      <w:tr>
        <w:trPr>
          <w:trHeight w:val="20"/>
        </w:trPr>
        <w:tc>
          <w:tcPr>
            <w:tcW w:w="2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63"/>
        </w:trPr>
        <w:tc>
          <w:tcPr>
            <w:tcW w:w="2720" w:type="dxa"/>
            <w:vAlign w:val="bottom"/>
            <w:gridSpan w:val="2"/>
          </w:tcPr>
          <w:p>
            <w:pPr>
              <w:spacing w:after="0"/>
              <w:rPr>
                <w:sz w:val="20"/>
                <w:szCs w:val="20"/>
                <w:color w:val="auto"/>
              </w:rPr>
            </w:pPr>
            <w:r>
              <w:rPr>
                <w:rFonts w:ascii="Arial" w:cs="Arial" w:eastAsia="Arial" w:hAnsi="Arial"/>
                <w:sz w:val="18"/>
                <w:szCs w:val="18"/>
                <w:b w:val="1"/>
                <w:bCs w:val="1"/>
                <w:color w:val="auto"/>
                <w:w w:val="96"/>
              </w:rPr>
              <w:t>Note 6 - Property and Equipment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6800" w:type="dxa"/>
            <w:vAlign w:val="bottom"/>
            <w:gridSpan w:val="6"/>
          </w:tcPr>
          <w:p>
            <w:pPr>
              <w:ind w:left="320"/>
              <w:spacing w:after="0"/>
              <w:rPr>
                <w:sz w:val="20"/>
                <w:szCs w:val="20"/>
                <w:color w:val="auto"/>
              </w:rPr>
            </w:pPr>
            <w:r>
              <w:rPr>
                <w:rFonts w:ascii="Arial" w:cs="Arial" w:eastAsia="Arial" w:hAnsi="Arial"/>
                <w:sz w:val="18"/>
                <w:szCs w:val="18"/>
                <w:color w:val="auto"/>
              </w:rPr>
              <w:t>The Company’s fixed assets consist of the following (in millions):</w:t>
            </w: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2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r>
      <w:tr>
        <w:trPr>
          <w:trHeight w:val="183"/>
        </w:trPr>
        <w:tc>
          <w:tcPr>
            <w:tcW w:w="2300" w:type="dxa"/>
            <w:vAlign w:val="bottom"/>
            <w:tcBorders>
              <w:bottom w:val="single" w:sz="8" w:color="CCEEFF"/>
            </w:tcBorders>
          </w:tcPr>
          <w:p>
            <w:pPr>
              <w:spacing w:after="0"/>
              <w:rPr>
                <w:sz w:val="15"/>
                <w:szCs w:val="15"/>
                <w:color w:val="auto"/>
              </w:rPr>
            </w:pPr>
          </w:p>
        </w:tc>
        <w:tc>
          <w:tcPr>
            <w:tcW w:w="42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19"/>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6"/>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25"/>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Internal use developed software</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5"/>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8"/>
        </w:trPr>
        <w:tc>
          <w:tcPr>
            <w:tcW w:w="2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50.7</w:t>
            </w:r>
          </w:p>
        </w:tc>
      </w:tr>
      <w:tr>
        <w:trPr>
          <w:trHeight w:val="225"/>
        </w:trPr>
        <w:tc>
          <w:tcPr>
            <w:tcW w:w="2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19"/>
        </w:trPr>
        <w:tc>
          <w:tcPr>
            <w:tcW w:w="2720" w:type="dxa"/>
            <w:vAlign w:val="bottom"/>
            <w:gridSpan w:val="2"/>
          </w:tcPr>
          <w:p>
            <w:pPr>
              <w:ind w:left="220"/>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9"/>
                <w:szCs w:val="19"/>
                <w:color w:val="auto"/>
              </w:rPr>
            </w:pPr>
          </w:p>
        </w:tc>
        <w:tc>
          <w:tcPr>
            <w:tcW w:w="500" w:type="dxa"/>
            <w:vAlign w:val="bottom"/>
          </w:tcPr>
          <w:p>
            <w:pPr>
              <w:jc w:val="right"/>
              <w:ind w:right="31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0"/>
        </w:trPr>
        <w:tc>
          <w:tcPr>
            <w:tcW w:w="2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During the twelve months ended December 31, 2021, in relation to our Waltham office relocation, we recorded an impairment charge of $2.7 million, comprised of $1.5 million relating to the operating lease right-of-use asset, and $1.2 million relating to the leasehold improvements. We also recorded accelerated depreciation of furniture and fixtures of $2.1 million. These charges were recognized within </w:t>
      </w:r>
      <w:r>
        <w:rPr>
          <w:rFonts w:ascii="Arial" w:cs="Arial" w:eastAsia="Arial" w:hAnsi="Arial"/>
          <w:sz w:val="18"/>
          <w:szCs w:val="18"/>
          <w:i w:val="1"/>
          <w:iCs w:val="1"/>
          <w:color w:val="auto"/>
        </w:rPr>
        <w:t>Restructuring and transaction related expenses</w:t>
      </w:r>
      <w:r>
        <w:rPr>
          <w:rFonts w:ascii="Arial" w:cs="Arial" w:eastAsia="Arial" w:hAnsi="Arial"/>
          <w:sz w:val="18"/>
          <w:szCs w:val="18"/>
          <w:color w:val="auto"/>
        </w:rPr>
        <w:t xml:space="preserve"> on our Consolidated Statements of Operations.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Depreciation expense was $13.7 million, $8.9 million, and $6.1 million for the years ended December 31, 2021, 2020, and 2019,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December 31, 2021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284.1</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Acquired Intangible Assets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Intangible assets consisted of the following as of December 31, 2020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Accumulated</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Carrying Amount</w:t>
            </w:r>
          </w:p>
        </w:tc>
        <w:tc>
          <w:tcPr>
            <w:tcW w:w="240" w:type="dxa"/>
            <w:vAlign w:val="bottom"/>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11"/>
                <w:szCs w:val="11"/>
                <w:color w:val="auto"/>
              </w:rPr>
            </w:pPr>
          </w:p>
        </w:tc>
        <w:tc>
          <w:tcPr>
            <w:tcW w:w="1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3"/>
              </w:rPr>
              <w:t>Amortization Period in</w:t>
            </w:r>
          </w:p>
        </w:tc>
        <w:tc>
          <w:tcPr>
            <w:tcW w:w="0" w:type="dxa"/>
            <w:vAlign w:val="bottom"/>
          </w:tcPr>
          <w:p>
            <w:pPr>
              <w:spacing w:after="0"/>
              <w:rPr>
                <w:sz w:val="1"/>
                <w:szCs w:val="1"/>
                <w:color w:val="auto"/>
              </w:rPr>
            </w:pPr>
          </w:p>
        </w:tc>
      </w:tr>
      <w:tr>
        <w:trPr>
          <w:trHeight w:val="185"/>
        </w:trPr>
        <w:tc>
          <w:tcPr>
            <w:tcW w:w="4700" w:type="dxa"/>
            <w:vAlign w:val="bottom"/>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Amortization</w:t>
            </w:r>
          </w:p>
        </w:tc>
        <w:tc>
          <w:tcPr>
            <w:tcW w:w="40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Intangible assets subject to amortization:</w:t>
            </w:r>
          </w:p>
        </w:tc>
        <w:tc>
          <w:tcPr>
            <w:tcW w:w="5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Customer relationships</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272.0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Acquired technology</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Brand portfolio</w:t>
            </w: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intangible assets subject to amortization</w:t>
            </w:r>
          </w:p>
        </w:tc>
        <w:tc>
          <w:tcPr>
            <w:tcW w:w="54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20"/>
              <w:spacing w:after="0"/>
              <w:rPr>
                <w:sz w:val="20"/>
                <w:szCs w:val="20"/>
                <w:color w:val="auto"/>
              </w:rPr>
            </w:pPr>
            <w:r>
              <w:rPr>
                <w:rFonts w:ascii="Arial" w:cs="Arial" w:eastAsia="Arial" w:hAnsi="Arial"/>
                <w:sz w:val="18"/>
                <w:szCs w:val="18"/>
                <w:color w:val="auto"/>
              </w:rPr>
              <w:t>Pre-Acquisition ZI brand portfolio</w:t>
            </w:r>
          </w:p>
        </w:tc>
        <w:tc>
          <w:tcPr>
            <w:tcW w:w="540" w:type="dxa"/>
            <w:vAlign w:val="bottom"/>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Amortization expense was $55.6 million, $41.9 million, and $42.6 million for the years ended December 31, 2021, 2020, and 2019, respectively.</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amortization expense for intangible assets as of December 31, 2021 is as follows (in millions):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4"/>
                <w:szCs w:val="14"/>
                <w:color w:val="auto"/>
              </w:rPr>
            </w:pPr>
          </w:p>
        </w:tc>
        <w:tc>
          <w:tcPr>
            <w:tcW w:w="15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7"/>
              </w:rPr>
              <w:t>Estimate Amortization</w:t>
            </w:r>
          </w:p>
        </w:tc>
      </w:tr>
      <w:tr>
        <w:trPr>
          <w:trHeight w:val="185"/>
        </w:trPr>
        <w:tc>
          <w:tcPr>
            <w:tcW w:w="96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Expense</w:t>
            </w:r>
          </w:p>
        </w:tc>
      </w:tr>
      <w:tr>
        <w:trPr>
          <w:trHeight w:val="206"/>
        </w:trPr>
        <w:tc>
          <w:tcPr>
            <w:tcW w:w="968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For years ended December 31,</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5"/>
        </w:trPr>
        <w:tc>
          <w:tcPr>
            <w:tcW w:w="9680" w:type="dxa"/>
            <w:vAlign w:val="bottom"/>
          </w:tcPr>
          <w:p>
            <w:pPr>
              <w:jc w:val="right"/>
              <w:ind w:right="9092"/>
              <w:spacing w:after="0"/>
              <w:rPr>
                <w:sz w:val="20"/>
                <w:szCs w:val="20"/>
                <w:color w:val="auto"/>
              </w:rPr>
            </w:pPr>
            <w:r>
              <w:rPr>
                <w:rFonts w:ascii="Arial" w:cs="Arial" w:eastAsia="Arial" w:hAnsi="Arial"/>
                <w:sz w:val="18"/>
                <w:szCs w:val="18"/>
                <w:color w:val="auto"/>
              </w:rPr>
              <w:t>2022</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66.0</w:t>
            </w:r>
          </w:p>
        </w:tc>
      </w:tr>
      <w:tr>
        <w:trPr>
          <w:trHeight w:val="226"/>
        </w:trPr>
        <w:tc>
          <w:tcPr>
            <w:tcW w:w="9680" w:type="dxa"/>
            <w:vAlign w:val="bottom"/>
            <w:shd w:val="clear" w:color="auto" w:fill="CCEEFF"/>
          </w:tcPr>
          <w:p>
            <w:pPr>
              <w:jc w:val="right"/>
              <w:ind w:right="9092"/>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5"/>
        </w:trPr>
        <w:tc>
          <w:tcPr>
            <w:tcW w:w="9680" w:type="dxa"/>
            <w:vAlign w:val="bottom"/>
          </w:tcPr>
          <w:p>
            <w:pPr>
              <w:jc w:val="right"/>
              <w:ind w:right="9092"/>
              <w:spacing w:after="0"/>
              <w:rPr>
                <w:sz w:val="20"/>
                <w:szCs w:val="20"/>
                <w:color w:val="auto"/>
              </w:rPr>
            </w:pPr>
            <w:r>
              <w:rPr>
                <w:rFonts w:ascii="Arial" w:cs="Arial" w:eastAsia="Arial" w:hAnsi="Arial"/>
                <w:sz w:val="18"/>
                <w:szCs w:val="18"/>
                <w:color w:val="auto"/>
              </w:rPr>
              <w:t>2024</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53.4</w:t>
            </w:r>
          </w:p>
        </w:tc>
      </w:tr>
      <w:tr>
        <w:trPr>
          <w:trHeight w:val="226"/>
        </w:trPr>
        <w:tc>
          <w:tcPr>
            <w:tcW w:w="9680" w:type="dxa"/>
            <w:vAlign w:val="bottom"/>
            <w:shd w:val="clear" w:color="auto" w:fill="CCEEFF"/>
          </w:tcPr>
          <w:p>
            <w:pPr>
              <w:jc w:val="right"/>
              <w:ind w:right="9092"/>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r>
      <w:tr>
        <w:trPr>
          <w:trHeight w:val="224"/>
        </w:trPr>
        <w:tc>
          <w:tcPr>
            <w:tcW w:w="9680" w:type="dxa"/>
            <w:vAlign w:val="bottom"/>
          </w:tcPr>
          <w:p>
            <w:pPr>
              <w:jc w:val="right"/>
              <w:ind w:right="9092"/>
              <w:spacing w:after="0"/>
              <w:rPr>
                <w:sz w:val="20"/>
                <w:szCs w:val="20"/>
                <w:color w:val="auto"/>
              </w:rPr>
            </w:pPr>
            <w:r>
              <w:rPr>
                <w:rFonts w:ascii="Arial" w:cs="Arial" w:eastAsia="Arial" w:hAnsi="Arial"/>
                <w:sz w:val="18"/>
                <w:szCs w:val="18"/>
                <w:color w:val="auto"/>
              </w:rPr>
              <w:t>2026</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91"/>
        </w:trPr>
        <w:tc>
          <w:tcPr>
            <w:tcW w:w="9680" w:type="dxa"/>
            <w:vAlign w:val="bottom"/>
          </w:tcPr>
          <w:p>
            <w:pPr>
              <w:ind w:left="320"/>
              <w:spacing w:after="0"/>
              <w:rPr>
                <w:sz w:val="20"/>
                <w:szCs w:val="20"/>
                <w:color w:val="auto"/>
              </w:rPr>
            </w:pPr>
            <w:r>
              <w:rPr>
                <w:rFonts w:ascii="Arial" w:cs="Arial" w:eastAsia="Arial" w:hAnsi="Arial"/>
                <w:sz w:val="18"/>
                <w:szCs w:val="18"/>
                <w:color w:val="auto"/>
              </w:rPr>
              <w:t>The following summarizes changes to the Company’s goodwill (in millions):</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86"/>
        </w:trPr>
        <w:tc>
          <w:tcPr>
            <w:tcW w:w="9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966.8</w:t>
            </w:r>
          </w:p>
        </w:tc>
      </w:tr>
      <w:tr>
        <w:trPr>
          <w:trHeight w:val="225"/>
        </w:trPr>
        <w:tc>
          <w:tcPr>
            <w:tcW w:w="96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Goodwill from 2020 acquisitions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1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1,000.1</w:t>
            </w:r>
          </w:p>
        </w:tc>
      </w:tr>
      <w:tr>
        <w:trPr>
          <w:trHeight w:val="225"/>
        </w:trPr>
        <w:tc>
          <w:tcPr>
            <w:tcW w:w="9680" w:type="dxa"/>
            <w:vAlign w:val="bottom"/>
          </w:tcPr>
          <w:p>
            <w:pPr>
              <w:ind w:left="240"/>
              <w:spacing w:after="0"/>
              <w:rPr>
                <w:sz w:val="20"/>
                <w:szCs w:val="20"/>
                <w:color w:val="auto"/>
              </w:rPr>
            </w:pPr>
            <w:r>
              <w:rPr>
                <w:rFonts w:ascii="Arial" w:cs="Arial" w:eastAsia="Arial" w:hAnsi="Arial"/>
                <w:sz w:val="18"/>
                <w:szCs w:val="18"/>
                <w:color w:val="auto"/>
              </w:rPr>
              <w:t>Adjustment from 2020 acquisitions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5"/>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from 2021 acquisitions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574.9</w:t>
            </w:r>
          </w:p>
        </w:tc>
      </w:tr>
      <w:tr>
        <w:trPr>
          <w:trHeight w:val="219"/>
        </w:trPr>
        <w:tc>
          <w:tcPr>
            <w:tcW w:w="968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1,575.1</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Based on the results of the Company’s impairment assessment, the Company did not recognize any impairment of goodwill during the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and December 31, 2020, the carrying values of the Company’s borrowings were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Carrying Value as of</w:t>
            </w:r>
          </w:p>
        </w:tc>
        <w:tc>
          <w:tcPr>
            <w:tcW w:w="0" w:type="dxa"/>
            <w:vAlign w:val="bottom"/>
          </w:tcPr>
          <w:p>
            <w:pPr>
              <w:spacing w:after="0"/>
              <w:rPr>
                <w:sz w:val="1"/>
                <w:szCs w:val="1"/>
                <w:color w:val="auto"/>
              </w:rPr>
            </w:pPr>
          </w:p>
        </w:tc>
      </w:tr>
      <w:tr>
        <w:trPr>
          <w:trHeight w:val="185"/>
        </w:trPr>
        <w:tc>
          <w:tcPr>
            <w:tcW w:w="2180" w:type="dxa"/>
            <w:vAlign w:val="bottom"/>
            <w:gridSpan w:val="2"/>
          </w:tcPr>
          <w:p>
            <w:pPr>
              <w:ind w:left="700"/>
              <w:spacing w:after="0"/>
              <w:rPr>
                <w:sz w:val="20"/>
                <w:szCs w:val="20"/>
                <w:color w:val="auto"/>
              </w:rPr>
            </w:pPr>
            <w:r>
              <w:rPr>
                <w:rFonts w:ascii="Arial" w:cs="Arial" w:eastAsia="Arial" w:hAnsi="Arial"/>
                <w:sz w:val="14"/>
                <w:szCs w:val="14"/>
                <w:b w:val="1"/>
                <w:bCs w:val="1"/>
                <w:color w:val="auto"/>
              </w:rPr>
              <w:t>Instrument</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Date of Issuance</w:t>
            </w:r>
          </w:p>
        </w:tc>
        <w:tc>
          <w:tcPr>
            <w:tcW w:w="2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Maturity Date</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Elected Interest Rate</w:t>
            </w:r>
          </w:p>
        </w:tc>
        <w:tc>
          <w:tcPr>
            <w:tcW w:w="140" w:type="dxa"/>
            <w:vAlign w:val="bottom"/>
          </w:tcPr>
          <w:p>
            <w:pPr>
              <w:spacing w:after="0"/>
              <w:rPr>
                <w:sz w:val="16"/>
                <w:szCs w:val="16"/>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Pr>
          <w:p>
            <w:pPr>
              <w:spacing w:after="0"/>
              <w:rPr>
                <w:sz w:val="16"/>
                <w:szCs w:val="16"/>
                <w:color w:val="auto"/>
              </w:rPr>
            </w:pPr>
          </w:p>
        </w:tc>
        <w:tc>
          <w:tcPr>
            <w:tcW w:w="132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3"/>
        </w:trPr>
        <w:tc>
          <w:tcPr>
            <w:tcW w:w="2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Lien Term Loan</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2026</w:t>
            </w: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LIBOR +3.00%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25"/>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First Lien Revolver</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February 1, 2019</w:t>
            </w:r>
          </w:p>
        </w:tc>
        <w:tc>
          <w:tcPr>
            <w:tcW w:w="20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November 2, 2025</w:t>
            </w: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LIBOR +2.00%</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2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2, 2021</w:t>
            </w:r>
          </w:p>
        </w:tc>
        <w:tc>
          <w:tcPr>
            <w:tcW w:w="2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February 1, 2029</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3.875%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2180" w:type="dxa"/>
            <w:vAlign w:val="bottom"/>
            <w:gridSpan w:val="2"/>
          </w:tcPr>
          <w:p>
            <w:pPr>
              <w:ind w:left="20"/>
              <w:spacing w:after="0" w:line="154" w:lineRule="exact"/>
              <w:rPr>
                <w:sz w:val="20"/>
                <w:szCs w:val="20"/>
                <w:color w:val="auto"/>
              </w:rPr>
            </w:pPr>
            <w:r>
              <w:rPr>
                <w:rFonts w:ascii="Arial" w:cs="Arial" w:eastAsia="Arial" w:hAnsi="Arial"/>
                <w:sz w:val="17"/>
                <w:szCs w:val="17"/>
                <w:color w:val="auto"/>
              </w:rPr>
              <w:t>Total Carrying Value of</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1,232.9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24"/>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Less current portion</w:t>
            </w: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21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1,232.9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Term Loan</w:t>
      </w:r>
    </w:p>
    <w:p>
      <w:pPr>
        <w:spacing w:after="0" w:line="164"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 conjunction with the acquisition of Pre-Acquisition ZI on February 1, 2019, ZoomInfo raised $965 million of first lien debt through the First Lien Credit Agreement. In addition to funding the purchase of Pre-Acquisition ZI, the proceeds were used to repay all previously outstanding indebtedness.</w:t>
      </w:r>
    </w:p>
    <w:p>
      <w:pPr>
        <w:spacing w:after="0" w:line="5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February 19, 2020, the Company completed a repricing of its First Lien Term Loan Facility in order to take advantage of currently available lower interest rates. The repricing decreased the interest rate by 50 basis points to LIBOR plus 4.00% per annum. The transaction did not include additional borrowings, and the maturity date of the financing arrangement remained unchanged.</w:t>
      </w:r>
    </w:p>
    <w:p>
      <w:pPr>
        <w:spacing w:after="0" w:line="13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On June 17, 2020, the Company used approximately $101.2 million to prepay $100.0 million aggregate principal amount of the first lien term loans outstanding under the First Lien Credit Agreement, including accrued interest thereon of $1.2 million. The repayment was funded with a portion of the net proceeds received from the initial public offering of the Company’s Class A common stock. As of December 31, 2020, $756.4 million aggregate principal amount of term loans were outstanding under the First Lien Credit Agreement. The interest related portion of the repayment was recorded within </w:t>
      </w:r>
      <w:r>
        <w:rPr>
          <w:rFonts w:ascii="Arial" w:cs="Arial" w:eastAsia="Arial" w:hAnsi="Arial"/>
          <w:sz w:val="18"/>
          <w:szCs w:val="18"/>
          <w:i w:val="1"/>
          <w:iCs w:val="1"/>
          <w:color w:val="auto"/>
        </w:rPr>
        <w:t>Interest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expense, net </w:t>
      </w:r>
      <w:r>
        <w:rPr>
          <w:rFonts w:ascii="Arial" w:cs="Arial" w:eastAsia="Arial" w:hAnsi="Arial"/>
          <w:sz w:val="18"/>
          <w:szCs w:val="18"/>
          <w:color w:val="auto"/>
        </w:rPr>
        <w:t>on our Consolidated Statements of Operations, and represented use of cash from operating activities on our Consolidated Statements of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w:t>
      </w:r>
    </w:p>
    <w:p>
      <w:pPr>
        <w:spacing w:after="0" w:line="1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 xml:space="preserve">In February 2021, we used all of the net proceeds from issuance of the Senior Notes, along with cash on hand, to prepay $356.4 million aggregate principal amount of our first lien term loans outstanding under the First Lien Credit Agreement (the “Debt Prepayment”). Following the Debt Prepayment, $400.0 million aggregate principal amount of first lien term loans were outstanding under our First Lien Credit Agreement. In February 2021, we entered into an amendment to our First Lien Credit Agreement (the “Second Amendment”), pursuant to which the Company completed a repricing of its First Lien Term Loan Facility, which decreased the interest rate from LIBOR plus 3.75% per annum to LIBOR plus 3.00% per annum. The Company recognized $7.7 million in the twelve months ended December 31, 2021 within </w:t>
      </w:r>
      <w:r>
        <w:rPr>
          <w:rFonts w:ascii="Arial" w:cs="Arial" w:eastAsia="Arial" w:hAnsi="Arial"/>
          <w:sz w:val="17"/>
          <w:szCs w:val="17"/>
          <w:i w:val="1"/>
          <w:iCs w:val="1"/>
          <w:color w:val="auto"/>
        </w:rPr>
        <w:t>Loss on debt modification and extinguishment</w:t>
      </w:r>
      <w:r>
        <w:rPr>
          <w:rFonts w:ascii="Arial" w:cs="Arial" w:eastAsia="Arial" w:hAnsi="Arial"/>
          <w:sz w:val="17"/>
          <w:szCs w:val="17"/>
          <w:color w:val="auto"/>
        </w:rPr>
        <w:t xml:space="preserve"> on our Consolidated Statements of Operations, primarily comprised of the write-off of unamortized issuance costs associated with the Debt Prepayment.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July 2021, we entered into an amendment to our existing First Lien Credit Agreement, that provided for the incurrence of an additional $200.0 million aggregate principal amount of additional term loans under our existing First Lien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first lien term debt has a variable interest rate whereby the Company can elect to use a Base Rate or the London Interbank Offer Rate (“LIBOR”) plus an applicable rate. The applicable rate is 2.00% for Base Rate loans or 3.00% for LIBOR Based Loans. The effective interest rate on the first lien debt was 3.41% and 4.30% as of December 31, 2021 and December 31, 2020,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Revolving Credit Facility</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Pursuant to the Second Amendment to the First Lien Credit Agreement entered into in February 2021, the Company increased the aggregate commitments to $250.0 million under our first lien revolving credit facility. The Second Amendment also provided an extension of the maturity date of our first lien revolving credit facility to November 2025.</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first lien revolving debt has a variable interest rate whereby the Company can elect to use a Base Rate or the London Interbank Offer Rate (“LIBOR”) plus an applicable rate. The applicable margin is 1.00% to 1.25% for Base Rate loans or 2.00% to 2.25% for LIBOR Based Loans, depending on the Company’s leverage.</w:t>
      </w:r>
    </w:p>
    <w:p>
      <w:pPr>
        <w:spacing w:after="0" w:line="13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In conjunction with the acquisition of Pre-Acquisition ZI on February 1, 2019, ZoomInfo entered into the First Lien Credit Agreement providing a $100.0 million credit facility.</w:t>
      </w:r>
    </w:p>
    <w:p>
      <w:pPr>
        <w:spacing w:after="0" w:line="128"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 xml:space="preserve">In March 2020, the Company drew down $35.0 million under the revolving credit facility. In June 2020, the Company paid off the outstanding $35.0 million balance of the revolving credit facility with proceeds from the IPO. The effective interest rate was 3.70% as of the repayment date. In July 2021, the Company drew down $225.0 million under the revolving credit facility and then paid off the outstanding $225.0 million balance of the revolving credit facility with proceeds from the Credit Agreement Amendment and proceeds from the Senior Notes. The effective interest rate was 4.44% as of the repayment date. Immaterial debt issuance costs were incurred in connection with these entries into the revolving credit facility. These debt issuance costs are amortized into interest expense over the expected life of the arrangement. Unamortized debt issuance costs included in </w:t>
      </w:r>
      <w:r>
        <w:rPr>
          <w:rFonts w:ascii="Arial" w:cs="Arial" w:eastAsia="Arial" w:hAnsi="Arial"/>
          <w:sz w:val="15"/>
          <w:szCs w:val="15"/>
          <w:i w:val="1"/>
          <w:iCs w:val="1"/>
          <w:color w:val="auto"/>
        </w:rPr>
        <w:t>Deferred costs and other assets, net of current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portion </w:t>
      </w:r>
      <w:r>
        <w:rPr>
          <w:rFonts w:ascii="Arial" w:cs="Arial" w:eastAsia="Arial" w:hAnsi="Arial"/>
          <w:sz w:val="15"/>
          <w:szCs w:val="15"/>
          <w:color w:val="auto"/>
        </w:rPr>
        <w:t>on our Consolidated Balance Sheets were immaterial as of December 31, 2021 and December 31, 2020.</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Lien Credit Agreement</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28" w:lineRule="exact"/>
        <w:rPr>
          <w:sz w:val="20"/>
          <w:szCs w:val="20"/>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engage in certain fundamental changes, including mergers or consolidations;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 dividends and distributions on our subsidiaries’ capital stock;</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acquisitions, investments, loans or advances;</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engage in certain transactions with affiliates; and</w:t>
      </w:r>
    </w:p>
    <w:p>
      <w:pPr>
        <w:spacing w:after="0" w:line="164" w:lineRule="exact"/>
        <w:rPr>
          <w:rFonts w:ascii="Arial" w:cs="Arial" w:eastAsia="Arial" w:hAnsi="Arial"/>
          <w:sz w:val="18"/>
          <w:szCs w:val="18"/>
          <w:color w:val="auto"/>
        </w:rPr>
      </w:pPr>
    </w:p>
    <w:p>
      <w:pPr>
        <w:ind w:left="1280" w:hanging="320"/>
        <w:spacing w:after="0"/>
        <w:tabs>
          <w:tab w:leader="none" w:pos="12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64" w:lineRule="exact"/>
        <w:rPr>
          <w:sz w:val="20"/>
          <w:szCs w:val="20"/>
          <w:color w:val="auto"/>
        </w:rPr>
      </w:pPr>
    </w:p>
    <w:p>
      <w:pPr>
        <w:jc w:val="both"/>
        <w:ind w:firstLine="318"/>
        <w:spacing w:after="0" w:line="305" w:lineRule="auto"/>
        <w:rPr>
          <w:sz w:val="20"/>
          <w:szCs w:val="20"/>
          <w:color w:val="auto"/>
        </w:rPr>
      </w:pPr>
      <w:r>
        <w:rPr>
          <w:rFonts w:ascii="Arial" w:cs="Arial" w:eastAsia="Arial" w:hAnsi="Arial"/>
          <w:sz w:val="15"/>
          <w:szCs w:val="15"/>
          <w:color w:val="auto"/>
        </w:rPr>
        <w:t>In February 2021, ZoomInfo Technologies LLC and ZoomInfo Finance Corp., indirect subsidiaries of ZoomInfo Technologies Inc., issued $350.0 million in aggregate principal amount of 3.875% Senior Notes due February 2029 to qualified institutional buyers pursuant to Rule 144A under the Securities Act of 1933, as amended. Interest on the Senior Notes is payable semi-annually in arrears beginning on August 1, 2021. The Issuers may redeem all or a part of the Notes at any time prior to February 1, 2024 at a price equal to the present value of the redemption price as of February 1, 2024, defined below, plus unaccrued and unpaid interest to February 1, 2024. In addition, beginning on February 1, 2024, the Issuers may redeem all or a part of the Notes at a redemption price equal to 101.938% of the principal amount redeemed. The redemption price decreases to 100.969% and 100.000% of the principal amount redeemed on February 1, 2025 and February 1, 2026, respectively. In addition, at any time prior to February 1, 2024, the Issuers may redeem up to 40% of the Notes from the proceeds of certain equity offerings at a redemption price equal to 103.875% of the principal amount of the Senior Notes, plus accrued and unpaid interest.</w:t>
      </w:r>
    </w:p>
    <w:p>
      <w:pPr>
        <w:spacing w:after="0" w:line="10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2021, ZoomInfo Technologies LLC and ZoomInfo Finance Corp., indirect subsidiaries of ZoomInfo Technologies Inc., issued and sold $300.0 million in aggregate principal amount of additional 3.875% senior notes due 2029. The notes were issued under the same indenture as the Issuers’ existing $350.0 million aggregate principal amount of 3.875% senior notes due 2029 (the “Existing Notes”), which were issued in February 2021, and constitute part of the same series as the Existing Notes.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Lien Term Loan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conjunction with the acquisition of Pre-Acquisition ZI on February 1, 2019, ZoomInfo raised $370.0 million of second lien debt.</w:t>
      </w:r>
    </w:p>
    <w:p>
      <w:pPr>
        <w:spacing w:after="0" w:line="16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 xml:space="preserve">On June 8, 2020, the Company used approximately $380.6 million of the proceeds of the IPO to repay the entire aggregate principal amount outstanding under the Second Lien Credit Agreement, including prepayment premiums of $3.7 million and accrued interest thereon of $6.9 million. The effective interest rate was 10.8% as of the repayment date. The Company recognized $7.3 million loss on the extinguishment of debt relating to the write-off of unamortized issuance costs. The Company recognized $11.0 million within </w:t>
      </w:r>
      <w:r>
        <w:rPr>
          <w:rFonts w:ascii="Arial" w:cs="Arial" w:eastAsia="Arial" w:hAnsi="Arial"/>
          <w:sz w:val="18"/>
          <w:szCs w:val="18"/>
          <w:i w:val="1"/>
          <w:iCs w:val="1"/>
          <w:color w:val="auto"/>
        </w:rPr>
        <w:t>Loss on debt modification and extinguishment</w:t>
      </w:r>
      <w:r>
        <w:rPr>
          <w:rFonts w:ascii="Arial" w:cs="Arial" w:eastAsia="Arial" w:hAnsi="Arial"/>
          <w:sz w:val="18"/>
          <w:szCs w:val="18"/>
          <w:color w:val="auto"/>
        </w:rPr>
        <w:t xml:space="preserve"> on our Consolidated Statements of Operations comprised of the write-off of unamortized issuance costs and the prepayment penalty incurred on the payoff. The effective interest rate on the second lien debt was 11.9% as of December 31,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Series A Preferred Units</w:t>
      </w:r>
    </w:p>
    <w:p>
      <w:pPr>
        <w:spacing w:after="0" w:line="164"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In conjunction with the acquisition of Pre-Acquisition ZI on February 1, 2019, ZoomInfo issued 51,750,000 of Series A Preferred Units in exchange for $200.2 million, net of issuance costs. On June 8, 2020, the Company redeemed and cancelled all outstanding Series A Preferred Units of ZoomInfo OpCo. Refer to Note 13 - Redeemable Series A Preferred Units for additional discussion regarding Series A Preferred Units and related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Financing Arrangements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expected future principal payments for all borrowings as of December 31, 2021 is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tcPr>
          <w:p>
            <w:pPr>
              <w:jc w:val="right"/>
              <w:ind w:right="793"/>
              <w:spacing w:after="0"/>
              <w:rPr>
                <w:sz w:val="20"/>
                <w:szCs w:val="20"/>
                <w:color w:val="auto"/>
              </w:rPr>
            </w:pPr>
            <w:r>
              <w:rPr>
                <w:rFonts w:ascii="Arial" w:cs="Arial" w:eastAsia="Arial" w:hAnsi="Arial"/>
                <w:sz w:val="14"/>
                <w:szCs w:val="14"/>
                <w:b w:val="1"/>
                <w:bCs w:val="1"/>
                <w:color w:val="auto"/>
              </w:rPr>
              <w:t>Contractual Maturity</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180" w:type="dxa"/>
            <w:vAlign w:val="bottom"/>
          </w:tcPr>
          <w:p>
            <w:pPr>
              <w:ind w:left="20"/>
              <w:spacing w:after="0"/>
              <w:rPr>
                <w:sz w:val="20"/>
                <w:szCs w:val="20"/>
                <w:color w:val="auto"/>
              </w:rPr>
            </w:pPr>
            <w:r>
              <w:rPr>
                <w:rFonts w:ascii="Arial" w:cs="Arial" w:eastAsia="Arial" w:hAnsi="Arial"/>
                <w:sz w:val="18"/>
                <w:szCs w:val="18"/>
                <w:color w:val="auto"/>
              </w:rPr>
              <w:t>2025</w:t>
            </w:r>
          </w:p>
        </w:tc>
        <w:tc>
          <w:tcPr>
            <w:tcW w:w="5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w:t>
            </w:r>
          </w:p>
        </w:tc>
      </w:tr>
      <w:tr>
        <w:trPr>
          <w:trHeight w:val="219"/>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principal payments</w:t>
            </w:r>
          </w:p>
        </w:tc>
        <w:tc>
          <w:tcPr>
            <w:tcW w:w="5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5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long-term debt</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170"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We are exposed to changes in interest rates, primarily relating to changes in interest rates on our first lien term loan. Consequently, from time to time, we may use interest rate swaps or other financial instruments to manage our exposure to interest rate movements. Our primary objective in holding derivatives is to reduce the volatility of cash flows associated with changes in interest rates. We do not enter into derivative transactions for speculative or trading purposes.</w:t>
      </w:r>
    </w:p>
    <w:p>
      <w:pPr>
        <w:spacing w:after="0" w:line="8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 xml:space="preserve">We recognize derivative instruments and hedging activities on a gross basis as either assets or liabilities on the Company’s Consolidated Balance Sheets and measure them at fair value. Hedge accounting generally provides for the matching of the timing of gain or loss recognition on the hedging instrument with the earnings effect of the hedged forecasted transactions in a cash flow hedge. For derivatives designated as cash flow hedges, the change in the estimated fair value of the effective portion of the derivative is recognized in </w:t>
      </w:r>
      <w:r>
        <w:rPr>
          <w:rFonts w:ascii="Arial" w:cs="Arial" w:eastAsia="Arial" w:hAnsi="Arial"/>
          <w:sz w:val="17"/>
          <w:szCs w:val="17"/>
          <w:i w:val="1"/>
          <w:iCs w:val="1"/>
          <w:color w:val="auto"/>
        </w:rPr>
        <w:t>Accumulated other comprehensive income (loss)</w:t>
      </w:r>
      <w:r>
        <w:rPr>
          <w:rFonts w:ascii="Arial" w:cs="Arial" w:eastAsia="Arial" w:hAnsi="Arial"/>
          <w:sz w:val="17"/>
          <w:szCs w:val="17"/>
          <w:color w:val="auto"/>
        </w:rPr>
        <w:t xml:space="preserve"> on the Company’s Consolidated Balance Sheets. To receive hedge accounting treatment, all hedging relationships are formally documented at the inception of the hedge, and the hedges must be highly effective in offsetting changes to future cash flows on hedged transactions.</w:t>
      </w:r>
    </w:p>
    <w:p>
      <w:pPr>
        <w:spacing w:after="0" w:line="126"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April 2019, the Company entered into two separate interest rate swap agreements to convert a portion of the Company’s floating-rate debt that is based on LIBOR to a fixed-rate, reducing the impact of interest rate changes on future interest expense. The first agreement converts $350.0 million of floating rate debt under our first lien credit facility to fixed rate obligations. The second agreement caps the interest rate applied to $500.0 million of the Company’s floating-rate debt in the event the interest rate should rise above the cap strike rate. Our interest rate swap contracts mature in April 2022, and our interest rate cap contract matures in April of 2024.</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During the year ended December 31, 2020, we entered into forward-starting interest rate swaps to hedge the variability of forecasted interest payments on our first lien debt after April 2022. The total notional amount of these forward-starting interest rate swaps is $500.0 million. These forward-starting interest rate swaps will fix the benchmark interest rate and hedge the variability of forecasted interest payments from April 2022 through January 2026. The Company dedesignated and redesignated certain hedges contemporaneously with the inception of our forward-starting interest rate swaps to achieve optimal interest rate protections.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During the second quarter of 2020, the Company reduced its LIBOR based debt to $756.4 million (refer to Note 8 - Financing Arrangements), which was below the total notional amounts of our derivative instruments of $850.0 million as of the date of the debt repayment. Consequently, concurrent with the repayment of the entire aggregate principal amount outstanding under the Second Lien Credit Agreement and prepayment of $100.0 million aggregate principal amount of the first lien term loans outstanding under the First Lien Credit Agreement, we dedesignated and partially redesignated the derivative instruments. As the forecasted interest payments on $93.7 million not redesignated was probable to not occur, the Company reclassified the existing deferred loss on that portion of the derivative of $3.3 million from AOCI into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on our Consolidated Statements of Operations.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 xml:space="preserve">In the first quarter of 2021, concurrent with the prepayment of $356.4 million aggregate principal amount of the first lien term loans outstanding under the First Lien Credit Agreement, we fully dedesignated the interest rate cap contract and partially dedesignated $100.0 million of the notional amount of one of the forward-starting interest rate swap contracts. In the third quarter of 2021, the Company redesignated $100.0 million of available notional of the partially dedesignated forward-starting interest rate swap contract and redesignated $100.0 million of available notional of the interest-rate cap contract in connection with the incurrence of an incremental $200.0 million of variable-rate debt under the First Lien Credit Agreement. As of December 31, 2021, $400.0 million of the notional amount of the interest rate cap contract is not designated as an accounting hedge. Gains and losses resulting from valuation adjustments on dedesignated portions of our derivative contract subsequent to dedesignation of hedge accounting are recorded within </w:t>
      </w:r>
      <w:r>
        <w:rPr>
          <w:rFonts w:ascii="Arial" w:cs="Arial" w:eastAsia="Arial" w:hAnsi="Arial"/>
          <w:sz w:val="17"/>
          <w:szCs w:val="17"/>
          <w:i w:val="1"/>
          <w:iCs w:val="1"/>
          <w:color w:val="auto"/>
        </w:rPr>
        <w:t>Interest expense, net</w:t>
      </w:r>
      <w:r>
        <w:rPr>
          <w:rFonts w:ascii="Arial" w:cs="Arial" w:eastAsia="Arial" w:hAnsi="Arial"/>
          <w:sz w:val="17"/>
          <w:szCs w:val="17"/>
          <w:color w:val="auto"/>
        </w:rPr>
        <w:t xml:space="preserve"> on our Consolidated Statements of Operations. As it is not probable the forecasted transaction will not occur, the amounts in </w:t>
      </w:r>
      <w:r>
        <w:rPr>
          <w:rFonts w:ascii="Arial" w:cs="Arial" w:eastAsia="Arial" w:hAnsi="Arial"/>
          <w:sz w:val="17"/>
          <w:szCs w:val="17"/>
          <w:i w:val="1"/>
          <w:iCs w:val="1"/>
          <w:color w:val="auto"/>
        </w:rPr>
        <w:t>Accumulated other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(loss) </w:t>
      </w:r>
      <w:r>
        <w:rPr>
          <w:rFonts w:ascii="Arial" w:cs="Arial" w:eastAsia="Arial" w:hAnsi="Arial"/>
          <w:sz w:val="17"/>
          <w:szCs w:val="17"/>
          <w:color w:val="auto"/>
        </w:rPr>
        <w:t>as of the date of dedesignation will be released based on our original forecast.</w:t>
      </w:r>
    </w:p>
    <w:p>
      <w:pPr>
        <w:spacing w:after="0" w:line="13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December 31, 2021, the Company had the following outstanding interest rate derivatives that were designated as cash flow hedges of interest rate risk ($ in millions):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gridSpan w:val="2"/>
          </w:tcPr>
          <w:p>
            <w:pPr>
              <w:ind w:left="1060"/>
              <w:spacing w:after="0"/>
              <w:rPr>
                <w:sz w:val="20"/>
                <w:szCs w:val="20"/>
                <w:color w:val="auto"/>
              </w:rPr>
            </w:pPr>
            <w:r>
              <w:rPr>
                <w:rFonts w:ascii="Arial" w:cs="Arial" w:eastAsia="Arial" w:hAnsi="Arial"/>
                <w:sz w:val="14"/>
                <w:szCs w:val="14"/>
                <w:b w:val="1"/>
                <w:bCs w:val="1"/>
                <w:color w:val="auto"/>
              </w:rPr>
              <w:t>Interest Rate Derivatives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Number of Instruments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Notional Aggregate</w:t>
            </w:r>
          </w:p>
        </w:tc>
        <w:tc>
          <w:tcPr>
            <w:tcW w:w="192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Interest Cap / Swap Rate</w:t>
            </w:r>
          </w:p>
        </w:tc>
        <w:tc>
          <w:tcPr>
            <w:tcW w:w="80" w:type="dxa"/>
            <w:vAlign w:val="bottom"/>
            <w:vMerge w:val="restart"/>
          </w:tcPr>
          <w:p>
            <w:pPr>
              <w:spacing w:after="0"/>
              <w:rPr>
                <w:sz w:val="14"/>
                <w:szCs w:val="14"/>
                <w:color w:val="auto"/>
              </w:rPr>
            </w:pPr>
          </w:p>
        </w:tc>
        <w:tc>
          <w:tcPr>
            <w:tcW w:w="17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185"/>
        </w:trPr>
        <w:tc>
          <w:tcPr>
            <w:tcW w:w="36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Principal Amount</w:t>
            </w:r>
          </w:p>
        </w:tc>
        <w:tc>
          <w:tcPr>
            <w:tcW w:w="8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rate cap contract</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One</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3.500 %</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30, 2024</w:t>
            </w:r>
          </w:p>
        </w:tc>
        <w:tc>
          <w:tcPr>
            <w:tcW w:w="0" w:type="dxa"/>
            <w:vAlign w:val="bottom"/>
          </w:tcPr>
          <w:p>
            <w:pPr>
              <w:spacing w:after="0"/>
              <w:rPr>
                <w:sz w:val="1"/>
                <w:szCs w:val="1"/>
                <w:color w:val="auto"/>
              </w:rPr>
            </w:pPr>
          </w:p>
        </w:tc>
      </w:tr>
      <w:tr>
        <w:trPr>
          <w:trHeight w:val="225"/>
        </w:trPr>
        <w:tc>
          <w:tcPr>
            <w:tcW w:w="3720" w:type="dxa"/>
            <w:vAlign w:val="bottom"/>
            <w:gridSpan w:val="2"/>
          </w:tcPr>
          <w:p>
            <w:pPr>
              <w:ind w:left="20"/>
              <w:spacing w:after="0"/>
              <w:rPr>
                <w:sz w:val="20"/>
                <w:szCs w:val="20"/>
                <w:color w:val="auto"/>
              </w:rPr>
            </w:pPr>
            <w:r>
              <w:rPr>
                <w:rFonts w:ascii="Arial" w:cs="Arial" w:eastAsia="Arial" w:hAnsi="Arial"/>
                <w:sz w:val="18"/>
                <w:szCs w:val="18"/>
                <w:color w:val="auto"/>
              </w:rPr>
              <w:t>Interest rate swap contracts</w:t>
            </w:r>
          </w:p>
        </w:tc>
        <w:tc>
          <w:tcPr>
            <w:tcW w:w="18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Two</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2.301 %</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April 29, 2022</w:t>
            </w:r>
          </w:p>
        </w:tc>
        <w:tc>
          <w:tcPr>
            <w:tcW w:w="0" w:type="dxa"/>
            <w:vAlign w:val="bottom"/>
          </w:tcPr>
          <w:p>
            <w:pPr>
              <w:spacing w:after="0"/>
              <w:rPr>
                <w:sz w:val="1"/>
                <w:szCs w:val="1"/>
                <w:color w:val="auto"/>
              </w:rPr>
            </w:pPr>
          </w:p>
        </w:tc>
      </w:tr>
      <w:tr>
        <w:trPr>
          <w:trHeight w:val="174"/>
        </w:trPr>
        <w:tc>
          <w:tcPr>
            <w:tcW w:w="3720" w:type="dxa"/>
            <w:vAlign w:val="bottom"/>
            <w:gridSpan w:val="2"/>
            <w:shd w:val="clear" w:color="auto" w:fill="CCEEFF"/>
          </w:tcPr>
          <w:p>
            <w:pPr>
              <w:ind w:left="20"/>
              <w:spacing w:after="0" w:line="174" w:lineRule="exact"/>
              <w:rPr>
                <w:sz w:val="20"/>
                <w:szCs w:val="20"/>
                <w:color w:val="auto"/>
              </w:rPr>
            </w:pPr>
            <w:r>
              <w:rPr>
                <w:rFonts w:ascii="Arial" w:cs="Arial" w:eastAsia="Arial" w:hAnsi="Arial"/>
                <w:sz w:val="18"/>
                <w:szCs w:val="18"/>
                <w:color w:val="auto"/>
              </w:rPr>
              <w:t>Forward-starting interest rate swap contracts -</w:t>
            </w:r>
          </w:p>
        </w:tc>
        <w:tc>
          <w:tcPr>
            <w:tcW w:w="188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8"/>
                <w:szCs w:val="18"/>
                <w:color w:val="auto"/>
                <w:w w:val="93"/>
              </w:rPr>
              <w:t>Two</w:t>
            </w:r>
          </w:p>
        </w:tc>
        <w:tc>
          <w:tcPr>
            <w:tcW w:w="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5"/>
                <w:szCs w:val="15"/>
                <w:color w:val="auto"/>
              </w:rPr>
            </w:pPr>
          </w:p>
        </w:tc>
        <w:tc>
          <w:tcPr>
            <w:tcW w:w="1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0.370 %</w:t>
            </w:r>
          </w:p>
        </w:tc>
        <w:tc>
          <w:tcPr>
            <w:tcW w:w="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January 30, 2026</w:t>
            </w:r>
          </w:p>
        </w:tc>
        <w:tc>
          <w:tcPr>
            <w:tcW w:w="0" w:type="dxa"/>
            <w:vAlign w:val="bottom"/>
          </w:tcPr>
          <w:p>
            <w:pPr>
              <w:spacing w:after="0"/>
              <w:rPr>
                <w:sz w:val="1"/>
                <w:szCs w:val="1"/>
                <w:color w:val="auto"/>
              </w:rPr>
            </w:pPr>
          </w:p>
        </w:tc>
      </w:tr>
      <w:tr>
        <w:trPr>
          <w:trHeight w:val="224"/>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2022</w:t>
            </w:r>
          </w:p>
        </w:tc>
        <w:tc>
          <w:tcPr>
            <w:tcW w:w="188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fair value and presentation on our Consolidated Balance Sheets for derivatives as of December 31, 2021 and</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Fair Value of Derivative Instruments</w:t>
            </w: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85"/>
        </w:trPr>
        <w:tc>
          <w:tcPr>
            <w:tcW w:w="4280" w:type="dxa"/>
            <w:vAlign w:val="bottom"/>
            <w:gridSpan w:val="2"/>
          </w:tcPr>
          <w:p>
            <w:pPr>
              <w:ind w:left="1740"/>
              <w:spacing w:after="0"/>
              <w:rPr>
                <w:sz w:val="20"/>
                <w:szCs w:val="20"/>
                <w:color w:val="auto"/>
              </w:rPr>
            </w:pPr>
            <w:r>
              <w:rPr>
                <w:rFonts w:ascii="Arial" w:cs="Arial" w:eastAsia="Arial" w:hAnsi="Arial"/>
                <w:sz w:val="14"/>
                <w:szCs w:val="14"/>
                <w:b w:val="1"/>
                <w:bCs w:val="1"/>
                <w:color w:val="auto"/>
              </w:rPr>
              <w:t>Instrument</w:t>
            </w:r>
          </w:p>
        </w:tc>
        <w:tc>
          <w:tcPr>
            <w:tcW w:w="220" w:type="dxa"/>
            <w:vAlign w:val="bottom"/>
          </w:tcPr>
          <w:p>
            <w:pPr>
              <w:spacing w:after="0"/>
              <w:rPr>
                <w:sz w:val="16"/>
                <w:szCs w:val="16"/>
                <w:color w:val="auto"/>
              </w:rPr>
            </w:pPr>
          </w:p>
        </w:tc>
        <w:tc>
          <w:tcPr>
            <w:tcW w:w="3320" w:type="dxa"/>
            <w:vAlign w:val="bottom"/>
            <w:gridSpan w:val="5"/>
          </w:tcPr>
          <w:p>
            <w:pPr>
              <w:ind w:left="94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Pr>
          <w:p>
            <w:pPr>
              <w:spacing w:after="0"/>
              <w:rPr>
                <w:sz w:val="16"/>
                <w:szCs w:val="16"/>
                <w:color w:val="auto"/>
              </w:rPr>
            </w:pPr>
          </w:p>
        </w:tc>
        <w:tc>
          <w:tcPr>
            <w:tcW w:w="3220" w:type="dxa"/>
            <w:vAlign w:val="bottom"/>
            <w:gridSpan w:val="4"/>
          </w:tcPr>
          <w:p>
            <w:pPr>
              <w:jc w:val="right"/>
              <w:ind w:right="1053"/>
              <w:spacing w:after="0"/>
              <w:rPr>
                <w:sz w:val="20"/>
                <w:szCs w:val="20"/>
                <w:color w:val="auto"/>
              </w:rPr>
            </w:pPr>
            <w:r>
              <w:rPr>
                <w:rFonts w:ascii="Arial" w:cs="Arial" w:eastAsia="Arial" w:hAnsi="Arial"/>
                <w:sz w:val="14"/>
                <w:szCs w:val="14"/>
                <w:b w:val="1"/>
                <w:bCs w:val="1"/>
                <w:color w:val="auto"/>
              </w:rPr>
              <w:t>December 31, 2020</w:t>
            </w:r>
          </w:p>
        </w:tc>
      </w:tr>
      <w:tr>
        <w:trPr>
          <w:trHeight w:val="179"/>
        </w:trPr>
        <w:tc>
          <w:tcPr>
            <w:tcW w:w="4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60" w:type="dxa"/>
            <w:vAlign w:val="bottom"/>
            <w:tcBorders>
              <w:top w:val="single" w:sz="8" w:color="auto"/>
            </w:tcBorders>
          </w:tcPr>
          <w:p>
            <w:pPr>
              <w:spacing w:after="0"/>
              <w:rPr>
                <w:sz w:val="15"/>
                <w:szCs w:val="15"/>
                <w:color w:val="auto"/>
              </w:rPr>
            </w:pPr>
          </w:p>
        </w:tc>
        <w:tc>
          <w:tcPr>
            <w:tcW w:w="16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Derivative Liabilities</w:t>
            </w:r>
          </w:p>
        </w:tc>
        <w:tc>
          <w:tcPr>
            <w:tcW w:w="20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Derivative Assets</w:t>
            </w: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5"/>
              </w:rPr>
              <w:t>Derivative Liabilities</w:t>
            </w:r>
          </w:p>
        </w:tc>
      </w:tr>
      <w:tr>
        <w:trPr>
          <w:trHeight w:val="206"/>
        </w:trPr>
        <w:tc>
          <w:tcPr>
            <w:tcW w:w="4280" w:type="dxa"/>
            <w:vAlign w:val="bottom"/>
            <w:tcBorders>
              <w:top w:val="single" w:sz="8" w:color="CCEEFF"/>
            </w:tcBorders>
            <w:gridSpan w:val="2"/>
            <w:shd w:val="clear" w:color="auto" w:fill="CCEEFF"/>
          </w:tcPr>
          <w:p>
            <w:pPr>
              <w:ind w:left="20"/>
              <w:spacing w:after="0" w:line="205" w:lineRule="exact"/>
              <w:rPr>
                <w:sz w:val="20"/>
                <w:szCs w:val="20"/>
                <w:color w:val="auto"/>
              </w:rPr>
            </w:pPr>
            <w:r>
              <w:rPr>
                <w:rFonts w:ascii="Arial" w:cs="Arial" w:eastAsia="Arial" w:hAnsi="Arial"/>
                <w:sz w:val="18"/>
                <w:szCs w:val="18"/>
                <w:color w:val="auto"/>
              </w:rPr>
              <w:t>Derivatives designated as hedging instruments</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(1)</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rate swap contracts</w:t>
            </w:r>
            <w:r>
              <w:rPr>
                <w:rFonts w:ascii="Arial" w:cs="Arial" w:eastAsia="Arial" w:hAnsi="Arial"/>
                <w:sz w:val="22"/>
                <w:szCs w:val="22"/>
                <w:color w:val="auto"/>
                <w:vertAlign w:val="superscript"/>
              </w:rPr>
              <w:t>(2)</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(3)</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Forward-starting interest rate swap contracts</w:t>
            </w:r>
            <w:r>
              <w:rPr>
                <w:rFonts w:ascii="Arial" w:cs="Arial" w:eastAsia="Arial" w:hAnsi="Arial"/>
                <w:sz w:val="22"/>
                <w:szCs w:val="22"/>
                <w:color w:val="auto"/>
                <w:vertAlign w:val="superscript"/>
              </w:rPr>
              <w:t>(4)</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designated derivative fair value</w:t>
            </w:r>
          </w:p>
        </w:tc>
        <w:tc>
          <w:tcPr>
            <w:tcW w:w="2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46"/>
        </w:trPr>
        <w:tc>
          <w:tcPr>
            <w:tcW w:w="4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25"/>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hedging instruments</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6"/>
        </w:trPr>
        <w:tc>
          <w:tcPr>
            <w:tcW w:w="4280" w:type="dxa"/>
            <w:vAlign w:val="bottom"/>
            <w:gridSpan w:val="2"/>
            <w:shd w:val="clear" w:color="auto" w:fill="CCEEFF"/>
          </w:tcPr>
          <w:p>
            <w:pPr>
              <w:ind w:left="240"/>
              <w:spacing w:after="0" w:line="226"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(1)</w:t>
            </w: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4280" w:type="dxa"/>
            <w:vAlign w:val="bottom"/>
            <w:gridSpan w:val="2"/>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(2)</w:t>
            </w:r>
          </w:p>
        </w:tc>
        <w:tc>
          <w:tcPr>
            <w:tcW w:w="2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Arial" w:cs="Arial" w:eastAsia="Arial" w:hAnsi="Arial"/>
                <w:sz w:val="18"/>
                <w:szCs w:val="18"/>
                <w:color w:val="auto"/>
              </w:rPr>
              <w:t>Interest rate cap contract</w:t>
            </w:r>
            <w:r>
              <w:rPr>
                <w:rFonts w:ascii="Arial" w:cs="Arial" w:eastAsia="Arial" w:hAnsi="Arial"/>
                <w:sz w:val="22"/>
                <w:szCs w:val="22"/>
                <w:color w:val="auto"/>
                <w:vertAlign w:val="superscript"/>
              </w:rPr>
              <w:t>(4)</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Total undesignated derivative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44"/>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derivative fair value</w:t>
            </w: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8" w:lineRule="exact"/>
        <w:rPr>
          <w:sz w:val="20"/>
          <w:szCs w:val="20"/>
          <w:color w:val="auto"/>
        </w:rPr>
      </w:pPr>
    </w:p>
    <w:p>
      <w:pPr>
        <w:ind w:left="200" w:hanging="194"/>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Accrued expenses and other current liabilities</w:t>
      </w:r>
      <w:r>
        <w:rPr>
          <w:rFonts w:ascii="Arial" w:cs="Arial" w:eastAsia="Arial" w:hAnsi="Arial"/>
          <w:sz w:val="14"/>
          <w:szCs w:val="14"/>
          <w:color w:val="auto"/>
        </w:rPr>
        <w:t xml:space="preserve"> on our Consolidated Balance Sheets.</w:t>
      </w:r>
    </w:p>
    <w:p>
      <w:pPr>
        <w:ind w:left="200" w:hanging="194"/>
        <w:spacing w:after="0" w:line="237" w:lineRule="auto"/>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Other long-term liabilities</w:t>
      </w:r>
      <w:r>
        <w:rPr>
          <w:rFonts w:ascii="Arial" w:cs="Arial" w:eastAsia="Arial" w:hAnsi="Arial"/>
          <w:sz w:val="14"/>
          <w:szCs w:val="14"/>
          <w:color w:val="auto"/>
        </w:rPr>
        <w:t xml:space="preserve"> on our Consolidated Balance Sheets.</w:t>
      </w:r>
    </w:p>
    <w:p>
      <w:pPr>
        <w:ind w:left="200" w:hanging="194"/>
        <w:spacing w:after="0" w:line="237" w:lineRule="auto"/>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on our Consolidated Balance Sheets.</w:t>
      </w:r>
    </w:p>
    <w:p>
      <w:pPr>
        <w:ind w:left="200" w:hanging="194"/>
        <w:spacing w:after="0"/>
        <w:tabs>
          <w:tab w:leader="none" w:pos="200" w:val="left"/>
        </w:tabs>
        <w:numPr>
          <w:ilvl w:val="0"/>
          <w:numId w:val="44"/>
        </w:numPr>
        <w:rPr>
          <w:rFonts w:ascii="Arial" w:cs="Arial" w:eastAsia="Arial" w:hAnsi="Arial"/>
          <w:sz w:val="14"/>
          <w:szCs w:val="14"/>
          <w:color w:val="auto"/>
        </w:rPr>
      </w:pPr>
      <w:r>
        <w:rPr>
          <w:rFonts w:ascii="Arial" w:cs="Arial" w:eastAsia="Arial" w:hAnsi="Arial"/>
          <w:sz w:val="14"/>
          <w:szCs w:val="14"/>
          <w:color w:val="auto"/>
        </w:rPr>
        <w:t xml:space="preserve">Included in </w:t>
      </w:r>
      <w:r>
        <w:rPr>
          <w:rFonts w:ascii="Arial" w:cs="Arial" w:eastAsia="Arial" w:hAnsi="Arial"/>
          <w:sz w:val="14"/>
          <w:szCs w:val="14"/>
          <w:i w:val="1"/>
          <w:iCs w:val="1"/>
          <w:color w:val="auto"/>
        </w:rPr>
        <w:t>Deferred costs and other assets, net of current portion</w:t>
      </w:r>
      <w:r>
        <w:rPr>
          <w:rFonts w:ascii="Arial" w:cs="Arial" w:eastAsia="Arial" w:hAnsi="Arial"/>
          <w:sz w:val="14"/>
          <w:szCs w:val="14"/>
          <w:color w:val="auto"/>
        </w:rPr>
        <w:t xml:space="preserve"> on our Consolidated Balance Sheets.</w:t>
      </w:r>
    </w:p>
    <w:p>
      <w:pPr>
        <w:spacing w:after="0" w:line="151"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 xml:space="preserve">The change in fair value of any derivative instruments was recorded, net of income tax, in </w:t>
      </w:r>
      <w:r>
        <w:rPr>
          <w:rFonts w:ascii="Arial" w:cs="Arial" w:eastAsia="Arial" w:hAnsi="Arial"/>
          <w:sz w:val="15"/>
          <w:szCs w:val="15"/>
          <w:i w:val="1"/>
          <w:iCs w:val="1"/>
          <w:color w:val="auto"/>
        </w:rPr>
        <w:t>Accumulated other comprehensive income (loss)</w:t>
      </w:r>
      <w:r>
        <w:rPr>
          <w:rFonts w:ascii="Arial" w:cs="Arial" w:eastAsia="Arial" w:hAnsi="Arial"/>
          <w:sz w:val="15"/>
          <w:szCs w:val="15"/>
          <w:color w:val="auto"/>
        </w:rPr>
        <w:t xml:space="preserve"> (“AOCI”) on our Consolidated Balance Sheets to the extent the agreements were designated as effective hedges. In the period that the hedged item affects earnings, such as when interest payments are made on the Company’s variable-rate debt, we reclassify the related gain or loss on the interest rate swap cash flow hedges and any receipts on the cap to </w:t>
      </w:r>
      <w:r>
        <w:rPr>
          <w:rFonts w:ascii="Arial" w:cs="Arial" w:eastAsia="Arial" w:hAnsi="Arial"/>
          <w:sz w:val="15"/>
          <w:szCs w:val="15"/>
          <w:i w:val="1"/>
          <w:iCs w:val="1"/>
          <w:color w:val="auto"/>
        </w:rPr>
        <w:t>Interest expense, net</w:t>
      </w:r>
      <w:r>
        <w:rPr>
          <w:rFonts w:ascii="Arial" w:cs="Arial" w:eastAsia="Arial" w:hAnsi="Arial"/>
          <w:sz w:val="15"/>
          <w:szCs w:val="15"/>
          <w:color w:val="auto"/>
        </w:rPr>
        <w:t xml:space="preserve"> and as operating cash flows on our Consolidated Statements of Cash Flows in the period settled in cash. Income tax effects from changes in fair value of derivative instruments are recorded on our Consolidated Statements of Operations when the derivative instruments are settled. Over the next 12 months, we expect to reclassify approximately $1.5 million into interest expense from AOCI.</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Refer to the Company’s Consolidated Statements of Comprehensive Income (Loss) for amounts reclassified from AOCI into earnings related to the Company’s Derivative Instruments designated as cash flow hedging instruments for each of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w:t>
      </w:r>
    </w:p>
    <w:p>
      <w:pPr>
        <w:spacing w:after="0" w:line="170"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money market mutual funds as Level 1 of the fair value hierarchy. We classify our corporate debt securities, securities guaranteed by U.S. government, and other governmental securities as Level 2 of the fair value hierarchy. The carrying values of the Company's debt instruments approximate their fair value based on Level 2 inputs since the instruments carry variable interest rates based on LIBOR or other applicable reference rates.</w:t>
      </w:r>
    </w:p>
    <w:p>
      <w:pPr>
        <w:spacing w:after="0" w:line="99"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LIBOR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 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LIBOR rates unless they are fully collateralized. Fully collateralized derivatives are discounted to present value at the measurement date at OIS rates (short term OIS rates and long term OIS swap rates).</w:t>
      </w:r>
    </w:p>
    <w:p>
      <w:pPr>
        <w:spacing w:after="0" w:line="129"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Inputs are collected from SuperDerivatives, an independent third-party derivative pricing data provider, as of the close on the last day of the period. The valuation of the interest rate swaps also take into consideration estimates of our own, as well as counterparty’s, risk of non-performance under the contract.</w:t>
      </w:r>
    </w:p>
    <w:p>
      <w:pPr>
        <w:spacing w:after="0" w:line="5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(in millions) of our financial assets and (liabilities) was determined using the following inputs: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December 31, 2021</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9"/>
                <w:szCs w:val="19"/>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19"/>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Short-term investments: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Derivative contracts: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46"/>
        </w:trPr>
        <w:tc>
          <w:tcPr>
            <w:tcW w:w="6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Impaired lease-related assets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410"/>
        </w:trPr>
        <w:tc>
          <w:tcPr>
            <w:tcW w:w="632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 December 31, 2020</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24"/>
                <w:szCs w:val="24"/>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Level 3</w:t>
            </w:r>
          </w:p>
        </w:tc>
      </w:tr>
      <w:tr>
        <w:trPr>
          <w:trHeight w:val="219"/>
        </w:trPr>
        <w:tc>
          <w:tcPr>
            <w:tcW w:w="6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equivalents: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Money market mutual funds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Corporate debt securities</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Securities guaranteed by U.S. government</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Arial" w:cs="Arial" w:eastAsia="Arial" w:hAnsi="Arial"/>
                <w:sz w:val="18"/>
                <w:szCs w:val="18"/>
                <w:color w:val="auto"/>
              </w:rPr>
              <w:t>Deferred costs and other assets, net of current portion:</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Forward-starting interest rate swap contracts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6"/>
        </w:trPr>
        <w:tc>
          <w:tcPr>
            <w:tcW w:w="6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Derivative contracts: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Arial" w:cs="Arial" w:eastAsia="Arial" w:hAnsi="Arial"/>
                <w:sz w:val="18"/>
                <w:szCs w:val="18"/>
                <w:color w:val="auto"/>
              </w:rPr>
              <w:t>Interest rate cap contract</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Interest rate swap contracts</w:t>
            </w:r>
          </w:p>
        </w:tc>
        <w:tc>
          <w:tcPr>
            <w:tcW w:w="1080" w:type="dxa"/>
            <w:vAlign w:val="bottom"/>
            <w:shd w:val="clear" w:color="auto" w:fill="CCEEFF"/>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46"/>
        </w:trPr>
        <w:tc>
          <w:tcPr>
            <w:tcW w:w="6320" w:type="dxa"/>
            <w:vAlign w:val="bottom"/>
            <w:gridSpan w:val="2"/>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5"/>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Measured on a non-recurring basis:</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4"/>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080" w:type="dxa"/>
            <w:vAlign w:val="bottom"/>
          </w:tcPr>
          <w:p>
            <w:pPr>
              <w:jc w:val="right"/>
              <w:ind w:right="873"/>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transfers between fair value measurements levels during the year ended December 31, 2021.</w:t>
      </w:r>
    </w:p>
    <w:p>
      <w:pPr>
        <w:spacing w:after="0" w:line="164"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Refer to Note 5 - Cash, Cash Equivalents, and Short-term Investments for further information regarding the fair value of our financial instruments. Refer to Note 15 - Leases, “recent leasing activity” for further information regarding the impairment of our Waltham operating lease.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As of December 31, 2021, our outstanding non-cancelable purchase obligations with a term of 12 months or longer, mainly related to third-party cloud hosting and software as a service arrangements, were as follows (in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Period:</w:t>
            </w:r>
          </w:p>
        </w:tc>
        <w:tc>
          <w:tcPr>
            <w:tcW w:w="500" w:type="dxa"/>
            <w:vAlign w:val="bottom"/>
          </w:tcPr>
          <w:p>
            <w:pPr>
              <w:spacing w:after="0"/>
              <w:rPr>
                <w:sz w:val="16"/>
                <w:szCs w:val="16"/>
                <w:color w:val="auto"/>
              </w:rPr>
            </w:pPr>
          </w:p>
        </w:tc>
        <w:tc>
          <w:tcPr>
            <w:tcW w:w="1740" w:type="dxa"/>
            <w:vAlign w:val="bottom"/>
          </w:tcPr>
          <w:p>
            <w:pPr>
              <w:jc w:val="right"/>
              <w:ind w:right="794"/>
              <w:spacing w:after="0"/>
              <w:rPr>
                <w:sz w:val="20"/>
                <w:szCs w:val="20"/>
                <w:color w:val="auto"/>
              </w:rPr>
            </w:pPr>
            <w:r>
              <w:rPr>
                <w:rFonts w:ascii="Arial" w:cs="Arial" w:eastAsia="Arial" w:hAnsi="Arial"/>
                <w:sz w:val="14"/>
                <w:szCs w:val="14"/>
                <w:b w:val="1"/>
                <w:bCs w:val="1"/>
                <w:color w:val="auto"/>
              </w:rPr>
              <w:t>Amount</w:t>
            </w:r>
          </w:p>
        </w:tc>
      </w:tr>
      <w:tr>
        <w:trPr>
          <w:trHeight w:val="224"/>
        </w:trPr>
        <w:tc>
          <w:tcPr>
            <w:tcW w:w="8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90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9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4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information regarding financing-related obligations, refer to Note 8 - Financing Arrangements. For information regarding lease-related obligations, refer to Note 15 - Leases.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use tax</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 xml:space="preserve">The Company has conducted an assessment of sales and use tax exposure in states where the Company has established nexus. Based on this assessment, the Company has recorded a liability for taxes owed and related penalties and interest in the amount of $3.1 million and $3.1 million at December 31, 2021 and December 31, 2020, respectively. This liability is included in </w:t>
      </w:r>
      <w:r>
        <w:rPr>
          <w:rFonts w:ascii="Arial" w:cs="Arial" w:eastAsia="Arial" w:hAnsi="Arial"/>
          <w:sz w:val="18"/>
          <w:szCs w:val="18"/>
          <w:i w:val="1"/>
          <w:iCs w:val="1"/>
          <w:color w:val="auto"/>
        </w:rPr>
        <w:t>Accrued expenses and other current liabilities</w:t>
      </w:r>
      <w:r>
        <w:rPr>
          <w:rFonts w:ascii="Arial" w:cs="Arial" w:eastAsia="Arial" w:hAnsi="Arial"/>
          <w:sz w:val="18"/>
          <w:szCs w:val="18"/>
          <w:color w:val="auto"/>
        </w:rPr>
        <w:t xml:space="preserve"> on the Company’s Consolidated Balance Sheets.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acquisition-related payments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In connection with the acquisitions of Insent and RingLead, the Company expects to pay an incremental $5.0 million in deferred consideration and employee compensation to the selling shareholders of each Company, subject to forfeiture if certain key employees of the acquired companies terminate their employment with the Company before specified dates. The Company expects to pay an additional $3.0 million in December 2022 in respect of the Insent acquisition, of which $1.1 million represents deferred consideration, and an additional $2.0 million in March 2022 in respect of the RingLead acquisition, of which $1.1 million represents deferred consideration. Refer to Note 4 - Business Combinations for additional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Based on the information known by the Company as of the date of this filing, it is not possible to provide an estimated amount of any such loss or range of loss that may occur. The Company intends to vigorously defend against this lawsuit.</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This litigation is still in its earliest stages. Based on the information known by the Company as of the date of this filing, it is not possible to provide an estimated amount of any such loss or range of loss that may occur. The Company intends to vigorously defend against this lawsuit.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and Members' Deficit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ZoomInfo Class A Common Stock Rights</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Subsequent to the UP-C Corporate Structure and Multi-Class Voting Structure Elimination, there are no issued and outstanding shares of Class B common stock or Class C common stock and we do not intend to issue any shares of Class B common stock or Class C common stock. No shares of preferred stock have been issued or are currently outstanding.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Class A common stock will vote as a single class and are entitled to one vote per share on all matters on which stockholders of ZoomInfo Technologies Inc. are entitled to vote generally, including the election or removal of directors. The holders of our Class A common stock do not have cumulative voting rights in the election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similar rights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Holders of shares of our Class A common stock do not have preemptive, subscription, redemption or conversion rights. There are no redemption or sinking fund provisions applicable to the Class A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distributions</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Class A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To date, no dividends have been declared or paid by us.</w:t>
      </w:r>
    </w:p>
    <w:p>
      <w:pPr>
        <w:spacing w:after="0" w:line="135"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Upon our liquidation, dissolution, or winding up, subject to the rights of holders of one or more outstanding series of preferred stock having liquidation preferences, the holders of shares of our Class A common stock are entitled to receive pro rata our remaining assets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and Members' Deficit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Old ZoomInfo Class A, B, and C Common Stock Rights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noted above, subsequent to the UP-C Corporate Structure and Multi-Class Voting Structure Elimination, there are no issued and outstanding shares of Class B common stock or Class C common stock, and we do not intend to issue any shares of Class B common stock or Class C common stock. The below represent the historical rights of Old ZoomInfo Class A, Class B, and Class C common stock. Shares of Old ZoomInfo Class A common stock and Class C common stock were identical in all respects, except for voting rights, certain conversion rights and transfer restrictions in respect of the shares of Class C common stock, as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64"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Holders of Old ZoomInfo Class A common stock were entitled to one vote per share and holders of Old ZoomInfo Class B and Class C common stock were entitled to ten votes per share (for so long as the aggregate number of outstanding shares of our Old ZoomInfo Class B and Class C common stock represents at least 5% of the aggregate number of our outstanding shares of common stock, and thereafter, one vote per share), on all matters on which stockholders of ZoomInfo Technologies Inc. are entitled to vote generally, including the election or removal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rights and transfer restrictions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shares of Old ZoomInfo Class C common stock were convertible at the option of the holder into shares of Old ZoomInfo Class A common stock on a one-for-one basis. In addition, each share of Old ZoomInfo Class C common stock converted automatically into one share of Old ZoomInfo Class A common stock upon any transfer, whether or not for value, or, if on the record date for any meeting of the stockholders, the aggregate number of outstanding shares of our Old ZoomInfo Class B common stock and Class C common stock was less than 5% of our outstanding shares of common stock. Once converted into Class A common stock, Class C common stock was not reissued.</w:t>
      </w:r>
    </w:p>
    <w:p>
      <w:pPr>
        <w:spacing w:after="0" w:line="14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Shares of Old ZoomInfo Class B common stock were not transferable except for (i) transfers to us for no consideration upon which transfer such share of Old ZoomInfo Class B common stock was automatically canceled, or (ii) together with the transfer of an identical number of OpCo Units or HoldCo Units made to the permitted transferee of such OpCo Units or HoldCo Units made in compliance with the applicable limited liability company agreement of ZoomInfo OpCo or ZoomInfo HoldCo. Upon the exchange of an OpCo Unit or a HoldCo Unit (together with a share of Old ZoomInfo Class B common stock), as applicable, the shares of Old ZoomInfo Class B common stock were automatically canceled with no consideration and no longer outstanding.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and distributions</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Holders of Old ZoomInfo Class A and Class C common stock were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Holders of Old ZoomInfo Class B common stock did not have any right to receive dividends or to receive a distribution upon a liquidation, dissolution or winding up of ZoomInfo Technologies Inc. No dividends were paid while Old ZoomInfo Class B and Class C common stock was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and Members' Deficit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64"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 xml:space="preserve">ZoomInfo Technologies Inc. operates and controls all of the business and affairs, and consolidates the financial results through ZoomInfo OpCo and its subsidiaries, conducts our business. Accordingly, ZoomInfo Technologies Inc. consolidates the financial results of ZoomInfo OpCo, and reports the noncontrolling interests of its consolidated subsidiaries on its consolidated financial statements based on the HoldCo Units and OpCo Units held by Continuing Members. Changes in ZoomInfo’s ownership interest in its consolidated subsidiaries are accounted for as equity transactions. As such, redemptions or direct exchanges of HoldCo Units or OpCo Units by Continuing Members resulted in a change in ownership and reduced or increased the amount recorded as </w:t>
      </w:r>
      <w:r>
        <w:rPr>
          <w:rFonts w:ascii="Arial" w:cs="Arial" w:eastAsia="Arial" w:hAnsi="Arial"/>
          <w:sz w:val="15"/>
          <w:szCs w:val="15"/>
          <w:i w:val="1"/>
          <w:iCs w:val="1"/>
          <w:color w:val="auto"/>
        </w:rPr>
        <w:t>Noncontrolling interests</w:t>
      </w:r>
      <w:r>
        <w:rPr>
          <w:rFonts w:ascii="Arial" w:cs="Arial" w:eastAsia="Arial" w:hAnsi="Arial"/>
          <w:sz w:val="15"/>
          <w:szCs w:val="15"/>
          <w:color w:val="auto"/>
        </w:rPr>
        <w:t xml:space="preserve"> and increased or decreased </w:t>
      </w:r>
      <w:r>
        <w:rPr>
          <w:rFonts w:ascii="Arial" w:cs="Arial" w:eastAsia="Arial" w:hAnsi="Arial"/>
          <w:sz w:val="15"/>
          <w:szCs w:val="15"/>
          <w:i w:val="1"/>
          <w:iCs w:val="1"/>
          <w:color w:val="auto"/>
        </w:rPr>
        <w:t>Additional paid-in capital</w:t>
      </w:r>
      <w:r>
        <w:rPr>
          <w:rFonts w:ascii="Arial" w:cs="Arial" w:eastAsia="Arial" w:hAnsi="Arial"/>
          <w:sz w:val="15"/>
          <w:szCs w:val="15"/>
          <w:color w:val="auto"/>
        </w:rPr>
        <w:t xml:space="preserve"> on the Company’s Consolidated Balance Sheets. During the third quarter of 2021, all remaining HoldCo Units held by Continuing Members were exchanged for shares in ZoomInfo Technologies Inc. followed by the merger of HoldCo into ZoomInfo Technologies Inc. During the fourth quarter of 2021, all remaining OpCo Units held by Continuing Members were converted into Class A shares in connection with the merger of ZoomInfo OpCo into a newly formed subsidiary of ZoomInfo Technologies, Inc.</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As of December 31, 2021, ZoomInfo Technologies Inc. held units resulting in an ownership interest of 100% in the consolidated subsidiaries.</w:t>
      </w:r>
    </w:p>
    <w:p>
      <w:pPr>
        <w:spacing w:after="0" w:line="176"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holders of OpCo Units may be subject to U.S. federal, state and local income taxes on their proportionate share of any taxable income of ZoomInfo OpCo. Net profits and net losses of ZoomInfo OpCo will generally be allocated to its holders pro rata in accordance with the percentages of their respective limited liability company interests. The amended and restated limited liability company agreement of ZoomInfo OpCo provides for cash distributions (“tax distributions”) to the holders of OpCo Units and Class P Units. During the years ended December 31, 2021, 2020, and 2019, the Company paid $19.9 million, $9.9 million, and $16.5 million in tax distributions to the noncontrolling interest, respectively.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Redeemable Series A Preferred Units</w:t>
      </w:r>
    </w:p>
    <w:p>
      <w:pPr>
        <w:spacing w:after="0" w:line="170" w:lineRule="exact"/>
        <w:rPr>
          <w:sz w:val="20"/>
          <w:szCs w:val="20"/>
          <w:color w:val="auto"/>
        </w:rPr>
      </w:pPr>
    </w:p>
    <w:p>
      <w:pPr>
        <w:jc w:val="both"/>
        <w:ind w:firstLine="318"/>
        <w:spacing w:after="0" w:line="365" w:lineRule="auto"/>
        <w:rPr>
          <w:sz w:val="20"/>
          <w:szCs w:val="20"/>
          <w:color w:val="auto"/>
        </w:rPr>
      </w:pPr>
      <w:r>
        <w:rPr>
          <w:rFonts w:ascii="Arial" w:cs="Arial" w:eastAsia="Arial" w:hAnsi="Arial"/>
          <w:sz w:val="15"/>
          <w:szCs w:val="15"/>
          <w:color w:val="auto"/>
        </w:rPr>
        <w:t>On February 1, 2019, and in connection with the ZoomInfo acquisition (refer to Note 4 - Business Combinations), the Company issued 51,750,000 Series A Preferred Units in exchange for $200.2 million, net of $0.6 million in issuance costs. As of December 31, 2019, 51,750,000 units remained outstanding.</w:t>
      </w:r>
    </w:p>
    <w:p>
      <w:pPr>
        <w:spacing w:after="0" w:line="5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 xml:space="preserve">On June 8, 2020, the Company redeemed and cancelled all outstanding Series A Preferred Units of ZoomInfo OpCo for $274.2 million, the total redemption price, resulting in a $74.0 million reduction to </w:t>
      </w:r>
      <w:r>
        <w:rPr>
          <w:rFonts w:ascii="Arial" w:cs="Arial" w:eastAsia="Arial" w:hAnsi="Arial"/>
          <w:sz w:val="17"/>
          <w:szCs w:val="17"/>
          <w:i w:val="1"/>
          <w:iCs w:val="1"/>
          <w:color w:val="auto"/>
        </w:rPr>
        <w:t>Additional paid-in capital</w:t>
      </w:r>
      <w:r>
        <w:rPr>
          <w:rFonts w:ascii="Arial" w:cs="Arial" w:eastAsia="Arial" w:hAnsi="Arial"/>
          <w:sz w:val="17"/>
          <w:szCs w:val="17"/>
          <w:color w:val="auto"/>
        </w:rPr>
        <w:t>. The total redemption price paid included the carrying amount of $200.2 million, accreted but unpaid dividends of $45.4 million, and an excess amount due upon early redemption of $28.6 million. Of the $28.6 million excess amount paid, $17.6 million was attributed to noncontrolling interests and $11.0 million to common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Basic earnings per share of Class A and Class C common stock is computed by dividing net income attributable to ZoomInfo Technologies Inc. by the weighted-average number of shares of Class A and Class C common stock outstanding during the period. Diluted earnings per share of Class A and Class C common stock is computed by dividing net income attributable to ZoomInfo Technologies Inc., adjusted for the assumed exchange of all potentially dilutive instruments for Class A common stock, by the weighted-average number of shares of Class A and Class C common stock outstanding, adjusted to give effect to potentially dilutive elements.</w:t>
      </w:r>
    </w:p>
    <w:p>
      <w:pPr>
        <w:spacing w:after="0" w:line="141"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Prior to the IPO, the ZoomInfo OpCo membership structure included Series A Preferred Units, Preferred units, Common units, and Profits Interests in the form of Class P Units. The Company analyzed the calculation of earnings per unit for periods prior to the IPO and determined that it resulted in values that would not be meaningful to the users of these consolidated financial statements. Therefore, earnings per share information has not been presented for the year ended December 31, 2019, and the basic and diluted earnings per share calculations for the year ended December 31, 2020 represent the post IPO period from June 4, 2020 to December 31, 2020 only.</w:t>
      </w:r>
    </w:p>
    <w:p>
      <w:pPr>
        <w:spacing w:after="0" w:line="14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following table sets forth reconciliations of the numerators and denominators used (in millions) to compute basic and diluted earnings (loss) per share of Class A and Class C common stock for the year ended December 31, 2021 and December 31, 2020. The basic and diluted earnings per share period for the year ended December 31, 2020, represents only the period from June 4, 2020 to December 31, 2020, which represents the period wherein we had outstanding Class A and Class C common stock.</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tcPr>
          <w:p>
            <w:pPr>
              <w:spacing w:after="0"/>
              <w:rPr>
                <w:sz w:val="16"/>
                <w:szCs w:val="16"/>
                <w:color w:val="auto"/>
              </w:rPr>
            </w:pPr>
          </w:p>
        </w:tc>
        <w:tc>
          <w:tcPr>
            <w:tcW w:w="2040" w:type="dxa"/>
            <w:vAlign w:val="bottom"/>
          </w:tcPr>
          <w:p>
            <w:pPr>
              <w:jc w:val="right"/>
              <w:ind w:right="55"/>
              <w:spacing w:after="0"/>
              <w:rPr>
                <w:sz w:val="20"/>
                <w:szCs w:val="20"/>
                <w:color w:val="auto"/>
              </w:rPr>
            </w:pPr>
            <w:r>
              <w:rPr>
                <w:rFonts w:ascii="Arial" w:cs="Arial" w:eastAsia="Arial" w:hAnsi="Arial"/>
                <w:sz w:val="14"/>
                <w:szCs w:val="14"/>
                <w:b w:val="1"/>
                <w:bCs w:val="1"/>
                <w:color w:val="auto"/>
                <w:w w:val="90"/>
              </w:rPr>
              <w:t>Year Ended December 31, 2020</w:t>
            </w:r>
          </w:p>
        </w:tc>
        <w:tc>
          <w:tcPr>
            <w:tcW w:w="0" w:type="dxa"/>
            <w:vAlign w:val="bottom"/>
          </w:tcPr>
          <w:p>
            <w:pPr>
              <w:spacing w:after="0"/>
              <w:rPr>
                <w:sz w:val="1"/>
                <w:szCs w:val="1"/>
                <w:color w:val="auto"/>
              </w:rPr>
            </w:pPr>
          </w:p>
        </w:tc>
      </w:tr>
      <w:tr>
        <w:trPr>
          <w:trHeight w:val="211"/>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Add: Net (income) loss attributable to ZoomInfo OpCo before Reorganization Transactions</w:t>
            </w:r>
          </w:p>
        </w:tc>
        <w:tc>
          <w:tcPr>
            <w:tcW w:w="12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73"/>
        </w:trPr>
        <w:tc>
          <w:tcPr>
            <w:tcW w:w="6840" w:type="dxa"/>
            <w:vAlign w:val="bottom"/>
          </w:tcPr>
          <w:p>
            <w:pPr>
              <w:ind w:left="20"/>
              <w:spacing w:after="0" w:line="173" w:lineRule="exact"/>
              <w:rPr>
                <w:sz w:val="20"/>
                <w:szCs w:val="20"/>
                <w:color w:val="auto"/>
              </w:rPr>
            </w:pPr>
            <w:r>
              <w:rPr>
                <w:rFonts w:ascii="Arial" w:cs="Arial" w:eastAsia="Arial" w:hAnsi="Arial"/>
                <w:sz w:val="18"/>
                <w:szCs w:val="18"/>
                <w:color w:val="auto"/>
                <w:w w:val="90"/>
              </w:rPr>
              <w:t>Less: Excess of consideration paid over carrying amount to holders of Series A Preferred Units</w:t>
            </w:r>
          </w:p>
        </w:tc>
        <w:tc>
          <w:tcPr>
            <w:tcW w:w="120" w:type="dxa"/>
            <w:vAlign w:val="bottom"/>
          </w:tcPr>
          <w:p>
            <w:pPr>
              <w:spacing w:after="0"/>
              <w:rPr>
                <w:sz w:val="15"/>
                <w:szCs w:val="15"/>
                <w:color w:val="auto"/>
              </w:rPr>
            </w:pPr>
          </w:p>
        </w:tc>
        <w:tc>
          <w:tcPr>
            <w:tcW w:w="2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2040" w:type="dxa"/>
            <w:vAlign w:val="bottom"/>
            <w:vMerge w:val="restart"/>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4"/>
        </w:trPr>
        <w:tc>
          <w:tcPr>
            <w:tcW w:w="6840" w:type="dxa"/>
            <w:vAlign w:val="bottom"/>
          </w:tcPr>
          <w:p>
            <w:pPr>
              <w:ind w:left="20"/>
              <w:spacing w:after="0"/>
              <w:rPr>
                <w:sz w:val="20"/>
                <w:szCs w:val="20"/>
                <w:color w:val="auto"/>
              </w:rPr>
            </w:pPr>
            <w:r>
              <w:rPr>
                <w:rFonts w:ascii="Arial" w:cs="Arial" w:eastAsia="Arial" w:hAnsi="Arial"/>
                <w:sz w:val="18"/>
                <w:szCs w:val="18"/>
                <w:color w:val="auto"/>
              </w:rPr>
              <w:t>attributable to common shares</w:t>
            </w:r>
          </w:p>
        </w:tc>
        <w:tc>
          <w:tcPr>
            <w:tcW w:w="120" w:type="dxa"/>
            <w:vAlign w:val="bottom"/>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8"/>
        </w:trPr>
        <w:tc>
          <w:tcPr>
            <w:tcW w:w="6840" w:type="dxa"/>
            <w:vAlign w:val="bottom"/>
          </w:tcPr>
          <w:p>
            <w:pPr>
              <w:ind w:left="20"/>
              <w:spacing w:after="0"/>
              <w:rPr>
                <w:sz w:val="20"/>
                <w:szCs w:val="20"/>
                <w:color w:val="auto"/>
              </w:rPr>
            </w:pPr>
            <w:r>
              <w:rPr>
                <w:rFonts w:ascii="Arial" w:cs="Arial" w:eastAsia="Arial" w:hAnsi="Arial"/>
                <w:sz w:val="18"/>
                <w:szCs w:val="18"/>
                <w:color w:val="auto"/>
              </w:rPr>
              <w:t>Net income (loss) attributable to ZoomInfo Technologies Inc.</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table sets forth the computation of basic and diluted net income per share of Class A and Class C common stock (in millions, except share amounts and per share amounts):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1136"/>
              <w:spacing w:after="0"/>
              <w:rPr>
                <w:sz w:val="20"/>
                <w:szCs w:val="20"/>
                <w:color w:val="auto"/>
              </w:rPr>
            </w:pPr>
            <w:r>
              <w:rPr>
                <w:rFonts w:ascii="Arial" w:cs="Arial" w:eastAsia="Arial" w:hAnsi="Arial"/>
                <w:sz w:val="14"/>
                <w:szCs w:val="14"/>
                <w:b w:val="1"/>
                <w:bCs w:val="1"/>
                <w:color w:val="auto"/>
              </w:rPr>
              <w:t>Year Ended December 31, 2021</w:t>
            </w:r>
          </w:p>
        </w:tc>
      </w:tr>
      <w:tr>
        <w:trPr>
          <w:trHeight w:val="183"/>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5"/>
                <w:szCs w:val="15"/>
                <w:color w:val="auto"/>
              </w:rPr>
            </w:pPr>
          </w:p>
        </w:tc>
        <w:tc>
          <w:tcPr>
            <w:tcW w:w="1640" w:type="dxa"/>
            <w:vAlign w:val="bottom"/>
          </w:tcPr>
          <w:p>
            <w:pPr>
              <w:jc w:val="right"/>
              <w:ind w:right="736"/>
              <w:spacing w:after="0"/>
              <w:rPr>
                <w:sz w:val="20"/>
                <w:szCs w:val="20"/>
                <w:color w:val="auto"/>
              </w:rPr>
            </w:pPr>
            <w:r>
              <w:rPr>
                <w:rFonts w:ascii="Arial" w:cs="Arial" w:eastAsia="Arial" w:hAnsi="Arial"/>
                <w:sz w:val="14"/>
                <w:szCs w:val="14"/>
                <w:b w:val="1"/>
                <w:bCs w:val="1"/>
                <w:color w:val="auto"/>
              </w:rPr>
              <w:t>Class C</w:t>
            </w:r>
          </w:p>
        </w:tc>
      </w:tr>
      <w:tr>
        <w:trPr>
          <w:trHeight w:val="34"/>
        </w:trPr>
        <w:tc>
          <w:tcPr>
            <w:tcW w:w="69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Weighted average number of shares of Class A and Class C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202,573,536</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53,293,720</w:t>
            </w:r>
          </w:p>
        </w:tc>
      </w:tr>
      <w:tr>
        <w:trPr>
          <w:trHeight w:val="218"/>
        </w:trPr>
        <w:tc>
          <w:tcPr>
            <w:tcW w:w="6900" w:type="dxa"/>
            <w:vAlign w:val="bottom"/>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140" w:type="dxa"/>
            <w:vAlign w:val="bottom"/>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5"/>
                <w:szCs w:val="15"/>
                <w:color w:val="auto"/>
              </w:rPr>
            </w:pPr>
          </w:p>
        </w:tc>
        <w:tc>
          <w:tcPr>
            <w:tcW w:w="1640" w:type="dxa"/>
            <w:vAlign w:val="bottom"/>
          </w:tcPr>
          <w:p>
            <w:pPr>
              <w:jc w:val="right"/>
              <w:ind w:right="733"/>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299"/>
        </w:trPr>
        <w:tc>
          <w:tcPr>
            <w:tcW w:w="69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Numerator: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173"/>
        </w:trPr>
        <w:tc>
          <w:tcPr>
            <w:tcW w:w="6900" w:type="dxa"/>
            <w:vAlign w:val="bottom"/>
          </w:tcPr>
          <w:p>
            <w:pPr>
              <w:ind w:left="240"/>
              <w:spacing w:after="0" w:line="173" w:lineRule="exact"/>
              <w:rPr>
                <w:sz w:val="20"/>
                <w:szCs w:val="20"/>
                <w:color w:val="auto"/>
              </w:rPr>
            </w:pPr>
            <w:r>
              <w:rPr>
                <w:rFonts w:ascii="Arial" w:cs="Arial" w:eastAsia="Arial" w:hAnsi="Arial"/>
                <w:sz w:val="18"/>
                <w:szCs w:val="18"/>
                <w:color w:val="auto"/>
                <w:w w:val="94"/>
              </w:rPr>
              <w:t>Increase in earnings attributable to common shareholders upon conversion of potentially</w:t>
            </w:r>
          </w:p>
        </w:tc>
        <w:tc>
          <w:tcPr>
            <w:tcW w:w="46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4"/>
        </w:trPr>
        <w:tc>
          <w:tcPr>
            <w:tcW w:w="6900" w:type="dxa"/>
            <w:vAlign w:val="bottom"/>
          </w:tcPr>
          <w:p>
            <w:pPr>
              <w:ind w:left="240"/>
              <w:spacing w:after="0"/>
              <w:rPr>
                <w:sz w:val="20"/>
                <w:szCs w:val="20"/>
                <w:color w:val="auto"/>
              </w:rPr>
            </w:pPr>
            <w:r>
              <w:rPr>
                <w:rFonts w:ascii="Arial" w:cs="Arial" w:eastAsia="Arial" w:hAnsi="Arial"/>
                <w:sz w:val="18"/>
                <w:szCs w:val="18"/>
                <w:color w:val="auto"/>
              </w:rPr>
              <w:t>dilutive instruments</w:t>
            </w:r>
          </w:p>
        </w:tc>
        <w:tc>
          <w:tcPr>
            <w:tcW w:w="4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Reallocation of earnings as a result of conversion of potentially dilutive instruments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w w:val="90"/>
              </w:rPr>
              <w:t>Reallocation of undistributed earnings as a result of conversion of Class C to Class A shares</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Allocation of undistributed earnings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9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202,573,536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53,293,720</w:t>
            </w:r>
          </w:p>
        </w:tc>
        <w:tc>
          <w:tcPr>
            <w:tcW w:w="0" w:type="dxa"/>
            <w:vAlign w:val="bottom"/>
          </w:tcPr>
          <w:p>
            <w:pPr>
              <w:spacing w:after="0"/>
              <w:rPr>
                <w:sz w:val="1"/>
                <w:szCs w:val="1"/>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 common stock:</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OpCo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129,468,657</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HSKB I Class 1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5,247,514</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HSKB II Class 1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212,245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HSKB II Phantom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773,518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HoldCo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888,675</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Restricted Stock Awards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829,763</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344,342</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LTIP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35,301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296,296</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53,293,720</w:t>
            </w: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4"/>
        </w:trPr>
        <w:tc>
          <w:tcPr>
            <w:tcW w:w="6900" w:type="dxa"/>
            <w:vAlign w:val="bottom"/>
            <w:shd w:val="clear" w:color="auto" w:fill="CCEEFF"/>
          </w:tcPr>
          <w:p>
            <w:pPr>
              <w:ind w:left="240"/>
              <w:spacing w:after="0" w:line="154" w:lineRule="exact"/>
              <w:rPr>
                <w:sz w:val="20"/>
                <w:szCs w:val="20"/>
                <w:color w:val="auto"/>
              </w:rPr>
            </w:pPr>
            <w:r>
              <w:rPr>
                <w:rFonts w:ascii="Arial" w:cs="Arial" w:eastAsia="Arial" w:hAnsi="Arial"/>
                <w:sz w:val="17"/>
                <w:szCs w:val="17"/>
                <w:color w:val="auto"/>
                <w:w w:val="93"/>
              </w:rPr>
              <w:t>Weighted average shares of Class A and Class C common stock outstanding used to calculate</w:t>
            </w:r>
          </w:p>
        </w:tc>
        <w:tc>
          <w:tcPr>
            <w:tcW w:w="46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393,963,567</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53,293,720</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900" w:type="dxa"/>
            <w:vAlign w:val="bottom"/>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gridSpan w:val="4"/>
          </w:tcPr>
          <w:p>
            <w:pPr>
              <w:jc w:val="right"/>
              <w:ind w:right="1133"/>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80" w:type="dxa"/>
            <w:vAlign w:val="bottom"/>
            <w:gridSpan w:val="2"/>
          </w:tcPr>
          <w:p>
            <w:pPr>
              <w:ind w:left="360"/>
              <w:spacing w:after="0"/>
              <w:rPr>
                <w:sz w:val="20"/>
                <w:szCs w:val="20"/>
                <w:color w:val="auto"/>
              </w:rPr>
            </w:pPr>
            <w:r>
              <w:rPr>
                <w:rFonts w:ascii="Arial" w:cs="Arial" w:eastAsia="Arial" w:hAnsi="Arial"/>
                <w:sz w:val="14"/>
                <w:szCs w:val="14"/>
                <w:b w:val="1"/>
                <w:bCs w:val="1"/>
                <w:color w:val="auto"/>
              </w:rPr>
              <w:t>Class A</w:t>
            </w:r>
          </w:p>
        </w:tc>
        <w:tc>
          <w:tcPr>
            <w:tcW w:w="460" w:type="dxa"/>
            <w:vAlign w:val="bottom"/>
          </w:tcPr>
          <w:p>
            <w:pPr>
              <w:spacing w:after="0"/>
              <w:rPr>
                <w:sz w:val="15"/>
                <w:szCs w:val="15"/>
                <w:color w:val="auto"/>
              </w:rPr>
            </w:pPr>
          </w:p>
        </w:tc>
        <w:tc>
          <w:tcPr>
            <w:tcW w:w="1640" w:type="dxa"/>
            <w:vAlign w:val="bottom"/>
          </w:tcPr>
          <w:p>
            <w:pPr>
              <w:jc w:val="right"/>
              <w:ind w:right="733"/>
              <w:spacing w:after="0"/>
              <w:rPr>
                <w:sz w:val="20"/>
                <w:szCs w:val="20"/>
                <w:color w:val="auto"/>
              </w:rPr>
            </w:pPr>
            <w:r>
              <w:rPr>
                <w:rFonts w:ascii="Arial" w:cs="Arial" w:eastAsia="Arial" w:hAnsi="Arial"/>
                <w:sz w:val="14"/>
                <w:szCs w:val="14"/>
                <w:b w:val="1"/>
                <w:bCs w:val="1"/>
                <w:color w:val="auto"/>
              </w:rPr>
              <w:t>Class C</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net income (loss) per share attributable to common stockholders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Numerator: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Allocation of net income (loss) attributable to ZoomInfo Technologies Inc.</w:t>
            </w: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b w:val="1"/>
                <w:bCs w:val="1"/>
                <w:color w:val="auto"/>
              </w:rPr>
              <w:t>Denominator:</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4"/>
              </w:rPr>
              <w:t>Weighted average number of shares of Class A and Class C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62,464,272</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94,278,971</w:t>
            </w:r>
          </w:p>
        </w:tc>
        <w:tc>
          <w:tcPr>
            <w:tcW w:w="0" w:type="dxa"/>
            <w:vAlign w:val="bottom"/>
          </w:tcPr>
          <w:p>
            <w:pPr>
              <w:spacing w:after="0"/>
              <w:rPr>
                <w:sz w:val="1"/>
                <w:szCs w:val="1"/>
                <w:color w:val="auto"/>
              </w:rPr>
            </w:pPr>
          </w:p>
        </w:tc>
      </w:tr>
      <w:tr>
        <w:trPr>
          <w:trHeight w:val="218"/>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46"/>
        </w:trPr>
        <w:tc>
          <w:tcPr>
            <w:tcW w:w="69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Diluted net income (loss) per share attributable to common stockholders</w:t>
            </w: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Undistributed earnings for basic computation</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74"/>
        </w:trPr>
        <w:tc>
          <w:tcPr>
            <w:tcW w:w="6900" w:type="dxa"/>
            <w:vAlign w:val="bottom"/>
            <w:shd w:val="clear" w:color="auto" w:fill="CCEEFF"/>
          </w:tcPr>
          <w:p>
            <w:pPr>
              <w:ind w:left="240"/>
              <w:spacing w:after="0" w:line="174" w:lineRule="exact"/>
              <w:rPr>
                <w:sz w:val="20"/>
                <w:szCs w:val="20"/>
                <w:color w:val="auto"/>
              </w:rPr>
            </w:pPr>
            <w:r>
              <w:rPr>
                <w:rFonts w:ascii="Arial" w:cs="Arial" w:eastAsia="Arial" w:hAnsi="Arial"/>
                <w:sz w:val="18"/>
                <w:szCs w:val="18"/>
                <w:color w:val="auto"/>
                <w:w w:val="94"/>
              </w:rPr>
              <w:t>Increase in earnings attributable to common shareholders upon conversion of potentially</w:t>
            </w:r>
          </w:p>
        </w:tc>
        <w:tc>
          <w:tcPr>
            <w:tcW w:w="4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4"/>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dilutive instruments</w:t>
            </w:r>
          </w:p>
        </w:tc>
        <w:tc>
          <w:tcPr>
            <w:tcW w:w="4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Reallocation of earnings as a result of conversion of potentially dilutive instruments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5"/>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0"/>
              </w:rPr>
              <w:t>Reallocation of undistributed earnings as a result of conversion of Class C to Class A shares</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9"/>
        </w:trPr>
        <w:tc>
          <w:tcPr>
            <w:tcW w:w="6900" w:type="dxa"/>
            <w:vAlign w:val="bottom"/>
          </w:tcPr>
          <w:p>
            <w:pPr>
              <w:ind w:left="20"/>
              <w:spacing w:after="0"/>
              <w:rPr>
                <w:sz w:val="20"/>
                <w:szCs w:val="20"/>
                <w:color w:val="auto"/>
              </w:rPr>
            </w:pPr>
            <w:r>
              <w:rPr>
                <w:rFonts w:ascii="Arial" w:cs="Arial" w:eastAsia="Arial" w:hAnsi="Arial"/>
                <w:sz w:val="18"/>
                <w:szCs w:val="18"/>
                <w:color w:val="auto"/>
              </w:rPr>
              <w:t>Allocation of undistributed earnings</w:t>
            </w: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9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rPr>
              <w:t>Denominator:</w:t>
            </w:r>
          </w:p>
        </w:tc>
        <w:tc>
          <w:tcPr>
            <w:tcW w:w="4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120"/>
              <w:spacing w:after="0"/>
              <w:rPr>
                <w:sz w:val="20"/>
                <w:szCs w:val="20"/>
                <w:color w:val="auto"/>
              </w:rPr>
            </w:pPr>
            <w:r>
              <w:rPr>
                <w:rFonts w:ascii="Arial" w:cs="Arial" w:eastAsia="Arial" w:hAnsi="Arial"/>
                <w:sz w:val="18"/>
                <w:szCs w:val="18"/>
                <w:color w:val="auto"/>
              </w:rPr>
              <w:t>Number of shares used in basic computation</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62,464,272</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94,278,971</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Add: weighted-average effect of dilutive securities exchangeable for Class A common stock:</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Class P Units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8,397,751</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HSKB I Class 1 Units</w:t>
            </w: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9,384,174</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25"/>
        </w:trPr>
        <w:tc>
          <w:tcPr>
            <w:tcW w:w="6900" w:type="dxa"/>
            <w:vAlign w:val="bottom"/>
          </w:tcPr>
          <w:p>
            <w:pPr>
              <w:ind w:left="240"/>
              <w:spacing w:after="0"/>
              <w:rPr>
                <w:sz w:val="20"/>
                <w:szCs w:val="20"/>
                <w:color w:val="auto"/>
              </w:rPr>
            </w:pPr>
            <w:r>
              <w:rPr>
                <w:rFonts w:ascii="Arial" w:cs="Arial" w:eastAsia="Arial" w:hAnsi="Arial"/>
                <w:sz w:val="18"/>
                <w:szCs w:val="18"/>
                <w:color w:val="auto"/>
              </w:rPr>
              <w:t>Exercise of Class A Common Stock Options</w:t>
            </w: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179,450</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6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Conversion of Class C to Class A common shares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94,278,971</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3"/>
        </w:trPr>
        <w:tc>
          <w:tcPr>
            <w:tcW w:w="6900" w:type="dxa"/>
            <w:vAlign w:val="bottom"/>
          </w:tcPr>
          <w:p>
            <w:pPr>
              <w:ind w:left="240"/>
              <w:spacing w:after="0" w:line="154" w:lineRule="exact"/>
              <w:rPr>
                <w:sz w:val="20"/>
                <w:szCs w:val="20"/>
                <w:color w:val="auto"/>
              </w:rPr>
            </w:pPr>
            <w:r>
              <w:rPr>
                <w:rFonts w:ascii="Arial" w:cs="Arial" w:eastAsia="Arial" w:hAnsi="Arial"/>
                <w:sz w:val="17"/>
                <w:szCs w:val="17"/>
                <w:color w:val="auto"/>
                <w:w w:val="93"/>
              </w:rPr>
              <w:t>Weighted average shares of Class A and Class C common stock outstanding used to calculate</w:t>
            </w:r>
          </w:p>
        </w:tc>
        <w:tc>
          <w:tcPr>
            <w:tcW w:w="4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174,704,618</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94,278,971</w:t>
            </w:r>
          </w:p>
        </w:tc>
        <w:tc>
          <w:tcPr>
            <w:tcW w:w="0" w:type="dxa"/>
            <w:vAlign w:val="bottom"/>
          </w:tcPr>
          <w:p>
            <w:pPr>
              <w:spacing w:after="0"/>
              <w:rPr>
                <w:sz w:val="1"/>
                <w:szCs w:val="1"/>
                <w:color w:val="auto"/>
              </w:rPr>
            </w:pPr>
          </w:p>
        </w:tc>
      </w:tr>
      <w:tr>
        <w:trPr>
          <w:trHeight w:val="224"/>
        </w:trPr>
        <w:tc>
          <w:tcPr>
            <w:tcW w:w="69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diluted net income (loss) per share</w:t>
            </w: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Shares of the Company’s Class B common stock do not participate in the earnings or losses of ZoomInfo Technologies Inc. and are therefore not participating securities. As such, separate presentation of basic and diluted earnings per share of Class B common stock under the two-class method has not been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 (continued)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The following weighted-average potentially dilutive securities were evaluated under the treasury stock method for potentially dilutive effects and have been excluded from diluted net loss per share in the periods presented due to their anti-dilutive effect: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40" w:type="dxa"/>
            <w:vAlign w:val="bottom"/>
            <w:tcBorders>
              <w:bottom w:val="single" w:sz="8" w:color="CCEEFF"/>
            </w:tcBorders>
          </w:tcPr>
          <w:p>
            <w:pPr>
              <w:spacing w:after="0"/>
              <w:rPr>
                <w:sz w:val="16"/>
                <w:szCs w:val="16"/>
                <w:color w:val="auto"/>
              </w:rPr>
            </w:pPr>
          </w:p>
        </w:tc>
        <w:tc>
          <w:tcPr>
            <w:tcW w:w="2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213,410,605</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Class P Units</w:t>
            </w:r>
          </w:p>
        </w:tc>
        <w:tc>
          <w:tcPr>
            <w:tcW w:w="2140" w:type="dxa"/>
            <w:vAlign w:val="bottom"/>
          </w:tcPr>
          <w:p>
            <w:pPr>
              <w:jc w:val="right"/>
              <w:spacing w:after="0"/>
              <w:rPr>
                <w:sz w:val="20"/>
                <w:szCs w:val="20"/>
                <w:color w:val="auto"/>
              </w:rPr>
            </w:pPr>
            <w:r>
              <w:rPr>
                <w:rFonts w:ascii="Arial" w:cs="Arial" w:eastAsia="Arial" w:hAnsi="Arial"/>
                <w:sz w:val="18"/>
                <w:szCs w:val="18"/>
                <w:color w:val="auto"/>
              </w:rPr>
              <w:t>8,100,932</w:t>
            </w:r>
          </w:p>
        </w:tc>
        <w:tc>
          <w:tcPr>
            <w:tcW w:w="1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HSKB II Class 1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5,244,286</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HSKB II Phantom Units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545,779</w:t>
            </w:r>
          </w:p>
        </w:tc>
      </w:tr>
      <w:tr>
        <w:trPr>
          <w:trHeight w:val="226"/>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HoldCo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5,083,280</w:t>
            </w:r>
          </w:p>
        </w:tc>
      </w:tr>
      <w:tr>
        <w:trPr>
          <w:trHeight w:val="225"/>
        </w:trPr>
        <w:tc>
          <w:tcPr>
            <w:tcW w:w="694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2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251,285</w:t>
            </w:r>
          </w:p>
        </w:tc>
      </w:tr>
      <w:tr>
        <w:trPr>
          <w:trHeight w:val="225"/>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LTIP Units</w:t>
            </w:r>
          </w:p>
        </w:tc>
        <w:tc>
          <w:tcPr>
            <w:tcW w:w="2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447,456</w:t>
            </w:r>
          </w:p>
        </w:tc>
      </w:tr>
      <w:tr>
        <w:trPr>
          <w:trHeight w:val="219"/>
        </w:trPr>
        <w:tc>
          <w:tcPr>
            <w:tcW w:w="6940" w:type="dxa"/>
            <w:vAlign w:val="bottom"/>
          </w:tcPr>
          <w:p>
            <w:pPr>
              <w:ind w:left="120"/>
              <w:spacing w:after="0"/>
              <w:rPr>
                <w:sz w:val="20"/>
                <w:szCs w:val="20"/>
                <w:color w:val="auto"/>
              </w:rPr>
            </w:pPr>
            <w:r>
              <w:rPr>
                <w:rFonts w:ascii="Arial" w:cs="Arial" w:eastAsia="Arial" w:hAnsi="Arial"/>
                <w:sz w:val="18"/>
                <w:szCs w:val="18"/>
                <w:color w:val="auto"/>
              </w:rPr>
              <w:t>Total anti-dilutive securities</w:t>
            </w:r>
          </w:p>
        </w:tc>
        <w:tc>
          <w:tcPr>
            <w:tcW w:w="2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8,100,932</w:t>
            </w:r>
          </w:p>
        </w:tc>
        <w:tc>
          <w:tcPr>
            <w:tcW w:w="100" w:type="dxa"/>
            <w:vAlign w:val="bottom"/>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224,982,691</w:t>
            </w:r>
          </w:p>
        </w:tc>
      </w:tr>
      <w:tr>
        <w:trPr>
          <w:trHeight w:val="20"/>
        </w:trPr>
        <w:tc>
          <w:tcPr>
            <w:tcW w:w="69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w:t>
      </w:r>
    </w:p>
    <w:p>
      <w:pPr>
        <w:spacing w:after="0" w:line="17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less than one year, from our right-of-use assets and lease liabilities as well as the package of practical expedients relating to adoption of Topic 842.</w:t>
      </w:r>
    </w:p>
    <w:p>
      <w:pPr>
        <w:spacing w:after="0" w:line="143" w:lineRule="exact"/>
        <w:rPr>
          <w:sz w:val="20"/>
          <w:szCs w:val="20"/>
          <w:color w:val="auto"/>
        </w:rPr>
      </w:pPr>
    </w:p>
    <w:p>
      <w:pPr>
        <w:jc w:val="both"/>
        <w:ind w:firstLine="318"/>
        <w:spacing w:after="0" w:line="277" w:lineRule="auto"/>
        <w:rPr>
          <w:sz w:val="20"/>
          <w:szCs w:val="20"/>
          <w:color w:val="auto"/>
        </w:rPr>
      </w:pPr>
      <w:r>
        <w:rPr>
          <w:rFonts w:ascii="Arial" w:cs="Arial" w:eastAsia="Arial" w:hAnsi="Arial"/>
          <w:sz w:val="17"/>
          <w:szCs w:val="17"/>
          <w:color w:val="auto"/>
        </w:rPr>
        <w:t xml:space="preserve">The Company has also sublet a former corporate office. The sublease has a remaining lease term of less than one year. Sublease income, which is recorded as a reduction of rent expense and allocated to the appropriate financial statement line item to arrive at </w:t>
      </w:r>
      <w:r>
        <w:rPr>
          <w:rFonts w:ascii="Arial" w:cs="Arial" w:eastAsia="Arial" w:hAnsi="Arial"/>
          <w:sz w:val="17"/>
          <w:szCs w:val="17"/>
          <w:i w:val="1"/>
          <w:iCs w:val="1"/>
          <w:color w:val="auto"/>
        </w:rPr>
        <w:t>Income (loss) from operations</w:t>
      </w:r>
      <w:r>
        <w:rPr>
          <w:rFonts w:ascii="Arial" w:cs="Arial" w:eastAsia="Arial" w:hAnsi="Arial"/>
          <w:sz w:val="17"/>
          <w:szCs w:val="17"/>
          <w:color w:val="auto"/>
        </w:rPr>
        <w:t xml:space="preserve"> on our Consolidated Statements of Operations was immaterial for the years ended December 31, 2021, 2020, and 2019.</w:t>
      </w:r>
    </w:p>
    <w:p>
      <w:pPr>
        <w:spacing w:after="0" w:line="11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 following are additional details related to operating leases recorded on our Consolidated Balance Sheets as of December 31, 2021 and December 31, 2020: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211"/>
        </w:trPr>
        <w:tc>
          <w:tcPr>
            <w:tcW w:w="7960" w:type="dxa"/>
            <w:vAlign w:val="bottom"/>
          </w:tcPr>
          <w:p>
            <w:pPr>
              <w:ind w:left="20"/>
              <w:spacing w:after="0"/>
              <w:rPr>
                <w:sz w:val="20"/>
                <w:szCs w:val="20"/>
                <w:color w:val="auto"/>
              </w:rPr>
            </w:pPr>
            <w:r>
              <w:rPr>
                <w:rFonts w:ascii="Arial" w:cs="Arial" w:eastAsia="Arial" w:hAnsi="Arial"/>
                <w:sz w:val="18"/>
                <w:szCs w:val="18"/>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2020</w:t>
            </w:r>
          </w:p>
        </w:tc>
      </w:tr>
      <w:tr>
        <w:trPr>
          <w:trHeight w:val="206"/>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r>
      <w:tr>
        <w:trPr>
          <w:trHeight w:val="212"/>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5"/>
        </w:trPr>
        <w:tc>
          <w:tcPr>
            <w:tcW w:w="796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r>
    </w:tbl>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Rent expense was $11.1 million, $7.6 million, and $6.5 million for the years ended December 31, 2021, 2020, and 2019, respectively.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leases was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gridSpan w:val="2"/>
          </w:tcPr>
          <w:p>
            <w:pPr>
              <w:ind w:left="20"/>
              <w:spacing w:after="0"/>
              <w:rPr>
                <w:sz w:val="20"/>
                <w:szCs w:val="20"/>
                <w:color w:val="auto"/>
              </w:rPr>
            </w:pPr>
            <w:r>
              <w:rPr>
                <w:rFonts w:ascii="Arial" w:cs="Arial" w:eastAsia="Arial" w:hAnsi="Arial"/>
                <w:sz w:val="18"/>
                <w:szCs w:val="18"/>
                <w:i w:val="1"/>
                <w:iCs w:val="1"/>
                <w:color w:val="auto"/>
              </w:rPr>
              <w:t>(in millions)</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206"/>
        </w:trPr>
        <w:tc>
          <w:tcPr>
            <w:tcW w:w="6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7"/>
                <w:szCs w:val="17"/>
                <w:color w:val="auto"/>
              </w:rPr>
            </w:pPr>
          </w:p>
        </w:tc>
      </w:tr>
      <w:tr>
        <w:trPr>
          <w:trHeight w:val="218"/>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ind w:left="937"/>
              <w:spacing w:after="0"/>
              <w:rPr>
                <w:sz w:val="20"/>
                <w:szCs w:val="20"/>
                <w:color w:val="auto"/>
              </w:rPr>
            </w:pPr>
            <w:r>
              <w:rPr>
                <w:rFonts w:ascii="Arial" w:cs="Arial" w:eastAsia="Arial" w:hAnsi="Arial"/>
                <w:sz w:val="18"/>
                <w:szCs w:val="18"/>
                <w:color w:val="auto"/>
                <w:w w:val="87"/>
              </w:rPr>
              <w:t>7.3</w:t>
            </w:r>
          </w:p>
        </w:tc>
        <w:tc>
          <w:tcPr>
            <w:tcW w:w="20" w:type="dxa"/>
            <w:vAlign w:val="bottom"/>
            <w:shd w:val="clear" w:color="auto" w:fill="CCEEFF"/>
          </w:tcPr>
          <w:p>
            <w:pPr>
              <w:spacing w:after="0"/>
              <w:rPr>
                <w:sz w:val="19"/>
                <w:szCs w:val="19"/>
                <w:color w:val="auto"/>
              </w:rPr>
            </w:pPr>
          </w:p>
        </w:tc>
      </w:tr>
      <w:tr>
        <w:trPr>
          <w:trHeight w:val="252"/>
        </w:trPr>
        <w:tc>
          <w:tcPr>
            <w:tcW w:w="6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5"/>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liabilities arising from obtaining right-of-use assets</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5"/>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From acquisitions</w:t>
            </w:r>
          </w:p>
        </w:tc>
        <w:tc>
          <w:tcPr>
            <w:tcW w:w="17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tcPr>
          <w:p>
            <w:pPr>
              <w:jc w:val="center"/>
              <w:ind w:left="937"/>
              <w:spacing w:after="0"/>
              <w:rPr>
                <w:sz w:val="20"/>
                <w:szCs w:val="20"/>
                <w:color w:val="auto"/>
              </w:rPr>
            </w:pPr>
            <w:r>
              <w:rPr>
                <w:rFonts w:ascii="Arial" w:cs="Arial" w:eastAsia="Arial" w:hAnsi="Arial"/>
                <w:sz w:val="18"/>
                <w:szCs w:val="18"/>
                <w:color w:val="auto"/>
                <w:w w:val="87"/>
              </w:rPr>
              <w:t>0.4</w:t>
            </w:r>
          </w:p>
        </w:tc>
        <w:tc>
          <w:tcPr>
            <w:tcW w:w="20" w:type="dxa"/>
            <w:vAlign w:val="bottom"/>
          </w:tcPr>
          <w:p>
            <w:pPr>
              <w:spacing w:after="0"/>
              <w:rPr>
                <w:sz w:val="19"/>
                <w:szCs w:val="19"/>
                <w:color w:val="auto"/>
              </w:rPr>
            </w:pPr>
          </w:p>
        </w:tc>
      </w:tr>
      <w:tr>
        <w:trPr>
          <w:trHeight w:val="22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From new and existing lease agreements and modifications</w:t>
            </w:r>
          </w:p>
        </w:tc>
        <w:tc>
          <w:tcPr>
            <w:tcW w:w="1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36.9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center"/>
              <w:ind w:left="877"/>
              <w:spacing w:after="0"/>
              <w:rPr>
                <w:sz w:val="20"/>
                <w:szCs w:val="20"/>
                <w:color w:val="auto"/>
              </w:rPr>
            </w:pPr>
            <w:r>
              <w:rPr>
                <w:rFonts w:ascii="Arial" w:cs="Arial" w:eastAsia="Arial" w:hAnsi="Arial"/>
                <w:sz w:val="18"/>
                <w:szCs w:val="18"/>
                <w:color w:val="auto"/>
                <w:w w:val="91"/>
              </w:rPr>
              <w:t>(0.9)</w:t>
            </w:r>
          </w:p>
        </w:tc>
      </w:tr>
      <w:tr>
        <w:trPr>
          <w:trHeight w:val="604"/>
        </w:trPr>
        <w:tc>
          <w:tcPr>
            <w:tcW w:w="6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3"/>
        </w:trPr>
        <w:tc>
          <w:tcPr>
            <w:tcW w:w="6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7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December 31, 2021</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497"/>
              <w:spacing w:after="0"/>
              <w:rPr>
                <w:sz w:val="20"/>
                <w:szCs w:val="20"/>
                <w:color w:val="auto"/>
              </w:rPr>
            </w:pPr>
            <w:r>
              <w:rPr>
                <w:rFonts w:ascii="Arial" w:cs="Arial" w:eastAsia="Arial" w:hAnsi="Arial"/>
                <w:sz w:val="14"/>
                <w:szCs w:val="14"/>
                <w:b w:val="1"/>
                <w:bCs w:val="1"/>
                <w:color w:val="auto"/>
                <w:w w:val="88"/>
              </w:rPr>
              <w:t>December 31, 2020</w:t>
            </w:r>
          </w:p>
        </w:tc>
        <w:tc>
          <w:tcPr>
            <w:tcW w:w="20" w:type="dxa"/>
            <w:vAlign w:val="bottom"/>
          </w:tcPr>
          <w:p>
            <w:pPr>
              <w:spacing w:after="0"/>
              <w:rPr>
                <w:sz w:val="15"/>
                <w:szCs w:val="15"/>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(in years)</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4.2 %</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below reconciles the undiscounted future minimum lease payments under non-cancelable leases to the total lease liabilities recognized on our</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December 31, 2021 (in millions):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Pr>
          <w:p>
            <w:pPr>
              <w:spacing w:after="0"/>
              <w:rPr>
                <w:sz w:val="16"/>
                <w:szCs w:val="16"/>
                <w:color w:val="auto"/>
              </w:rPr>
            </w:pPr>
          </w:p>
        </w:tc>
        <w:tc>
          <w:tcPr>
            <w:tcW w:w="1380" w:type="dxa"/>
            <w:vAlign w:val="bottom"/>
          </w:tcPr>
          <w:p>
            <w:pPr>
              <w:jc w:val="right"/>
              <w:ind w:right="173"/>
              <w:spacing w:after="0"/>
              <w:rPr>
                <w:sz w:val="20"/>
                <w:szCs w:val="20"/>
                <w:color w:val="auto"/>
              </w:rPr>
            </w:pPr>
            <w:r>
              <w:rPr>
                <w:rFonts w:ascii="Arial" w:cs="Arial" w:eastAsia="Arial" w:hAnsi="Arial"/>
                <w:sz w:val="14"/>
                <w:szCs w:val="14"/>
                <w:b w:val="1"/>
                <w:bCs w:val="1"/>
                <w:color w:val="auto"/>
                <w:w w:val="93"/>
              </w:rPr>
              <w:t>Operating Leases</w:t>
            </w:r>
          </w:p>
        </w:tc>
      </w:tr>
      <w:tr>
        <w:trPr>
          <w:trHeight w:val="224"/>
        </w:trPr>
        <w:tc>
          <w:tcPr>
            <w:tcW w:w="9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25"/>
        </w:trPr>
        <w:tc>
          <w:tcPr>
            <w:tcW w:w="9580" w:type="dxa"/>
            <w:vAlign w:val="bottom"/>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9580" w:type="dxa"/>
            <w:vAlign w:val="bottom"/>
          </w:tcPr>
          <w:p>
            <w:pPr>
              <w:ind w:left="20"/>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26"/>
        </w:trPr>
        <w:tc>
          <w:tcPr>
            <w:tcW w:w="9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5"/>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r>
      <w:tr>
        <w:trPr>
          <w:trHeight w:val="21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r>
      <w:tr>
        <w:trPr>
          <w:trHeight w:val="225"/>
        </w:trPr>
        <w:tc>
          <w:tcPr>
            <w:tcW w:w="96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effects of discounting</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44"/>
        </w:trPr>
        <w:tc>
          <w:tcPr>
            <w:tcW w:w="9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Reported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portion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 liabilities, net of current portion</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lease liabilities</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table above does not include any legally binding minimum lease payments for leases signed but not yet commenced.</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left="1264" w:hanging="1264"/>
        <w:spacing w:after="0"/>
        <w:tabs>
          <w:tab w:leader="none" w:pos="1264" w:val="left"/>
        </w:tabs>
        <w:numPr>
          <w:ilvl w:val="0"/>
          <w:numId w:val="45"/>
        </w:numPr>
        <w:rPr>
          <w:rFonts w:ascii="Arial" w:cs="Arial" w:eastAsia="Arial" w:hAnsi="Arial"/>
          <w:sz w:val="15"/>
          <w:szCs w:val="15"/>
          <w:color w:val="auto"/>
        </w:rPr>
      </w:pPr>
      <w:r>
        <w:rPr>
          <w:rFonts w:ascii="Arial" w:cs="Arial" w:eastAsia="Arial" w:hAnsi="Arial"/>
          <w:sz w:val="15"/>
          <w:szCs w:val="15"/>
          <w:color w:val="auto"/>
        </w:rPr>
        <w:t>8.1</w:t>
      </w:r>
    </w:p>
    <w:p>
      <w:pPr>
        <w:spacing w:after="0" w:line="52" w:lineRule="exact"/>
        <w:rPr>
          <w:rFonts w:ascii="Arial" w:cs="Arial" w:eastAsia="Arial" w:hAnsi="Arial"/>
          <w:sz w:val="15"/>
          <w:szCs w:val="15"/>
          <w:color w:val="auto"/>
        </w:rPr>
      </w:pPr>
    </w:p>
    <w:p>
      <w:pPr>
        <w:ind w:left="1164"/>
        <w:spacing w:after="0"/>
        <w:rPr>
          <w:rFonts w:ascii="Arial" w:cs="Arial" w:eastAsia="Arial" w:hAnsi="Arial"/>
          <w:sz w:val="15"/>
          <w:szCs w:val="15"/>
          <w:color w:val="auto"/>
        </w:rPr>
      </w:pPr>
      <w:r>
        <w:rPr>
          <w:rFonts w:ascii="Arial" w:cs="Arial" w:eastAsia="Arial" w:hAnsi="Arial"/>
          <w:sz w:val="15"/>
          <w:szCs w:val="15"/>
          <w:color w:val="auto"/>
        </w:rPr>
        <w:t>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6" w:lineRule="exact"/>
        <w:rPr>
          <w:sz w:val="20"/>
          <w:szCs w:val="20"/>
          <w:color w:val="auto"/>
        </w:rPr>
      </w:pPr>
    </w:p>
    <w:p>
      <w:pPr>
        <w:ind w:left="1164" w:hanging="1164"/>
        <w:spacing w:after="0"/>
        <w:tabs>
          <w:tab w:leader="none" w:pos="1164" w:val="left"/>
        </w:tabs>
        <w:numPr>
          <w:ilvl w:val="0"/>
          <w:numId w:val="46"/>
        </w:numPr>
        <w:rPr>
          <w:rFonts w:ascii="Arial" w:cs="Arial" w:eastAsia="Arial" w:hAnsi="Arial"/>
          <w:sz w:val="15"/>
          <w:szCs w:val="15"/>
          <w:color w:val="auto"/>
        </w:rPr>
      </w:pPr>
      <w:r>
        <w:rPr>
          <w:rFonts w:ascii="Arial" w:cs="Arial" w:eastAsia="Arial" w:hAnsi="Arial"/>
          <w:sz w:val="15"/>
          <w:szCs w:val="15"/>
          <w:color w:val="auto"/>
        </w:rPr>
        <w:t>69.6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99250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58420</wp:posOffset>
            </wp:positionV>
            <wp:extent cx="9925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8976" w:space="720"/>
            <w:col w:w="1544"/>
          </w:cols>
          <w:pgMar w:left="320" w:top="121" w:right="339" w:bottom="1440" w:gutter="0" w:footer="0" w:header="0"/>
          <w:type w:val="continuous"/>
        </w:sectPr>
      </w:pPr>
    </w:p>
    <w:p>
      <w:pPr>
        <w:jc w:val="both"/>
        <w:ind w:firstLine="318"/>
        <w:spacing w:after="0" w:line="264" w:lineRule="auto"/>
        <w:rPr>
          <w:sz w:val="20"/>
          <w:szCs w:val="20"/>
          <w:color w:val="auto"/>
        </w:rPr>
      </w:pPr>
      <w:r>
        <w:rPr>
          <w:rFonts w:ascii="Arial" w:cs="Arial" w:eastAsia="Arial" w:hAnsi="Arial"/>
          <w:sz w:val="18"/>
          <w:szCs w:val="18"/>
          <w:color w:val="auto"/>
        </w:rPr>
        <w:t>Expense associated with short term leases and variable lease costs were immaterial for the year ended December 31, 2021. The expense related to short term leases reasonably reflected our short-term lease commitments.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Leasing Activity</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 xml:space="preserve">During the twelve months ended December 31, 2021, the Company executed an agreement to sublet our existing Waltham office space for the remainder of our lease term in anticipation of our office relocation which commenced in June 2021. Sublease income will be recorded as a reduction of rent expense and allocated to the appropriate financial statement line item to arrive at </w:t>
      </w:r>
      <w:r>
        <w:rPr>
          <w:rFonts w:ascii="Arial" w:cs="Arial" w:eastAsia="Arial" w:hAnsi="Arial"/>
          <w:sz w:val="17"/>
          <w:szCs w:val="17"/>
          <w:i w:val="1"/>
          <w:iCs w:val="1"/>
          <w:color w:val="auto"/>
        </w:rPr>
        <w:t>Income (loss) from operations</w:t>
      </w:r>
      <w:r>
        <w:rPr>
          <w:rFonts w:ascii="Arial" w:cs="Arial" w:eastAsia="Arial" w:hAnsi="Arial"/>
          <w:sz w:val="17"/>
          <w:szCs w:val="17"/>
          <w:color w:val="auto"/>
        </w:rPr>
        <w:t xml:space="preserve"> on our Consolidated Statements of Operations. In connection with these activities, and as referenced in Note 6 - Property and Equipment, we recorded a cumulative impairment charge of $1.5 million to reduce the carrying values of our existing Waltham right-of-use asset to its fair value.</w:t>
      </w:r>
    </w:p>
    <w:p>
      <w:pPr>
        <w:spacing w:after="0" w:line="12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In the first quarter of 2021, we executed a lease for office space in Waltham, Massachusetts, with the rent payments for the first phase expected to commence at the earliest in January 2022 and the rent payments for the additional phases expected to commence between January 2023 and April 2027. The lease will terminate on December 31, 2036, the last day of the fifteenth lease year. The lease is subject to fixed-rate rent escalations and provides for $11.3 million in tenant improvements and the option to extend the lease for two terms of five years each, which were not reasonably certain of exercise. The Company determined that it is the accounting owner of all tenant improvements. Upon commencement of the first phase of the lease in June 2021, the Company recorded an operating lease right-of-use asset and lease liability of $35.2 million. As the commencement of the subsequent phases of this lease are expected to occur in the future, the Company has not recorded operating lease right-of-use assets or lease liabilities for these phases as of December 31, 2021. Undiscounted lease payments under the subsequent phases are anticipated to be $59.5 million, which are not included in the tabular disclosure of undiscounted future minimum lease payments under non-cancelable leases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3" w:name="page144"/>
    <w:bookmarkEnd w:id="14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Leases (continued)</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In the third quarter of 2021, we executed a lease for a new corporate headquarters in Vancouver, Washington, which will become available for occupancy in phases as construction progresses. The first phase is expected to commence at the earliest in January 2025 and the second and third phases expected to commence in January 2026 and January 2027, respectively. The lease is expected to terminate on October 31, 2040, the last day of the 190th month after lease commencement. The lease is subject to fixed-rate rent escalations and provides for $42.1 million in tenant improvements and the option to extend the lease for two terms of five years each, which were not reasonably certain of exercise. Undiscounted lease payments are anticipated to be $291.7 million, excluding tenant allowance reimbursements, and are not included in the tabular disclosure of undiscounted future minimum lease payments under non-cancelable leases above.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w:t>
      </w:r>
    </w:p>
    <w:p>
      <w:pPr>
        <w:spacing w:after="0" w:line="164" w:lineRule="exact"/>
        <w:rPr>
          <w:sz w:val="20"/>
          <w:szCs w:val="20"/>
          <w:color w:val="auto"/>
        </w:rPr>
      </w:pPr>
    </w:p>
    <w:p>
      <w:pPr>
        <w:jc w:val="both"/>
        <w:ind w:firstLine="318"/>
        <w:spacing w:after="0" w:line="314" w:lineRule="auto"/>
        <w:rPr>
          <w:sz w:val="20"/>
          <w:szCs w:val="20"/>
          <w:color w:val="auto"/>
        </w:rPr>
      </w:pPr>
      <w:r>
        <w:rPr>
          <w:rFonts w:ascii="Arial" w:cs="Arial" w:eastAsia="Arial" w:hAnsi="Arial"/>
          <w:sz w:val="15"/>
          <w:szCs w:val="15"/>
          <w:b w:val="1"/>
          <w:bCs w:val="1"/>
          <w:color w:val="auto"/>
        </w:rPr>
        <w:t xml:space="preserve">2020 Omnibus Incentive Plan </w:t>
      </w:r>
      <w:r>
        <w:rPr>
          <w:rFonts w:ascii="Arial" w:cs="Arial" w:eastAsia="Arial" w:hAnsi="Arial"/>
          <w:sz w:val="15"/>
          <w:szCs w:val="15"/>
          <w:color w:val="auto"/>
        </w:rPr>
        <w:t>- On May 27, 2020, the Board of Directors of the Company (the “Board”) adopted the ZoomInfo Technologies Inc. 2020</w:t>
      </w:r>
      <w:r>
        <w:rPr>
          <w:rFonts w:ascii="Arial" w:cs="Arial" w:eastAsia="Arial" w:hAnsi="Arial"/>
          <w:sz w:val="15"/>
          <w:szCs w:val="15"/>
          <w:b w:val="1"/>
          <w:bCs w:val="1"/>
          <w:color w:val="auto"/>
        </w:rPr>
        <w:t xml:space="preserve"> </w:t>
      </w:r>
      <w:r>
        <w:rPr>
          <w:rFonts w:ascii="Arial" w:cs="Arial" w:eastAsia="Arial" w:hAnsi="Arial"/>
          <w:sz w:val="15"/>
          <w:szCs w:val="15"/>
          <w:color w:val="auto"/>
        </w:rPr>
        <w:t>Omnibus Incentive Plan (the “Omnibus Plan”). The Omnibus Plan provides for potential grants of the following awards with respect to shares of the Company’s Class A common stock and OpCo Units: (i) incentive stock options qualified as such under U.S. federal income tax laws; (ii) non-qualified stock options or any other form of stock options; (iii) stock appreciation rights; (iv) restricted stock; (v) restricted stock units; (vi) OpCo Units, and (vii) other equity-based and cash-based incentive awards as determined by the compensation committee of the Board or any properly delegated subcommittee.</w:t>
      </w:r>
    </w:p>
    <w:p>
      <w:pPr>
        <w:spacing w:after="0" w:line="97"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The maximum aggregate number of shares of the Company’s Class A common stock that may be issued pursuant to awards under the Omnibus Plan shall not exceed 18,650,000 shares (including OpCo Units or other securities which have been issued under the plan and were converted into awards based on shares of Class A common stock) (the “Plan Share Reserve”). The Omnibus Plan also contains a provision that will add an additional number of shares of Class A common stock to the Plan Share Reserve on the first day of each year starting with January 1, 2021, equal to the lesser of (i) the positive difference between (x) 5% of the outstanding Class A Common Stock on the last day of the immediately preceding year, and (y) the Plan Share Reserve on the last day of the immediately preceding year, and (ii) a lower number of shares of Class A Common Stock as may be determined by the Board.</w:t>
      </w:r>
    </w:p>
    <w:p>
      <w:pPr>
        <w:spacing w:after="0" w:line="9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currently has equity-based compensation awards outstanding as follows: Restricted Stock Units, Class A Common Stock Options, and Restricted Stock. In addition, the Company recognizes equity-based compensation expense from awards granted to employees as further described below under HSKB Incentive Units.</w:t>
      </w:r>
    </w:p>
    <w:p>
      <w:pPr>
        <w:spacing w:after="0" w:line="135"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Except where indicated otherwise, the equity-based compensation awards described below are subject to time-based service requirements. For grants issued prior to June 2020, the service vesting condition is generally over four years with 50% vesting on the two years anniversary of the grant date of the award and the remainder vesting monthly thereafter. For awards made after May 2020, the service vesting condition is generally up to four years with 25% vesting on the one year anniversary of the grant date of the award and 6.25% vesting quarterly thereafter. In December 2021, RSUs were granted where the service vesting condition is 100% vesting on the second anniversary of the grant date of the award. These awards had a grant date fair value of $104.1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Unit (“RSU”)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660" w:type="dxa"/>
            <w:vAlign w:val="bottom"/>
            <w:gridSpan w:val="5"/>
            <w:vMerge w:val="restart"/>
          </w:tcPr>
          <w:p>
            <w:pPr>
              <w:ind w:left="840"/>
              <w:spacing w:after="0"/>
              <w:rPr>
                <w:sz w:val="20"/>
                <w:szCs w:val="20"/>
                <w:color w:val="auto"/>
              </w:rPr>
            </w:pPr>
            <w:r>
              <w:rPr>
                <w:rFonts w:ascii="Arial" w:cs="Arial" w:eastAsia="Arial" w:hAnsi="Arial"/>
                <w:sz w:val="14"/>
                <w:szCs w:val="14"/>
                <w:b w:val="1"/>
                <w:bCs w:val="1"/>
                <w:color w:val="auto"/>
              </w:rPr>
              <w:t>Year Ended December 31, 2021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5"/>
        </w:trPr>
        <w:tc>
          <w:tcPr>
            <w:tcW w:w="5840" w:type="dxa"/>
            <w:vAlign w:val="bottom"/>
          </w:tcPr>
          <w:p>
            <w:pPr>
              <w:spacing w:after="0"/>
              <w:rPr>
                <w:sz w:val="16"/>
                <w:szCs w:val="16"/>
                <w:color w:val="auto"/>
              </w:rPr>
            </w:pPr>
          </w:p>
        </w:tc>
        <w:tc>
          <w:tcPr>
            <w:tcW w:w="3660" w:type="dxa"/>
            <w:vAlign w:val="bottom"/>
            <w:gridSpan w:val="5"/>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7"/>
        </w:trPr>
        <w:tc>
          <w:tcPr>
            <w:tcW w:w="5840" w:type="dxa"/>
            <w:vAlign w:val="bottom"/>
          </w:tcPr>
          <w:p>
            <w:pPr>
              <w:spacing w:after="0"/>
              <w:rPr>
                <w:sz w:val="11"/>
                <w:szCs w:val="11"/>
                <w:color w:val="auto"/>
              </w:rPr>
            </w:pPr>
          </w:p>
        </w:tc>
        <w:tc>
          <w:tcPr>
            <w:tcW w:w="174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4"/>
                <w:szCs w:val="14"/>
                <w:b w:val="1"/>
                <w:bCs w:val="1"/>
                <w:color w:val="auto"/>
              </w:rPr>
              <w:t>Restricted Stock Units</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right"/>
              <w:ind w:right="37"/>
              <w:spacing w:after="0" w:line="127" w:lineRule="exact"/>
              <w:rPr>
                <w:sz w:val="20"/>
                <w:szCs w:val="20"/>
                <w:color w:val="auto"/>
              </w:rPr>
            </w:pPr>
            <w:r>
              <w:rPr>
                <w:rFonts w:ascii="Arial" w:cs="Arial" w:eastAsia="Arial" w:hAnsi="Arial"/>
                <w:sz w:val="14"/>
                <w:szCs w:val="14"/>
                <w:b w:val="1"/>
                <w:bCs w:val="1"/>
                <w:color w:val="auto"/>
                <w:w w:val="91"/>
              </w:rPr>
              <w:t>Weighted Average Grant</w:t>
            </w:r>
          </w:p>
        </w:tc>
        <w:tc>
          <w:tcPr>
            <w:tcW w:w="80" w:type="dxa"/>
            <w:vAlign w:val="bottom"/>
          </w:tcPr>
          <w:p>
            <w:pPr>
              <w:spacing w:after="0"/>
              <w:rPr>
                <w:sz w:val="11"/>
                <w:szCs w:val="11"/>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Restricted Stock Units</w:t>
            </w:r>
          </w:p>
        </w:tc>
        <w:tc>
          <w:tcPr>
            <w:tcW w:w="0" w:type="dxa"/>
            <w:vAlign w:val="bottom"/>
          </w:tcPr>
          <w:p>
            <w:pPr>
              <w:spacing w:after="0"/>
              <w:rPr>
                <w:sz w:val="1"/>
                <w:szCs w:val="1"/>
                <w:color w:val="auto"/>
              </w:rPr>
            </w:pPr>
          </w:p>
        </w:tc>
      </w:tr>
      <w:tr>
        <w:trPr>
          <w:trHeight w:val="185"/>
        </w:trPr>
        <w:tc>
          <w:tcPr>
            <w:tcW w:w="584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Date Fair Value</w:t>
            </w: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985,398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4,656,717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59.01</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1,055,609</w:t>
            </w:r>
          </w:p>
        </w:tc>
        <w:tc>
          <w:tcPr>
            <w:tcW w:w="0" w:type="dxa"/>
            <w:vAlign w:val="bottom"/>
          </w:tcPr>
          <w:p>
            <w:pPr>
              <w:spacing w:after="0"/>
              <w:rPr>
                <w:sz w:val="1"/>
                <w:szCs w:val="1"/>
                <w:color w:val="auto"/>
              </w:rPr>
            </w:pPr>
          </w:p>
        </w:tc>
      </w:tr>
      <w:tr>
        <w:trPr>
          <w:trHeight w:val="226"/>
        </w:trPr>
        <w:tc>
          <w:tcPr>
            <w:tcW w:w="5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(443,647)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(26,674)</w:t>
            </w:r>
          </w:p>
        </w:tc>
        <w:tc>
          <w:tcPr>
            <w:tcW w:w="0" w:type="dxa"/>
            <w:vAlign w:val="bottom"/>
          </w:tcPr>
          <w:p>
            <w:pPr>
              <w:spacing w:after="0"/>
              <w:rPr>
                <w:sz w:val="1"/>
                <w:szCs w:val="1"/>
                <w:color w:val="auto"/>
              </w:rPr>
            </w:pPr>
          </w:p>
        </w:tc>
      </w:tr>
      <w:tr>
        <w:trPr>
          <w:trHeight w:val="225"/>
        </w:trPr>
        <w:tc>
          <w:tcPr>
            <w:tcW w:w="5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(344,673)</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46.15</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(43,537)</w:t>
            </w: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4,853,795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985,398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the Company issued shares of Restricted Stock in exchange for all unvested HoldCo Units, Class P Units, and LTIP Units owned directly by employees of the Company (refer to Note 1 - Organization and Background). The exchanged shares of Restricted Stock remain subject to the same service vesting requirements of the original units. Upon fulfillment of the original employment service conditions, the restrictions will be lifted and the Restricted Stock will convert to unrestricted Class A Shares.</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Restricted Stock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80" w:type="dxa"/>
            <w:vAlign w:val="bottom"/>
            <w:gridSpan w:val="5"/>
            <w:vMerge w:val="restart"/>
          </w:tcPr>
          <w:p>
            <w:pPr>
              <w:jc w:val="right"/>
              <w:ind w:right="209"/>
              <w:spacing w:after="0"/>
              <w:rPr>
                <w:sz w:val="20"/>
                <w:szCs w:val="20"/>
                <w:color w:val="auto"/>
              </w:rPr>
            </w:pPr>
            <w:r>
              <w:rPr>
                <w:rFonts w:ascii="Arial" w:cs="Arial" w:eastAsia="Arial" w:hAnsi="Arial"/>
                <w:sz w:val="14"/>
                <w:szCs w:val="14"/>
                <w:b w:val="1"/>
                <w:bCs w:val="1"/>
                <w:color w:val="auto"/>
              </w:rPr>
              <w:t>Year Ended December 31, 2021</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vMerge w:val="restart"/>
          </w:tcPr>
          <w:p>
            <w:pPr>
              <w:jc w:val="right"/>
              <w:ind w:right="302"/>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gridSpan w:val="2"/>
            <w:vMerge w:val="restart"/>
          </w:tcPr>
          <w:p>
            <w:pPr>
              <w:spacing w:after="0"/>
              <w:rPr>
                <w:sz w:val="11"/>
                <w:szCs w:val="11"/>
                <w:color w:val="auto"/>
              </w:rPr>
            </w:pPr>
          </w:p>
        </w:tc>
        <w:tc>
          <w:tcPr>
            <w:tcW w:w="20" w:type="dxa"/>
            <w:vAlign w:val="bottom"/>
          </w:tcPr>
          <w:p>
            <w:pPr>
              <w:spacing w:after="0"/>
              <w:rPr>
                <w:sz w:val="11"/>
                <w:szCs w:val="11"/>
                <w:color w:val="auto"/>
              </w:rPr>
            </w:pPr>
          </w:p>
        </w:tc>
        <w:tc>
          <w:tcPr>
            <w:tcW w:w="1700" w:type="dxa"/>
            <w:vAlign w:val="bottom"/>
            <w:gridSpan w:val="2"/>
          </w:tcPr>
          <w:p>
            <w:pPr>
              <w:jc w:val="right"/>
              <w:ind w:right="12"/>
              <w:spacing w:after="0" w:line="127" w:lineRule="exact"/>
              <w:rPr>
                <w:sz w:val="20"/>
                <w:szCs w:val="20"/>
                <w:color w:val="auto"/>
              </w:rPr>
            </w:pPr>
            <w:r>
              <w:rPr>
                <w:rFonts w:ascii="Arial" w:cs="Arial" w:eastAsia="Arial" w:hAnsi="Arial"/>
                <w:sz w:val="14"/>
                <w:szCs w:val="14"/>
                <w:b w:val="1"/>
                <w:bCs w:val="1"/>
                <w:color w:val="auto"/>
                <w:w w:val="96"/>
              </w:rPr>
              <w:t>Weighted Average Grant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Restricted stock</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8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gridSpan w:val="2"/>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b w:val="1"/>
                <w:bCs w:val="1"/>
                <w:color w:val="auto"/>
              </w:rPr>
              <w:t>Date Fair Value</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20" w:type="dxa"/>
            <w:vAlign w:val="bottom"/>
            <w:shd w:val="clear" w:color="auto" w:fill="CCEEFF"/>
          </w:tcPr>
          <w:p>
            <w:pPr>
              <w:spacing w:after="0"/>
              <w:rPr>
                <w:sz w:val="19"/>
                <w:szCs w:val="19"/>
                <w:color w:val="auto"/>
              </w:rPr>
            </w:pPr>
          </w:p>
        </w:tc>
        <w:tc>
          <w:tcPr>
            <w:tcW w:w="1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Exchanged HoldCo Units</w:t>
            </w:r>
          </w:p>
        </w:tc>
        <w:tc>
          <w:tcPr>
            <w:tcW w:w="1740" w:type="dxa"/>
            <w:vAlign w:val="bottom"/>
            <w:gridSpan w:val="2"/>
          </w:tcPr>
          <w:p>
            <w:pPr>
              <w:jc w:val="right"/>
              <w:ind w:right="2"/>
              <w:spacing w:after="0"/>
              <w:rPr>
                <w:sz w:val="20"/>
                <w:szCs w:val="20"/>
                <w:color w:val="auto"/>
              </w:rPr>
            </w:pPr>
            <w:r>
              <w:rPr>
                <w:rFonts w:ascii="Arial" w:cs="Arial" w:eastAsia="Arial" w:hAnsi="Arial"/>
                <w:sz w:val="18"/>
                <w:szCs w:val="18"/>
                <w:color w:val="auto"/>
              </w:rPr>
              <w:t>872,371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98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9.36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Exchanged Class P Units</w:t>
            </w:r>
          </w:p>
        </w:tc>
        <w:tc>
          <w:tcPr>
            <w:tcW w:w="17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3,380,469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Exchanged LTIP Units</w:t>
            </w:r>
          </w:p>
        </w:tc>
        <w:tc>
          <w:tcPr>
            <w:tcW w:w="1740" w:type="dxa"/>
            <w:vAlign w:val="bottom"/>
            <w:gridSpan w:val="2"/>
          </w:tcPr>
          <w:p>
            <w:pPr>
              <w:jc w:val="right"/>
              <w:ind w:right="2"/>
              <w:spacing w:after="0"/>
              <w:rPr>
                <w:sz w:val="20"/>
                <w:szCs w:val="20"/>
                <w:color w:val="auto"/>
              </w:rPr>
            </w:pPr>
            <w:r>
              <w:rPr>
                <w:rFonts w:ascii="Arial" w:cs="Arial" w:eastAsia="Arial" w:hAnsi="Arial"/>
                <w:sz w:val="18"/>
                <w:szCs w:val="18"/>
                <w:color w:val="auto"/>
              </w:rPr>
              <w:t>294,665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98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(992,945)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(29,187)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98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top w:val="single" w:sz="8" w:color="auto"/>
              <w:bottom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3,525,373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CCEEFF"/>
              <w:bottom w:val="single" w:sz="8" w:color="CCEEFF"/>
            </w:tcBorders>
            <w:gridSpan w:val="2"/>
            <w:shd w:val="clear" w:color="auto" w:fill="CCEEFF"/>
          </w:tcPr>
          <w:p>
            <w:pPr>
              <w:jc w:val="right"/>
              <w:ind w:right="989"/>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Class A Common Stock Options</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5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5820" w:type="dxa"/>
            <w:vAlign w:val="bottom"/>
          </w:tcPr>
          <w:p>
            <w:pPr>
              <w:ind w:left="320"/>
              <w:spacing w:after="0"/>
              <w:rPr>
                <w:sz w:val="20"/>
                <w:szCs w:val="20"/>
                <w:color w:val="auto"/>
              </w:rPr>
            </w:pPr>
            <w:r>
              <w:rPr>
                <w:rFonts w:ascii="Arial" w:cs="Arial" w:eastAsia="Arial" w:hAnsi="Arial"/>
                <w:sz w:val="18"/>
                <w:szCs w:val="18"/>
                <w:color w:val="auto"/>
              </w:rPr>
              <w:t>Options activity was as follows during the period indicated: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80" w:type="dxa"/>
            <w:vAlign w:val="bottom"/>
            <w:gridSpan w:val="5"/>
            <w:vMerge w:val="restart"/>
          </w:tcPr>
          <w:p>
            <w:pPr>
              <w:jc w:val="right"/>
              <w:ind w:right="169"/>
              <w:spacing w:after="0"/>
              <w:rPr>
                <w:sz w:val="20"/>
                <w:szCs w:val="20"/>
                <w:color w:val="auto"/>
              </w:rPr>
            </w:pPr>
            <w:r>
              <w:rPr>
                <w:rFonts w:ascii="Arial" w:cs="Arial" w:eastAsia="Arial" w:hAnsi="Arial"/>
                <w:sz w:val="14"/>
                <w:szCs w:val="14"/>
                <w:b w:val="1"/>
                <w:bCs w:val="1"/>
                <w:color w:val="auto"/>
              </w:rPr>
              <w:t>Year Ended December 31, 2021</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80" w:type="dxa"/>
            <w:vAlign w:val="bottom"/>
            <w:gridSpan w:val="5"/>
            <w:vMerge w:val="continue"/>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5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Borders>
              <w:top w:val="single" w:sz="8" w:color="auto"/>
            </w:tcBorders>
            <w:gridSpan w:val="2"/>
            <w:vMerge w:val="restart"/>
          </w:tcPr>
          <w:p>
            <w:pPr>
              <w:ind w:left="640"/>
              <w:spacing w:after="0"/>
              <w:rPr>
                <w:sz w:val="20"/>
                <w:szCs w:val="20"/>
                <w:color w:val="auto"/>
              </w:rPr>
            </w:pPr>
            <w:r>
              <w:rPr>
                <w:rFonts w:ascii="Arial" w:cs="Arial" w:eastAsia="Arial" w:hAnsi="Arial"/>
                <w:sz w:val="14"/>
                <w:szCs w:val="14"/>
                <w:b w:val="1"/>
                <w:bCs w:val="1"/>
                <w:color w:val="auto"/>
              </w:rPr>
              <w:t>Options</w:t>
            </w:r>
          </w:p>
        </w:tc>
        <w:tc>
          <w:tcPr>
            <w:tcW w:w="80" w:type="dxa"/>
            <w:vAlign w:val="bottom"/>
            <w:tcBorders>
              <w:top w:val="single" w:sz="8" w:color="auto"/>
            </w:tcBorders>
            <w:vMerge w:val="restart"/>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3"/>
          </w:tcPr>
          <w:p>
            <w:pPr>
              <w:ind w:left="40"/>
              <w:spacing w:after="0" w:line="127" w:lineRule="exact"/>
              <w:rPr>
                <w:sz w:val="20"/>
                <w:szCs w:val="20"/>
                <w:color w:val="auto"/>
              </w:rPr>
            </w:pPr>
            <w:r>
              <w:rPr>
                <w:rFonts w:ascii="Arial" w:cs="Arial" w:eastAsia="Arial" w:hAnsi="Arial"/>
                <w:sz w:val="14"/>
                <w:szCs w:val="14"/>
                <w:b w:val="1"/>
                <w:bCs w:val="1"/>
                <w:color w:val="auto"/>
                <w:w w:val="91"/>
              </w:rPr>
              <w:t>Weighted Average Exercise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7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Price</w:t>
            </w:r>
          </w:p>
        </w:tc>
        <w:tc>
          <w:tcPr>
            <w:tcW w:w="5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552,440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6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20" w:type="dxa"/>
            <w:vAlign w:val="bottom"/>
          </w:tcPr>
          <w:p>
            <w:pPr>
              <w:spacing w:after="0"/>
              <w:rPr>
                <w:sz w:val="19"/>
                <w:szCs w:val="19"/>
                <w:color w:val="auto"/>
              </w:rPr>
            </w:pPr>
          </w:p>
        </w:tc>
        <w:tc>
          <w:tcPr>
            <w:tcW w:w="18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969"/>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576,708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(329,693)</w:t>
            </w: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96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(33,025)</w:t>
            </w: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gridSpan w:val="2"/>
          </w:tcPr>
          <w:p>
            <w:pPr>
              <w:jc w:val="right"/>
              <w:ind w:right="96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(24,268)</w:t>
            </w:r>
          </w:p>
        </w:tc>
        <w:tc>
          <w:tcPr>
            <w:tcW w:w="0" w:type="dxa"/>
            <w:vAlign w:val="bottom"/>
          </w:tcPr>
          <w:p>
            <w:pPr>
              <w:spacing w:after="0"/>
              <w:rPr>
                <w:sz w:val="1"/>
                <w:szCs w:val="1"/>
                <w:color w:val="auto"/>
              </w:rPr>
            </w:pPr>
          </w:p>
        </w:tc>
      </w:tr>
      <w:tr>
        <w:trPr>
          <w:trHeight w:val="23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189,722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96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552,440</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Options have a maximum contractual term of ten years. The aggregate intrinsic value and weighted average remaining contractual terms of Options outstanding and Options exercisable were as follows as of December 31,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December 31, 2021</w:t>
            </w:r>
          </w:p>
        </w:tc>
      </w:tr>
      <w:tr>
        <w:trPr>
          <w:trHeight w:val="211"/>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intrinsic value (in millions)</w:t>
            </w:r>
          </w:p>
        </w:tc>
        <w:tc>
          <w:tcPr>
            <w:tcW w:w="3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5"/>
        </w:trPr>
        <w:tc>
          <w:tcPr>
            <w:tcW w:w="8980" w:type="dxa"/>
            <w:vAlign w:val="bottom"/>
          </w:tcPr>
          <w:p>
            <w:pPr>
              <w:ind w:left="120"/>
              <w:spacing w:after="0"/>
              <w:rPr>
                <w:sz w:val="20"/>
                <w:szCs w:val="20"/>
                <w:color w:val="auto"/>
              </w:rPr>
            </w:pPr>
            <w:r>
              <w:rPr>
                <w:rFonts w:ascii="Arial" w:cs="Arial" w:eastAsia="Arial" w:hAnsi="Arial"/>
                <w:sz w:val="18"/>
                <w:szCs w:val="18"/>
                <w:color w:val="auto"/>
              </w:rPr>
              <w:t>Unit Options outstanding</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6"/>
        </w:trPr>
        <w:tc>
          <w:tcPr>
            <w:tcW w:w="8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 Options exercisable</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5"/>
        </w:trPr>
        <w:tc>
          <w:tcPr>
            <w:tcW w:w="8980" w:type="dxa"/>
            <w:vAlign w:val="bottom"/>
          </w:tcPr>
          <w:p>
            <w:pPr>
              <w:ind w:left="20"/>
              <w:spacing w:after="0"/>
              <w:rPr>
                <w:sz w:val="20"/>
                <w:szCs w:val="20"/>
                <w:color w:val="auto"/>
              </w:rPr>
            </w:pPr>
            <w:r>
              <w:rPr>
                <w:rFonts w:ascii="Arial" w:cs="Arial" w:eastAsia="Arial" w:hAnsi="Arial"/>
                <w:sz w:val="18"/>
                <w:szCs w:val="18"/>
                <w:color w:val="auto"/>
              </w:rPr>
              <w:t>Weighted average remaining contractual life (in years)</w:t>
            </w: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6"/>
        </w:trPr>
        <w:tc>
          <w:tcPr>
            <w:tcW w:w="8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 Options outstanding</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years</w:t>
            </w:r>
          </w:p>
        </w:tc>
      </w:tr>
      <w:tr>
        <w:trPr>
          <w:trHeight w:val="224"/>
        </w:trPr>
        <w:tc>
          <w:tcPr>
            <w:tcW w:w="8980" w:type="dxa"/>
            <w:vAlign w:val="bottom"/>
          </w:tcPr>
          <w:p>
            <w:pPr>
              <w:ind w:left="120"/>
              <w:spacing w:after="0"/>
              <w:rPr>
                <w:sz w:val="20"/>
                <w:szCs w:val="20"/>
                <w:color w:val="auto"/>
              </w:rPr>
            </w:pPr>
            <w:r>
              <w:rPr>
                <w:rFonts w:ascii="Arial" w:cs="Arial" w:eastAsia="Arial" w:hAnsi="Arial"/>
                <w:sz w:val="18"/>
                <w:szCs w:val="18"/>
                <w:color w:val="auto"/>
              </w:rPr>
              <w:t>Unit Options exercisable</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8.1 years</w:t>
            </w:r>
          </w:p>
        </w:tc>
      </w:tr>
    </w:tbl>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All Options outstanding were issued at the time of the IPO in 2020. No additional options have been issued to date. The fair value of Class A Common Stock Options granted at the time of the IPO was determined using the Black-Scholes option pricing model with the following assumption ranges and fair value per unit: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r>
      <w:tr>
        <w:trPr>
          <w:trHeight w:val="185"/>
        </w:trPr>
        <w:tc>
          <w:tcPr>
            <w:tcW w:w="94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21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39.0% to 39.3%</w:t>
            </w: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5.6 to 5.9 years</w:t>
            </w:r>
          </w:p>
        </w:tc>
      </w:tr>
      <w:tr>
        <w:trPr>
          <w:trHeight w:val="226"/>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0.5%</w:t>
            </w:r>
          </w:p>
        </w:tc>
      </w:tr>
      <w:tr>
        <w:trPr>
          <w:trHeight w:val="224"/>
        </w:trPr>
        <w:tc>
          <w:tcPr>
            <w:tcW w:w="9420" w:type="dxa"/>
            <w:vAlign w:val="bottom"/>
          </w:tcPr>
          <w:p>
            <w:pPr>
              <w:ind w:left="20"/>
              <w:spacing w:after="0"/>
              <w:rPr>
                <w:sz w:val="20"/>
                <w:szCs w:val="20"/>
                <w:color w:val="auto"/>
              </w:rPr>
            </w:pPr>
            <w:r>
              <w:rPr>
                <w:rFonts w:ascii="Arial" w:cs="Arial" w:eastAsia="Arial" w:hAnsi="Arial"/>
                <w:sz w:val="18"/>
                <w:szCs w:val="18"/>
                <w:color w:val="auto"/>
              </w:rPr>
              <w:t>Fair value per unit</w:t>
            </w: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$21.00</w:t>
            </w:r>
          </w:p>
        </w:tc>
      </w:tr>
    </w:tbl>
    <w:p>
      <w:pPr>
        <w:spacing w:after="0" w:line="25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estimated the future stock price volatility based on the volatility of a set of publicly traded comparable companies with a look back period consistent with the expected life. The estimated life for the units was based on the expected hold period of private equity owners. The risk-free rate is based on the rate for a U.S. government security with the same estimated life at the time of grant.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HoldCo Units</w:t>
      </w:r>
    </w:p>
    <w:p>
      <w:pPr>
        <w:spacing w:after="0" w:line="16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During the year ended December 31, 2021, ZoomInfo HoldCo waived the restriction on exchanges of unvested HoldCo Units on condition that such holders accept Class A Common Stock subject to the same vesting terms as the corresponding exchanged HoldCo Units. Subsequently, 872,371 unvested HoldCo Units, along with the same number of corresponding Class B Shares held directly by employees of the Company were voluntarily exchanged for 872,371 shares of Restricted Stock.</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HoldCo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680" w:type="dxa"/>
            <w:vAlign w:val="bottom"/>
            <w:gridSpan w:val="5"/>
            <w:vMerge w:val="restart"/>
          </w:tcPr>
          <w:p>
            <w:pPr>
              <w:ind w:left="820"/>
              <w:spacing w:after="0"/>
              <w:rPr>
                <w:sz w:val="20"/>
                <w:szCs w:val="20"/>
                <w:color w:val="auto"/>
              </w:rPr>
            </w:pPr>
            <w:r>
              <w:rPr>
                <w:rFonts w:ascii="Arial" w:cs="Arial" w:eastAsia="Arial" w:hAnsi="Arial"/>
                <w:sz w:val="14"/>
                <w:szCs w:val="14"/>
                <w:b w:val="1"/>
                <w:bCs w:val="1"/>
                <w:color w:val="auto"/>
              </w:rPr>
              <w:t>Year Ended December 31, 20201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680" w:type="dxa"/>
            <w:vAlign w:val="bottom"/>
            <w:gridSpan w:val="5"/>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7"/>
        </w:trPr>
        <w:tc>
          <w:tcPr>
            <w:tcW w:w="5820" w:type="dxa"/>
            <w:vAlign w:val="bottom"/>
          </w:tcPr>
          <w:p>
            <w:pPr>
              <w:spacing w:after="0"/>
              <w:rPr>
                <w:sz w:val="11"/>
                <w:szCs w:val="11"/>
                <w:color w:val="auto"/>
              </w:rPr>
            </w:pPr>
          </w:p>
        </w:tc>
        <w:tc>
          <w:tcPr>
            <w:tcW w:w="174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HoldCo Units</w:t>
            </w: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tcPr>
          <w:p>
            <w:pPr>
              <w:jc w:val="right"/>
              <w:ind w:right="36"/>
              <w:spacing w:after="0" w:line="127" w:lineRule="exact"/>
              <w:rPr>
                <w:sz w:val="20"/>
                <w:szCs w:val="20"/>
                <w:color w:val="auto"/>
              </w:rPr>
            </w:pPr>
            <w:r>
              <w:rPr>
                <w:rFonts w:ascii="Arial" w:cs="Arial" w:eastAsia="Arial" w:hAnsi="Arial"/>
                <w:sz w:val="14"/>
                <w:szCs w:val="14"/>
                <w:b w:val="1"/>
                <w:bCs w:val="1"/>
                <w:color w:val="auto"/>
                <w:w w:val="91"/>
              </w:rPr>
              <w:t>Weighted Average Grant</w:t>
            </w:r>
          </w:p>
        </w:tc>
        <w:tc>
          <w:tcPr>
            <w:tcW w:w="80" w:type="dxa"/>
            <w:vAlign w:val="bottom"/>
          </w:tcPr>
          <w:p>
            <w:pPr>
              <w:spacing w:after="0"/>
              <w:rPr>
                <w:sz w:val="11"/>
                <w:szCs w:val="11"/>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HoldCo Units</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Date Fair Value</w:t>
            </w: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1,214,105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1,332,239</w:t>
            </w:r>
          </w:p>
        </w:tc>
        <w:tc>
          <w:tcPr>
            <w:tcW w:w="0" w:type="dxa"/>
            <w:vAlign w:val="bottom"/>
          </w:tcPr>
          <w:p>
            <w:pPr>
              <w:spacing w:after="0"/>
              <w:rPr>
                <w:sz w:val="1"/>
                <w:szCs w:val="1"/>
                <w:color w:val="auto"/>
              </w:rPr>
            </w:pPr>
          </w:p>
        </w:tc>
      </w:tr>
      <w:tr>
        <w:trPr>
          <w:trHeight w:val="226"/>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Exchanged for Restricted Stock</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(872,371)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Vested</w:t>
            </w:r>
          </w:p>
        </w:tc>
        <w:tc>
          <w:tcPr>
            <w:tcW w:w="1740" w:type="dxa"/>
            <w:vAlign w:val="bottom"/>
          </w:tcPr>
          <w:p>
            <w:pPr>
              <w:jc w:val="right"/>
              <w:spacing w:after="0"/>
              <w:rPr>
                <w:sz w:val="20"/>
                <w:szCs w:val="20"/>
                <w:color w:val="auto"/>
              </w:rPr>
            </w:pPr>
            <w:r>
              <w:rPr>
                <w:rFonts w:ascii="Arial" w:cs="Arial" w:eastAsia="Arial" w:hAnsi="Arial"/>
                <w:sz w:val="18"/>
                <w:szCs w:val="18"/>
                <w:color w:val="auto"/>
              </w:rPr>
              <w:t>(298,177)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(74,207)</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(43,557)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(43,927)</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1,214,105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P Units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During the year ended December 31, 2021, the Company permitted employees to exercise the exchange rights on unvested Class P Units, pursuant to Board approval. Subsequently, the Company exercised the exchange rights on unvested Class P Units due to the elimination of the UP-C Corporate Structure and Multi-Class Voting Structure Elimination (refer to Note 1 - Organization and Background). The recipients received a number of shares of Restricted Stock equal in value to the implied “spread value” of the corresponding Class P Units, calculated based on the excess of the public trading price of Class A common stock at the time of the exchange over the per unit participation threshold of such Class P Units. The shares of Restricted Stock received are subject to the same vesting terms as the corresponding exchanged unvested Class P units.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Class P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260" w:type="dxa"/>
            <w:vAlign w:val="bottom"/>
            <w:gridSpan w:val="4"/>
            <w:vMerge w:val="restart"/>
          </w:tcPr>
          <w:p>
            <w:pPr>
              <w:jc w:val="right"/>
              <w:ind w:right="594"/>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vMerge w:val="restart"/>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Year Ended December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w:t>
            </w:r>
          </w:p>
        </w:tc>
        <w:tc>
          <w:tcPr>
            <w:tcW w:w="0" w:type="dxa"/>
            <w:vAlign w:val="bottom"/>
          </w:tcPr>
          <w:p>
            <w:pPr>
              <w:spacing w:after="0"/>
              <w:rPr>
                <w:sz w:val="1"/>
                <w:szCs w:val="1"/>
                <w:color w:val="auto"/>
              </w:rPr>
            </w:pPr>
          </w:p>
        </w:tc>
      </w:tr>
      <w:tr>
        <w:trPr>
          <w:trHeight w:val="185"/>
        </w:trPr>
        <w:tc>
          <w:tcPr>
            <w:tcW w:w="4560" w:type="dxa"/>
            <w:vAlign w:val="bottom"/>
          </w:tcPr>
          <w:p>
            <w:pPr>
              <w:spacing w:after="0"/>
              <w:rPr>
                <w:sz w:val="16"/>
                <w:szCs w:val="16"/>
                <w:color w:val="auto"/>
              </w:rPr>
            </w:pPr>
          </w:p>
        </w:tc>
        <w:tc>
          <w:tcPr>
            <w:tcW w:w="3260" w:type="dxa"/>
            <w:vAlign w:val="bottom"/>
            <w:tcBorders>
              <w:bottom w:val="single" w:sz="8" w:color="auto"/>
            </w:tcBorders>
            <w:gridSpan w:val="4"/>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31, 2020</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31, 2019</w:t>
            </w:r>
          </w:p>
        </w:tc>
        <w:tc>
          <w:tcPr>
            <w:tcW w:w="0" w:type="dxa"/>
            <w:vAlign w:val="bottom"/>
          </w:tcPr>
          <w:p>
            <w:pPr>
              <w:spacing w:after="0"/>
              <w:rPr>
                <w:sz w:val="1"/>
                <w:szCs w:val="1"/>
                <w:color w:val="auto"/>
              </w:rPr>
            </w:pPr>
          </w:p>
        </w:tc>
      </w:tr>
      <w:tr>
        <w:trPr>
          <w:trHeight w:val="127"/>
        </w:trPr>
        <w:tc>
          <w:tcPr>
            <w:tcW w:w="4560" w:type="dxa"/>
            <w:vAlign w:val="bottom"/>
          </w:tcPr>
          <w:p>
            <w:pPr>
              <w:spacing w:after="0"/>
              <w:rPr>
                <w:sz w:val="11"/>
                <w:szCs w:val="11"/>
                <w:color w:val="auto"/>
              </w:rPr>
            </w:pPr>
          </w:p>
        </w:tc>
        <w:tc>
          <w:tcPr>
            <w:tcW w:w="15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Class P Units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jc w:val="right"/>
              <w:ind w:right="154"/>
              <w:spacing w:after="0" w:line="127" w:lineRule="exact"/>
              <w:rPr>
                <w:sz w:val="20"/>
                <w:szCs w:val="20"/>
                <w:color w:val="auto"/>
              </w:rPr>
            </w:pPr>
            <w:r>
              <w:rPr>
                <w:rFonts w:ascii="Arial" w:cs="Arial" w:eastAsia="Arial" w:hAnsi="Arial"/>
                <w:sz w:val="14"/>
                <w:szCs w:val="14"/>
                <w:b w:val="1"/>
                <w:bCs w:val="1"/>
                <w:color w:val="auto"/>
                <w:w w:val="93"/>
              </w:rPr>
              <w:t>Weighted Average</w:t>
            </w:r>
          </w:p>
        </w:tc>
        <w:tc>
          <w:tcPr>
            <w:tcW w:w="120" w:type="dxa"/>
            <w:vAlign w:val="bottom"/>
          </w:tcPr>
          <w:p>
            <w:pPr>
              <w:spacing w:after="0"/>
              <w:rPr>
                <w:sz w:val="11"/>
                <w:szCs w:val="1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P Units</w:t>
            </w:r>
          </w:p>
        </w:tc>
        <w:tc>
          <w:tcPr>
            <w:tcW w:w="120" w:type="dxa"/>
            <w:vAlign w:val="bottom"/>
            <w:vMerge w:val="restart"/>
          </w:tcPr>
          <w:p>
            <w:pPr>
              <w:spacing w:after="0"/>
              <w:rPr>
                <w:sz w:val="11"/>
                <w:szCs w:val="11"/>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Class P Units</w:t>
            </w:r>
          </w:p>
        </w:tc>
        <w:tc>
          <w:tcPr>
            <w:tcW w:w="0" w:type="dxa"/>
            <w:vAlign w:val="bottom"/>
          </w:tcPr>
          <w:p>
            <w:pPr>
              <w:spacing w:after="0"/>
              <w:rPr>
                <w:sz w:val="1"/>
                <w:szCs w:val="1"/>
                <w:color w:val="auto"/>
              </w:rPr>
            </w:pPr>
          </w:p>
        </w:tc>
      </w:tr>
      <w:tr>
        <w:trPr>
          <w:trHeight w:val="185"/>
        </w:trPr>
        <w:tc>
          <w:tcPr>
            <w:tcW w:w="456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Participation Threshold</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8,796,642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16,893,603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5,716,467</w:t>
            </w:r>
          </w:p>
        </w:tc>
        <w:tc>
          <w:tcPr>
            <w:tcW w:w="0" w:type="dxa"/>
            <w:vAlign w:val="bottom"/>
          </w:tcPr>
          <w:p>
            <w:pPr>
              <w:spacing w:after="0"/>
              <w:rPr>
                <w:sz w:val="1"/>
                <w:szCs w:val="1"/>
                <w:color w:val="auto"/>
              </w:rPr>
            </w:pPr>
          </w:p>
        </w:tc>
      </w:tr>
      <w:tr>
        <w:trPr>
          <w:trHeight w:val="225"/>
        </w:trPr>
        <w:tc>
          <w:tcPr>
            <w:tcW w:w="4560" w:type="dxa"/>
            <w:vAlign w:val="bottom"/>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(1,950,930)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Exchanged for Restricted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(3,855,843)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56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642,500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13,310,663</w:t>
            </w:r>
          </w:p>
        </w:tc>
        <w:tc>
          <w:tcPr>
            <w:tcW w:w="0" w:type="dxa"/>
            <w:vAlign w:val="bottom"/>
          </w:tcPr>
          <w:p>
            <w:pPr>
              <w:spacing w:after="0"/>
              <w:rPr>
                <w:sz w:val="1"/>
                <w:szCs w:val="1"/>
                <w:color w:val="auto"/>
              </w:rPr>
            </w:pPr>
          </w:p>
        </w:tc>
      </w:tr>
      <w:tr>
        <w:trPr>
          <w:trHeight w:val="226"/>
        </w:trPr>
        <w:tc>
          <w:tcPr>
            <w:tcW w:w="4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(4,846,178)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(6,357,566)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(280,563)</w:t>
            </w:r>
          </w:p>
        </w:tc>
        <w:tc>
          <w:tcPr>
            <w:tcW w:w="0" w:type="dxa"/>
            <w:vAlign w:val="bottom"/>
          </w:tcPr>
          <w:p>
            <w:pPr>
              <w:spacing w:after="0"/>
              <w:rPr>
                <w:sz w:val="1"/>
                <w:szCs w:val="1"/>
                <w:color w:val="auto"/>
              </w:rPr>
            </w:pPr>
          </w:p>
        </w:tc>
      </w:tr>
      <w:tr>
        <w:trPr>
          <w:trHeight w:val="225"/>
        </w:trPr>
        <w:tc>
          <w:tcPr>
            <w:tcW w:w="45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(94,621)</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(430,965)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(1,852,964)</w:t>
            </w: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8,796,642</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16,893,603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LTIP Units</w:t>
      </w:r>
    </w:p>
    <w:p>
      <w:pPr>
        <w:spacing w:after="0" w:line="164" w:lineRule="exact"/>
        <w:rPr>
          <w:sz w:val="20"/>
          <w:szCs w:val="20"/>
          <w:color w:val="auto"/>
        </w:rPr>
      </w:pPr>
    </w:p>
    <w:p>
      <w:pPr>
        <w:jc w:val="both"/>
        <w:ind w:right="20" w:firstLine="318"/>
        <w:spacing w:after="0" w:line="264" w:lineRule="auto"/>
        <w:rPr>
          <w:sz w:val="20"/>
          <w:szCs w:val="20"/>
          <w:color w:val="auto"/>
        </w:rPr>
      </w:pPr>
      <w:r>
        <w:rPr>
          <w:rFonts w:ascii="Arial" w:cs="Arial" w:eastAsia="Arial" w:hAnsi="Arial"/>
          <w:sz w:val="18"/>
          <w:szCs w:val="18"/>
          <w:color w:val="auto"/>
        </w:rPr>
        <w:t>During the year ended December 31, 2021, the Company exercised the exchange rights on unvested LTIP Units due to the elimination of the UP-C Corporate Structure and Multi-Class Voting Structure Elimination (refer to Note 1 - Organization and Background).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LTIP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680" w:type="dxa"/>
            <w:vAlign w:val="bottom"/>
            <w:gridSpan w:val="5"/>
            <w:vMerge w:val="restart"/>
          </w:tcPr>
          <w:p>
            <w:pPr>
              <w:ind w:left="860"/>
              <w:spacing w:after="0"/>
              <w:rPr>
                <w:sz w:val="20"/>
                <w:szCs w:val="20"/>
                <w:color w:val="auto"/>
              </w:rPr>
            </w:pPr>
            <w:r>
              <w:rPr>
                <w:rFonts w:ascii="Arial" w:cs="Arial" w:eastAsia="Arial" w:hAnsi="Arial"/>
                <w:sz w:val="14"/>
                <w:szCs w:val="14"/>
                <w:b w:val="1"/>
                <w:bCs w:val="1"/>
                <w:color w:val="auto"/>
              </w:rPr>
              <w:t>Year Ended December 31, 2021</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85"/>
        </w:trPr>
        <w:tc>
          <w:tcPr>
            <w:tcW w:w="5820" w:type="dxa"/>
            <w:vAlign w:val="bottom"/>
          </w:tcPr>
          <w:p>
            <w:pPr>
              <w:spacing w:after="0"/>
              <w:rPr>
                <w:sz w:val="16"/>
                <w:szCs w:val="16"/>
                <w:color w:val="auto"/>
              </w:rPr>
            </w:pPr>
          </w:p>
        </w:tc>
        <w:tc>
          <w:tcPr>
            <w:tcW w:w="3680" w:type="dxa"/>
            <w:vAlign w:val="bottom"/>
            <w:gridSpan w:val="5"/>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127"/>
        </w:trPr>
        <w:tc>
          <w:tcPr>
            <w:tcW w:w="5820" w:type="dxa"/>
            <w:vAlign w:val="bottom"/>
          </w:tcPr>
          <w:p>
            <w:pPr>
              <w:spacing w:after="0"/>
              <w:rPr>
                <w:sz w:val="11"/>
                <w:szCs w:val="11"/>
                <w:color w:val="auto"/>
              </w:rPr>
            </w:pPr>
          </w:p>
        </w:tc>
        <w:tc>
          <w:tcPr>
            <w:tcW w:w="1740" w:type="dxa"/>
            <w:vAlign w:val="bottom"/>
            <w:tcBorders>
              <w:top w:val="single" w:sz="8" w:color="auto"/>
            </w:tcBorders>
            <w:vMerge w:val="restart"/>
          </w:tcPr>
          <w:p>
            <w:pPr>
              <w:jc w:val="right"/>
              <w:ind w:right="458"/>
              <w:spacing w:after="0"/>
              <w:rPr>
                <w:sz w:val="20"/>
                <w:szCs w:val="20"/>
                <w:color w:val="auto"/>
              </w:rPr>
            </w:pPr>
            <w:r>
              <w:rPr>
                <w:rFonts w:ascii="Arial" w:cs="Arial" w:eastAsia="Arial" w:hAnsi="Arial"/>
                <w:sz w:val="14"/>
                <w:szCs w:val="14"/>
                <w:b w:val="1"/>
                <w:bCs w:val="1"/>
                <w:color w:val="auto"/>
              </w:rPr>
              <w:t>LTIP Units</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right"/>
              <w:ind w:right="238"/>
              <w:spacing w:after="0" w:line="127" w:lineRule="exact"/>
              <w:rPr>
                <w:sz w:val="20"/>
                <w:szCs w:val="20"/>
                <w:color w:val="auto"/>
              </w:rPr>
            </w:pPr>
            <w:r>
              <w:rPr>
                <w:rFonts w:ascii="Arial" w:cs="Arial" w:eastAsia="Arial" w:hAnsi="Arial"/>
                <w:sz w:val="14"/>
                <w:szCs w:val="14"/>
                <w:b w:val="1"/>
                <w:bCs w:val="1"/>
                <w:color w:val="auto"/>
              </w:rPr>
              <w:t>Weighted Average</w:t>
            </w:r>
          </w:p>
        </w:tc>
        <w:tc>
          <w:tcPr>
            <w:tcW w:w="80" w:type="dxa"/>
            <w:vAlign w:val="bottom"/>
          </w:tcPr>
          <w:p>
            <w:pPr>
              <w:spacing w:after="0"/>
              <w:rPr>
                <w:sz w:val="11"/>
                <w:szCs w:val="11"/>
                <w:color w:val="auto"/>
              </w:rPr>
            </w:pPr>
          </w:p>
        </w:tc>
        <w:tc>
          <w:tcPr>
            <w:tcW w:w="17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LTIP Units</w:t>
            </w:r>
          </w:p>
        </w:tc>
        <w:tc>
          <w:tcPr>
            <w:tcW w:w="0" w:type="dxa"/>
            <w:vAlign w:val="bottom"/>
          </w:tcPr>
          <w:p>
            <w:pPr>
              <w:spacing w:after="0"/>
              <w:rPr>
                <w:sz w:val="1"/>
                <w:szCs w:val="1"/>
                <w:color w:val="auto"/>
              </w:rPr>
            </w:pPr>
          </w:p>
        </w:tc>
      </w:tr>
      <w:tr>
        <w:trPr>
          <w:trHeight w:val="185"/>
        </w:trPr>
        <w:tc>
          <w:tcPr>
            <w:tcW w:w="58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w w:val="92"/>
              </w:rPr>
              <w:t>Participation Threshold</w:t>
            </w:r>
          </w:p>
        </w:tc>
        <w:tc>
          <w:tcPr>
            <w:tcW w:w="8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20" w:type="dxa"/>
            <w:vAlign w:val="bottom"/>
          </w:tcPr>
          <w:p>
            <w:pPr>
              <w:ind w:left="120"/>
              <w:spacing w:after="0"/>
              <w:rPr>
                <w:sz w:val="20"/>
                <w:szCs w:val="20"/>
                <w:color w:val="auto"/>
              </w:rPr>
            </w:pPr>
            <w:r>
              <w:rPr>
                <w:rFonts w:ascii="Arial" w:cs="Arial" w:eastAsia="Arial" w:hAnsi="Arial"/>
                <w:sz w:val="18"/>
                <w:szCs w:val="18"/>
                <w:color w:val="auto"/>
              </w:rPr>
              <w:t>Exchanged for Restricted Stock</w:t>
            </w:r>
          </w:p>
        </w:tc>
        <w:tc>
          <w:tcPr>
            <w:tcW w:w="1740" w:type="dxa"/>
            <w:vAlign w:val="bottom"/>
          </w:tcPr>
          <w:p>
            <w:pPr>
              <w:jc w:val="right"/>
              <w:spacing w:after="0"/>
              <w:rPr>
                <w:sz w:val="20"/>
                <w:szCs w:val="20"/>
                <w:color w:val="auto"/>
              </w:rPr>
            </w:pPr>
            <w:r>
              <w:rPr>
                <w:rFonts w:ascii="Arial" w:cs="Arial" w:eastAsia="Arial" w:hAnsi="Arial"/>
                <w:sz w:val="18"/>
                <w:szCs w:val="18"/>
                <w:color w:val="auto"/>
              </w:rPr>
              <w:t>(294,665)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47.34</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Granted</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247,045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47,620</w:t>
            </w:r>
          </w:p>
        </w:tc>
        <w:tc>
          <w:tcPr>
            <w:tcW w:w="0" w:type="dxa"/>
            <w:vAlign w:val="bottom"/>
          </w:tcPr>
          <w:p>
            <w:pPr>
              <w:spacing w:after="0"/>
              <w:rPr>
                <w:sz w:val="1"/>
                <w:szCs w:val="1"/>
                <w:color w:val="auto"/>
              </w:rPr>
            </w:pPr>
          </w:p>
        </w:tc>
      </w:tr>
      <w:tr>
        <w:trPr>
          <w:trHeight w:val="219"/>
        </w:trPr>
        <w:tc>
          <w:tcPr>
            <w:tcW w:w="5820" w:type="dxa"/>
            <w:vAlign w:val="bottom"/>
          </w:tcPr>
          <w:p>
            <w:pPr>
              <w:ind w:left="20"/>
              <w:spacing w:after="0"/>
              <w:rPr>
                <w:sz w:val="20"/>
                <w:szCs w:val="20"/>
                <w:color w:val="auto"/>
              </w:rPr>
            </w:pPr>
            <w:r>
              <w:rPr>
                <w:rFonts w:ascii="Arial" w:cs="Arial" w:eastAsia="Arial" w:hAnsi="Arial"/>
                <w:sz w:val="18"/>
                <w:szCs w:val="18"/>
                <w:color w:val="auto"/>
              </w:rPr>
              <w:t>Unvested at end of period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Units</w:t>
      </w:r>
    </w:p>
    <w:p>
      <w:pPr>
        <w:spacing w:after="0" w:line="16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There are no OpCo Units that are unvested and all vested OpCo Units have been converted into Class A Common Stock due to the elimination of the UP-C Corporate Structure and Multi-Class Voting Structure Elimination (refer to Note 1 - Organization and Background).</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OpCo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560" w:type="dxa"/>
            <w:vAlign w:val="bottom"/>
            <w:gridSpan w:val="5"/>
            <w:vMerge w:val="restart"/>
          </w:tcPr>
          <w:p>
            <w:pPr>
              <w:ind w:left="840"/>
              <w:spacing w:after="0"/>
              <w:rPr>
                <w:sz w:val="20"/>
                <w:szCs w:val="20"/>
                <w:color w:val="auto"/>
              </w:rPr>
            </w:pPr>
            <w:r>
              <w:rPr>
                <w:rFonts w:ascii="Arial" w:cs="Arial" w:eastAsia="Arial" w:hAnsi="Arial"/>
                <w:sz w:val="14"/>
                <w:szCs w:val="14"/>
                <w:b w:val="1"/>
                <w:bCs w:val="1"/>
                <w:color w:val="auto"/>
              </w:rPr>
              <w:t>Year Ended December 31, 2021</w:t>
            </w:r>
          </w:p>
        </w:tc>
        <w:tc>
          <w:tcPr>
            <w:tcW w:w="120" w:type="dxa"/>
            <w:vAlign w:val="bottom"/>
            <w:vMerge w:val="restart"/>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Year Ended December 31,</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0" w:type="dxa"/>
            <w:vAlign w:val="bottom"/>
          </w:tcPr>
          <w:p>
            <w:pPr>
              <w:spacing w:after="0"/>
              <w:rPr>
                <w:sz w:val="1"/>
                <w:szCs w:val="1"/>
                <w:color w:val="auto"/>
              </w:rPr>
            </w:pPr>
          </w:p>
        </w:tc>
      </w:tr>
      <w:tr>
        <w:trPr>
          <w:trHeight w:val="185"/>
        </w:trPr>
        <w:tc>
          <w:tcPr>
            <w:tcW w:w="4020" w:type="dxa"/>
            <w:vAlign w:val="bottom"/>
          </w:tcPr>
          <w:p>
            <w:pPr>
              <w:spacing w:after="0"/>
              <w:rPr>
                <w:sz w:val="16"/>
                <w:szCs w:val="16"/>
                <w:color w:val="auto"/>
              </w:rPr>
            </w:pPr>
          </w:p>
        </w:tc>
        <w:tc>
          <w:tcPr>
            <w:tcW w:w="3560" w:type="dxa"/>
            <w:vAlign w:val="bottom"/>
            <w:tcBorders>
              <w:bottom w:val="single" w:sz="8" w:color="auto"/>
            </w:tcBorders>
            <w:gridSpan w:val="5"/>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27"/>
        </w:trPr>
        <w:tc>
          <w:tcPr>
            <w:tcW w:w="4020" w:type="dxa"/>
            <w:vAlign w:val="bottom"/>
          </w:tcPr>
          <w:p>
            <w:pPr>
              <w:spacing w:after="0"/>
              <w:rPr>
                <w:sz w:val="11"/>
                <w:szCs w:val="11"/>
                <w:color w:val="auto"/>
              </w:rPr>
            </w:pPr>
          </w:p>
        </w:tc>
        <w:tc>
          <w:tcPr>
            <w:tcW w:w="134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OpCo Units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tcPr>
          <w:p>
            <w:pPr>
              <w:spacing w:after="0" w:line="127" w:lineRule="exact"/>
              <w:rPr>
                <w:sz w:val="20"/>
                <w:szCs w:val="20"/>
                <w:color w:val="auto"/>
              </w:rPr>
            </w:pPr>
            <w:r>
              <w:rPr>
                <w:rFonts w:ascii="Arial" w:cs="Arial" w:eastAsia="Arial" w:hAnsi="Arial"/>
                <w:sz w:val="14"/>
                <w:szCs w:val="14"/>
                <w:b w:val="1"/>
                <w:bCs w:val="1"/>
                <w:color w:val="auto"/>
                <w:w w:val="96"/>
              </w:rPr>
              <w:t>Weighted Average Grant</w:t>
            </w:r>
          </w:p>
        </w:tc>
        <w:tc>
          <w:tcPr>
            <w:tcW w:w="120" w:type="dxa"/>
            <w:vAlign w:val="bottom"/>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OpCo Units</w:t>
            </w:r>
          </w:p>
        </w:tc>
        <w:tc>
          <w:tcPr>
            <w:tcW w:w="100" w:type="dxa"/>
            <w:vAlign w:val="bottom"/>
            <w:vMerge w:val="restart"/>
          </w:tcPr>
          <w:p>
            <w:pPr>
              <w:spacing w:after="0"/>
              <w:rPr>
                <w:sz w:val="11"/>
                <w:szCs w:val="11"/>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OpCo Units</w:t>
            </w:r>
          </w:p>
        </w:tc>
        <w:tc>
          <w:tcPr>
            <w:tcW w:w="0" w:type="dxa"/>
            <w:vAlign w:val="bottom"/>
          </w:tcPr>
          <w:p>
            <w:pPr>
              <w:spacing w:after="0"/>
              <w:rPr>
                <w:sz w:val="1"/>
                <w:szCs w:val="1"/>
                <w:color w:val="auto"/>
              </w:rPr>
            </w:pPr>
          </w:p>
        </w:tc>
      </w:tr>
      <w:tr>
        <w:trPr>
          <w:trHeight w:val="185"/>
        </w:trPr>
        <w:tc>
          <w:tcPr>
            <w:tcW w:w="40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Date Fair Value</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beginning of period</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228,819</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441,681</w:t>
            </w:r>
          </w:p>
        </w:tc>
        <w:tc>
          <w:tcPr>
            <w:tcW w:w="0" w:type="dxa"/>
            <w:vAlign w:val="bottom"/>
          </w:tcPr>
          <w:p>
            <w:pPr>
              <w:spacing w:after="0"/>
              <w:rPr>
                <w:sz w:val="1"/>
                <w:szCs w:val="1"/>
                <w:color w:val="auto"/>
              </w:rPr>
            </w:pPr>
          </w:p>
        </w:tc>
      </w:tr>
      <w:tr>
        <w:trPr>
          <w:trHeight w:val="225"/>
        </w:trPr>
        <w:tc>
          <w:tcPr>
            <w:tcW w:w="5360" w:type="dxa"/>
            <w:vAlign w:val="bottom"/>
            <w:gridSpan w:val="2"/>
          </w:tcPr>
          <w:p>
            <w:pPr>
              <w:ind w:left="120"/>
              <w:spacing w:after="0"/>
              <w:rPr>
                <w:sz w:val="20"/>
                <w:szCs w:val="20"/>
                <w:color w:val="auto"/>
              </w:rPr>
            </w:pPr>
            <w:r>
              <w:rPr>
                <w:rFonts w:ascii="Arial" w:cs="Arial" w:eastAsia="Arial" w:hAnsi="Arial"/>
                <w:sz w:val="18"/>
                <w:szCs w:val="18"/>
                <w:color w:val="auto"/>
              </w:rPr>
              <w:t>Effect of Reorganization Transactions and IPO</w:t>
            </w: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(6,909)</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(162,218)</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(118,867)</w:t>
            </w:r>
          </w:p>
        </w:tc>
        <w:tc>
          <w:tcPr>
            <w:tcW w:w="0" w:type="dxa"/>
            <w:vAlign w:val="bottom"/>
          </w:tcPr>
          <w:p>
            <w:pPr>
              <w:spacing w:after="0"/>
              <w:rPr>
                <w:sz w:val="1"/>
                <w:szCs w:val="1"/>
                <w:color w:val="auto"/>
              </w:rPr>
            </w:pPr>
          </w:p>
        </w:tc>
      </w:tr>
      <w:tr>
        <w:trPr>
          <w:trHeight w:val="225"/>
        </w:trPr>
        <w:tc>
          <w:tcPr>
            <w:tcW w:w="4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gridSpan w:val="2"/>
          </w:tcPr>
          <w:p>
            <w:pPr>
              <w:ind w:left="13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(59,692)</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(93,995)</w:t>
            </w:r>
          </w:p>
        </w:tc>
        <w:tc>
          <w:tcPr>
            <w:tcW w:w="0" w:type="dxa"/>
            <w:vAlign w:val="bottom"/>
          </w:tcPr>
          <w:p>
            <w:pPr>
              <w:spacing w:after="0"/>
              <w:rPr>
                <w:sz w:val="1"/>
                <w:szCs w:val="1"/>
                <w:color w:val="auto"/>
              </w:rPr>
            </w:pPr>
          </w:p>
        </w:tc>
      </w:tr>
      <w:tr>
        <w:trPr>
          <w:trHeight w:val="239"/>
        </w:trPr>
        <w:tc>
          <w:tcPr>
            <w:tcW w:w="5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at end of period</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228,819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Incentive Units</w:t>
      </w:r>
    </w:p>
    <w:p>
      <w:pPr>
        <w:spacing w:after="0" w:line="164"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 founders of the Company contributed membership units of ZoomInfo OpCo into an upper tier entity, HSKB Funds, LLC, which is controlled by the current CEO of the Company (“HSKB Manager”). In connection with the Reorganization Transactions, HSKB was reorganized into HSKB I and HSKB II (together, “HSKB”), with HSKB I owning OpCo Units and HSKB II owning HoldCo Units. During the year ended December 31, 2021, HSKB II exchanged their HoldCo Units and paired shares of Class B common stock of the Company for share of Class A common stock of the Company pursuant to the terms of the limited liability company agreement of HoldCo. Subsequently, HSKB I exchanged their OpCo Units and paired shares of Class B common stock of the Company for share of Class A common stock of the Company.</w:t>
      </w:r>
    </w:p>
    <w:p>
      <w:pPr>
        <w:spacing w:after="0" w:line="126" w:lineRule="exact"/>
        <w:rPr>
          <w:sz w:val="20"/>
          <w:szCs w:val="20"/>
          <w:color w:val="auto"/>
        </w:rPr>
      </w:pPr>
    </w:p>
    <w:p>
      <w:pPr>
        <w:jc w:val="both"/>
        <w:ind w:firstLine="318"/>
        <w:spacing w:after="0" w:line="330" w:lineRule="auto"/>
        <w:rPr>
          <w:sz w:val="20"/>
          <w:szCs w:val="20"/>
          <w:color w:val="auto"/>
        </w:rPr>
      </w:pPr>
      <w:r>
        <w:rPr>
          <w:rFonts w:ascii="Arial" w:cs="Arial" w:eastAsia="Arial" w:hAnsi="Arial"/>
          <w:sz w:val="15"/>
          <w:szCs w:val="15"/>
          <w:color w:val="auto"/>
        </w:rPr>
        <w:t>HSKB has issued LLC units to the employees of the Company ("HSKB Grant") in the form of Class 1 units and Class 2 units. Such units may be exchangeable into one share of Class A common stock of the Company upon vesting. HSKB awards are recorded as compensation expense of the Company in accordance with the measurement and recognition criteria of ASC 718 for awards made by economic interest holders to employees of the Company.</w:t>
      </w:r>
    </w:p>
    <w:p>
      <w:pPr>
        <w:spacing w:after="0" w:line="8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HSKB has also allocated $31.3 million to be paid in cash over three years from 2019 to 2021 if the holder of an HSKB Grant remains employed by the Company as of the payment date. This pool was further expanded in March 31, 2020, when HSKB allocated an additional $5.3 million to be paid out over four years, starting with March 31, 2020, to holders of HSKB Grants who received grants after the March 2018 Carlyle Investment, subject to the holder’s continued employment by the Company. During the twelve months ended December 31, 2021, HSKB paid $9.0 million from allocated funds and has $2.9 million remaining to be paid through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HSKB Phantom Units</w:t>
      </w:r>
    </w:p>
    <w:p>
      <w:pPr>
        <w:spacing w:after="0" w:line="16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Class A Common Share in the Company. In connection with the Reorganization Transactions, all HSKB Phantom Units were moved from HSKB I to HSKB II. Within 30 days of the later of the date upon which a Phantom Unit vests, HSKB II must settle the HSKB Phantom Unit in exchange for either (1) cash or (2) Class A Common Stock as determined by the HSKB Manager, in each case, equal to the fair market value of such Common Unit at the time of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Equity-based Compensation (continued)</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Unamortized Equity-based Compensation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As of December 31, 2021, unamortized equity-based compensation costs related to each equity-based incentive award described above is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periods in years)</w:t>
            </w:r>
          </w:p>
        </w:tc>
        <w:tc>
          <w:tcPr>
            <w:tcW w:w="360" w:type="dxa"/>
            <w:vAlign w:val="bottom"/>
          </w:tcPr>
          <w:p>
            <w:pPr>
              <w:spacing w:after="0"/>
              <w:rPr>
                <w:sz w:val="14"/>
                <w:szCs w:val="14"/>
                <w:color w:val="auto"/>
              </w:rPr>
            </w:pPr>
          </w:p>
        </w:tc>
        <w:tc>
          <w:tcPr>
            <w:tcW w:w="1360" w:type="dxa"/>
            <w:vAlign w:val="bottom"/>
            <w:vMerge w:val="restart"/>
          </w:tcPr>
          <w:p>
            <w:pPr>
              <w:jc w:val="right"/>
              <w:ind w:right="534"/>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1740" w:type="dxa"/>
            <w:vAlign w:val="bottom"/>
          </w:tcPr>
          <w:p>
            <w:pPr>
              <w:jc w:val="right"/>
              <w:ind w:right="24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76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w w:val="94"/>
              </w:rPr>
              <w:t>Remaining Service Period</w:t>
            </w:r>
          </w:p>
        </w:tc>
        <w:tc>
          <w:tcPr>
            <w:tcW w:w="0" w:type="dxa"/>
            <w:vAlign w:val="bottom"/>
          </w:tcPr>
          <w:p>
            <w:pPr>
              <w:spacing w:after="0"/>
              <w:rPr>
                <w:sz w:val="1"/>
                <w:szCs w:val="1"/>
                <w:color w:val="auto"/>
              </w:rPr>
            </w:pPr>
          </w:p>
        </w:tc>
      </w:tr>
      <w:tr>
        <w:trPr>
          <w:trHeight w:val="21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8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Arial" w:cs="Arial" w:eastAsia="Arial" w:hAnsi="Arial"/>
                <w:sz w:val="18"/>
                <w:szCs w:val="18"/>
                <w:color w:val="auto"/>
              </w:rPr>
              <w:t>Class A Common Stock Options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6"/>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5"/>
        </w:trPr>
        <w:tc>
          <w:tcPr>
            <w:tcW w:w="7660" w:type="dxa"/>
            <w:vAlign w:val="bottom"/>
          </w:tcPr>
          <w:p>
            <w:pPr>
              <w:ind w:left="20"/>
              <w:spacing w:after="0"/>
              <w:rPr>
                <w:sz w:val="20"/>
                <w:szCs w:val="20"/>
                <w:color w:val="auto"/>
              </w:rPr>
            </w:pPr>
            <w:r>
              <w:rPr>
                <w:rFonts w:ascii="Arial" w:cs="Arial" w:eastAsia="Arial" w:hAnsi="Arial"/>
                <w:sz w:val="18"/>
                <w:szCs w:val="18"/>
                <w:color w:val="auto"/>
              </w:rPr>
              <w:t>HSKB Incentive Units</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w:t>
            </w:r>
          </w:p>
        </w:tc>
        <w:tc>
          <w:tcPr>
            <w:tcW w:w="1860" w:type="dxa"/>
            <w:vAlign w:val="bottom"/>
            <w:gridSpan w:val="2"/>
          </w:tcPr>
          <w:p>
            <w:pPr>
              <w:jc w:val="right"/>
              <w:ind w:right="49"/>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5"/>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HSKB Phantom Units</w:t>
            </w: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8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9"/>
        </w:trPr>
        <w:tc>
          <w:tcPr>
            <w:tcW w:w="7660" w:type="dxa"/>
            <w:vAlign w:val="bottom"/>
          </w:tcPr>
          <w:p>
            <w:pPr>
              <w:ind w:left="240"/>
              <w:spacing w:after="0"/>
              <w:rPr>
                <w:sz w:val="20"/>
                <w:szCs w:val="20"/>
                <w:color w:val="auto"/>
              </w:rPr>
            </w:pPr>
            <w:r>
              <w:rPr>
                <w:rFonts w:ascii="Arial" w:cs="Arial" w:eastAsia="Arial" w:hAnsi="Arial"/>
                <w:sz w:val="18"/>
                <w:szCs w:val="18"/>
                <w:color w:val="auto"/>
              </w:rPr>
              <w:t>Total unamortized equity-based compensation cost</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total intrinsic value of profit interests and options that were exercised during the year ended December 31, 2021 and 2020 was $568.4 million and $50.3 million, respectively. The total fair value of all other previously unvested equity-based awards that vested during the year ended December 31, 2021 and 2020 was $59.2 million and $202.5 million,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Segment and Geographic Data</w:t>
      </w:r>
    </w:p>
    <w:p>
      <w:pPr>
        <w:spacing w:after="0" w:line="17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for purposes of making operating decisions, assessing financial performance and allocating resources. The Company’s CODM evaluates financial information on a consolidated basis. As the Company operates as one operating segment, all required segment financial information is found in the consolidated financial statements.</w:t>
      </w:r>
    </w:p>
    <w:p>
      <w:pPr>
        <w:spacing w:after="0" w:line="13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As of December 31, 2021, 2020, and 2019, no significant long-lived assets were held by entities outside of the U.S.</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Contracts denominated in currencies other than U.S. Dollar were not material for the years ended December 31, 2021, 2020, and 2019. Revenues derived from customers and partners located outside the United States, as determined based on the address provided by our customers and partners, accounted for approximately 11%, 9%, and 9% of total revenue for the years ended December 31, 2021, 2020, and 2019, respectively. Revenue by geographic region is as follows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2019</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r>
      <w:tr>
        <w:trPr>
          <w:trHeight w:val="238"/>
        </w:trPr>
        <w:tc>
          <w:tcPr>
            <w:tcW w:w="63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8"/>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476.2</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Tax Receivable Agreements</w:t>
      </w:r>
    </w:p>
    <w:p>
      <w:pPr>
        <w:spacing w:after="0" w:line="170" w:lineRule="exact"/>
        <w:rPr>
          <w:sz w:val="20"/>
          <w:szCs w:val="20"/>
          <w:color w:val="auto"/>
        </w:rPr>
      </w:pPr>
    </w:p>
    <w:p>
      <w:pPr>
        <w:jc w:val="both"/>
        <w:ind w:firstLine="318"/>
        <w:spacing w:after="0" w:line="299" w:lineRule="auto"/>
        <w:rPr>
          <w:sz w:val="20"/>
          <w:szCs w:val="20"/>
          <w:color w:val="auto"/>
        </w:rPr>
      </w:pPr>
      <w:r>
        <w:rPr>
          <w:rFonts w:ascii="Arial" w:cs="Arial" w:eastAsia="Arial" w:hAnsi="Arial"/>
          <w:sz w:val="15"/>
          <w:szCs w:val="15"/>
          <w:color w:val="auto"/>
        </w:rPr>
        <w:t>In connection with the Reorganization Transactions and the IPO,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the ZoomInfo Tax Group actually realizes, or is deemed to realize in certain circumstances, as a result of certain tax attributes and benefits covered by the Tax Receivable Agreements. The Exchange Tax Receivable Agreement provides for the payment by members of the ZoomInfo Tax Group to certain Pre-IPO OpCo Unitholders and certain Pre-IPO HoldCo Unitholders of 85.0% of the benefits, if any, that the ZoomInfo Tax Group realizes as a result of (i) the ZoomInfo Tax Group’s allocable share of existing tax basis acquired in the IPO and (ii) increases in the ZoomInfo Tax Group’s allocable share of existing tax basis and tax basis adjustments that will increase the tax basis of the tangible and intangible assets of the ZoomInfo Tax Group as a result of sales or exchanges of OpCo Units for shares of Class A common stock after the IPO, and certain other tax benefits, including tax benefits attributable to payments under the Exchange Tax Receivable Agreement. During the three months ended December 31, 2021, all remaining units subjects to the Exchange Tax Receivable Agreement had been converted to Class A common stock. The Reorganization Tax Receivable Agreement provides for the payment by ZoomInfo Intermediate Inc. to the Pre-IPO Blocker Holders and certain Pre-IPO HoldCo Unitholders of 85.0% of the benefits, if any, that the ZoomInfo Tax Group realizes as a result of the ZoomInfo Tax Group’s utilization of certain tax attributes of the Blocker Companies (including the ZoomInfo Tax Group’s allocable share of existing tax basis acquired in the Reorganization Transactions), and certain other tax benefits, including tax benefits attributable to payments under the Reorganization Tax Receivable Agreement. The Company expects to benefit from the remaining 15.0% of any of cash savings that it realizes.</w:t>
      </w:r>
    </w:p>
    <w:p>
      <w:pPr>
        <w:spacing w:after="0" w:line="328"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The Company expects to obtain an increase in its share of the tax basis in the net assets of ZoomInfo HoldCo when OpCo Units are exchanged by Pre-IPO OpCo Unitholders. The Company intends to treat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spacing w:after="0" w:line="9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 xml:space="preserve">As of December 31, 2021, the Company had a liability of $3,056.4 million related to its projected obligations under the Tax Receivable Agreements in connection with the Reorganization Transactions and OpCo units exchanged. Tax Receivable Agreements related liabilities are classified as current or noncurrent based on the expected date of payment and are included on the Company’s Consolidated Balance Sheets under the captions </w:t>
      </w:r>
      <w:r>
        <w:rPr>
          <w:rFonts w:ascii="Arial" w:cs="Arial" w:eastAsia="Arial" w:hAnsi="Arial"/>
          <w:sz w:val="15"/>
          <w:szCs w:val="15"/>
          <w:i w:val="1"/>
          <w:iCs w:val="1"/>
          <w:color w:val="auto"/>
        </w:rPr>
        <w:t>Current portion of tax</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receivable agreements liability </w:t>
      </w:r>
      <w:r>
        <w:rPr>
          <w:rFonts w:ascii="Arial" w:cs="Arial" w:eastAsia="Arial" w:hAnsi="Arial"/>
          <w:sz w:val="15"/>
          <w:szCs w:val="15"/>
          <w:color w:val="auto"/>
        </w:rPr>
        <w:t>and</w:t>
      </w:r>
      <w:r>
        <w:rPr>
          <w:rFonts w:ascii="Arial" w:cs="Arial" w:eastAsia="Arial" w:hAnsi="Arial"/>
          <w:sz w:val="15"/>
          <w:szCs w:val="15"/>
          <w:i w:val="1"/>
          <w:iCs w:val="1"/>
          <w:color w:val="auto"/>
        </w:rPr>
        <w:t xml:space="preserve"> Tax receivable agreements liability, net of current portion</w:t>
      </w:r>
      <w:r>
        <w:rPr>
          <w:rFonts w:ascii="Arial" w:cs="Arial" w:eastAsia="Arial" w:hAnsi="Arial"/>
          <w:sz w:val="15"/>
          <w:szCs w:val="15"/>
          <w:color w:val="auto"/>
        </w:rPr>
        <w:t>, respectively. During the year ended December 31, 2021, we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recognized a TRA remeasurement gain of $39.5 million within </w:t>
      </w:r>
      <w:r>
        <w:rPr>
          <w:rFonts w:ascii="Arial" w:cs="Arial" w:eastAsia="Arial" w:hAnsi="Arial"/>
          <w:sz w:val="15"/>
          <w:szCs w:val="15"/>
          <w:i w:val="1"/>
          <w:iCs w:val="1"/>
          <w:color w:val="auto"/>
        </w:rPr>
        <w:t>Other (income) expense, net</w:t>
      </w:r>
      <w:r>
        <w:rPr>
          <w:rFonts w:ascii="Arial" w:cs="Arial" w:eastAsia="Arial" w:hAnsi="Arial"/>
          <w:sz w:val="15"/>
          <w:szCs w:val="15"/>
          <w:color w:val="auto"/>
        </w:rPr>
        <w:t xml:space="preserve"> on our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provision for income taxes for the years ended December 31, 2021, 2020, and 2019 consisted of the following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Year Ended December 31,</w:t>
            </w: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r>
      <w:tr>
        <w:trPr>
          <w:trHeight w:val="206"/>
        </w:trPr>
        <w:tc>
          <w:tcPr>
            <w:tcW w:w="636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Current tax provision</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5"/>
        </w:trPr>
        <w:tc>
          <w:tcPr>
            <w:tcW w:w="6360" w:type="dxa"/>
            <w:vAlign w:val="bottom"/>
          </w:tcPr>
          <w:p>
            <w:pPr>
              <w:ind w:left="46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5"/>
        </w:trPr>
        <w:tc>
          <w:tcPr>
            <w:tcW w:w="63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19"/>
        </w:trPr>
        <w:tc>
          <w:tcPr>
            <w:tcW w:w="6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65"/>
        </w:trPr>
        <w:tc>
          <w:tcPr>
            <w:tcW w:w="6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provision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5"/>
        </w:trPr>
        <w:tc>
          <w:tcPr>
            <w:tcW w:w="6360" w:type="dxa"/>
            <w:vAlign w:val="bottom"/>
          </w:tcPr>
          <w:p>
            <w:pPr>
              <w:ind w:left="460"/>
              <w:spacing w:after="0"/>
              <w:rPr>
                <w:sz w:val="20"/>
                <w:szCs w:val="20"/>
                <w:color w:val="auto"/>
              </w:rPr>
            </w:pPr>
            <w:r>
              <w:rPr>
                <w:rFonts w:ascii="Arial" w:cs="Arial" w:eastAsia="Arial" w:hAnsi="Arial"/>
                <w:sz w:val="18"/>
                <w:szCs w:val="18"/>
                <w:color w:val="auto"/>
              </w:rPr>
              <w:t>Federal</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6"/>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360" w:type="dxa"/>
            <w:vAlign w:val="bottom"/>
          </w:tcPr>
          <w:p>
            <w:pPr>
              <w:ind w:left="46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636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65"/>
        </w:trPr>
        <w:tc>
          <w:tcPr>
            <w:tcW w:w="636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r>
      <w:tr>
        <w:trPr>
          <w:trHeight w:val="238"/>
        </w:trPr>
        <w:tc>
          <w:tcPr>
            <w:tcW w:w="63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 expense (benefit)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8"/>
          <w:szCs w:val="18"/>
          <w:color w:val="auto"/>
        </w:rPr>
        <w:t>For the years ended December 31, 2021, 2020, and 2019, the effective income tax rate differs from the U.S. federal statutory income tax rate as explained below:</w:t>
      </w:r>
    </w:p>
    <w:p>
      <w:pPr>
        <w:spacing w:after="0" w:line="145"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Year Ended</w:t>
      </w:r>
    </w:p>
    <w:p>
      <w:pPr>
        <w:jc w:val="center"/>
        <w:ind w:left="6060"/>
        <w:spacing w:after="0"/>
        <w:rPr>
          <w:sz w:val="20"/>
          <w:szCs w:val="20"/>
          <w:color w:val="auto"/>
        </w:rPr>
      </w:pPr>
      <w:r>
        <w:rPr>
          <w:rFonts w:ascii="Arial" w:cs="Arial" w:eastAsia="Arial" w:hAnsi="Arial"/>
          <w:sz w:val="14"/>
          <w:szCs w:val="14"/>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80" w:type="dxa"/>
            <w:vAlign w:val="bottom"/>
            <w:tcBorders>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2019</w:t>
            </w:r>
          </w:p>
        </w:tc>
      </w:tr>
      <w:tr>
        <w:trPr>
          <w:trHeight w:val="21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 federal statutory income tax rate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State and local income taxes, net of federal benefit</w:t>
            </w:r>
          </w:p>
        </w:tc>
        <w:tc>
          <w:tcPr>
            <w:tcW w:w="68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2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Income allocable to NCI not subject to tax</w:t>
            </w: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2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Impact of GAAP basis shifts</w:t>
            </w:r>
          </w:p>
        </w:tc>
        <w:tc>
          <w:tcPr>
            <w:tcW w:w="680" w:type="dxa"/>
            <w:vAlign w:val="bottom"/>
          </w:tcPr>
          <w:p>
            <w:pPr>
              <w:jc w:val="right"/>
              <w:spacing w:after="0"/>
              <w:rPr>
                <w:sz w:val="20"/>
                <w:szCs w:val="20"/>
                <w:color w:val="auto"/>
              </w:rPr>
            </w:pPr>
            <w:r>
              <w:rPr>
                <w:rFonts w:ascii="Arial" w:cs="Arial" w:eastAsia="Arial" w:hAnsi="Arial"/>
                <w:sz w:val="18"/>
                <w:szCs w:val="18"/>
                <w:color w:val="auto"/>
              </w:rPr>
              <w:t>86.7 %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R&amp;D credit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2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Valuation allowance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5"/>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Return to provision adjustment</w:t>
            </w: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6"/>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Liquidation of corporate subsidiary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Impact of change in tax status</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(103.7)%</w:t>
            </w:r>
          </w:p>
        </w:tc>
        <w:tc>
          <w:tcPr>
            <w:tcW w:w="10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16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5"/>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from corporate subsidiary</w:t>
            </w:r>
          </w:p>
        </w:tc>
        <w:tc>
          <w:tcPr>
            <w:tcW w:w="9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19"/>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Effective income tax rate</w:t>
            </w:r>
          </w:p>
        </w:tc>
        <w:tc>
          <w:tcPr>
            <w:tcW w:w="680" w:type="dxa"/>
            <w:vAlign w:val="bottom"/>
          </w:tcPr>
          <w:p>
            <w:pPr>
              <w:jc w:val="right"/>
              <w:spacing w:after="0"/>
              <w:rPr>
                <w:sz w:val="20"/>
                <w:szCs w:val="20"/>
                <w:color w:val="auto"/>
              </w:rPr>
            </w:pPr>
            <w:r>
              <w:rPr>
                <w:rFonts w:ascii="Arial" w:cs="Arial" w:eastAsia="Arial" w:hAnsi="Arial"/>
                <w:sz w:val="18"/>
                <w:szCs w:val="18"/>
                <w:color w:val="auto"/>
              </w:rPr>
              <w:t>6.1 %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0"/>
        </w:trPr>
        <w:tc>
          <w:tcPr>
            <w:tcW w:w="60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 (continued)</w:t>
      </w: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2021 and 2020, the components of deferred tax assets and liabilities are as follows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20" w:type="dxa"/>
            <w:vAlign w:val="bottom"/>
          </w:tcPr>
          <w:p>
            <w:pPr>
              <w:spacing w:after="0"/>
              <w:rPr>
                <w:sz w:val="16"/>
                <w:szCs w:val="16"/>
                <w:color w:val="auto"/>
              </w:rPr>
            </w:pPr>
          </w:p>
        </w:tc>
        <w:tc>
          <w:tcPr>
            <w:tcW w:w="264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6"/>
                <w:szCs w:val="16"/>
                <w:color w:val="auto"/>
              </w:rPr>
            </w:pPr>
          </w:p>
        </w:tc>
      </w:tr>
      <w:tr>
        <w:trPr>
          <w:trHeight w:val="183"/>
        </w:trPr>
        <w:tc>
          <w:tcPr>
            <w:tcW w:w="80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r>
      <w:tr>
        <w:trPr>
          <w:trHeight w:val="206"/>
        </w:trPr>
        <w:tc>
          <w:tcPr>
            <w:tcW w:w="802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color w:val="auto"/>
              </w:rPr>
              <w:t>Deferred tax assets</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Intangibles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3,999.7</w:t>
            </w:r>
          </w:p>
        </w:tc>
        <w:tc>
          <w:tcPr>
            <w:tcW w:w="1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carryforward</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Investment in ZoomInfo Holdings LLC</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649.6</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carryforwards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carryforwards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5"/>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deferred tax assets</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4,129.6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668.3</w:t>
            </w:r>
          </w:p>
        </w:tc>
      </w:tr>
      <w:tr>
        <w:trPr>
          <w:trHeight w:val="212"/>
        </w:trPr>
        <w:tc>
          <w:tcPr>
            <w:tcW w:w="8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5"/>
        </w:trPr>
        <w:tc>
          <w:tcPr>
            <w:tcW w:w="8020" w:type="dxa"/>
            <w:vAlign w:val="bottom"/>
          </w:tcPr>
          <w:p>
            <w:pPr>
              <w:ind w:left="220"/>
              <w:spacing w:after="0"/>
              <w:rPr>
                <w:sz w:val="20"/>
                <w:szCs w:val="20"/>
                <w:color w:val="auto"/>
              </w:rPr>
            </w:pPr>
            <w:r>
              <w:rPr>
                <w:rFonts w:ascii="Arial" w:cs="Arial" w:eastAsia="Arial" w:hAnsi="Arial"/>
                <w:sz w:val="18"/>
                <w:szCs w:val="18"/>
                <w:color w:val="auto"/>
              </w:rPr>
              <w:t>Foreign withholding</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980" w:type="dxa"/>
            <w:vAlign w:val="bottom"/>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DTL</w:t>
            </w: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8020" w:type="dxa"/>
            <w:vAlign w:val="bottom"/>
          </w:tcPr>
          <w:p>
            <w:pPr>
              <w:ind w:left="240"/>
              <w:spacing w:after="0"/>
              <w:rPr>
                <w:sz w:val="20"/>
                <w:szCs w:val="20"/>
                <w:color w:val="auto"/>
              </w:rPr>
            </w:pPr>
            <w:r>
              <w:rPr>
                <w:rFonts w:ascii="Arial" w:cs="Arial" w:eastAsia="Arial" w:hAnsi="Arial"/>
                <w:sz w:val="18"/>
                <w:szCs w:val="18"/>
                <w:color w:val="auto"/>
              </w:rPr>
              <w:t>Investment in ZoomInfo Tech LLC</w:t>
            </w:r>
          </w:p>
        </w:tc>
        <w:tc>
          <w:tcPr>
            <w:tcW w:w="94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19"/>
        </w:trPr>
        <w:tc>
          <w:tcPr>
            <w:tcW w:w="802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deferred tax liabilities</w:t>
            </w:r>
          </w:p>
        </w:tc>
        <w:tc>
          <w:tcPr>
            <w:tcW w:w="94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52"/>
        </w:trPr>
        <w:tc>
          <w:tcPr>
            <w:tcW w:w="80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r>
        <w:trPr>
          <w:trHeight w:val="218"/>
        </w:trPr>
        <w:tc>
          <w:tcPr>
            <w:tcW w:w="8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Less valuation allowance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(238.3)</w:t>
            </w:r>
          </w:p>
        </w:tc>
      </w:tr>
      <w:tr>
        <w:trPr>
          <w:trHeight w:val="219"/>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 (liability)</w:t>
            </w: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4,114.5</w:t>
            </w:r>
          </w:p>
        </w:tc>
        <w:tc>
          <w:tcPr>
            <w:tcW w:w="1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r>
      <w:tr>
        <w:trPr>
          <w:trHeight w:val="20"/>
        </w:trPr>
        <w:tc>
          <w:tcPr>
            <w:tcW w:w="80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the quarter ended December 31, 2021, the Company made an election to treat its operating partnership, ZoomInfo Technologies LLC, as a corporation for U.S. federal and state income tax purposes. As a result of this election, the Company removed its deferred tax asset associated with the investment in ZoomInfo Holdings LLC and recorded deferreds for the book-tax differences in the underlying assets and liabilities held by ZoomInfo Technologies LLC. This adjustment to the deferred tax assets and liabilities resulted in the Company recording a $104.8 million tax benefit. This benefit primarily relates to a difference between ZoomInfo Technologies Inc.’s inside and outside tax basis in its investment in ZoomInfo Holdings LLC at the time of the election. During Q1 and Q3 2021, the Company had shifts in GAAP basis from a non-taxable entity to a taxable entity resulting in the recognition of $87.8 million of tax expense.</w:t>
      </w:r>
    </w:p>
    <w:p>
      <w:pPr>
        <w:spacing w:after="0" w:line="146"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We recognize deferred tax assets to the extent we believe, based on available evidence, that it is more likely than not that they will be realized. In making such a determination, we consider all available positive and negative evidence, including future reversals of existing taxable temporary differences, projected future taxable income, tax planning strategies, and recent results of operations. At December 31, 2021, we had U.S. federal tax credit carryforwards of approximately $1.7 million. Our federal tax credits will begin to expire in 2032 if not utilized. At December 31, 2021, we have $24.0 million of state tax net operating losses and $0.2 million of state tax credits. A small portion of the state net operating losses (less than $0.1 million) will expire in 2026. The remainder of the state net operating losses begin to expire in 2030.</w:t>
      </w:r>
    </w:p>
    <w:p>
      <w:pPr>
        <w:spacing w:after="0" w:line="12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For the year ended December 31, 2020, the Company recorded a valuation allowance on the portion of ZoomInfo Intermediate Holdings LLC’s investment in ZoomInfo Holdings LLC associated with its share of the book-tax difference in RKSI, This portion of the deferred tax asset is not expected to be realized in the foreseeable future. This valuation allowance and the corresponding deferred tax asset were written off in connection with the merger of RKSI with and into ZoomInfo Intermediate Holdings LLC during the quarter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Income Taxes (continued)</w:t>
      </w:r>
    </w:p>
    <w:p>
      <w:pPr>
        <w:spacing w:after="0" w:line="200" w:lineRule="exact"/>
        <w:rPr>
          <w:sz w:val="20"/>
          <w:szCs w:val="20"/>
          <w:color w:val="auto"/>
        </w:rPr>
      </w:pPr>
    </w:p>
    <w:p>
      <w:pPr>
        <w:spacing w:after="0" w:line="31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spacing w:after="0" w:line="1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There were no interest and penalties accrued for the years ended December 31, 2021 or 2020. The Company has assessed its tax positions taken and concluded there are no significant uncertain tax positions. The Company has no unrecognized tax benefits as of December 31, 2021 or 2020, that, if recognized, would affect the amount of income tax expense reported.</w:t>
      </w:r>
    </w:p>
    <w:p>
      <w:pPr>
        <w:spacing w:after="0" w:line="13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Company files returns with the Internal Revenue Service and multiple state jurisdictions, which are subject to examination by the taxing authorities for years 2014 and later. The earlier tax years are subject to examination due to the utilization of net operating losses in recent tax years. None of our federal or state income tax return are currently under examination by federal or state taxing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As of the end of the period covered by this Annual Report,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6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Chief Financial Officer, to provide reasonable assurance regarding the reliability of financing reporting and the preparation of financial statements for external purposes in accordance with U.S generally accepted accounting principles.</w:t>
      </w:r>
    </w:p>
    <w:p>
      <w:pPr>
        <w:spacing w:after="0" w:line="141"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5"/>
          <w:szCs w:val="15"/>
          <w:color w:val="auto"/>
        </w:rPr>
        <w:t xml:space="preserve">Under the supervision and with the participation of our Chief Executive Officer and our Chief Financial Officer and oversight of the board of directors, our management conducted an evaluation of the effectiveness of our internal control over financial reporting as of December 31, 2021, based on the criteria set forth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issued by the Committee of Sponsoring Organizations of the Treadway Commission (2013 framework). Based on this evaluation, management concluded that our internal control over financial reporting was effective as of December 31, 2021.</w:t>
      </w:r>
    </w:p>
    <w:p>
      <w:pPr>
        <w:spacing w:after="0" w:line="93" w:lineRule="exact"/>
        <w:rPr>
          <w:sz w:val="20"/>
          <w:szCs w:val="20"/>
          <w:color w:val="auto"/>
        </w:rPr>
      </w:pPr>
    </w:p>
    <w:p>
      <w:pPr>
        <w:jc w:val="both"/>
        <w:ind w:firstLine="318"/>
        <w:spacing w:after="0" w:line="306" w:lineRule="auto"/>
        <w:rPr>
          <w:sz w:val="20"/>
          <w:szCs w:val="20"/>
          <w:color w:val="auto"/>
        </w:rPr>
      </w:pPr>
      <w:r>
        <w:rPr>
          <w:rFonts w:ascii="Arial" w:cs="Arial" w:eastAsia="Arial" w:hAnsi="Arial"/>
          <w:sz w:val="15"/>
          <w:szCs w:val="15"/>
          <w:color w:val="auto"/>
        </w:rPr>
        <w:t>On June 7, 2021, July 12, 2021, and September 8, 2021, we completed the acquisitions of Insent, Inc. (“Insent”), AffectLayer, Inc. (d/b/a Chorus.ai) (“Chorus.ai”), and RingLead, Inc (“RingLead”), respectively. As permitted by the Securities and Exchange Commission, we have elected to exclude the internal controls of these acquisitions that have not been integrated into our existing processes and controls from our assessment of the effectiveness of internal control over financial reporting as of December 31, 2021. The excluded aggregate financial position of Insent, Chorus.ai, and RingLead collectively represented less than 1% of our consolidated total assets (excluding goodwill and intangible assets which were included in management’s assessment of internal control over financial reporting) as of December 31, 2021, and less than 2% of our revenues for the year then ended. We will include the internal controls of Insent, Chorus.ai, and RingLead in our assessment of the effectiveness of our internal control over financial reporting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effectiveness of our internal control over financial reporting as of December 31, 2021 has been audited by KPMG LLP, an independent registered public accounting firm, as stated in their report which is included in Part II, Item 8, "Financial Statements and Supplementary Data", of this Annual Report on Form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to Address the Previously Disclosed Material Weakness</w:t>
      </w:r>
    </w:p>
    <w:p>
      <w:pPr>
        <w:spacing w:after="0" w:line="164"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We previously identified and disclosed in our Annual Report on Form 10-K for the year ended December 31, 2020 a material weakness in our internal control over financial reporting due to limited accounting department personnel capable of appropriately accounting for complex transactions undertaken by the company.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 In response, our management has implemented the following remediation steps to address the previously disclosed material weakness:</w:t>
      </w:r>
    </w:p>
    <w:p>
      <w:pPr>
        <w:spacing w:after="0" w:line="98" w:lineRule="exact"/>
        <w:rPr>
          <w:sz w:val="20"/>
          <w:szCs w:val="20"/>
          <w:color w:val="auto"/>
        </w:rPr>
      </w:pPr>
    </w:p>
    <w:p>
      <w:pPr>
        <w:ind w:left="640" w:hanging="157"/>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hired additional full-time accounting subject matter experts with appropriate levels of experience, with a focus on technical accounting and tax accounting;</w:t>
      </w:r>
    </w:p>
    <w:p>
      <w:pPr>
        <w:spacing w:after="0" w:line="127" w:lineRule="exact"/>
        <w:rPr>
          <w:rFonts w:ascii="Arial" w:cs="Arial" w:eastAsia="Arial" w:hAnsi="Arial"/>
          <w:sz w:val="18"/>
          <w:szCs w:val="18"/>
          <w:color w:val="auto"/>
        </w:rPr>
      </w:pPr>
    </w:p>
    <w:p>
      <w:pPr>
        <w:ind w:left="640" w:hanging="157"/>
        <w:spacing w:after="0" w:line="264"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Reallocated responsibilities across the accounting organization to ensure that the appropriate level of knowledge and experience is applied based on risk and complexity of transactions and tasks under review;</w:t>
      </w:r>
    </w:p>
    <w:p>
      <w:pPr>
        <w:spacing w:after="0" w:line="127" w:lineRule="exact"/>
        <w:rPr>
          <w:rFonts w:ascii="Arial" w:cs="Arial" w:eastAsia="Arial" w:hAnsi="Arial"/>
          <w:sz w:val="18"/>
          <w:szCs w:val="18"/>
          <w:color w:val="auto"/>
        </w:rPr>
      </w:pPr>
    </w:p>
    <w:p>
      <w:pPr>
        <w:ind w:left="640" w:hanging="157"/>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Redesigned and enhanced controls related to the quarterly processes around accounting for the TRA; and</w:t>
      </w:r>
    </w:p>
    <w:p>
      <w:pPr>
        <w:spacing w:after="0" w:line="164" w:lineRule="exact"/>
        <w:rPr>
          <w:rFonts w:ascii="Arial" w:cs="Arial" w:eastAsia="Arial" w:hAnsi="Arial"/>
          <w:sz w:val="18"/>
          <w:szCs w:val="18"/>
          <w:color w:val="auto"/>
        </w:rPr>
      </w:pPr>
    </w:p>
    <w:p>
      <w:pPr>
        <w:ind w:left="640" w:hanging="157"/>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Engaged a professional consulting services firm to act as the company’s independent internal auditor specifically auditing SOX controls.</w:t>
      </w:r>
    </w:p>
    <w:p>
      <w:pPr>
        <w:spacing w:after="0" w:line="176" w:lineRule="exact"/>
        <w:rPr>
          <w:sz w:val="20"/>
          <w:szCs w:val="20"/>
          <w:color w:val="auto"/>
        </w:rPr>
      </w:pPr>
    </w:p>
    <w:p>
      <w:pPr>
        <w:ind w:right="240" w:firstLine="318"/>
        <w:spacing w:after="0" w:line="264" w:lineRule="auto"/>
        <w:rPr>
          <w:sz w:val="20"/>
          <w:szCs w:val="20"/>
          <w:color w:val="auto"/>
        </w:rPr>
      </w:pPr>
      <w:r>
        <w:rPr>
          <w:rFonts w:ascii="Arial" w:cs="Arial" w:eastAsia="Arial" w:hAnsi="Arial"/>
          <w:sz w:val="18"/>
          <w:szCs w:val="18"/>
          <w:color w:val="auto"/>
        </w:rPr>
        <w:t>Based on the steps implemented, management concluded that we have remediated the previously disclosed material weakness during the quarter ended March 31,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6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On June 7, 2021, July 12, 2021, and September 8, 2021, we acquired Insent, Inc., Chorus.ai, and RingLead, respectively. As a result of these acquisitions, the Company is reviewing the internal controls of the acquired companies and is making appropriate changes as deemed necessary. Except for the changes in internal controls related to Insent, Inc., Chorus.ai, and RingLead, there were no changes in our internal control over financial reporting in connection with the evaluation required by Rule 13a-15 (d) and 15d-15 (d) of the Exchange Act that occurred during the quarter ended December 31, 2021 that materially affected, or are reasonably likely to materially affect, our internal control over financial reporting.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 and Procedures</w:t>
      </w:r>
    </w:p>
    <w:p>
      <w:pPr>
        <w:spacing w:after="0" w:line="164" w:lineRule="exact"/>
        <w:rPr>
          <w:sz w:val="20"/>
          <w:szCs w:val="20"/>
          <w:color w:val="auto"/>
        </w:rPr>
      </w:pPr>
    </w:p>
    <w:p>
      <w:pPr>
        <w:jc w:val="both"/>
        <w:ind w:firstLine="318"/>
        <w:spacing w:after="0" w:line="302" w:lineRule="auto"/>
        <w:rPr>
          <w:sz w:val="20"/>
          <w:szCs w:val="20"/>
          <w:color w:val="auto"/>
        </w:rPr>
      </w:pPr>
      <w:r>
        <w:rPr>
          <w:rFonts w:ascii="Arial" w:cs="Arial" w:eastAsia="Arial" w:hAnsi="Arial"/>
          <w:sz w:val="15"/>
          <w:szCs w:val="15"/>
          <w:color w:val="auto"/>
        </w:rPr>
        <w:t>Our management, including our Chief Executive Officer and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9C. DISCLOSURE REGARDING FOREIGN JURISDICTIONS THAT PREVENT INSPECTIONS</w:t>
      </w:r>
    </w:p>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56" w:name="page157"/>
    <w:bookmarkEnd w:id="15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12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remaining information required by this item will be included in our definitive Proxy Statement relating to our 2022 Annual Meeting of Stockholders, which will be filed with the SEC within 120 days of the end of our fiscal year ended December 31, 2021 (the “2022 Proxy Statement”), and is incorporated herein by reference.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6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information required by this item will be included in the 2022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7" w:name="page158"/>
    <w:bookmarkEnd w:id="15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170" w:lineRule="exact"/>
        <w:rPr>
          <w:sz w:val="20"/>
          <w:szCs w:val="20"/>
          <w:color w:val="auto"/>
        </w:rPr>
      </w:pPr>
    </w:p>
    <w:p>
      <w:pPr>
        <w:ind w:left="560" w:hanging="236"/>
        <w:spacing w:after="0"/>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Annual Report on Form 10-K:</w:t>
      </w:r>
    </w:p>
    <w:p>
      <w:pPr>
        <w:spacing w:after="0" w:line="164" w:lineRule="exact"/>
        <w:rPr>
          <w:rFonts w:ascii="Arial" w:cs="Arial" w:eastAsia="Arial" w:hAnsi="Arial"/>
          <w:sz w:val="18"/>
          <w:szCs w:val="18"/>
          <w:color w:val="auto"/>
        </w:rPr>
      </w:pPr>
    </w:p>
    <w:p>
      <w:pPr>
        <w:ind w:left="640" w:firstLine="320"/>
        <w:spacing w:after="0" w:line="264" w:lineRule="auto"/>
        <w:tabs>
          <w:tab w:leader="none" w:pos="114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Our Financial Statements are listed in the “Index to Consolidated Financial Statements” under Part II, Item 8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Annual Report on Form 10-K.</w:t>
      </w:r>
    </w:p>
    <w:p>
      <w:pPr>
        <w:spacing w:after="0" w:line="127" w:lineRule="exact"/>
        <w:rPr>
          <w:rFonts w:ascii="Arial" w:cs="Arial" w:eastAsia="Arial" w:hAnsi="Arial"/>
          <w:sz w:val="18"/>
          <w:szCs w:val="18"/>
          <w:color w:val="auto"/>
        </w:rPr>
      </w:pPr>
    </w:p>
    <w:p>
      <w:pPr>
        <w:jc w:val="both"/>
        <w:ind w:left="640" w:firstLine="320"/>
        <w:spacing w:after="0" w:line="255" w:lineRule="auto"/>
        <w:tabs>
          <w:tab w:leader="none" w:pos="1161"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other schedules have been omitted as the required information is not applicable or is not present in</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sufficient to require submission of the schedule, or because the information required is included in the Consolidated Financial Statements and notes thereto.</w:t>
      </w:r>
    </w:p>
    <w:p>
      <w:pPr>
        <w:spacing w:after="0" w:line="135" w:lineRule="exact"/>
        <w:rPr>
          <w:rFonts w:ascii="Arial" w:cs="Arial" w:eastAsia="Arial" w:hAnsi="Arial"/>
          <w:sz w:val="18"/>
          <w:szCs w:val="18"/>
          <w:color w:val="auto"/>
        </w:rPr>
      </w:pPr>
    </w:p>
    <w:p>
      <w:pPr>
        <w:ind w:left="640" w:firstLine="320"/>
        <w:spacing w:after="0" w:line="264" w:lineRule="auto"/>
        <w:tabs>
          <w:tab w:leader="none" w:pos="1148"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Except as otherwise noted below, the exhibits listed below in the accompanying “Index to Exhibits” are filed or incorporated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as part of this Annual Report on Form 10-K.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8" w:name="page159"/>
    <w:bookmarkEnd w:id="15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80"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700" w:type="dxa"/>
            <w:vAlign w:val="bottom"/>
          </w:tcPr>
          <w:p>
            <w:pPr>
              <w:ind w:left="1240"/>
              <w:spacing w:after="0"/>
              <w:rPr>
                <w:sz w:val="20"/>
                <w:szCs w:val="20"/>
                <w:color w:val="auto"/>
              </w:rPr>
            </w:pPr>
            <w:r>
              <w:rPr>
                <w:rFonts w:ascii="Arial" w:cs="Arial" w:eastAsia="Arial" w:hAnsi="Arial"/>
                <w:sz w:val="18"/>
                <w:szCs w:val="18"/>
                <w:b w:val="1"/>
                <w:bCs w:val="1"/>
                <w:color w:val="auto"/>
              </w:rPr>
              <w:t>Report or</w:t>
            </w:r>
          </w:p>
        </w:tc>
        <w:tc>
          <w:tcPr>
            <w:tcW w:w="1720" w:type="dxa"/>
            <w:vAlign w:val="bottom"/>
          </w:tcPr>
          <w:p>
            <w:pPr>
              <w:jc w:val="center"/>
              <w:ind w:left="152"/>
              <w:spacing w:after="0"/>
              <w:rPr>
                <w:sz w:val="20"/>
                <w:szCs w:val="20"/>
                <w:color w:val="auto"/>
              </w:rPr>
            </w:pPr>
            <w:r>
              <w:rPr>
                <w:rFonts w:ascii="Arial" w:cs="Arial" w:eastAsia="Arial" w:hAnsi="Arial"/>
                <w:sz w:val="18"/>
                <w:szCs w:val="18"/>
                <w:b w:val="1"/>
                <w:bCs w:val="1"/>
                <w:color w:val="auto"/>
                <w:w w:val="91"/>
              </w:rPr>
              <w:t>SEC File or</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960" w:type="dxa"/>
            <w:vAlign w:val="bottom"/>
          </w:tcPr>
          <w:p>
            <w:pPr>
              <w:jc w:val="center"/>
              <w:ind w:right="1232"/>
              <w:spacing w:after="0"/>
              <w:rPr>
                <w:sz w:val="20"/>
                <w:szCs w:val="20"/>
                <w:color w:val="auto"/>
              </w:rPr>
            </w:pPr>
            <w:r>
              <w:rPr>
                <w:rFonts w:ascii="Arial" w:cs="Arial" w:eastAsia="Arial" w:hAnsi="Arial"/>
                <w:sz w:val="18"/>
                <w:szCs w:val="18"/>
                <w:b w:val="1"/>
                <w:bCs w:val="1"/>
                <w:color w:val="auto"/>
                <w:w w:val="93"/>
              </w:rPr>
              <w:t>Exhibit</w:t>
            </w:r>
          </w:p>
        </w:tc>
        <w:tc>
          <w:tcPr>
            <w:tcW w:w="3440" w:type="dxa"/>
            <w:vAlign w:val="bottom"/>
            <w:vMerge w:val="restart"/>
          </w:tcPr>
          <w:p>
            <w:pPr>
              <w:ind w:left="1320"/>
              <w:spacing w:after="0"/>
              <w:rPr>
                <w:sz w:val="20"/>
                <w:szCs w:val="20"/>
                <w:color w:val="auto"/>
              </w:rPr>
            </w:pPr>
            <w:r>
              <w:rPr>
                <w:rFonts w:ascii="Arial" w:cs="Arial" w:eastAsia="Arial" w:hAnsi="Arial"/>
                <w:sz w:val="18"/>
                <w:szCs w:val="18"/>
                <w:b w:val="1"/>
                <w:bCs w:val="1"/>
                <w:color w:val="auto"/>
              </w:rPr>
              <w:t>Description</w:t>
            </w:r>
          </w:p>
        </w:tc>
        <w:tc>
          <w:tcPr>
            <w:tcW w:w="2700" w:type="dxa"/>
            <w:vAlign w:val="bottom"/>
          </w:tcPr>
          <w:p>
            <w:pPr>
              <w:ind w:left="1240"/>
              <w:spacing w:after="0"/>
              <w:rPr>
                <w:sz w:val="20"/>
                <w:szCs w:val="20"/>
                <w:color w:val="auto"/>
              </w:rPr>
            </w:pPr>
            <w:r>
              <w:rPr>
                <w:rFonts w:ascii="Arial" w:cs="Arial" w:eastAsia="Arial" w:hAnsi="Arial"/>
                <w:sz w:val="18"/>
                <w:szCs w:val="18"/>
                <w:b w:val="1"/>
                <w:bCs w:val="1"/>
                <w:color w:val="auto"/>
              </w:rPr>
              <w:t>Registration</w:t>
            </w:r>
          </w:p>
        </w:tc>
        <w:tc>
          <w:tcPr>
            <w:tcW w:w="1720" w:type="dxa"/>
            <w:vAlign w:val="bottom"/>
          </w:tcPr>
          <w:p>
            <w:pPr>
              <w:jc w:val="center"/>
              <w:ind w:left="152"/>
              <w:spacing w:after="0"/>
              <w:rPr>
                <w:sz w:val="20"/>
                <w:szCs w:val="20"/>
                <w:color w:val="auto"/>
              </w:rPr>
            </w:pPr>
            <w:r>
              <w:rPr>
                <w:rFonts w:ascii="Arial" w:cs="Arial" w:eastAsia="Arial" w:hAnsi="Arial"/>
                <w:sz w:val="18"/>
                <w:szCs w:val="18"/>
                <w:b w:val="1"/>
                <w:bCs w:val="1"/>
                <w:color w:val="auto"/>
                <w:w w:val="87"/>
              </w:rPr>
              <w:t>Registration</w:t>
            </w:r>
          </w:p>
        </w:tc>
        <w:tc>
          <w:tcPr>
            <w:tcW w:w="1020" w:type="dxa"/>
            <w:vAlign w:val="bottom"/>
          </w:tcPr>
          <w:p>
            <w:pPr>
              <w:jc w:val="center"/>
              <w:ind w:left="212"/>
              <w:spacing w:after="0"/>
              <w:rPr>
                <w:sz w:val="20"/>
                <w:szCs w:val="20"/>
                <w:color w:val="auto"/>
              </w:rPr>
            </w:pPr>
            <w:r>
              <w:rPr>
                <w:rFonts w:ascii="Arial" w:cs="Arial" w:eastAsia="Arial" w:hAnsi="Arial"/>
                <w:sz w:val="18"/>
                <w:szCs w:val="18"/>
                <w:b w:val="1"/>
                <w:bCs w:val="1"/>
                <w:color w:val="auto"/>
                <w:w w:val="93"/>
              </w:rPr>
              <w:t>Exhibit</w:t>
            </w:r>
          </w:p>
        </w:tc>
        <w:tc>
          <w:tcPr>
            <w:tcW w:w="0" w:type="dxa"/>
            <w:vAlign w:val="bottom"/>
          </w:tcPr>
          <w:p>
            <w:pPr>
              <w:spacing w:after="0"/>
              <w:rPr>
                <w:sz w:val="1"/>
                <w:szCs w:val="1"/>
                <w:color w:val="auto"/>
              </w:rPr>
            </w:pPr>
          </w:p>
        </w:tc>
      </w:tr>
      <w:tr>
        <w:trPr>
          <w:trHeight w:val="229"/>
        </w:trPr>
        <w:tc>
          <w:tcPr>
            <w:tcW w:w="1960" w:type="dxa"/>
            <w:vAlign w:val="bottom"/>
          </w:tcPr>
          <w:p>
            <w:pPr>
              <w:jc w:val="center"/>
              <w:ind w:right="1232"/>
              <w:spacing w:after="0"/>
              <w:rPr>
                <w:sz w:val="20"/>
                <w:szCs w:val="20"/>
                <w:color w:val="auto"/>
              </w:rPr>
            </w:pPr>
            <w:r>
              <w:rPr>
                <w:rFonts w:ascii="Arial" w:cs="Arial" w:eastAsia="Arial" w:hAnsi="Arial"/>
                <w:sz w:val="18"/>
                <w:szCs w:val="18"/>
                <w:b w:val="1"/>
                <w:bCs w:val="1"/>
                <w:color w:val="auto"/>
                <w:w w:val="94"/>
              </w:rPr>
              <w:t>Number</w:t>
            </w:r>
          </w:p>
        </w:tc>
        <w:tc>
          <w:tcPr>
            <w:tcW w:w="3440" w:type="dxa"/>
            <w:vAlign w:val="bottom"/>
            <w:vMerge w:val="continue"/>
          </w:tcPr>
          <w:p>
            <w:pPr>
              <w:spacing w:after="0"/>
              <w:rPr>
                <w:sz w:val="19"/>
                <w:szCs w:val="19"/>
                <w:color w:val="auto"/>
              </w:rPr>
            </w:pPr>
          </w:p>
        </w:tc>
        <w:tc>
          <w:tcPr>
            <w:tcW w:w="2700" w:type="dxa"/>
            <w:vAlign w:val="bottom"/>
          </w:tcPr>
          <w:p>
            <w:pPr>
              <w:ind w:left="1240"/>
              <w:spacing w:after="0"/>
              <w:rPr>
                <w:sz w:val="20"/>
                <w:szCs w:val="20"/>
                <w:color w:val="auto"/>
              </w:rPr>
            </w:pPr>
            <w:r>
              <w:rPr>
                <w:rFonts w:ascii="Arial" w:cs="Arial" w:eastAsia="Arial" w:hAnsi="Arial"/>
                <w:sz w:val="18"/>
                <w:szCs w:val="18"/>
                <w:b w:val="1"/>
                <w:bCs w:val="1"/>
                <w:color w:val="auto"/>
              </w:rPr>
              <w:t>Statement</w:t>
            </w:r>
          </w:p>
        </w:tc>
        <w:tc>
          <w:tcPr>
            <w:tcW w:w="1720" w:type="dxa"/>
            <w:vAlign w:val="bottom"/>
          </w:tcPr>
          <w:p>
            <w:pPr>
              <w:jc w:val="center"/>
              <w:ind w:left="152"/>
              <w:spacing w:after="0"/>
              <w:rPr>
                <w:sz w:val="20"/>
                <w:szCs w:val="20"/>
                <w:color w:val="auto"/>
              </w:rPr>
            </w:pPr>
            <w:r>
              <w:rPr>
                <w:rFonts w:ascii="Arial" w:cs="Arial" w:eastAsia="Arial" w:hAnsi="Arial"/>
                <w:sz w:val="18"/>
                <w:szCs w:val="18"/>
                <w:b w:val="1"/>
                <w:bCs w:val="1"/>
                <w:color w:val="auto"/>
                <w:w w:val="94"/>
              </w:rPr>
              <w:t>Number</w:t>
            </w:r>
          </w:p>
        </w:tc>
        <w:tc>
          <w:tcPr>
            <w:tcW w:w="1020" w:type="dxa"/>
            <w:vAlign w:val="bottom"/>
          </w:tcPr>
          <w:p>
            <w:pPr>
              <w:jc w:val="center"/>
              <w:ind w:left="192"/>
              <w:spacing w:after="0"/>
              <w:rPr>
                <w:sz w:val="20"/>
                <w:szCs w:val="20"/>
                <w:color w:val="auto"/>
              </w:rPr>
            </w:pPr>
            <w:r>
              <w:rPr>
                <w:rFonts w:ascii="Arial" w:cs="Arial" w:eastAsia="Arial" w:hAnsi="Arial"/>
                <w:sz w:val="18"/>
                <w:szCs w:val="18"/>
                <w:b w:val="1"/>
                <w:bCs w:val="1"/>
                <w:color w:val="auto"/>
                <w:w w:val="84"/>
              </w:rPr>
              <w:t>Reference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4" w:lineRule="exact"/>
        <w:rPr>
          <w:sz w:val="20"/>
          <w:szCs w:val="20"/>
          <w:color w:val="auto"/>
        </w:rPr>
      </w:pPr>
    </w:p>
    <w:p>
      <w:pPr>
        <w:jc w:val="both"/>
        <w:ind w:left="1000" w:hanging="595"/>
        <w:spacing w:after="0" w:line="221"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2.1</w:t>
      </w:r>
      <w:r>
        <w:rPr>
          <w:sz w:val="20"/>
          <w:szCs w:val="20"/>
          <w:color w:val="auto"/>
        </w:rPr>
        <w:tab/>
      </w:r>
      <w:hyperlink r:id="rId187">
        <w:r>
          <w:rPr>
            <w:rFonts w:ascii="Arial" w:cs="Arial" w:eastAsia="Arial" w:hAnsi="Arial"/>
            <w:sz w:val="14"/>
            <w:szCs w:val="14"/>
            <w:u w:val="single" w:color="auto"/>
            <w:color w:val="0000FF"/>
          </w:rPr>
          <w:t>Agreement and Plan of Merger, dated as of October 29, 2021, by and among ZoomInfo Technologies</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Inc. (formerly ZoomInfo NewCo Inc.), ZoomInfo Intermediate Inc. (formerly ZoomInfo Technologies</w:t>
        </w:r>
      </w:hyperlink>
      <w:r>
        <w:rPr>
          <w:rFonts w:ascii="Arial" w:cs="Arial" w:eastAsia="Arial" w:hAnsi="Arial"/>
          <w:sz w:val="14"/>
          <w:szCs w:val="14"/>
          <w:u w:val="single" w:color="auto"/>
          <w:color w:val="0000FF"/>
        </w:rPr>
        <w:t xml:space="preserve"> </w:t>
      </w:r>
      <w:hyperlink r:id="rId187">
        <w:r>
          <w:rPr>
            <w:rFonts w:ascii="Arial" w:cs="Arial" w:eastAsia="Arial" w:hAnsi="Arial"/>
            <w:sz w:val="14"/>
            <w:szCs w:val="14"/>
            <w:u w:val="single" w:color="auto"/>
            <w:color w:val="0000FF"/>
          </w:rPr>
          <w:t>Inc.) and ZoomInfo Merger Sub 1 Inc.</w:t>
        </w:r>
      </w:hyperlink>
    </w:p>
    <w:p>
      <w:pPr>
        <w:spacing w:after="0" w:line="6" w:lineRule="exact"/>
        <w:rPr>
          <w:rFonts w:ascii="Arial" w:cs="Arial" w:eastAsia="Arial" w:hAnsi="Arial"/>
          <w:sz w:val="14"/>
          <w:szCs w:val="14"/>
          <w:u w:val="single" w:color="auto"/>
          <w:color w:val="0000FF"/>
        </w:rPr>
      </w:pPr>
    </w:p>
    <w:p>
      <w:pPr>
        <w:ind w:left="1000" w:right="60" w:hanging="595"/>
        <w:spacing w:after="0" w:line="276" w:lineRule="auto"/>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2.2</w:t>
      </w:r>
      <w:r>
        <w:rPr>
          <w:sz w:val="20"/>
          <w:szCs w:val="20"/>
          <w:color w:val="auto"/>
        </w:rPr>
        <w:tab/>
      </w:r>
      <w:hyperlink r:id="rId188">
        <w:r>
          <w:rPr>
            <w:rFonts w:ascii="Arial" w:cs="Arial" w:eastAsia="Arial" w:hAnsi="Arial"/>
            <w:sz w:val="12"/>
            <w:szCs w:val="12"/>
            <w:u w:val="single" w:color="auto"/>
            <w:color w:val="0000FF"/>
          </w:rPr>
          <w:t>Agreement and Plan of Merger, dated as of October 29, 2021, by and among ZoomInfo Technologies</w:t>
        </w:r>
      </w:hyperlink>
      <w:r>
        <w:rPr>
          <w:rFonts w:ascii="Arial" w:cs="Arial" w:eastAsia="Arial" w:hAnsi="Arial"/>
          <w:sz w:val="12"/>
          <w:szCs w:val="12"/>
          <w:u w:val="single" w:color="auto"/>
          <w:color w:val="0000FF"/>
        </w:rPr>
        <w:t xml:space="preserve"> </w:t>
      </w:r>
      <w:hyperlink r:id="rId188">
        <w:r>
          <w:rPr>
            <w:rFonts w:ascii="Arial" w:cs="Arial" w:eastAsia="Arial" w:hAnsi="Arial"/>
            <w:sz w:val="12"/>
            <w:szCs w:val="12"/>
            <w:u w:val="single" w:color="auto"/>
            <w:color w:val="0000FF"/>
          </w:rPr>
          <w:t>Inc. (formerly ZoomInfo NewCo Inc.), ZoomInfo Holdings LLC and ZoomInfo Merger Sub 2 LLC</w:t>
        </w:r>
      </w:hyperlink>
    </w:p>
    <w:p>
      <w:pPr>
        <w:spacing w:after="0" w:line="1" w:lineRule="exact"/>
        <w:rPr>
          <w:sz w:val="20"/>
          <w:szCs w:val="20"/>
          <w:color w:val="auto"/>
        </w:rPr>
      </w:pPr>
    </w:p>
    <w:p>
      <w:pPr>
        <w:ind w:left="1000" w:right="500" w:hanging="595"/>
        <w:spacing w:after="0" w:line="24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3.1</w:t>
      </w:r>
      <w:r>
        <w:rPr>
          <w:sz w:val="20"/>
          <w:szCs w:val="20"/>
          <w:color w:val="auto"/>
        </w:rPr>
        <w:tab/>
      </w:r>
      <w:hyperlink r:id="rId189">
        <w:r>
          <w:rPr>
            <w:rFonts w:ascii="Arial" w:cs="Arial" w:eastAsia="Arial" w:hAnsi="Arial"/>
            <w:sz w:val="14"/>
            <w:szCs w:val="14"/>
            <w:u w:val="single" w:color="auto"/>
            <w:color w:val="0000FF"/>
          </w:rPr>
          <w:t>Amended and Restated Certificate of Incorporation of ZoomInfo Technologies Inc. (formerly</w:t>
        </w:r>
      </w:hyperlink>
      <w:r>
        <w:rPr>
          <w:rFonts w:ascii="Arial" w:cs="Arial" w:eastAsia="Arial" w:hAnsi="Arial"/>
          <w:sz w:val="14"/>
          <w:szCs w:val="14"/>
          <w:u w:val="single" w:color="auto"/>
          <w:color w:val="0000FF"/>
        </w:rPr>
        <w:t xml:space="preserve"> </w:t>
      </w:r>
      <w:hyperlink r:id="rId189">
        <w:r>
          <w:rPr>
            <w:rFonts w:ascii="Arial" w:cs="Arial" w:eastAsia="Arial" w:hAnsi="Arial"/>
            <w:sz w:val="14"/>
            <w:szCs w:val="14"/>
            <w:u w:val="single" w:color="auto"/>
            <w:color w:val="0000FF"/>
          </w:rPr>
          <w:t>ZoomInfo NewCo Inc.)</w:t>
        </w:r>
      </w:hyperlink>
    </w:p>
    <w:p>
      <w:pPr>
        <w:spacing w:after="0" w:line="16" w:lineRule="exact"/>
        <w:rPr>
          <w:sz w:val="20"/>
          <w:szCs w:val="20"/>
          <w:color w:val="auto"/>
        </w:rPr>
      </w:pPr>
    </w:p>
    <w:p>
      <w:pPr>
        <w:ind w:left="400"/>
        <w:spacing w:after="0"/>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3.2</w:t>
      </w:r>
      <w:r>
        <w:rPr>
          <w:sz w:val="20"/>
          <w:szCs w:val="20"/>
          <w:color w:val="auto"/>
        </w:rPr>
        <w:tab/>
      </w:r>
      <w:hyperlink r:id="rId190">
        <w:r>
          <w:rPr>
            <w:rFonts w:ascii="Arial" w:cs="Arial" w:eastAsia="Arial" w:hAnsi="Arial"/>
            <w:sz w:val="13"/>
            <w:szCs w:val="13"/>
            <w:u w:val="single" w:color="auto"/>
            <w:color w:val="0000FF"/>
          </w:rPr>
          <w:t>Amended and Restated Bylaws of ZoomInfo Technologies Inc. (formerly ZoomInfo NewCo Inc.)</w:t>
        </w:r>
      </w:hyperlink>
    </w:p>
    <w:p>
      <w:pPr>
        <w:spacing w:after="0" w:line="38" w:lineRule="exact"/>
        <w:rPr>
          <w:sz w:val="20"/>
          <w:szCs w:val="20"/>
          <w:color w:val="auto"/>
        </w:rPr>
      </w:pPr>
    </w:p>
    <w:p>
      <w:pPr>
        <w:ind w:left="36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+4.1</w:t>
      </w:r>
      <w:r>
        <w:rPr>
          <w:sz w:val="20"/>
          <w:szCs w:val="20"/>
          <w:color w:val="auto"/>
        </w:rPr>
        <w:tab/>
      </w:r>
      <w:hyperlink w:anchor="page164">
        <w:r>
          <w:rPr>
            <w:rFonts w:ascii="Arial" w:cs="Arial" w:eastAsia="Arial" w:hAnsi="Arial"/>
            <w:sz w:val="12"/>
            <w:szCs w:val="12"/>
            <w:u w:val="single" w:color="auto"/>
            <w:color w:val="0000FF"/>
          </w:rPr>
          <w:t>Description of Registrant’s Securities</w:t>
        </w:r>
      </w:hyperlink>
    </w:p>
    <w:p>
      <w:pPr>
        <w:spacing w:after="0" w:line="38" w:lineRule="exact"/>
        <w:rPr>
          <w:sz w:val="20"/>
          <w:szCs w:val="20"/>
          <w:color w:val="auto"/>
        </w:rPr>
      </w:pPr>
    </w:p>
    <w:p>
      <w:pPr>
        <w:ind w:left="1000" w:right="340" w:hanging="595"/>
        <w:spacing w:after="0" w:line="234"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4.2</w:t>
      </w:r>
      <w:r>
        <w:rPr>
          <w:sz w:val="20"/>
          <w:szCs w:val="20"/>
          <w:color w:val="auto"/>
        </w:rPr>
        <w:tab/>
      </w:r>
      <w:hyperlink r:id="rId191">
        <w:r>
          <w:rPr>
            <w:rFonts w:ascii="Arial" w:cs="Arial" w:eastAsia="Arial" w:hAnsi="Arial"/>
            <w:sz w:val="14"/>
            <w:szCs w:val="14"/>
            <w:u w:val="single" w:color="auto"/>
            <w:color w:val="0000FF"/>
          </w:rPr>
          <w:t>Indenture, dated as of February 2, 2021, by and among ZoomInfo Technologies LLC, ZoomInfo</w:t>
        </w:r>
      </w:hyperlink>
      <w:r>
        <w:rPr>
          <w:rFonts w:ascii="Arial" w:cs="Arial" w:eastAsia="Arial" w:hAnsi="Arial"/>
          <w:sz w:val="14"/>
          <w:szCs w:val="14"/>
          <w:u w:val="single" w:color="auto"/>
          <w:color w:val="0000FF"/>
        </w:rPr>
        <w:t xml:space="preserve"> </w:t>
      </w:r>
      <w:hyperlink r:id="rId191">
        <w:r>
          <w:rPr>
            <w:rFonts w:ascii="Arial" w:cs="Arial" w:eastAsia="Arial" w:hAnsi="Arial"/>
            <w:sz w:val="14"/>
            <w:szCs w:val="14"/>
            <w:u w:val="single" w:color="auto"/>
            <w:color w:val="0000FF"/>
          </w:rPr>
          <w:t>Finance Corp., the guarantors named on the signature pages thereto and Wells Fargo, National</w:t>
        </w:r>
      </w:hyperlink>
      <w:r>
        <w:rPr>
          <w:rFonts w:ascii="Arial" w:cs="Arial" w:eastAsia="Arial" w:hAnsi="Arial"/>
          <w:sz w:val="14"/>
          <w:szCs w:val="14"/>
          <w:u w:val="single" w:color="auto"/>
          <w:color w:val="0000FF"/>
        </w:rPr>
        <w:t xml:space="preserve"> </w:t>
      </w:r>
      <w:hyperlink r:id="rId191">
        <w:r>
          <w:rPr>
            <w:rFonts w:ascii="Arial" w:cs="Arial" w:eastAsia="Arial" w:hAnsi="Arial"/>
            <w:sz w:val="14"/>
            <w:szCs w:val="14"/>
            <w:u w:val="single" w:color="auto"/>
            <w:color w:val="0000FF"/>
          </w:rPr>
          <w:t>Association, as trustee</w:t>
        </w:r>
      </w:hyperlink>
    </w:p>
    <w:p>
      <w:pPr>
        <w:spacing w:after="0" w:line="19" w:lineRule="exact"/>
        <w:rPr>
          <w:rFonts w:ascii="Arial" w:cs="Arial" w:eastAsia="Arial" w:hAnsi="Arial"/>
          <w:sz w:val="14"/>
          <w:szCs w:val="14"/>
          <w:u w:val="single" w:color="auto"/>
          <w:color w:val="0000FF"/>
        </w:rPr>
      </w:pPr>
    </w:p>
    <w:p>
      <w:pPr>
        <w:jc w:val="both"/>
        <w:ind w:left="1000" w:right="340" w:hanging="595"/>
        <w:spacing w:after="0" w:line="234"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4.3</w:t>
      </w:r>
      <w:r>
        <w:rPr>
          <w:sz w:val="20"/>
          <w:szCs w:val="20"/>
          <w:color w:val="auto"/>
        </w:rPr>
        <w:tab/>
      </w:r>
      <w:hyperlink r:id="rId192">
        <w:r>
          <w:rPr>
            <w:rFonts w:ascii="Arial" w:cs="Arial" w:eastAsia="Arial" w:hAnsi="Arial"/>
            <w:sz w:val="14"/>
            <w:szCs w:val="14"/>
            <w:u w:val="single" w:color="auto"/>
            <w:color w:val="0000FF"/>
          </w:rPr>
          <w:t>Supplemental Indenture, dated as of July 15, 2021, by and among ZoomInfo Technologies LLC,</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ZoomInfo Finance Corp., the guarantors named on the signature pages thereto, and Wells Fargo</w:t>
        </w:r>
      </w:hyperlink>
      <w:r>
        <w:rPr>
          <w:rFonts w:ascii="Arial" w:cs="Arial" w:eastAsia="Arial" w:hAnsi="Arial"/>
          <w:sz w:val="14"/>
          <w:szCs w:val="14"/>
          <w:u w:val="single" w:color="auto"/>
          <w:color w:val="0000FF"/>
        </w:rPr>
        <w:t xml:space="preserve"> </w:t>
      </w:r>
      <w:hyperlink r:id="rId192">
        <w:r>
          <w:rPr>
            <w:rFonts w:ascii="Arial" w:cs="Arial" w:eastAsia="Arial" w:hAnsi="Arial"/>
            <w:sz w:val="14"/>
            <w:szCs w:val="14"/>
            <w:u w:val="single" w:color="auto"/>
            <w:color w:val="0000FF"/>
          </w:rPr>
          <w:t>National Association, as trustee</w:t>
        </w:r>
      </w:hyperlink>
    </w:p>
    <w:p>
      <w:pPr>
        <w:spacing w:after="0" w:line="19" w:lineRule="exact"/>
        <w:rPr>
          <w:rFonts w:ascii="Arial" w:cs="Arial" w:eastAsia="Arial" w:hAnsi="Arial"/>
          <w:sz w:val="14"/>
          <w:szCs w:val="14"/>
          <w:u w:val="single" w:color="auto"/>
          <w:color w:val="0000FF"/>
        </w:rPr>
      </w:pPr>
    </w:p>
    <w:p>
      <w:pPr>
        <w:ind w:left="400"/>
        <w:spacing w:after="0"/>
        <w:tabs>
          <w:tab w:leader="none" w:pos="98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3"/>
          <w:szCs w:val="13"/>
          <w:color w:val="auto"/>
        </w:rPr>
        <w:t>Form of 3.875% Senior Note due 2029 (included in Exhibit 4.2)</w:t>
      </w:r>
    </w:p>
    <w:p>
      <w:pPr>
        <w:spacing w:after="0" w:line="38" w:lineRule="exact"/>
        <w:rPr>
          <w:rFonts w:ascii="Arial" w:cs="Arial" w:eastAsia="Arial" w:hAnsi="Arial"/>
          <w:sz w:val="14"/>
          <w:szCs w:val="14"/>
          <w:u w:val="single" w:color="auto"/>
          <w:color w:val="0000FF"/>
        </w:rPr>
      </w:pPr>
    </w:p>
    <w:p>
      <w:pPr>
        <w:ind w:left="1000" w:right="240" w:hanging="670"/>
        <w:spacing w:after="0" w:line="232"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+10.1</w:t>
      </w:r>
      <w:r>
        <w:rPr>
          <w:sz w:val="20"/>
          <w:szCs w:val="20"/>
          <w:color w:val="auto"/>
        </w:rPr>
        <w:tab/>
      </w:r>
      <w:hyperlink w:anchor="page170">
        <w:r>
          <w:rPr>
            <w:rFonts w:ascii="Arial" w:cs="Arial" w:eastAsia="Arial" w:hAnsi="Arial"/>
            <w:sz w:val="14"/>
            <w:szCs w:val="14"/>
            <w:u w:val="single" w:color="auto"/>
            <w:color w:val="0000FF"/>
          </w:rPr>
          <w:t>Sixth Amended and Restated Limited Liability Company Agreement of ZoomInfo Holdings LLC,</w:t>
        </w:r>
      </w:hyperlink>
      <w:r>
        <w:rPr>
          <w:rFonts w:ascii="Arial" w:cs="Arial" w:eastAsia="Arial" w:hAnsi="Arial"/>
          <w:sz w:val="14"/>
          <w:szCs w:val="14"/>
          <w:u w:val="single" w:color="auto"/>
          <w:color w:val="0000FF"/>
        </w:rPr>
        <w:t xml:space="preserve"> </w:t>
      </w:r>
      <w:hyperlink w:anchor="page170">
        <w:r>
          <w:rPr>
            <w:rFonts w:ascii="Arial" w:cs="Arial" w:eastAsia="Arial" w:hAnsi="Arial"/>
            <w:sz w:val="14"/>
            <w:szCs w:val="14"/>
            <w:u w:val="single" w:color="auto"/>
            <w:color w:val="0000FF"/>
          </w:rPr>
          <w:t>dated as of October 29, 2021</w:t>
        </w:r>
      </w:hyperlink>
    </w:p>
    <w:p>
      <w:pPr>
        <w:spacing w:after="0" w:line="7" w:lineRule="exact"/>
        <w:rPr>
          <w:sz w:val="20"/>
          <w:szCs w:val="20"/>
          <w:color w:val="auto"/>
        </w:rPr>
      </w:pPr>
    </w:p>
    <w:p>
      <w:pPr>
        <w:jc w:val="center"/>
        <w:ind w:left="300" w:right="660"/>
        <w:spacing w:after="0" w:line="232" w:lineRule="auto"/>
        <w:rPr>
          <w:rFonts w:ascii="Arial" w:cs="Arial" w:eastAsia="Arial" w:hAnsi="Arial"/>
          <w:sz w:val="14"/>
          <w:szCs w:val="14"/>
          <w:u w:val="single" w:color="auto"/>
          <w:color w:val="0000FF"/>
        </w:rPr>
      </w:pPr>
      <w:r>
        <w:rPr>
          <w:rFonts w:ascii="Arial" w:cs="Arial" w:eastAsia="Arial" w:hAnsi="Arial"/>
          <w:sz w:val="14"/>
          <w:szCs w:val="14"/>
          <w:color w:val="auto"/>
        </w:rPr>
        <w:t xml:space="preserve">10.2      </w:t>
      </w:r>
      <w:hyperlink r:id="rId193">
        <w:r>
          <w:rPr>
            <w:rFonts w:ascii="Arial" w:cs="Arial" w:eastAsia="Arial" w:hAnsi="Arial"/>
            <w:sz w:val="14"/>
            <w:szCs w:val="14"/>
            <w:u w:val="single" w:color="auto"/>
            <w:color w:val="0000FF"/>
          </w:rPr>
          <w:t>Exchange Tax Receivable Agreement, dated as of June 3, 2020, by and among ZoomInfo</w:t>
        </w:r>
      </w:hyperlink>
      <w:r>
        <w:rPr>
          <w:rFonts w:ascii="Arial" w:cs="Arial" w:eastAsia="Arial" w:hAnsi="Arial"/>
          <w:sz w:val="14"/>
          <w:szCs w:val="14"/>
          <w:color w:val="auto"/>
        </w:rPr>
        <w:t xml:space="preserve"> </w:t>
      </w:r>
      <w:hyperlink r:id="rId193">
        <w:r>
          <w:rPr>
            <w:rFonts w:ascii="Arial" w:cs="Arial" w:eastAsia="Arial" w:hAnsi="Arial"/>
            <w:sz w:val="14"/>
            <w:szCs w:val="14"/>
            <w:u w:val="single" w:color="auto"/>
            <w:color w:val="0000FF"/>
          </w:rPr>
          <w:t>Technologies Inc. and each of the other persons from time to time party thereto</w:t>
        </w:r>
      </w:hyperlink>
    </w:p>
    <w:p>
      <w:pPr>
        <w:spacing w:after="0" w:line="7" w:lineRule="exact"/>
        <w:rPr>
          <w:sz w:val="20"/>
          <w:szCs w:val="20"/>
          <w:color w:val="auto"/>
        </w:rPr>
      </w:pPr>
    </w:p>
    <w:p>
      <w:pPr>
        <w:ind w:left="1000" w:hanging="630"/>
        <w:spacing w:after="0" w:line="251"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10.3</w:t>
      </w:r>
      <w:r>
        <w:rPr>
          <w:sz w:val="20"/>
          <w:szCs w:val="20"/>
          <w:color w:val="auto"/>
        </w:rPr>
        <w:tab/>
      </w:r>
      <w:hyperlink r:id="rId194">
        <w:r>
          <w:rPr>
            <w:rFonts w:ascii="Arial" w:cs="Arial" w:eastAsia="Arial" w:hAnsi="Arial"/>
            <w:sz w:val="14"/>
            <w:szCs w:val="14"/>
            <w:u w:val="single" w:color="auto"/>
            <w:color w:val="0000FF"/>
          </w:rPr>
          <w:t>Amendment No. 1, dated as of August 20, 2021, to the Exchange Tax Receivable Agreement, dated as</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of June 3, 2020, among ZoomInfo Technologies Inc. and each of the other persons from time to time</w:t>
        </w:r>
      </w:hyperlink>
      <w:r>
        <w:rPr>
          <w:rFonts w:ascii="Arial" w:cs="Arial" w:eastAsia="Arial" w:hAnsi="Arial"/>
          <w:sz w:val="14"/>
          <w:szCs w:val="14"/>
          <w:u w:val="single" w:color="auto"/>
          <w:color w:val="0000FF"/>
        </w:rPr>
        <w:t xml:space="preserve"> </w:t>
      </w:r>
      <w:hyperlink r:id="rId194">
        <w:r>
          <w:rPr>
            <w:rFonts w:ascii="Arial" w:cs="Arial" w:eastAsia="Arial" w:hAnsi="Arial"/>
            <w:sz w:val="14"/>
            <w:szCs w:val="14"/>
            <w:u w:val="single" w:color="auto"/>
            <w:color w:val="0000FF"/>
          </w:rPr>
          <w:t>party thereto</w:t>
        </w:r>
      </w:hyperlink>
    </w:p>
    <w:p>
      <w:pPr>
        <w:spacing w:after="0" w:line="25" w:lineRule="exact"/>
        <w:rPr>
          <w:rFonts w:ascii="Arial" w:cs="Arial" w:eastAsia="Arial" w:hAnsi="Arial"/>
          <w:sz w:val="14"/>
          <w:szCs w:val="14"/>
          <w:u w:val="single" w:color="auto"/>
          <w:color w:val="0000FF"/>
        </w:rPr>
      </w:pPr>
    </w:p>
    <w:p>
      <w:pPr>
        <w:ind w:left="1000" w:right="100" w:hanging="630"/>
        <w:spacing w:after="0" w:line="234"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10.4</w:t>
      </w:r>
      <w:r>
        <w:rPr>
          <w:sz w:val="20"/>
          <w:szCs w:val="20"/>
          <w:color w:val="auto"/>
        </w:rPr>
        <w:tab/>
      </w:r>
      <w:hyperlink r:id="rId195">
        <w:r>
          <w:rPr>
            <w:rFonts w:ascii="Arial" w:cs="Arial" w:eastAsia="Arial" w:hAnsi="Arial"/>
            <w:sz w:val="14"/>
            <w:szCs w:val="14"/>
            <w:u w:val="single" w:color="auto"/>
            <w:color w:val="0000FF"/>
          </w:rPr>
          <w:t>Amendment No. 2, dated as of October 29, 2021, to the Exchange Tax Receivable Agreement, dated</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as of June 3, 2020, among ZoomInfo Technologies Inc. and each of the other persons from time to</w:t>
        </w:r>
      </w:hyperlink>
      <w:r>
        <w:rPr>
          <w:rFonts w:ascii="Arial" w:cs="Arial" w:eastAsia="Arial" w:hAnsi="Arial"/>
          <w:sz w:val="14"/>
          <w:szCs w:val="14"/>
          <w:u w:val="single" w:color="auto"/>
          <w:color w:val="0000FF"/>
        </w:rPr>
        <w:t xml:space="preserve"> </w:t>
      </w:r>
      <w:hyperlink r:id="rId195">
        <w:r>
          <w:rPr>
            <w:rFonts w:ascii="Arial" w:cs="Arial" w:eastAsia="Arial" w:hAnsi="Arial"/>
            <w:sz w:val="14"/>
            <w:szCs w:val="14"/>
            <w:u w:val="single" w:color="auto"/>
            <w:color w:val="0000FF"/>
          </w:rPr>
          <w:t>time party thereto</w:t>
        </w:r>
      </w:hyperlink>
    </w:p>
    <w:p>
      <w:pPr>
        <w:spacing w:after="0" w:line="19" w:lineRule="exact"/>
        <w:rPr>
          <w:rFonts w:ascii="Arial" w:cs="Arial" w:eastAsia="Arial" w:hAnsi="Arial"/>
          <w:sz w:val="14"/>
          <w:szCs w:val="14"/>
          <w:u w:val="single" w:color="auto"/>
          <w:color w:val="0000FF"/>
        </w:rPr>
      </w:pPr>
    </w:p>
    <w:p>
      <w:pPr>
        <w:ind w:left="1000" w:right="440" w:hanging="630"/>
        <w:spacing w:after="0" w:line="255" w:lineRule="auto"/>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10.5</w:t>
      </w:r>
      <w:r>
        <w:rPr>
          <w:sz w:val="20"/>
          <w:szCs w:val="20"/>
          <w:color w:val="auto"/>
        </w:rPr>
        <w:tab/>
      </w:r>
      <w:hyperlink r:id="rId196">
        <w:r>
          <w:rPr>
            <w:rFonts w:ascii="Arial" w:cs="Arial" w:eastAsia="Arial" w:hAnsi="Arial"/>
            <w:sz w:val="13"/>
            <w:szCs w:val="13"/>
            <w:u w:val="single" w:color="auto"/>
            <w:color w:val="0000FF"/>
          </w:rPr>
          <w:t>Reorganization Tax Receivable Agreement, dated as of June 3, 2020, by and among ZoomInfo</w:t>
        </w:r>
      </w:hyperlink>
      <w:r>
        <w:rPr>
          <w:rFonts w:ascii="Arial" w:cs="Arial" w:eastAsia="Arial" w:hAnsi="Arial"/>
          <w:sz w:val="13"/>
          <w:szCs w:val="13"/>
          <w:u w:val="single" w:color="auto"/>
          <w:color w:val="0000FF"/>
        </w:rPr>
        <w:t xml:space="preserve"> </w:t>
      </w:r>
      <w:hyperlink r:id="rId196">
        <w:r>
          <w:rPr>
            <w:rFonts w:ascii="Arial" w:cs="Arial" w:eastAsia="Arial" w:hAnsi="Arial"/>
            <w:sz w:val="13"/>
            <w:szCs w:val="13"/>
            <w:u w:val="single" w:color="auto"/>
            <w:color w:val="0000FF"/>
          </w:rPr>
          <w:t>Technologies Inc. and each of the other persons from time to time a party thereto</w:t>
        </w:r>
      </w:hyperlink>
    </w:p>
    <w:p>
      <w:pPr>
        <w:ind w:left="1000" w:right="20" w:hanging="630"/>
        <w:spacing w:after="0" w:line="251"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10.6</w:t>
      </w:r>
      <w:r>
        <w:rPr>
          <w:sz w:val="20"/>
          <w:szCs w:val="20"/>
          <w:color w:val="auto"/>
        </w:rPr>
        <w:tab/>
      </w:r>
      <w:hyperlink r:id="rId197">
        <w:r>
          <w:rPr>
            <w:rFonts w:ascii="Arial" w:cs="Arial" w:eastAsia="Arial" w:hAnsi="Arial"/>
            <w:sz w:val="14"/>
            <w:szCs w:val="14"/>
            <w:u w:val="single" w:color="auto"/>
            <w:color w:val="0000FF"/>
          </w:rPr>
          <w:t>Amendment No. 1, dated as of August 20, 2021, to the Reorganization Tax Receivable Agreement,</w:t>
        </w:r>
      </w:hyperlink>
      <w:r>
        <w:rPr>
          <w:rFonts w:ascii="Arial" w:cs="Arial" w:eastAsia="Arial" w:hAnsi="Arial"/>
          <w:sz w:val="14"/>
          <w:szCs w:val="14"/>
          <w:u w:val="single" w:color="auto"/>
          <w:color w:val="0000FF"/>
        </w:rPr>
        <w:t xml:space="preserve"> </w:t>
      </w:r>
      <w:hyperlink r:id="rId197">
        <w:r>
          <w:rPr>
            <w:rFonts w:ascii="Arial" w:cs="Arial" w:eastAsia="Arial" w:hAnsi="Arial"/>
            <w:sz w:val="14"/>
            <w:szCs w:val="14"/>
            <w:u w:val="single" w:color="auto"/>
            <w:color w:val="0000FF"/>
          </w:rPr>
          <w:t>dated as of June 3, 2020, among ZoomInfo Technologies Inc. and each of the other persons from time</w:t>
        </w:r>
      </w:hyperlink>
      <w:r>
        <w:rPr>
          <w:rFonts w:ascii="Arial" w:cs="Arial" w:eastAsia="Arial" w:hAnsi="Arial"/>
          <w:sz w:val="14"/>
          <w:szCs w:val="14"/>
          <w:u w:val="single" w:color="auto"/>
          <w:color w:val="0000FF"/>
        </w:rPr>
        <w:t xml:space="preserve"> </w:t>
      </w:r>
      <w:hyperlink r:id="rId197">
        <w:r>
          <w:rPr>
            <w:rFonts w:ascii="Arial" w:cs="Arial" w:eastAsia="Arial" w:hAnsi="Arial"/>
            <w:sz w:val="14"/>
            <w:szCs w:val="14"/>
            <w:u w:val="single" w:color="auto"/>
            <w:color w:val="0000FF"/>
          </w:rPr>
          <w:t>to time party thereto</w:t>
        </w:r>
      </w:hyperlink>
    </w:p>
    <w:p>
      <w:pPr>
        <w:spacing w:after="0" w:line="25" w:lineRule="exact"/>
        <w:rPr>
          <w:rFonts w:ascii="Arial" w:cs="Arial" w:eastAsia="Arial" w:hAnsi="Arial"/>
          <w:sz w:val="14"/>
          <w:szCs w:val="14"/>
          <w:u w:val="single" w:color="auto"/>
          <w:color w:val="0000FF"/>
        </w:rPr>
      </w:pPr>
    </w:p>
    <w:p>
      <w:pPr>
        <w:ind w:left="1000" w:right="20" w:hanging="630"/>
        <w:spacing w:after="0" w:line="221"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10.7</w:t>
      </w:r>
      <w:r>
        <w:rPr>
          <w:sz w:val="20"/>
          <w:szCs w:val="20"/>
          <w:color w:val="auto"/>
        </w:rPr>
        <w:tab/>
      </w:r>
      <w:hyperlink r:id="rId198">
        <w:r>
          <w:rPr>
            <w:rFonts w:ascii="Arial" w:cs="Arial" w:eastAsia="Arial" w:hAnsi="Arial"/>
            <w:sz w:val="14"/>
            <w:szCs w:val="14"/>
            <w:u w:val="single" w:color="auto"/>
            <w:color w:val="0000FF"/>
          </w:rPr>
          <w:t>Amendment No. 2, dated as of October 29, 2021, to the Reorganization Tax Receivable Agreement,</w:t>
        </w:r>
      </w:hyperlink>
      <w:r>
        <w:rPr>
          <w:rFonts w:ascii="Arial" w:cs="Arial" w:eastAsia="Arial" w:hAnsi="Arial"/>
          <w:sz w:val="14"/>
          <w:szCs w:val="14"/>
          <w:u w:val="single" w:color="auto"/>
          <w:color w:val="0000FF"/>
        </w:rPr>
        <w:t xml:space="preserve"> </w:t>
      </w:r>
      <w:hyperlink r:id="rId198">
        <w:r>
          <w:rPr>
            <w:rFonts w:ascii="Arial" w:cs="Arial" w:eastAsia="Arial" w:hAnsi="Arial"/>
            <w:sz w:val="14"/>
            <w:szCs w:val="14"/>
            <w:u w:val="single" w:color="auto"/>
            <w:color w:val="0000FF"/>
          </w:rPr>
          <w:t>dated as of June 3, 2020, among ZoomInfo Technologies Inc. and each of the other persons from time</w:t>
        </w:r>
      </w:hyperlink>
      <w:r>
        <w:rPr>
          <w:rFonts w:ascii="Arial" w:cs="Arial" w:eastAsia="Arial" w:hAnsi="Arial"/>
          <w:sz w:val="14"/>
          <w:szCs w:val="14"/>
          <w:u w:val="single" w:color="auto"/>
          <w:color w:val="0000FF"/>
        </w:rPr>
        <w:t xml:space="preserve"> </w:t>
      </w:r>
      <w:hyperlink r:id="rId198">
        <w:r>
          <w:rPr>
            <w:rFonts w:ascii="Arial" w:cs="Arial" w:eastAsia="Arial" w:hAnsi="Arial"/>
            <w:sz w:val="14"/>
            <w:szCs w:val="14"/>
            <w:u w:val="single" w:color="auto"/>
            <w:color w:val="0000FF"/>
          </w:rPr>
          <w:t>to time party thereto</w:t>
        </w:r>
      </w:hyperlink>
    </w:p>
    <w:p>
      <w:pPr>
        <w:spacing w:after="0" w:line="6" w:lineRule="exact"/>
        <w:rPr>
          <w:rFonts w:ascii="Arial" w:cs="Arial" w:eastAsia="Arial" w:hAnsi="Arial"/>
          <w:sz w:val="14"/>
          <w:szCs w:val="14"/>
          <w:u w:val="single" w:color="auto"/>
          <w:color w:val="0000FF"/>
        </w:rPr>
      </w:pPr>
    </w:p>
    <w:p>
      <w:pPr>
        <w:ind w:left="1000" w:right="60" w:hanging="630"/>
        <w:spacing w:after="0" w:line="232"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10.8</w:t>
      </w:r>
      <w:r>
        <w:rPr>
          <w:sz w:val="20"/>
          <w:szCs w:val="20"/>
          <w:color w:val="auto"/>
        </w:rPr>
        <w:tab/>
      </w:r>
      <w:hyperlink r:id="rId199">
        <w:r>
          <w:rPr>
            <w:rFonts w:ascii="Arial" w:cs="Arial" w:eastAsia="Arial" w:hAnsi="Arial"/>
            <w:sz w:val="14"/>
            <w:szCs w:val="14"/>
            <w:u w:val="single" w:color="auto"/>
            <w:color w:val="0000FF"/>
          </w:rPr>
          <w:t>Registration Rights Agreement, dated as of June 8, 2020, by and among ZoomInfo Technologies Inc.</w:t>
        </w:r>
      </w:hyperlink>
      <w:r>
        <w:rPr>
          <w:rFonts w:ascii="Arial" w:cs="Arial" w:eastAsia="Arial" w:hAnsi="Arial"/>
          <w:sz w:val="14"/>
          <w:szCs w:val="14"/>
          <w:u w:val="single" w:color="auto"/>
          <w:color w:val="0000FF"/>
        </w:rPr>
        <w:t xml:space="preserve"> </w:t>
      </w:r>
      <w:hyperlink r:id="rId199">
        <w:r>
          <w:rPr>
            <w:rFonts w:ascii="Arial" w:cs="Arial" w:eastAsia="Arial" w:hAnsi="Arial"/>
            <w:sz w:val="14"/>
            <w:szCs w:val="14"/>
            <w:u w:val="single" w:color="auto"/>
            <w:color w:val="0000FF"/>
          </w:rPr>
          <w:t>and each of the other persons from time to time a party thereto</w:t>
        </w:r>
      </w:hyperlink>
    </w:p>
    <w:p>
      <w:pPr>
        <w:spacing w:after="0" w:line="7" w:lineRule="exact"/>
        <w:rPr>
          <w:sz w:val="20"/>
          <w:szCs w:val="20"/>
          <w:color w:val="auto"/>
        </w:rPr>
      </w:pPr>
    </w:p>
    <w:p>
      <w:pPr>
        <w:ind w:left="1000" w:right="180" w:hanging="630"/>
        <w:spacing w:after="0" w:line="232"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10.9</w:t>
      </w:r>
      <w:r>
        <w:rPr>
          <w:sz w:val="20"/>
          <w:szCs w:val="20"/>
          <w:color w:val="auto"/>
        </w:rPr>
        <w:tab/>
      </w:r>
      <w:hyperlink r:id="rId200">
        <w:r>
          <w:rPr>
            <w:rFonts w:ascii="Arial" w:cs="Arial" w:eastAsia="Arial" w:hAnsi="Arial"/>
            <w:sz w:val="14"/>
            <w:szCs w:val="14"/>
            <w:u w:val="single" w:color="auto"/>
            <w:color w:val="0000FF"/>
          </w:rPr>
          <w:t>Stockholders Agreement, dated as of June 3, 2020, by and among ZoomInfo Technologies Inc. and</w:t>
        </w:r>
      </w:hyperlink>
      <w:r>
        <w:rPr>
          <w:rFonts w:ascii="Arial" w:cs="Arial" w:eastAsia="Arial" w:hAnsi="Arial"/>
          <w:sz w:val="14"/>
          <w:szCs w:val="14"/>
          <w:u w:val="single" w:color="auto"/>
          <w:color w:val="0000FF"/>
        </w:rPr>
        <w:t xml:space="preserve"> </w:t>
      </w:r>
      <w:hyperlink r:id="rId200">
        <w:r>
          <w:rPr>
            <w:rFonts w:ascii="Arial" w:cs="Arial" w:eastAsia="Arial" w:hAnsi="Arial"/>
            <w:sz w:val="14"/>
            <w:szCs w:val="14"/>
            <w:u w:val="single" w:color="auto"/>
            <w:color w:val="0000FF"/>
          </w:rPr>
          <w:t>each of the other persons from time to time party thereto</w:t>
        </w:r>
      </w:hyperlink>
    </w:p>
    <w:p>
      <w:pPr>
        <w:spacing w:after="0" w:line="7" w:lineRule="exact"/>
        <w:rPr>
          <w:sz w:val="20"/>
          <w:szCs w:val="20"/>
          <w:color w:val="auto"/>
        </w:rPr>
      </w:pPr>
    </w:p>
    <w:p>
      <w:pPr>
        <w:ind w:left="300"/>
        <w:spacing w:after="0"/>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10.10†</w:t>
      </w:r>
      <w:r>
        <w:rPr>
          <w:sz w:val="20"/>
          <w:szCs w:val="20"/>
          <w:color w:val="auto"/>
        </w:rPr>
        <w:tab/>
      </w:r>
      <w:hyperlink r:id="rId201">
        <w:r>
          <w:rPr>
            <w:rFonts w:ascii="Arial" w:cs="Arial" w:eastAsia="Arial" w:hAnsi="Arial"/>
            <w:sz w:val="13"/>
            <w:szCs w:val="13"/>
            <w:u w:val="single" w:color="auto"/>
            <w:color w:val="0000FF"/>
          </w:rPr>
          <w:t>ZoomInfo Technologies Inc. 2020 Omnibus Incentive Plan</w:t>
        </w:r>
      </w:hyperlink>
    </w:p>
    <w:p>
      <w:pPr>
        <w:spacing w:after="0" w:line="38" w:lineRule="exact"/>
        <w:rPr>
          <w:sz w:val="20"/>
          <w:szCs w:val="20"/>
          <w:color w:val="auto"/>
        </w:rPr>
      </w:pPr>
    </w:p>
    <w:p>
      <w:pPr>
        <w:ind w:left="300"/>
        <w:spacing w:after="0"/>
        <w:tabs>
          <w:tab w:leader="none" w:pos="980" w:val="left"/>
        </w:tabs>
        <w:rPr>
          <w:rFonts w:ascii="Arial" w:cs="Arial" w:eastAsia="Arial" w:hAnsi="Arial"/>
          <w:sz w:val="12"/>
          <w:szCs w:val="12"/>
          <w:u w:val="single" w:color="auto"/>
          <w:color w:val="0000FF"/>
        </w:rPr>
      </w:pPr>
      <w:r>
        <w:rPr>
          <w:rFonts w:ascii="Arial" w:cs="Arial" w:eastAsia="Arial" w:hAnsi="Arial"/>
          <w:sz w:val="14"/>
          <w:szCs w:val="14"/>
          <w:color w:val="auto"/>
        </w:rPr>
        <w:t>10.11†</w:t>
      </w:r>
      <w:r>
        <w:rPr>
          <w:sz w:val="20"/>
          <w:szCs w:val="20"/>
          <w:color w:val="auto"/>
        </w:rPr>
        <w:tab/>
      </w:r>
      <w:hyperlink r:id="rId202">
        <w:r>
          <w:rPr>
            <w:rFonts w:ascii="Arial" w:cs="Arial" w:eastAsia="Arial" w:hAnsi="Arial"/>
            <w:sz w:val="12"/>
            <w:szCs w:val="12"/>
            <w:u w:val="single" w:color="auto"/>
            <w:color w:val="0000FF"/>
          </w:rPr>
          <w:t>ZoomInfo Technologies Inc. 2020 Employee Stock Purchase Plan</w:t>
        </w:r>
      </w:hyperlink>
    </w:p>
    <w:p>
      <w:pPr>
        <w:spacing w:after="0" w:line="25" w:lineRule="exact"/>
        <w:rPr>
          <w:sz w:val="20"/>
          <w:szCs w:val="20"/>
          <w:color w:val="auto"/>
        </w:rPr>
      </w:pPr>
    </w:p>
    <w:p>
      <w:pPr>
        <w:ind w:left="300"/>
        <w:spacing w:after="0"/>
        <w:tabs>
          <w:tab w:leader="none" w:pos="980" w:val="left"/>
        </w:tabs>
        <w:rPr>
          <w:rFonts w:ascii="Arial" w:cs="Arial" w:eastAsia="Arial" w:hAnsi="Arial"/>
          <w:sz w:val="13"/>
          <w:szCs w:val="13"/>
          <w:u w:val="single" w:color="auto"/>
          <w:color w:val="0000FF"/>
        </w:rPr>
      </w:pPr>
      <w:r>
        <w:rPr>
          <w:rFonts w:ascii="Arial" w:cs="Arial" w:eastAsia="Arial" w:hAnsi="Arial"/>
          <w:sz w:val="14"/>
          <w:szCs w:val="14"/>
          <w:color w:val="auto"/>
        </w:rPr>
        <w:t>10.12†</w:t>
      </w:r>
      <w:r>
        <w:rPr>
          <w:sz w:val="20"/>
          <w:szCs w:val="20"/>
          <w:color w:val="auto"/>
        </w:rPr>
        <w:tab/>
      </w:r>
      <w:hyperlink r:id="rId203">
        <w:r>
          <w:rPr>
            <w:rFonts w:ascii="Arial" w:cs="Arial" w:eastAsia="Arial" w:hAnsi="Arial"/>
            <w:sz w:val="13"/>
            <w:szCs w:val="13"/>
            <w:u w:val="single" w:color="auto"/>
            <w:color w:val="0000FF"/>
          </w:rPr>
          <w:t>Form of Indemnification Agreement</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2.1</w:t>
            </w:r>
          </w:p>
        </w:tc>
      </w:tr>
      <w:tr>
        <w:trPr>
          <w:trHeight w:val="437"/>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2.2</w:t>
            </w:r>
          </w:p>
        </w:tc>
      </w:tr>
      <w:tr>
        <w:trPr>
          <w:trHeight w:val="318"/>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3.1</w:t>
            </w:r>
          </w:p>
        </w:tc>
      </w:tr>
      <w:tr>
        <w:trPr>
          <w:trHeight w:val="345"/>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3.2</w:t>
            </w:r>
          </w:p>
        </w:tc>
      </w:tr>
      <w:tr>
        <w:trPr>
          <w:trHeight w:val="398"/>
        </w:trPr>
        <w:tc>
          <w:tcPr>
            <w:tcW w:w="1860" w:type="dxa"/>
            <w:vAlign w:val="bottom"/>
          </w:tcPr>
          <w:p>
            <w:pPr>
              <w:jc w:val="center"/>
              <w:ind w:right="149"/>
              <w:spacing w:after="0"/>
              <w:rPr>
                <w:sz w:val="20"/>
                <w:szCs w:val="20"/>
                <w:color w:val="auto"/>
              </w:rPr>
            </w:pPr>
            <w:r>
              <w:rPr>
                <w:rFonts w:ascii="Arial" w:cs="Arial" w:eastAsia="Arial" w:hAnsi="Arial"/>
                <w:sz w:val="14"/>
                <w:szCs w:val="14"/>
                <w:color w:val="auto"/>
                <w:w w:val="93"/>
              </w:rPr>
              <w:t>8-K filed February 2,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4.1</w:t>
            </w:r>
          </w:p>
        </w:tc>
      </w:tr>
      <w:tr>
        <w:trPr>
          <w:trHeight w:val="490"/>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3"/>
              </w:rPr>
              <w:t>8-K filed July 15,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4.2</w:t>
            </w:r>
          </w:p>
        </w:tc>
      </w:tr>
      <w:tr>
        <w:trPr>
          <w:trHeight w:val="490"/>
        </w:trPr>
        <w:tc>
          <w:tcPr>
            <w:tcW w:w="1860" w:type="dxa"/>
            <w:vAlign w:val="bottom"/>
          </w:tcPr>
          <w:p>
            <w:pPr>
              <w:jc w:val="center"/>
              <w:ind w:right="149"/>
              <w:spacing w:after="0"/>
              <w:rPr>
                <w:sz w:val="20"/>
                <w:szCs w:val="20"/>
                <w:color w:val="auto"/>
              </w:rPr>
            </w:pPr>
            <w:r>
              <w:rPr>
                <w:rFonts w:ascii="Arial" w:cs="Arial" w:eastAsia="Arial" w:hAnsi="Arial"/>
                <w:sz w:val="14"/>
                <w:szCs w:val="14"/>
                <w:color w:val="auto"/>
                <w:w w:val="93"/>
              </w:rPr>
              <w:t>8-K filed February 2,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2"/>
              </w:rPr>
              <w:t>4.1</w:t>
            </w:r>
          </w:p>
        </w:tc>
      </w:tr>
      <w:tr>
        <w:trPr>
          <w:trHeight w:val="517"/>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8-K filed June 8,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10.3</w:t>
            </w:r>
          </w:p>
        </w:tc>
      </w:tr>
      <w:tr>
        <w:trPr>
          <w:trHeight w:val="276"/>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10-Q filed November 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10.3</w:t>
            </w:r>
          </w:p>
        </w:tc>
      </w:tr>
      <w:tr>
        <w:trPr>
          <w:trHeight w:val="180"/>
        </w:trPr>
        <w:tc>
          <w:tcPr>
            <w:tcW w:w="1860" w:type="dxa"/>
            <w:vAlign w:val="bottom"/>
          </w:tcPr>
          <w:p>
            <w:pPr>
              <w:jc w:val="center"/>
              <w:ind w:right="149"/>
              <w:spacing w:after="0"/>
              <w:rPr>
                <w:sz w:val="20"/>
                <w:szCs w:val="20"/>
                <w:color w:val="auto"/>
              </w:rPr>
            </w:pPr>
            <w:r>
              <w:rPr>
                <w:rFonts w:ascii="Arial" w:cs="Arial" w:eastAsia="Arial" w:hAnsi="Arial"/>
                <w:sz w:val="14"/>
                <w:szCs w:val="14"/>
                <w:color w:val="auto"/>
                <w:w w:val="89"/>
              </w:rPr>
              <w:t>2021</w:t>
            </w: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92"/>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10.1</w:t>
            </w:r>
          </w:p>
        </w:tc>
      </w:tr>
      <w:tr>
        <w:trPr>
          <w:trHeight w:val="490"/>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8-K filed June 8,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10.4</w:t>
            </w:r>
          </w:p>
        </w:tc>
      </w:tr>
      <w:tr>
        <w:trPr>
          <w:trHeight w:val="276"/>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10-Q filed November 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10.2</w:t>
            </w:r>
          </w:p>
        </w:tc>
      </w:tr>
      <w:tr>
        <w:trPr>
          <w:trHeight w:val="180"/>
        </w:trPr>
        <w:tc>
          <w:tcPr>
            <w:tcW w:w="1860" w:type="dxa"/>
            <w:vAlign w:val="bottom"/>
          </w:tcPr>
          <w:p>
            <w:pPr>
              <w:jc w:val="center"/>
              <w:ind w:right="149"/>
              <w:spacing w:after="0"/>
              <w:rPr>
                <w:sz w:val="20"/>
                <w:szCs w:val="20"/>
                <w:color w:val="auto"/>
              </w:rPr>
            </w:pPr>
            <w:r>
              <w:rPr>
                <w:rFonts w:ascii="Arial" w:cs="Arial" w:eastAsia="Arial" w:hAnsi="Arial"/>
                <w:sz w:val="14"/>
                <w:szCs w:val="14"/>
                <w:color w:val="auto"/>
                <w:w w:val="89"/>
              </w:rPr>
              <w:t>2021</w:t>
            </w:r>
          </w:p>
        </w:tc>
        <w:tc>
          <w:tcPr>
            <w:tcW w:w="13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392"/>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8-K filed November 1, 2021</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10.2</w:t>
            </w:r>
          </w:p>
        </w:tc>
      </w:tr>
      <w:tr>
        <w:trPr>
          <w:trHeight w:val="450"/>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8-K filed June 8,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10.5</w:t>
            </w:r>
          </w:p>
        </w:tc>
      </w:tr>
      <w:tr>
        <w:trPr>
          <w:trHeight w:val="318"/>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8-K filed June 8,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10.6</w:t>
            </w:r>
          </w:p>
        </w:tc>
      </w:tr>
      <w:tr>
        <w:trPr>
          <w:trHeight w:val="318"/>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8-K filed June 8,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10.7</w:t>
            </w:r>
          </w:p>
        </w:tc>
      </w:tr>
      <w:tr>
        <w:trPr>
          <w:trHeight w:val="199"/>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2"/>
              </w:rPr>
              <w:t>8-K filed June 8,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89"/>
              </w:rPr>
              <w:t>001-39310</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10.8</w:t>
            </w:r>
          </w:p>
        </w:tc>
      </w:tr>
      <w:tr>
        <w:trPr>
          <w:trHeight w:val="185"/>
        </w:trPr>
        <w:tc>
          <w:tcPr>
            <w:tcW w:w="1860" w:type="dxa"/>
            <w:vAlign w:val="bottom"/>
          </w:tcPr>
          <w:p>
            <w:pPr>
              <w:jc w:val="center"/>
              <w:ind w:right="169"/>
              <w:spacing w:after="0"/>
              <w:rPr>
                <w:sz w:val="20"/>
                <w:szCs w:val="20"/>
                <w:color w:val="auto"/>
              </w:rPr>
            </w:pPr>
            <w:r>
              <w:rPr>
                <w:rFonts w:ascii="Arial" w:cs="Arial" w:eastAsia="Arial" w:hAnsi="Arial"/>
                <w:sz w:val="14"/>
                <w:szCs w:val="14"/>
                <w:color w:val="auto"/>
                <w:w w:val="95"/>
              </w:rPr>
              <w:t>S-1/A filed May 27, 2020</w:t>
            </w:r>
          </w:p>
        </w:tc>
        <w:tc>
          <w:tcPr>
            <w:tcW w:w="1380" w:type="dxa"/>
            <w:vAlign w:val="bottom"/>
          </w:tcPr>
          <w:p>
            <w:pPr>
              <w:jc w:val="center"/>
              <w:ind w:right="149"/>
              <w:spacing w:after="0"/>
              <w:rPr>
                <w:sz w:val="20"/>
                <w:szCs w:val="20"/>
                <w:color w:val="auto"/>
              </w:rPr>
            </w:pPr>
            <w:r>
              <w:rPr>
                <w:rFonts w:ascii="Arial" w:cs="Arial" w:eastAsia="Arial" w:hAnsi="Arial"/>
                <w:sz w:val="14"/>
                <w:szCs w:val="14"/>
                <w:color w:val="auto"/>
                <w:w w:val="90"/>
              </w:rPr>
              <w:t>333-236674</w:t>
            </w:r>
          </w:p>
        </w:tc>
        <w:tc>
          <w:tcPr>
            <w:tcW w:w="720" w:type="dxa"/>
            <w:vAlign w:val="bottom"/>
          </w:tcPr>
          <w:p>
            <w:pPr>
              <w:jc w:val="center"/>
              <w:ind w:left="389"/>
              <w:spacing w:after="0"/>
              <w:rPr>
                <w:sz w:val="20"/>
                <w:szCs w:val="20"/>
                <w:color w:val="auto"/>
              </w:rPr>
            </w:pPr>
            <w:r>
              <w:rPr>
                <w:rFonts w:ascii="Arial" w:cs="Arial" w:eastAsia="Arial" w:hAnsi="Arial"/>
                <w:sz w:val="14"/>
                <w:szCs w:val="14"/>
                <w:color w:val="auto"/>
                <w:w w:val="95"/>
              </w:rPr>
              <w:t>10.9</w:t>
            </w:r>
          </w:p>
        </w:tc>
      </w:tr>
    </w:tbl>
    <w:p>
      <w:pPr>
        <w:spacing w:after="0" w:line="200" w:lineRule="exact"/>
        <w:rPr>
          <w:sz w:val="20"/>
          <w:szCs w:val="20"/>
          <w:color w:val="auto"/>
        </w:rPr>
      </w:pPr>
    </w:p>
    <w:p>
      <w:pPr>
        <w:sectPr>
          <w:pgSz w:w="11900" w:h="16838" w:orient="portrait"/>
          <w:cols w:equalWidth="0" w:num="2">
            <w:col w:w="6780" w:space="40"/>
            <w:col w:w="4420"/>
          </w:cols>
          <w:pgMar w:left="320" w:top="122" w:right="339" w:bottom="1440" w:gutter="0" w:footer="0" w:header="0"/>
          <w:type w:val="continuous"/>
        </w:sectPr>
      </w:pP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188595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9" w:name="page160"/>
    <w:bookmarkEnd w:id="15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tcPr>
          <w:p>
            <w:pPr>
              <w:jc w:val="center"/>
              <w:spacing w:after="0"/>
              <w:rPr>
                <w:rFonts w:ascii="Arial" w:cs="Arial" w:eastAsia="Arial" w:hAnsi="Arial"/>
                <w:sz w:val="14"/>
                <w:szCs w:val="14"/>
                <w:color w:val="0000FF"/>
                <w:w w:val="90"/>
              </w:rPr>
            </w:pPr>
            <w:hyperlink w:anchor="page2">
              <w:r>
                <w:rPr>
                  <w:rFonts w:ascii="Arial" w:cs="Arial" w:eastAsia="Arial" w:hAnsi="Arial"/>
                  <w:sz w:val="14"/>
                  <w:szCs w:val="14"/>
                  <w:color w:val="0000FF"/>
                  <w:w w:val="90"/>
                </w:rPr>
                <w:t>Table of Contents</w:t>
              </w:r>
            </w:hyperlink>
          </w:p>
        </w:tc>
        <w:tc>
          <w:tcPr>
            <w:tcW w:w="5780" w:type="dxa"/>
            <w:vAlign w:val="bottom"/>
            <w:gridSpan w:val="22"/>
          </w:tcPr>
          <w:p>
            <w:pPr>
              <w:spacing w:after="0"/>
              <w:rPr>
                <w:sz w:val="14"/>
                <w:szCs w:val="14"/>
                <w:color w:val="auto"/>
              </w:rPr>
            </w:pPr>
          </w:p>
        </w:tc>
        <w:tc>
          <w:tcPr>
            <w:tcW w:w="1620" w:type="dxa"/>
            <w:vAlign w:val="bottom"/>
          </w:tcPr>
          <w:p>
            <w:pPr>
              <w:spacing w:after="0"/>
              <w:rPr>
                <w:sz w:val="14"/>
                <w:szCs w:val="14"/>
                <w:color w:val="auto"/>
              </w:rPr>
            </w:pPr>
          </w:p>
        </w:tc>
      </w:tr>
      <w:tr>
        <w:trPr>
          <w:trHeight w:val="497"/>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10.11</w:t>
            </w:r>
          </w:p>
        </w:tc>
        <w:tc>
          <w:tcPr>
            <w:tcW w:w="5660" w:type="dxa"/>
            <w:vAlign w:val="bottom"/>
            <w:tcBorders>
              <w:bottom w:val="single" w:sz="8" w:color="0000FF"/>
            </w:tcBorders>
            <w:gridSpan w:val="17"/>
          </w:tcPr>
          <w:p>
            <w:pPr>
              <w:spacing w:after="0"/>
              <w:rPr>
                <w:rFonts w:ascii="Arial" w:cs="Arial" w:eastAsia="Arial" w:hAnsi="Arial"/>
                <w:sz w:val="14"/>
                <w:szCs w:val="14"/>
                <w:color w:val="0000FF"/>
                <w:w w:val="92"/>
              </w:rPr>
            </w:pPr>
            <w:hyperlink r:id="rId205">
              <w:r>
                <w:rPr>
                  <w:rFonts w:ascii="Arial" w:cs="Arial" w:eastAsia="Arial" w:hAnsi="Arial"/>
                  <w:sz w:val="14"/>
                  <w:szCs w:val="14"/>
                  <w:color w:val="0000FF"/>
                  <w:w w:val="92"/>
                </w:rPr>
                <w:t>First Lien Credit Agreement, dated as of February 1, 2019, among DiscoverOrg, LLC, DiscoverOrg</w:t>
              </w:r>
            </w:hyperlink>
          </w:p>
        </w:tc>
        <w:tc>
          <w:tcPr>
            <w:tcW w:w="120" w:type="dxa"/>
            <w:vAlign w:val="bottom"/>
            <w:gridSpan w:val="5"/>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S-1 filed February 27, 2020</w:t>
            </w:r>
          </w:p>
        </w:tc>
      </w:tr>
      <w:tr>
        <w:trPr>
          <w:trHeight w:val="113"/>
        </w:trPr>
        <w:tc>
          <w:tcPr>
            <w:tcW w:w="1020" w:type="dxa"/>
            <w:vAlign w:val="bottom"/>
          </w:tcPr>
          <w:p>
            <w:pPr>
              <w:spacing w:after="0"/>
              <w:rPr>
                <w:sz w:val="9"/>
                <w:szCs w:val="9"/>
                <w:color w:val="auto"/>
              </w:rPr>
            </w:pPr>
          </w:p>
        </w:tc>
        <w:tc>
          <w:tcPr>
            <w:tcW w:w="5780" w:type="dxa"/>
            <w:vAlign w:val="bottom"/>
            <w:gridSpan w:val="22"/>
          </w:tcPr>
          <w:p>
            <w:pPr>
              <w:spacing w:after="0" w:line="113" w:lineRule="exact"/>
              <w:rPr>
                <w:rFonts w:ascii="Arial" w:cs="Arial" w:eastAsia="Arial" w:hAnsi="Arial"/>
                <w:sz w:val="13"/>
                <w:szCs w:val="13"/>
                <w:color w:val="0000FF"/>
              </w:rPr>
            </w:pPr>
            <w:hyperlink r:id="rId205">
              <w:r>
                <w:rPr>
                  <w:rFonts w:ascii="Arial" w:cs="Arial" w:eastAsia="Arial" w:hAnsi="Arial"/>
                  <w:sz w:val="13"/>
                  <w:szCs w:val="13"/>
                  <w:color w:val="0000FF"/>
                </w:rPr>
                <w:t>Midco, LLC, the guarantors party thereto from time to time, Morgan Stanley Senior Funding, Inc., as</w:t>
              </w:r>
            </w:hyperlink>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700" w:type="dxa"/>
            <w:vAlign w:val="bottom"/>
            <w:tcBorders>
              <w:top w:val="single" w:sz="8" w:color="0000FF"/>
            </w:tcBorders>
            <w:gridSpan w:val="19"/>
          </w:tcPr>
          <w:p>
            <w:pPr>
              <w:spacing w:after="0" w:line="113" w:lineRule="exact"/>
              <w:rPr>
                <w:rFonts w:ascii="Arial" w:cs="Arial" w:eastAsia="Arial" w:hAnsi="Arial"/>
                <w:sz w:val="13"/>
                <w:szCs w:val="13"/>
                <w:color w:val="0000FF"/>
              </w:rPr>
            </w:pPr>
            <w:hyperlink r:id="rId205">
              <w:r>
                <w:rPr>
                  <w:rFonts w:ascii="Arial" w:cs="Arial" w:eastAsia="Arial" w:hAnsi="Arial"/>
                  <w:sz w:val="13"/>
                  <w:szCs w:val="13"/>
                  <w:color w:val="0000FF"/>
                </w:rPr>
                <w:t>administrative agent, collateral agent and L/C issuer, and the other lenders and L/C issuers party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380" w:type="dxa"/>
            <w:vAlign w:val="bottom"/>
            <w:tcBorders>
              <w:top w:val="single" w:sz="8" w:color="0000FF"/>
              <w:bottom w:val="single" w:sz="8" w:color="0000FF"/>
            </w:tcBorders>
          </w:tcPr>
          <w:p>
            <w:pPr>
              <w:spacing w:after="0" w:line="113" w:lineRule="exact"/>
              <w:rPr>
                <w:rFonts w:ascii="Arial" w:cs="Arial" w:eastAsia="Arial" w:hAnsi="Arial"/>
                <w:sz w:val="13"/>
                <w:szCs w:val="13"/>
                <w:color w:val="0000FF"/>
                <w:w w:val="88"/>
              </w:rPr>
            </w:pPr>
            <w:hyperlink r:id="rId205">
              <w:r>
                <w:rPr>
                  <w:rFonts w:ascii="Arial" w:cs="Arial" w:eastAsia="Arial" w:hAnsi="Arial"/>
                  <w:sz w:val="13"/>
                  <w:szCs w:val="13"/>
                  <w:color w:val="0000FF"/>
                  <w:w w:val="88"/>
                </w:rPr>
                <w:t>thereto</w:t>
              </w:r>
            </w:hyperlink>
          </w:p>
        </w:tc>
        <w:tc>
          <w:tcPr>
            <w:tcW w:w="5040" w:type="dxa"/>
            <w:vAlign w:val="bottom"/>
            <w:tcBorders>
              <w:top w:val="single" w:sz="8" w:color="0000FF"/>
            </w:tcBorders>
            <w:gridSpan w:val="8"/>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66"/>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10.12</w:t>
            </w:r>
          </w:p>
        </w:tc>
        <w:tc>
          <w:tcPr>
            <w:tcW w:w="5780" w:type="dxa"/>
            <w:vAlign w:val="bottom"/>
            <w:gridSpan w:val="22"/>
          </w:tcPr>
          <w:p>
            <w:pPr>
              <w:spacing w:after="0"/>
              <w:rPr>
                <w:rFonts w:ascii="Arial" w:cs="Arial" w:eastAsia="Arial" w:hAnsi="Arial"/>
                <w:sz w:val="14"/>
                <w:szCs w:val="14"/>
                <w:color w:val="0000FF"/>
                <w:w w:val="98"/>
              </w:rPr>
            </w:pPr>
            <w:hyperlink r:id="rId206">
              <w:r>
                <w:rPr>
                  <w:rFonts w:ascii="Arial" w:cs="Arial" w:eastAsia="Arial" w:hAnsi="Arial"/>
                  <w:sz w:val="14"/>
                  <w:szCs w:val="14"/>
                  <w:color w:val="0000FF"/>
                  <w:w w:val="98"/>
                </w:rPr>
                <w:t>Amendment No. 1 to the First Lien Credit Agreement, dated February 19, 2020, by and among</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S-1 filed February 27, 2020</w:t>
            </w: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13"/>
        </w:trPr>
        <w:tc>
          <w:tcPr>
            <w:tcW w:w="1020" w:type="dxa"/>
            <w:vAlign w:val="bottom"/>
          </w:tcPr>
          <w:p>
            <w:pPr>
              <w:spacing w:after="0"/>
              <w:rPr>
                <w:sz w:val="9"/>
                <w:szCs w:val="9"/>
                <w:color w:val="auto"/>
              </w:rPr>
            </w:pPr>
          </w:p>
        </w:tc>
        <w:tc>
          <w:tcPr>
            <w:tcW w:w="5780" w:type="dxa"/>
            <w:vAlign w:val="bottom"/>
            <w:gridSpan w:val="22"/>
          </w:tcPr>
          <w:p>
            <w:pPr>
              <w:spacing w:after="0" w:line="113" w:lineRule="exact"/>
              <w:rPr>
                <w:rFonts w:ascii="Arial" w:cs="Arial" w:eastAsia="Arial" w:hAnsi="Arial"/>
                <w:sz w:val="13"/>
                <w:szCs w:val="13"/>
                <w:color w:val="0000FF"/>
              </w:rPr>
            </w:pPr>
            <w:hyperlink r:id="rId206">
              <w:r>
                <w:rPr>
                  <w:rFonts w:ascii="Arial" w:cs="Arial" w:eastAsia="Arial" w:hAnsi="Arial"/>
                  <w:sz w:val="13"/>
                  <w:szCs w:val="13"/>
                  <w:color w:val="0000FF"/>
                </w:rPr>
                <w:t>DiscoverOrg, LLC, DiscoverOrg Midco, LLC, Morgan Stanley Bank, N.A., as the new term loan</w:t>
              </w:r>
            </w:hyperlink>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520" w:type="dxa"/>
            <w:vAlign w:val="bottom"/>
            <w:tcBorders>
              <w:top w:val="single" w:sz="8" w:color="0000FF"/>
            </w:tcBorders>
            <w:gridSpan w:val="12"/>
          </w:tcPr>
          <w:p>
            <w:pPr>
              <w:spacing w:after="0" w:line="113" w:lineRule="exact"/>
              <w:rPr>
                <w:rFonts w:ascii="Arial" w:cs="Arial" w:eastAsia="Arial" w:hAnsi="Arial"/>
                <w:sz w:val="13"/>
                <w:szCs w:val="13"/>
                <w:color w:val="0000FF"/>
              </w:rPr>
            </w:pPr>
            <w:hyperlink r:id="rId206">
              <w:r>
                <w:rPr>
                  <w:rFonts w:ascii="Arial" w:cs="Arial" w:eastAsia="Arial" w:hAnsi="Arial"/>
                  <w:sz w:val="13"/>
                  <w:szCs w:val="13"/>
                  <w:color w:val="0000FF"/>
                </w:rPr>
                <w:t>lender, the revolving credit lenders party thereto, Morgan Stanley Senior Funding, Inc., as</w:t>
              </w:r>
            </w:hyperlink>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060" w:type="dxa"/>
            <w:vAlign w:val="bottom"/>
            <w:tcBorders>
              <w:top w:val="single" w:sz="8" w:color="0000FF"/>
            </w:tcBorders>
            <w:gridSpan w:val="6"/>
          </w:tcPr>
          <w:p>
            <w:pPr>
              <w:spacing w:after="0" w:line="113" w:lineRule="exact"/>
              <w:rPr>
                <w:rFonts w:ascii="Arial" w:cs="Arial" w:eastAsia="Arial" w:hAnsi="Arial"/>
                <w:sz w:val="13"/>
                <w:szCs w:val="13"/>
                <w:color w:val="0000FF"/>
              </w:rPr>
            </w:pPr>
            <w:hyperlink r:id="rId206">
              <w:r>
                <w:rPr>
                  <w:rFonts w:ascii="Arial" w:cs="Arial" w:eastAsia="Arial" w:hAnsi="Arial"/>
                  <w:sz w:val="13"/>
                  <w:szCs w:val="13"/>
                  <w:color w:val="0000FF"/>
                </w:rPr>
                <w:t>administrative agent, collateral agent and L/C issuer</w:t>
              </w:r>
            </w:hyperlink>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5"/>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10.13</w:t>
            </w:r>
          </w:p>
        </w:tc>
        <w:tc>
          <w:tcPr>
            <w:tcW w:w="5780" w:type="dxa"/>
            <w:vAlign w:val="bottom"/>
            <w:gridSpan w:val="22"/>
          </w:tcPr>
          <w:p>
            <w:pPr>
              <w:spacing w:after="0"/>
              <w:rPr>
                <w:rFonts w:ascii="Arial" w:cs="Arial" w:eastAsia="Arial" w:hAnsi="Arial"/>
                <w:sz w:val="14"/>
                <w:szCs w:val="14"/>
                <w:color w:val="0000FF"/>
                <w:w w:val="92"/>
              </w:rPr>
            </w:pPr>
            <w:hyperlink r:id="rId207">
              <w:r>
                <w:rPr>
                  <w:rFonts w:ascii="Arial" w:cs="Arial" w:eastAsia="Arial" w:hAnsi="Arial"/>
                  <w:sz w:val="14"/>
                  <w:szCs w:val="14"/>
                  <w:color w:val="0000FF"/>
                  <w:w w:val="92"/>
                </w:rPr>
                <w:t>Amendment No. 2 to First Lien Credit Agreement, dated February 2, 2021, by and among ZoomInfo,</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8-K filed February 2, 2021</w:t>
            </w:r>
          </w:p>
        </w:tc>
      </w:tr>
      <w:tr>
        <w:trPr>
          <w:trHeight w:val="106"/>
        </w:trPr>
        <w:tc>
          <w:tcPr>
            <w:tcW w:w="1020" w:type="dxa"/>
            <w:vAlign w:val="bottom"/>
          </w:tcPr>
          <w:p>
            <w:pPr>
              <w:spacing w:after="0"/>
              <w:rPr>
                <w:sz w:val="9"/>
                <w:szCs w:val="9"/>
                <w:color w:val="auto"/>
              </w:rPr>
            </w:pPr>
          </w:p>
        </w:tc>
        <w:tc>
          <w:tcPr>
            <w:tcW w:w="5720" w:type="dxa"/>
            <w:vAlign w:val="bottom"/>
            <w:tcBorders>
              <w:top w:val="single" w:sz="8" w:color="0000FF"/>
            </w:tcBorders>
            <w:gridSpan w:val="20"/>
          </w:tcPr>
          <w:p>
            <w:pPr>
              <w:spacing w:after="0" w:line="100" w:lineRule="exact"/>
              <w:rPr>
                <w:rFonts w:ascii="Arial" w:cs="Arial" w:eastAsia="Arial" w:hAnsi="Arial"/>
                <w:sz w:val="11"/>
                <w:szCs w:val="11"/>
                <w:color w:val="0000FF"/>
              </w:rPr>
            </w:pPr>
            <w:hyperlink r:id="rId207">
              <w:r>
                <w:rPr>
                  <w:rFonts w:ascii="Arial" w:cs="Arial" w:eastAsia="Arial" w:hAnsi="Arial"/>
                  <w:sz w:val="11"/>
                  <w:szCs w:val="11"/>
                  <w:color w:val="0000FF"/>
                </w:rPr>
                <w:t>LLC (f/k/a DiscoverOrg, LLC), ZoomInfo Technologies LLC, ZoomInfo Midco LLC (f/k/a</w:t>
              </w:r>
            </w:hyperlink>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9"/>
        </w:trPr>
        <w:tc>
          <w:tcPr>
            <w:tcW w:w="1020" w:type="dxa"/>
            <w:vAlign w:val="bottom"/>
          </w:tcPr>
          <w:p>
            <w:pPr>
              <w:spacing w:after="0"/>
              <w:rPr>
                <w:sz w:val="10"/>
                <w:szCs w:val="10"/>
                <w:color w:val="auto"/>
              </w:rPr>
            </w:pPr>
          </w:p>
        </w:tc>
        <w:tc>
          <w:tcPr>
            <w:tcW w:w="5160" w:type="dxa"/>
            <w:vAlign w:val="bottom"/>
            <w:tcBorders>
              <w:top w:val="single" w:sz="8" w:color="0000FF"/>
            </w:tcBorders>
            <w:gridSpan w:val="7"/>
          </w:tcPr>
          <w:p>
            <w:pPr>
              <w:spacing w:after="0" w:line="119" w:lineRule="exact"/>
              <w:rPr>
                <w:rFonts w:ascii="Arial" w:cs="Arial" w:eastAsia="Arial" w:hAnsi="Arial"/>
                <w:sz w:val="13"/>
                <w:szCs w:val="13"/>
                <w:color w:val="0000FF"/>
              </w:rPr>
            </w:pPr>
            <w:hyperlink r:id="rId207">
              <w:r>
                <w:rPr>
                  <w:rFonts w:ascii="Arial" w:cs="Arial" w:eastAsia="Arial" w:hAnsi="Arial"/>
                  <w:sz w:val="13"/>
                  <w:szCs w:val="13"/>
                  <w:color w:val="0000FF"/>
                </w:rPr>
                <w:t>DiscoverOrg Midco, LLC), Morgan Stanley Bank, N.A., as the new term loan lender, the</w:t>
              </w:r>
            </w:hyperlink>
          </w:p>
        </w:tc>
        <w:tc>
          <w:tcPr>
            <w:tcW w:w="620" w:type="dxa"/>
            <w:vAlign w:val="bottom"/>
            <w:gridSpan w:val="15"/>
          </w:tcPr>
          <w:p>
            <w:pPr>
              <w:spacing w:after="0" w:line="119" w:lineRule="exact"/>
              <w:rPr>
                <w:rFonts w:ascii="Arial" w:cs="Arial" w:eastAsia="Arial" w:hAnsi="Arial"/>
                <w:sz w:val="13"/>
                <w:szCs w:val="13"/>
                <w:color w:val="0000FF"/>
              </w:rPr>
            </w:pPr>
            <w:hyperlink r:id="rId207">
              <w:r>
                <w:rPr>
                  <w:rFonts w:ascii="Arial" w:cs="Arial" w:eastAsia="Arial" w:hAnsi="Arial"/>
                  <w:sz w:val="13"/>
                  <w:szCs w:val="13"/>
                  <w:color w:val="0000FF"/>
                </w:rPr>
                <w:t>revolving</w:t>
              </w:r>
            </w:hyperlink>
          </w:p>
        </w:tc>
        <w:tc>
          <w:tcPr>
            <w:tcW w:w="162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600" w:type="dxa"/>
            <w:vAlign w:val="bottom"/>
            <w:tcBorders>
              <w:top w:val="single" w:sz="8" w:color="0000FF"/>
            </w:tcBorders>
            <w:gridSpan w:val="14"/>
          </w:tcPr>
          <w:p>
            <w:pPr>
              <w:spacing w:after="0" w:line="113" w:lineRule="exact"/>
              <w:rPr>
                <w:rFonts w:ascii="Arial" w:cs="Arial" w:eastAsia="Arial" w:hAnsi="Arial"/>
                <w:sz w:val="13"/>
                <w:szCs w:val="13"/>
                <w:color w:val="0000FF"/>
              </w:rPr>
            </w:pPr>
            <w:hyperlink r:id="rId207">
              <w:r>
                <w:rPr>
                  <w:rFonts w:ascii="Arial" w:cs="Arial" w:eastAsia="Arial" w:hAnsi="Arial"/>
                  <w:sz w:val="13"/>
                  <w:szCs w:val="13"/>
                  <w:color w:val="0000FF"/>
                </w:rPr>
                <w:t>credit lenders party thereto, and Morgan Stanley Senior Funding, Inc., as administrative agent,</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340" w:type="dxa"/>
            <w:vAlign w:val="bottom"/>
            <w:tcBorders>
              <w:top w:val="single" w:sz="8" w:color="0000FF"/>
            </w:tcBorders>
            <w:gridSpan w:val="8"/>
          </w:tcPr>
          <w:p>
            <w:pPr>
              <w:spacing w:after="0" w:line="113" w:lineRule="exact"/>
              <w:rPr>
                <w:rFonts w:ascii="Arial" w:cs="Arial" w:eastAsia="Arial" w:hAnsi="Arial"/>
                <w:sz w:val="13"/>
                <w:szCs w:val="13"/>
                <w:color w:val="0000FF"/>
              </w:rPr>
            </w:pPr>
            <w:hyperlink r:id="rId207">
              <w:r>
                <w:rPr>
                  <w:rFonts w:ascii="Arial" w:cs="Arial" w:eastAsia="Arial" w:hAnsi="Arial"/>
                  <w:sz w:val="13"/>
                  <w:szCs w:val="13"/>
                  <w:color w:val="0000FF"/>
                </w:rPr>
                <w:t>collateral agent and L/C issuer</w:t>
              </w:r>
            </w:hyperlink>
          </w:p>
        </w:tc>
        <w:tc>
          <w:tcPr>
            <w:tcW w:w="1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6"/>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10.14</w:t>
            </w:r>
          </w:p>
        </w:tc>
        <w:tc>
          <w:tcPr>
            <w:tcW w:w="5780" w:type="dxa"/>
            <w:vAlign w:val="bottom"/>
            <w:gridSpan w:val="22"/>
          </w:tcPr>
          <w:p>
            <w:pPr>
              <w:spacing w:after="0"/>
              <w:rPr>
                <w:rFonts w:ascii="Arial" w:cs="Arial" w:eastAsia="Arial" w:hAnsi="Arial"/>
                <w:sz w:val="14"/>
                <w:szCs w:val="14"/>
                <w:color w:val="0000FF"/>
                <w:w w:val="97"/>
              </w:rPr>
            </w:pPr>
            <w:hyperlink r:id="rId208">
              <w:r>
                <w:rPr>
                  <w:rFonts w:ascii="Arial" w:cs="Arial" w:eastAsia="Arial" w:hAnsi="Arial"/>
                  <w:sz w:val="14"/>
                  <w:szCs w:val="14"/>
                  <w:color w:val="0000FF"/>
                  <w:w w:val="97"/>
                </w:rPr>
                <w:t>Amendment No. 3 to First Lien Credit Agreement, dated July 20, 2021, by and among ZoomInfo</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8-K filed July 20, 2021</w:t>
            </w:r>
          </w:p>
        </w:tc>
      </w:tr>
      <w:tr>
        <w:trPr>
          <w:trHeight w:val="113"/>
        </w:trPr>
        <w:tc>
          <w:tcPr>
            <w:tcW w:w="1020" w:type="dxa"/>
            <w:vAlign w:val="bottom"/>
          </w:tcPr>
          <w:p>
            <w:pPr>
              <w:spacing w:after="0"/>
              <w:rPr>
                <w:sz w:val="9"/>
                <w:szCs w:val="9"/>
                <w:color w:val="auto"/>
              </w:rPr>
            </w:pPr>
          </w:p>
        </w:tc>
        <w:tc>
          <w:tcPr>
            <w:tcW w:w="5480" w:type="dxa"/>
            <w:vAlign w:val="bottom"/>
            <w:tcBorders>
              <w:top w:val="single" w:sz="8" w:color="0000FF"/>
              <w:bottom w:val="single" w:sz="8" w:color="0000FF"/>
            </w:tcBorders>
            <w:gridSpan w:val="10"/>
          </w:tcPr>
          <w:p>
            <w:pPr>
              <w:spacing w:after="0" w:line="113" w:lineRule="exact"/>
              <w:rPr>
                <w:rFonts w:ascii="Arial" w:cs="Arial" w:eastAsia="Arial" w:hAnsi="Arial"/>
                <w:sz w:val="13"/>
                <w:szCs w:val="13"/>
                <w:color w:val="0000FF"/>
              </w:rPr>
            </w:pPr>
            <w:hyperlink r:id="rId208">
              <w:r>
                <w:rPr>
                  <w:rFonts w:ascii="Arial" w:cs="Arial" w:eastAsia="Arial" w:hAnsi="Arial"/>
                  <w:sz w:val="13"/>
                  <w:szCs w:val="13"/>
                  <w:color w:val="0000FF"/>
                </w:rPr>
                <w:t>LLC (f/k/a DiscoverOrg, LLC), a Delaware limited liability company (the “Borrower”), ZoomInfo</w:t>
              </w:r>
            </w:hyperlink>
          </w:p>
        </w:tc>
        <w:tc>
          <w:tcPr>
            <w:tcW w:w="20" w:type="dxa"/>
            <w:vAlign w:val="bottom"/>
            <w:tcBorders>
              <w:bottom w:val="single" w:sz="8" w:color="0000FF"/>
            </w:tcBorders>
          </w:tcPr>
          <w:p>
            <w:pPr>
              <w:spacing w:after="0"/>
              <w:rPr>
                <w:sz w:val="9"/>
                <w:szCs w:val="9"/>
                <w:color w:val="auto"/>
              </w:rPr>
            </w:pPr>
          </w:p>
        </w:tc>
        <w:tc>
          <w:tcPr>
            <w:tcW w:w="60" w:type="dxa"/>
            <w:vAlign w:val="bottom"/>
            <w:tcBorders>
              <w:bottom w:val="single" w:sz="8" w:color="0000FF"/>
            </w:tcBorders>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500" w:type="dxa"/>
            <w:vAlign w:val="bottom"/>
            <w:tcBorders>
              <w:bottom w:val="single" w:sz="8" w:color="0000FF"/>
            </w:tcBorders>
            <w:gridSpan w:val="11"/>
          </w:tcPr>
          <w:p>
            <w:pPr>
              <w:spacing w:after="0" w:line="113" w:lineRule="exact"/>
              <w:rPr>
                <w:rFonts w:ascii="Arial" w:cs="Arial" w:eastAsia="Arial" w:hAnsi="Arial"/>
                <w:sz w:val="13"/>
                <w:szCs w:val="13"/>
                <w:color w:val="0000FF"/>
              </w:rPr>
            </w:pPr>
            <w:hyperlink r:id="rId208">
              <w:r>
                <w:rPr>
                  <w:rFonts w:ascii="Arial" w:cs="Arial" w:eastAsia="Arial" w:hAnsi="Arial"/>
                  <w:sz w:val="13"/>
                  <w:szCs w:val="13"/>
                  <w:color w:val="0000FF"/>
                </w:rPr>
                <w:t>Technologies LLC, a Delaware limited liability company (the “Co-Borrower”), ZoomInfo Midco</w:t>
              </w:r>
            </w:hyperlink>
          </w:p>
        </w:tc>
        <w:tc>
          <w:tcPr>
            <w:tcW w:w="60" w:type="dxa"/>
            <w:vAlign w:val="bottom"/>
            <w:gridSpan w:val="2"/>
          </w:tcPr>
          <w:p>
            <w:pPr>
              <w:spacing w:after="0"/>
              <w:rPr>
                <w:sz w:val="9"/>
                <w:szCs w:val="9"/>
                <w:color w:val="auto"/>
              </w:rPr>
            </w:pPr>
          </w:p>
        </w:tc>
        <w:tc>
          <w:tcPr>
            <w:tcW w:w="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780" w:type="dxa"/>
            <w:vAlign w:val="bottom"/>
            <w:gridSpan w:val="22"/>
          </w:tcPr>
          <w:p>
            <w:pPr>
              <w:spacing w:after="0" w:line="113" w:lineRule="exact"/>
              <w:rPr>
                <w:rFonts w:ascii="Arial" w:cs="Arial" w:eastAsia="Arial" w:hAnsi="Arial"/>
                <w:sz w:val="13"/>
                <w:szCs w:val="13"/>
                <w:color w:val="0000FF"/>
              </w:rPr>
            </w:pPr>
            <w:hyperlink r:id="rId208">
              <w:r>
                <w:rPr>
                  <w:rFonts w:ascii="Arial" w:cs="Arial" w:eastAsia="Arial" w:hAnsi="Arial"/>
                  <w:sz w:val="13"/>
                  <w:szCs w:val="13"/>
                  <w:color w:val="0000FF"/>
                </w:rPr>
                <w:t>LLC (f/k/a DiscoverOrg Midco, LLC), a Delaware limited liability company (“Holdings”), Morgan</w:t>
              </w:r>
            </w:hyperlink>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620" w:type="dxa"/>
            <w:vAlign w:val="bottom"/>
            <w:tcBorders>
              <w:top w:val="single" w:sz="8" w:color="0000FF"/>
              <w:bottom w:val="single" w:sz="8" w:color="0000FF"/>
            </w:tcBorders>
            <w:gridSpan w:val="15"/>
          </w:tcPr>
          <w:p>
            <w:pPr>
              <w:spacing w:after="0" w:line="113" w:lineRule="exact"/>
              <w:rPr>
                <w:rFonts w:ascii="Arial" w:cs="Arial" w:eastAsia="Arial" w:hAnsi="Arial"/>
                <w:sz w:val="13"/>
                <w:szCs w:val="13"/>
                <w:color w:val="0000FF"/>
                <w:w w:val="97"/>
              </w:rPr>
            </w:pPr>
            <w:hyperlink r:id="rId208">
              <w:r>
                <w:rPr>
                  <w:rFonts w:ascii="Arial" w:cs="Arial" w:eastAsia="Arial" w:hAnsi="Arial"/>
                  <w:sz w:val="13"/>
                  <w:szCs w:val="13"/>
                  <w:color w:val="0000FF"/>
                  <w:w w:val="97"/>
                </w:rPr>
                <w:t>Stanley Bank, N.A., as the 2021-1 incremental first lien term loan lender and Morgan Stanley Senior</w:t>
              </w:r>
            </w:hyperlink>
          </w:p>
        </w:tc>
        <w:tc>
          <w:tcPr>
            <w:tcW w:w="20" w:type="dxa"/>
            <w:vAlign w:val="bottom"/>
            <w:tcBorders>
              <w:bottom w:val="single" w:sz="8" w:color="0000FF"/>
            </w:tcBorders>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680" w:type="dxa"/>
            <w:vAlign w:val="bottom"/>
            <w:gridSpan w:val="18"/>
          </w:tcPr>
          <w:p>
            <w:pPr>
              <w:spacing w:after="0" w:line="113" w:lineRule="exact"/>
              <w:rPr>
                <w:rFonts w:ascii="Arial" w:cs="Arial" w:eastAsia="Arial" w:hAnsi="Arial"/>
                <w:sz w:val="13"/>
                <w:szCs w:val="13"/>
                <w:color w:val="0000FF"/>
              </w:rPr>
            </w:pPr>
            <w:hyperlink r:id="rId208">
              <w:r>
                <w:rPr>
                  <w:rFonts w:ascii="Arial" w:cs="Arial" w:eastAsia="Arial" w:hAnsi="Arial"/>
                  <w:sz w:val="13"/>
                  <w:szCs w:val="13"/>
                  <w:color w:val="0000FF"/>
                </w:rPr>
                <w:t>Funding, Inc., as administrative agent, collateral agent and L/C issuer</w:t>
              </w:r>
            </w:hyperlink>
          </w:p>
        </w:tc>
        <w:tc>
          <w:tcPr>
            <w:tcW w:w="60" w:type="dxa"/>
            <w:vAlign w:val="bottom"/>
            <w:gridSpan w:val="3"/>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1740" w:type="dxa"/>
            <w:vAlign w:val="bottom"/>
            <w:gridSpan w:val="11"/>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165"/>
        </w:trPr>
        <w:tc>
          <w:tcPr>
            <w:tcW w:w="1020" w:type="dxa"/>
            <w:vAlign w:val="bottom"/>
          </w:tcPr>
          <w:p>
            <w:pPr>
              <w:jc w:val="center"/>
              <w:spacing w:after="0"/>
              <w:rPr>
                <w:sz w:val="20"/>
                <w:szCs w:val="20"/>
                <w:color w:val="auto"/>
              </w:rPr>
            </w:pPr>
            <w:r>
              <w:rPr>
                <w:rFonts w:ascii="Arial" w:cs="Arial" w:eastAsia="Arial" w:hAnsi="Arial"/>
                <w:sz w:val="14"/>
                <w:szCs w:val="14"/>
                <w:color w:val="auto"/>
                <w:w w:val="91"/>
              </w:rPr>
              <w:t>10.15</w:t>
            </w:r>
          </w:p>
        </w:tc>
        <w:tc>
          <w:tcPr>
            <w:tcW w:w="5780" w:type="dxa"/>
            <w:vAlign w:val="bottom"/>
            <w:gridSpan w:val="22"/>
          </w:tcPr>
          <w:p>
            <w:pPr>
              <w:spacing w:after="0"/>
              <w:rPr>
                <w:rFonts w:ascii="Arial" w:cs="Arial" w:eastAsia="Arial" w:hAnsi="Arial"/>
                <w:sz w:val="14"/>
                <w:szCs w:val="14"/>
                <w:color w:val="0000FF"/>
                <w:w w:val="92"/>
              </w:rPr>
            </w:pPr>
            <w:hyperlink r:id="rId209">
              <w:r>
                <w:rPr>
                  <w:rFonts w:ascii="Arial" w:cs="Arial" w:eastAsia="Arial" w:hAnsi="Arial"/>
                  <w:sz w:val="14"/>
                  <w:szCs w:val="14"/>
                  <w:color w:val="0000FF"/>
                  <w:w w:val="92"/>
                </w:rPr>
                <w:t>First Lien Security Agreement, dated as of February 1, 2019, among DiscoverOrg, LLC, DiscoverOrg</w:t>
              </w:r>
            </w:hyperlink>
          </w:p>
        </w:tc>
        <w:tc>
          <w:tcPr>
            <w:tcW w:w="1620" w:type="dxa"/>
            <w:vAlign w:val="bottom"/>
          </w:tcPr>
          <w:p>
            <w:pPr>
              <w:jc w:val="center"/>
              <w:spacing w:after="0"/>
              <w:rPr>
                <w:sz w:val="20"/>
                <w:szCs w:val="20"/>
                <w:color w:val="auto"/>
              </w:rPr>
            </w:pPr>
            <w:r>
              <w:rPr>
                <w:rFonts w:ascii="Arial" w:cs="Arial" w:eastAsia="Arial" w:hAnsi="Arial"/>
                <w:sz w:val="14"/>
                <w:szCs w:val="14"/>
                <w:color w:val="auto"/>
                <w:w w:val="93"/>
              </w:rPr>
              <w:t>S-1 filed February 27, 2020</w:t>
            </w:r>
          </w:p>
        </w:tc>
      </w:tr>
      <w:tr>
        <w:trPr>
          <w:trHeight w:val="113"/>
        </w:trPr>
        <w:tc>
          <w:tcPr>
            <w:tcW w:w="1020" w:type="dxa"/>
            <w:vAlign w:val="bottom"/>
          </w:tcPr>
          <w:p>
            <w:pPr>
              <w:spacing w:after="0"/>
              <w:rPr>
                <w:sz w:val="9"/>
                <w:szCs w:val="9"/>
                <w:color w:val="auto"/>
              </w:rPr>
            </w:pPr>
          </w:p>
        </w:tc>
        <w:tc>
          <w:tcPr>
            <w:tcW w:w="5740" w:type="dxa"/>
            <w:vAlign w:val="bottom"/>
            <w:tcBorders>
              <w:top w:val="single" w:sz="8" w:color="0000FF"/>
            </w:tcBorders>
            <w:gridSpan w:val="21"/>
          </w:tcPr>
          <w:p>
            <w:pPr>
              <w:spacing w:after="0" w:line="113" w:lineRule="exact"/>
              <w:rPr>
                <w:rFonts w:ascii="Arial" w:cs="Arial" w:eastAsia="Arial" w:hAnsi="Arial"/>
                <w:sz w:val="13"/>
                <w:szCs w:val="13"/>
                <w:color w:val="0000FF"/>
              </w:rPr>
            </w:pPr>
            <w:hyperlink r:id="rId209">
              <w:r>
                <w:rPr>
                  <w:rFonts w:ascii="Arial" w:cs="Arial" w:eastAsia="Arial" w:hAnsi="Arial"/>
                  <w:sz w:val="13"/>
                  <w:szCs w:val="13"/>
                  <w:color w:val="0000FF"/>
                </w:rPr>
                <w:t>Midco, LLC, the grantors party thereto from time to time and Morgan Stanley Senior Funding, Inc.,</w:t>
              </w:r>
            </w:hyperlink>
          </w:p>
        </w:tc>
        <w:tc>
          <w:tcPr>
            <w:tcW w:w="40" w:type="dxa"/>
            <w:vAlign w:val="bottom"/>
          </w:tcPr>
          <w:p>
            <w:pPr>
              <w:spacing w:after="0"/>
              <w:rPr>
                <w:sz w:val="9"/>
                <w:szCs w:val="9"/>
                <w:color w:val="auto"/>
              </w:rPr>
            </w:pPr>
          </w:p>
        </w:tc>
        <w:tc>
          <w:tcPr>
            <w:tcW w:w="1620" w:type="dxa"/>
            <w:vAlign w:val="bottom"/>
          </w:tcPr>
          <w:p>
            <w:pPr>
              <w:spacing w:after="0"/>
              <w:rPr>
                <w:sz w:val="9"/>
                <w:szCs w:val="9"/>
                <w:color w:val="auto"/>
              </w:rPr>
            </w:pPr>
          </w:p>
        </w:tc>
      </w:tr>
      <w:tr>
        <w:trPr>
          <w:trHeight w:val="113"/>
        </w:trPr>
        <w:tc>
          <w:tcPr>
            <w:tcW w:w="1020" w:type="dxa"/>
            <w:vAlign w:val="bottom"/>
          </w:tcPr>
          <w:p>
            <w:pPr>
              <w:spacing w:after="0"/>
              <w:rPr>
                <w:sz w:val="9"/>
                <w:szCs w:val="9"/>
                <w:color w:val="auto"/>
              </w:rPr>
            </w:pPr>
          </w:p>
        </w:tc>
        <w:tc>
          <w:tcPr>
            <w:tcW w:w="5640" w:type="dxa"/>
            <w:vAlign w:val="bottom"/>
            <w:tcBorders>
              <w:top w:val="single" w:sz="8" w:color="0000FF"/>
            </w:tcBorders>
            <w:gridSpan w:val="16"/>
          </w:tcPr>
          <w:p>
            <w:pPr>
              <w:spacing w:after="0" w:line="113" w:lineRule="exact"/>
              <w:rPr>
                <w:rFonts w:ascii="Arial" w:cs="Arial" w:eastAsia="Arial" w:hAnsi="Arial"/>
                <w:sz w:val="13"/>
                <w:szCs w:val="13"/>
                <w:color w:val="0000FF"/>
              </w:rPr>
            </w:pPr>
            <w:hyperlink r:id="rId209">
              <w:r>
                <w:rPr>
                  <w:rFonts w:ascii="Arial" w:cs="Arial" w:eastAsia="Arial" w:hAnsi="Arial"/>
                  <w:sz w:val="13"/>
                  <w:szCs w:val="13"/>
                  <w:color w:val="0000FF"/>
                </w:rPr>
                <w:t>as collateral agent</w:t>
              </w:r>
            </w:hyperlink>
          </w:p>
        </w:tc>
        <w:tc>
          <w:tcPr>
            <w:tcW w:w="140" w:type="dxa"/>
            <w:vAlign w:val="bottom"/>
            <w:gridSpan w:val="6"/>
          </w:tcPr>
          <w:p>
            <w:pPr>
              <w:spacing w:after="0"/>
              <w:rPr>
                <w:sz w:val="9"/>
                <w:szCs w:val="9"/>
                <w:color w:val="auto"/>
              </w:rPr>
            </w:pPr>
          </w:p>
        </w:tc>
        <w:tc>
          <w:tcPr>
            <w:tcW w:w="1620" w:type="dxa"/>
            <w:vAlign w:val="bottom"/>
          </w:tcPr>
          <w:p>
            <w:pPr>
              <w:spacing w:after="0"/>
              <w:rPr>
                <w:sz w:val="9"/>
                <w:szCs w:val="9"/>
                <w:color w:val="auto"/>
              </w:rPr>
            </w:pPr>
          </w:p>
        </w:tc>
      </w:tr>
      <w:tr>
        <w:trPr>
          <w:trHeight w:val="20"/>
        </w:trPr>
        <w:tc>
          <w:tcPr>
            <w:tcW w:w="102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10.10</w:t>
      </w:r>
    </w:p>
    <w:p>
      <w:pPr>
        <w:spacing w:after="0" w:line="200" w:lineRule="exact"/>
        <w:rPr>
          <w:sz w:val="20"/>
          <w:szCs w:val="20"/>
          <w:color w:val="auto"/>
        </w:rPr>
      </w:pPr>
    </w:p>
    <w:p>
      <w:pPr>
        <w:spacing w:after="0" w:line="222"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1"/>
          <w:szCs w:val="11"/>
          <w:color w:val="auto"/>
        </w:rPr>
        <w:t>10.11</w:t>
      </w: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3"/>
          <w:szCs w:val="13"/>
          <w:color w:val="auto"/>
        </w:rPr>
        <w:t>10.1</w:t>
      </w:r>
    </w:p>
    <w:p>
      <w:pPr>
        <w:spacing w:after="0" w:line="200" w:lineRule="exact"/>
        <w:rPr>
          <w:sz w:val="20"/>
          <w:szCs w:val="20"/>
          <w:color w:val="auto"/>
        </w:rPr>
      </w:pPr>
    </w:p>
    <w:p>
      <w:pPr>
        <w:spacing w:after="0" w:line="355"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3"/>
          <w:szCs w:val="13"/>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10.12</w:t>
      </w:r>
    </w:p>
    <w:p>
      <w:pPr>
        <w:spacing w:after="0" w:line="289" w:lineRule="exact"/>
        <w:rPr>
          <w:sz w:val="20"/>
          <w:szCs w:val="20"/>
          <w:color w:val="auto"/>
        </w:rPr>
      </w:pPr>
    </w:p>
    <w:p>
      <w:pPr>
        <w:sectPr>
          <w:pgSz w:w="11900" w:h="16838" w:orient="portrait"/>
          <w:cols w:equalWidth="0" w:num="2">
            <w:col w:w="8420" w:space="500"/>
            <w:col w:w="1900"/>
          </w:cols>
          <w:pgMar w:left="320" w:top="111" w:right="759" w:bottom="1440" w:gutter="0" w:footer="0" w:header="0"/>
        </w:sectPr>
      </w:pPr>
    </w:p>
    <w:p>
      <w:pPr>
        <w:ind w:left="1000" w:right="200" w:hanging="666"/>
        <w:spacing w:after="0" w:line="232"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10.16</w:t>
      </w:r>
      <w:r>
        <w:rPr>
          <w:sz w:val="20"/>
          <w:szCs w:val="20"/>
          <w:color w:val="auto"/>
        </w:rPr>
        <w:tab/>
      </w:r>
      <w:hyperlink r:id="rId210">
        <w:r>
          <w:rPr>
            <w:rFonts w:ascii="Arial" w:cs="Arial" w:eastAsia="Arial" w:hAnsi="Arial"/>
            <w:sz w:val="14"/>
            <w:szCs w:val="14"/>
            <w:u w:val="single" w:color="auto"/>
            <w:color w:val="0000FF"/>
          </w:rPr>
          <w:t>First Lien Holdings Guaranty, dated as of February 1, 2019, among DiscoverOrg Midco, LLC and</w:t>
        </w:r>
      </w:hyperlink>
      <w:r>
        <w:rPr>
          <w:rFonts w:ascii="Arial" w:cs="Arial" w:eastAsia="Arial" w:hAnsi="Arial"/>
          <w:sz w:val="14"/>
          <w:szCs w:val="14"/>
          <w:u w:val="single" w:color="auto"/>
          <w:color w:val="0000FF"/>
        </w:rPr>
        <w:t xml:space="preserve"> </w:t>
      </w:r>
      <w:hyperlink r:id="rId210">
        <w:r>
          <w:rPr>
            <w:rFonts w:ascii="Arial" w:cs="Arial" w:eastAsia="Arial" w:hAnsi="Arial"/>
            <w:sz w:val="14"/>
            <w:szCs w:val="14"/>
            <w:u w:val="single" w:color="auto"/>
            <w:color w:val="0000FF"/>
          </w:rPr>
          <w:t>Morgan Stanley Senior Funding, Inc., as administrative agent</w:t>
        </w:r>
      </w:hyperlink>
    </w:p>
    <w:p>
      <w:pPr>
        <w:spacing w:after="0" w:line="7" w:lineRule="exact"/>
        <w:rPr>
          <w:sz w:val="20"/>
          <w:szCs w:val="20"/>
          <w:color w:val="auto"/>
        </w:rPr>
      </w:pPr>
    </w:p>
    <w:p>
      <w:pPr>
        <w:ind w:left="1000" w:right="20" w:hanging="666"/>
        <w:spacing w:after="0" w:line="232"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10.17</w:t>
      </w:r>
      <w:r>
        <w:rPr>
          <w:sz w:val="20"/>
          <w:szCs w:val="20"/>
          <w:color w:val="auto"/>
        </w:rPr>
        <w:tab/>
      </w:r>
      <w:hyperlink r:id="rId211">
        <w:r>
          <w:rPr>
            <w:rFonts w:ascii="Arial" w:cs="Arial" w:eastAsia="Arial" w:hAnsi="Arial"/>
            <w:sz w:val="14"/>
            <w:szCs w:val="14"/>
            <w:u w:val="single" w:color="auto"/>
            <w:color w:val="0000FF"/>
          </w:rPr>
          <w:t>First Lien Subsidiary Guaranty, dated as of February 1, 2019, among the guarantors party thereto and</w:t>
        </w:r>
      </w:hyperlink>
      <w:r>
        <w:rPr>
          <w:rFonts w:ascii="Arial" w:cs="Arial" w:eastAsia="Arial" w:hAnsi="Arial"/>
          <w:sz w:val="14"/>
          <w:szCs w:val="14"/>
          <w:u w:val="single" w:color="auto"/>
          <w:color w:val="0000FF"/>
        </w:rPr>
        <w:t xml:space="preserve"> </w:t>
      </w:r>
      <w:hyperlink r:id="rId211">
        <w:r>
          <w:rPr>
            <w:rFonts w:ascii="Arial" w:cs="Arial" w:eastAsia="Arial" w:hAnsi="Arial"/>
            <w:sz w:val="14"/>
            <w:szCs w:val="14"/>
            <w:u w:val="single" w:color="auto"/>
            <w:color w:val="0000FF"/>
          </w:rPr>
          <w:t>Morgan Stanley Senior Funding, Inc., as administrative agent</w:t>
        </w:r>
      </w:hyperlink>
    </w:p>
    <w:p>
      <w:pPr>
        <w:spacing w:after="0" w:line="7" w:lineRule="exact"/>
        <w:rPr>
          <w:sz w:val="20"/>
          <w:szCs w:val="20"/>
          <w:color w:val="auto"/>
        </w:rPr>
      </w:pPr>
    </w:p>
    <w:p>
      <w:pPr>
        <w:ind w:left="1000" w:right="100" w:hanging="666"/>
        <w:spacing w:after="0" w:line="215"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10.18</w:t>
      </w:r>
      <w:r>
        <w:rPr>
          <w:sz w:val="20"/>
          <w:szCs w:val="20"/>
          <w:color w:val="auto"/>
        </w:rPr>
        <w:tab/>
      </w:r>
      <w:hyperlink r:id="rId212">
        <w:r>
          <w:rPr>
            <w:rFonts w:ascii="Arial" w:cs="Arial" w:eastAsia="Arial" w:hAnsi="Arial"/>
            <w:sz w:val="14"/>
            <w:szCs w:val="14"/>
            <w:u w:val="single" w:color="auto"/>
            <w:color w:val="0000FF"/>
          </w:rPr>
          <w:t>First Lien Intercompany Subordination Agreement, dated as of February 1, 2019, among</w:t>
        </w:r>
      </w:hyperlink>
      <w:r>
        <w:rPr>
          <w:rFonts w:ascii="Arial" w:cs="Arial" w:eastAsia="Arial" w:hAnsi="Arial"/>
          <w:sz w:val="14"/>
          <w:szCs w:val="14"/>
          <w:u w:val="single" w:color="auto"/>
          <w:color w:val="0000FF"/>
        </w:rPr>
        <w:t xml:space="preserve"> </w:t>
      </w:r>
      <w:hyperlink r:id="rId212">
        <w:r>
          <w:rPr>
            <w:rFonts w:ascii="Arial" w:cs="Arial" w:eastAsia="Arial" w:hAnsi="Arial"/>
            <w:sz w:val="14"/>
            <w:szCs w:val="14"/>
            <w:u w:val="single" w:color="auto"/>
            <w:color w:val="0000FF"/>
          </w:rPr>
          <w:t>DiscoverOrg, LLC, DiscoverOrg Midco, LLC, the subordinated creditors and obligors party thereto</w:t>
        </w:r>
      </w:hyperlink>
      <w:r>
        <w:rPr>
          <w:rFonts w:ascii="Arial" w:cs="Arial" w:eastAsia="Arial" w:hAnsi="Arial"/>
          <w:sz w:val="14"/>
          <w:szCs w:val="14"/>
          <w:u w:val="single" w:color="auto"/>
          <w:color w:val="0000FF"/>
        </w:rPr>
        <w:t xml:space="preserve"> </w:t>
      </w:r>
      <w:hyperlink r:id="rId212">
        <w:r>
          <w:rPr>
            <w:rFonts w:ascii="Arial" w:cs="Arial" w:eastAsia="Arial" w:hAnsi="Arial"/>
            <w:sz w:val="14"/>
            <w:szCs w:val="14"/>
            <w:u w:val="single" w:color="auto"/>
            <w:color w:val="0000FF"/>
          </w:rPr>
          <w:t>from time to time and Morgan Stanley Senior Funding, Inc., as administrative agent and collateral</w:t>
        </w:r>
      </w:hyperlink>
      <w:r>
        <w:rPr>
          <w:rFonts w:ascii="Arial" w:cs="Arial" w:eastAsia="Arial" w:hAnsi="Arial"/>
          <w:sz w:val="14"/>
          <w:szCs w:val="14"/>
          <w:u w:val="single" w:color="auto"/>
          <w:color w:val="0000FF"/>
        </w:rPr>
        <w:t xml:space="preserve"> </w:t>
      </w:r>
      <w:hyperlink r:id="rId212">
        <w:r>
          <w:rPr>
            <w:rFonts w:ascii="Arial" w:cs="Arial" w:eastAsia="Arial" w:hAnsi="Arial"/>
            <w:sz w:val="14"/>
            <w:szCs w:val="14"/>
            <w:u w:val="single" w:color="auto"/>
            <w:color w:val="0000FF"/>
          </w:rPr>
          <w:t>agent</w:t>
        </w:r>
      </w:hyperlink>
    </w:p>
    <w:p>
      <w:pPr>
        <w:spacing w:after="0" w:line="6" w:lineRule="exact"/>
        <w:rPr>
          <w:rFonts w:ascii="Arial" w:cs="Arial" w:eastAsia="Arial" w:hAnsi="Arial"/>
          <w:sz w:val="14"/>
          <w:szCs w:val="14"/>
          <w:u w:val="single" w:color="auto"/>
          <w:color w:val="0000FF"/>
        </w:rPr>
      </w:pPr>
    </w:p>
    <w:p>
      <w:pPr>
        <w:ind w:left="1000" w:hanging="701"/>
        <w:spacing w:after="0" w:line="232" w:lineRule="auto"/>
        <w:tabs>
          <w:tab w:leader="none" w:pos="980" w:val="left"/>
        </w:tabs>
        <w:rPr>
          <w:rFonts w:ascii="Arial" w:cs="Arial" w:eastAsia="Arial" w:hAnsi="Arial"/>
          <w:sz w:val="14"/>
          <w:szCs w:val="14"/>
          <w:u w:val="single" w:color="auto"/>
          <w:color w:val="0000FF"/>
        </w:rPr>
      </w:pPr>
      <w:r>
        <w:rPr>
          <w:rFonts w:ascii="Arial" w:cs="Arial" w:eastAsia="Arial" w:hAnsi="Arial"/>
          <w:sz w:val="14"/>
          <w:szCs w:val="14"/>
          <w:color w:val="auto"/>
        </w:rPr>
        <w:t>10.19†</w:t>
      </w:r>
      <w:r>
        <w:rPr>
          <w:sz w:val="20"/>
          <w:szCs w:val="20"/>
          <w:color w:val="auto"/>
        </w:rPr>
        <w:tab/>
      </w:r>
      <w:hyperlink r:id="rId203">
        <w:r>
          <w:rPr>
            <w:rFonts w:ascii="Arial" w:cs="Arial" w:eastAsia="Arial" w:hAnsi="Arial"/>
            <w:sz w:val="14"/>
            <w:szCs w:val="14"/>
            <w:u w:val="single" w:color="auto"/>
            <w:color w:val="0000FF"/>
          </w:rPr>
          <w:t>Employment Agreement, dated as of May 27, 2020, between ZoomInfo Technologies Inc., ZoomInfo</w:t>
        </w:r>
      </w:hyperlink>
      <w:r>
        <w:rPr>
          <w:rFonts w:ascii="Arial" w:cs="Arial" w:eastAsia="Arial" w:hAnsi="Arial"/>
          <w:sz w:val="14"/>
          <w:szCs w:val="14"/>
          <w:u w:val="single" w:color="auto"/>
          <w:color w:val="0000FF"/>
        </w:rPr>
        <w:t xml:space="preserve"> </w:t>
      </w:r>
      <w:hyperlink r:id="rId203">
        <w:r>
          <w:rPr>
            <w:rFonts w:ascii="Arial" w:cs="Arial" w:eastAsia="Arial" w:hAnsi="Arial"/>
            <w:sz w:val="14"/>
            <w:szCs w:val="14"/>
            <w:u w:val="single" w:color="auto"/>
            <w:color w:val="0000FF"/>
          </w:rPr>
          <w:t>OpCo and Henry Schuck</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S-1 filed February 27, 2020</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S-1 filed February 27, 2020</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S-1 filed February 27, 2020</w:t>
      </w:r>
    </w:p>
    <w:p>
      <w:pPr>
        <w:spacing w:after="0" w:line="200" w:lineRule="exact"/>
        <w:rPr>
          <w:sz w:val="20"/>
          <w:szCs w:val="20"/>
          <w:color w:val="auto"/>
        </w:rPr>
      </w:pPr>
    </w:p>
    <w:p>
      <w:pPr>
        <w:spacing w:after="0" w:line="234" w:lineRule="exact"/>
        <w:rPr>
          <w:sz w:val="20"/>
          <w:szCs w:val="20"/>
          <w:color w:val="auto"/>
        </w:rPr>
      </w:pPr>
    </w:p>
    <w:p>
      <w:pPr>
        <w:ind w:left="160"/>
        <w:spacing w:after="0"/>
        <w:rPr>
          <w:sz w:val="20"/>
          <w:szCs w:val="20"/>
          <w:color w:val="auto"/>
        </w:rPr>
      </w:pPr>
      <w:r>
        <w:rPr>
          <w:rFonts w:ascii="Arial" w:cs="Arial" w:eastAsia="Arial" w:hAnsi="Arial"/>
          <w:sz w:val="14"/>
          <w:szCs w:val="14"/>
          <w:color w:val="auto"/>
        </w:rPr>
        <w:t>8-K filed June 8, 2020</w:t>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10.13</w:t>
      </w:r>
    </w:p>
    <w:p>
      <w:pPr>
        <w:spacing w:after="0" w:line="15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10.14</w:t>
      </w:r>
    </w:p>
    <w:p>
      <w:pPr>
        <w:spacing w:after="0" w:line="15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10.15</w:t>
      </w: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158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3"/>
          <w:szCs w:val="13"/>
          <w:color w:val="auto"/>
        </w:rPr>
        <w:t>10.9</w:t>
      </w:r>
    </w:p>
    <w:p>
      <w:pPr>
        <w:spacing w:after="0" w:line="151" w:lineRule="exact"/>
        <w:rPr>
          <w:sz w:val="20"/>
          <w:szCs w:val="20"/>
          <w:color w:val="auto"/>
        </w:rPr>
      </w:pPr>
    </w:p>
    <w:p>
      <w:pPr>
        <w:sectPr>
          <w:pgSz w:w="11900" w:h="16838" w:orient="portrait"/>
          <w:cols w:equalWidth="0" w:num="3">
            <w:col w:w="6740" w:space="100"/>
            <w:col w:w="1580" w:space="500"/>
            <w:col w:w="1900"/>
          </w:cols>
          <w:pgMar w:left="320" w:top="111" w:right="759" w:bottom="1440" w:gutter="0" w:footer="0" w:header="0"/>
          <w:type w:val="continuous"/>
        </w:sectPr>
      </w:pPr>
    </w:p>
    <w:tbl>
      <w:tblPr>
        <w:tblLayout w:type="fixed"/>
        <w:tblInd w:w="260" w:type="dxa"/>
        <w:tblCellMar>
          <w:top w:w="0" w:type="dxa"/>
          <w:left w:w="0" w:type="dxa"/>
          <w:bottom w:w="0" w:type="dxa"/>
          <w:right w:w="0" w:type="dxa"/>
        </w:tblCellMar>
      </w:tblPr>
      <w:tr>
        <w:trPr>
          <w:trHeight w:val="158"/>
        </w:trPr>
        <w:tc>
          <w:tcPr>
            <w:tcW w:w="740" w:type="dxa"/>
            <w:vAlign w:val="bottom"/>
          </w:tcPr>
          <w:p>
            <w:pPr>
              <w:jc w:val="center"/>
              <w:ind w:right="189"/>
              <w:spacing w:after="0" w:line="158" w:lineRule="exact"/>
              <w:rPr>
                <w:sz w:val="20"/>
                <w:szCs w:val="20"/>
                <w:color w:val="auto"/>
              </w:rPr>
            </w:pPr>
            <w:r>
              <w:rPr>
                <w:rFonts w:ascii="Arial" w:cs="Arial" w:eastAsia="Arial" w:hAnsi="Arial"/>
                <w:sz w:val="14"/>
                <w:szCs w:val="14"/>
                <w:color w:val="auto"/>
                <w:w w:val="93"/>
              </w:rPr>
              <w:t>10.20†</w:t>
            </w:r>
          </w:p>
        </w:tc>
        <w:tc>
          <w:tcPr>
            <w:tcW w:w="5760" w:type="dxa"/>
            <w:vAlign w:val="bottom"/>
            <w:gridSpan w:val="23"/>
          </w:tcPr>
          <w:p>
            <w:pPr>
              <w:spacing w:after="0" w:line="158" w:lineRule="exact"/>
              <w:rPr>
                <w:rFonts w:ascii="Arial" w:cs="Arial" w:eastAsia="Arial" w:hAnsi="Arial"/>
                <w:sz w:val="14"/>
                <w:szCs w:val="14"/>
                <w:color w:val="0000FF"/>
                <w:w w:val="95"/>
              </w:rPr>
            </w:pPr>
            <w:hyperlink r:id="rId213">
              <w:r>
                <w:rPr>
                  <w:rFonts w:ascii="Arial" w:cs="Arial" w:eastAsia="Arial" w:hAnsi="Arial"/>
                  <w:sz w:val="14"/>
                  <w:szCs w:val="14"/>
                  <w:color w:val="0000FF"/>
                  <w:w w:val="95"/>
                </w:rPr>
                <w:t>Employment Agreement, dated December 21, 2018, by and between DiscoverOrg Data, LLC and</w:t>
              </w:r>
            </w:hyperlink>
          </w:p>
        </w:tc>
        <w:tc>
          <w:tcPr>
            <w:tcW w:w="1660" w:type="dxa"/>
            <w:vAlign w:val="bottom"/>
          </w:tcPr>
          <w:p>
            <w:pPr>
              <w:jc w:val="center"/>
              <w:ind w:left="9"/>
              <w:spacing w:after="0" w:line="158" w:lineRule="exact"/>
              <w:rPr>
                <w:sz w:val="20"/>
                <w:szCs w:val="20"/>
                <w:color w:val="auto"/>
              </w:rPr>
            </w:pPr>
            <w:r>
              <w:rPr>
                <w:rFonts w:ascii="Arial" w:cs="Arial" w:eastAsia="Arial" w:hAnsi="Arial"/>
                <w:sz w:val="14"/>
                <w:szCs w:val="14"/>
                <w:color w:val="auto"/>
                <w:w w:val="93"/>
              </w:rPr>
              <w:t>S-1 filed February 27, 2020</w:t>
            </w:r>
          </w:p>
        </w:tc>
        <w:tc>
          <w:tcPr>
            <w:tcW w:w="0" w:type="dxa"/>
            <w:vAlign w:val="bottom"/>
          </w:tcPr>
          <w:p>
            <w:pPr>
              <w:spacing w:after="0"/>
              <w:rPr>
                <w:sz w:val="1"/>
                <w:szCs w:val="1"/>
                <w:color w:val="auto"/>
              </w:rPr>
            </w:pPr>
          </w:p>
        </w:tc>
      </w:tr>
      <w:tr>
        <w:trPr>
          <w:trHeight w:val="113"/>
        </w:trPr>
        <w:tc>
          <w:tcPr>
            <w:tcW w:w="740" w:type="dxa"/>
            <w:vAlign w:val="bottom"/>
          </w:tcPr>
          <w:p>
            <w:pPr>
              <w:spacing w:after="0"/>
              <w:rPr>
                <w:sz w:val="9"/>
                <w:szCs w:val="9"/>
                <w:color w:val="auto"/>
              </w:rPr>
            </w:pPr>
          </w:p>
        </w:tc>
        <w:tc>
          <w:tcPr>
            <w:tcW w:w="5520" w:type="dxa"/>
            <w:vAlign w:val="bottom"/>
            <w:tcBorders>
              <w:top w:val="single" w:sz="8" w:color="0000FF"/>
            </w:tcBorders>
            <w:gridSpan w:val="18"/>
          </w:tcPr>
          <w:p>
            <w:pPr>
              <w:spacing w:after="0" w:line="113" w:lineRule="exact"/>
              <w:rPr>
                <w:rFonts w:ascii="Arial" w:cs="Arial" w:eastAsia="Arial" w:hAnsi="Arial"/>
                <w:sz w:val="13"/>
                <w:szCs w:val="13"/>
                <w:color w:val="0000FF"/>
              </w:rPr>
            </w:pPr>
            <w:hyperlink r:id="rId213">
              <w:r>
                <w:rPr>
                  <w:rFonts w:ascii="Arial" w:cs="Arial" w:eastAsia="Arial" w:hAnsi="Arial"/>
                  <w:sz w:val="13"/>
                  <w:szCs w:val="13"/>
                  <w:color w:val="0000FF"/>
                </w:rPr>
                <w:t>Peter Cameron Hyzer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10.21†</w:t>
            </w:r>
          </w:p>
        </w:tc>
        <w:tc>
          <w:tcPr>
            <w:tcW w:w="5760" w:type="dxa"/>
            <w:vAlign w:val="bottom"/>
            <w:gridSpan w:val="23"/>
          </w:tcPr>
          <w:p>
            <w:pPr>
              <w:spacing w:after="0"/>
              <w:rPr>
                <w:rFonts w:ascii="Arial" w:cs="Arial" w:eastAsia="Arial" w:hAnsi="Arial"/>
                <w:sz w:val="14"/>
                <w:szCs w:val="14"/>
                <w:color w:val="0000FF"/>
              </w:rPr>
            </w:pPr>
            <w:hyperlink r:id="rId214">
              <w:r>
                <w:rPr>
                  <w:rFonts w:ascii="Arial" w:cs="Arial" w:eastAsia="Arial" w:hAnsi="Arial"/>
                  <w:sz w:val="14"/>
                  <w:szCs w:val="14"/>
                  <w:color w:val="0000FF"/>
                </w:rPr>
                <w:t>Form of HSKB Funds, LLC Subscription Agreement</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3"/>
              </w:rPr>
              <w:t>S-1 filed February 27, 2020</w:t>
            </w:r>
          </w:p>
        </w:tc>
        <w:tc>
          <w:tcPr>
            <w:tcW w:w="0" w:type="dxa"/>
            <w:vAlign w:val="bottom"/>
          </w:tcPr>
          <w:p>
            <w:pPr>
              <w:spacing w:after="0"/>
              <w:rPr>
                <w:sz w:val="1"/>
                <w:szCs w:val="1"/>
                <w:color w:val="auto"/>
              </w:rPr>
            </w:pPr>
          </w:p>
        </w:tc>
      </w:tr>
      <w:tr>
        <w:trPr>
          <w:trHeight w:val="165"/>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10.22†</w:t>
            </w:r>
          </w:p>
        </w:tc>
        <w:tc>
          <w:tcPr>
            <w:tcW w:w="3000" w:type="dxa"/>
            <w:vAlign w:val="bottom"/>
            <w:tcBorders>
              <w:top w:val="single" w:sz="8" w:color="0000FF"/>
            </w:tcBorders>
            <w:gridSpan w:val="7"/>
          </w:tcPr>
          <w:p>
            <w:pPr>
              <w:spacing w:after="0"/>
              <w:rPr>
                <w:rFonts w:ascii="Arial" w:cs="Arial" w:eastAsia="Arial" w:hAnsi="Arial"/>
                <w:sz w:val="14"/>
                <w:szCs w:val="14"/>
                <w:color w:val="0000FF"/>
              </w:rPr>
            </w:pPr>
            <w:hyperlink r:id="rId215">
              <w:r>
                <w:rPr>
                  <w:rFonts w:ascii="Arial" w:cs="Arial" w:eastAsia="Arial" w:hAnsi="Arial"/>
                  <w:sz w:val="14"/>
                  <w:szCs w:val="14"/>
                  <w:color w:val="0000FF"/>
                </w:rPr>
                <w:t>Form of Class P Incentive Unit Agreement</w:t>
              </w:r>
            </w:hyperlink>
          </w:p>
        </w:tc>
        <w:tc>
          <w:tcPr>
            <w:tcW w:w="2760" w:type="dxa"/>
            <w:vAlign w:val="bottom"/>
            <w:gridSpan w:val="16"/>
          </w:tcPr>
          <w:p>
            <w:pPr>
              <w:spacing w:after="0"/>
              <w:rPr>
                <w:sz w:val="14"/>
                <w:szCs w:val="14"/>
                <w:color w:val="auto"/>
              </w:rPr>
            </w:pPr>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3"/>
              </w:rPr>
              <w:t>S-1 filed February 27, 2020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10.23†</w:t>
            </w:r>
          </w:p>
        </w:tc>
        <w:tc>
          <w:tcPr>
            <w:tcW w:w="5760" w:type="dxa"/>
            <w:vAlign w:val="bottom"/>
            <w:gridSpan w:val="23"/>
          </w:tcPr>
          <w:p>
            <w:pPr>
              <w:spacing w:after="0"/>
              <w:rPr>
                <w:rFonts w:ascii="Arial" w:cs="Arial" w:eastAsia="Arial" w:hAnsi="Arial"/>
                <w:sz w:val="14"/>
                <w:szCs w:val="14"/>
                <w:color w:val="0000FF"/>
              </w:rPr>
            </w:pPr>
            <w:hyperlink r:id="rId216">
              <w:r>
                <w:rPr>
                  <w:rFonts w:ascii="Arial" w:cs="Arial" w:eastAsia="Arial" w:hAnsi="Arial"/>
                  <w:sz w:val="14"/>
                  <w:szCs w:val="14"/>
                  <w:color w:val="0000FF"/>
                </w:rPr>
                <w:t>Form of Standard Employee Stock Option Agreement under 2020 Omnibus Incentive Plan</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65"/>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10.24†</w:t>
            </w:r>
          </w:p>
        </w:tc>
        <w:tc>
          <w:tcPr>
            <w:tcW w:w="5120" w:type="dxa"/>
            <w:vAlign w:val="bottom"/>
            <w:tcBorders>
              <w:top w:val="single" w:sz="8" w:color="0000FF"/>
            </w:tcBorders>
            <w:gridSpan w:val="12"/>
          </w:tcPr>
          <w:p>
            <w:pPr>
              <w:spacing w:after="0"/>
              <w:rPr>
                <w:rFonts w:ascii="Arial" w:cs="Arial" w:eastAsia="Arial" w:hAnsi="Arial"/>
                <w:sz w:val="14"/>
                <w:szCs w:val="14"/>
                <w:color w:val="0000FF"/>
                <w:w w:val="94"/>
              </w:rPr>
            </w:pPr>
            <w:hyperlink r:id="rId217">
              <w:r>
                <w:rPr>
                  <w:rFonts w:ascii="Arial" w:cs="Arial" w:eastAsia="Arial" w:hAnsi="Arial"/>
                  <w:sz w:val="14"/>
                  <w:szCs w:val="14"/>
                  <w:color w:val="0000FF"/>
                  <w:w w:val="94"/>
                </w:rPr>
                <w:t>Form of Class P Unit Agreement for Henry Schuck under 2020 Omnibus Incentive Plan</w:t>
              </w:r>
            </w:hyperlink>
          </w:p>
        </w:tc>
        <w:tc>
          <w:tcPr>
            <w:tcW w:w="640" w:type="dxa"/>
            <w:vAlign w:val="bottom"/>
            <w:gridSpan w:val="11"/>
          </w:tcPr>
          <w:p>
            <w:pPr>
              <w:spacing w:after="0"/>
              <w:rPr>
                <w:sz w:val="14"/>
                <w:szCs w:val="14"/>
                <w:color w:val="auto"/>
              </w:rPr>
            </w:pPr>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27, 2020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10.25†</w:t>
            </w:r>
          </w:p>
        </w:tc>
        <w:tc>
          <w:tcPr>
            <w:tcW w:w="5240" w:type="dxa"/>
            <w:vAlign w:val="bottom"/>
            <w:tcBorders>
              <w:bottom w:val="single" w:sz="8" w:color="0000FF"/>
            </w:tcBorders>
            <w:gridSpan w:val="13"/>
          </w:tcPr>
          <w:p>
            <w:pPr>
              <w:spacing w:after="0"/>
              <w:rPr>
                <w:rFonts w:ascii="Arial" w:cs="Arial" w:eastAsia="Arial" w:hAnsi="Arial"/>
                <w:sz w:val="14"/>
                <w:szCs w:val="14"/>
                <w:color w:val="0000FF"/>
                <w:w w:val="91"/>
              </w:rPr>
            </w:pPr>
            <w:hyperlink r:id="rId218">
              <w:r>
                <w:rPr>
                  <w:rFonts w:ascii="Arial" w:cs="Arial" w:eastAsia="Arial" w:hAnsi="Arial"/>
                  <w:sz w:val="14"/>
                  <w:szCs w:val="14"/>
                  <w:color w:val="0000FF"/>
                  <w:w w:val="91"/>
                </w:rPr>
                <w:t>Form of Leverage Restoration Stock Option Agreement under 2020 Omnibus Incentive Plan</w:t>
              </w:r>
            </w:hyperlink>
          </w:p>
        </w:tc>
        <w:tc>
          <w:tcPr>
            <w:tcW w:w="520" w:type="dxa"/>
            <w:vAlign w:val="bottom"/>
            <w:gridSpan w:val="10"/>
          </w:tcPr>
          <w:p>
            <w:pPr>
              <w:spacing w:after="0"/>
              <w:rPr>
                <w:sz w:val="14"/>
                <w:szCs w:val="14"/>
                <w:color w:val="auto"/>
              </w:rPr>
            </w:pPr>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4"/>
              </w:rPr>
              <w:t>+10.26†</w:t>
            </w:r>
          </w:p>
        </w:tc>
        <w:tc>
          <w:tcPr>
            <w:tcW w:w="5600" w:type="dxa"/>
            <w:vAlign w:val="bottom"/>
            <w:tcBorders>
              <w:bottom w:val="single" w:sz="8" w:color="0000FF"/>
            </w:tcBorders>
            <w:gridSpan w:val="21"/>
          </w:tcPr>
          <w:p>
            <w:pPr>
              <w:spacing w:after="0"/>
              <w:rPr>
                <w:rFonts w:ascii="Arial" w:cs="Arial" w:eastAsia="Arial" w:hAnsi="Arial"/>
                <w:sz w:val="14"/>
                <w:szCs w:val="14"/>
                <w:color w:val="0000FF"/>
                <w:w w:val="91"/>
              </w:rPr>
            </w:pPr>
            <w:hyperlink w:anchor="page219">
              <w:r>
                <w:rPr>
                  <w:rFonts w:ascii="Arial" w:cs="Arial" w:eastAsia="Arial" w:hAnsi="Arial"/>
                  <w:sz w:val="14"/>
                  <w:szCs w:val="14"/>
                  <w:color w:val="0000FF"/>
                  <w:w w:val="91"/>
                </w:rPr>
                <w:t>Form of Standard Employee Restricted Stock Unit Agreement under 2020 Omnibus Incentive Plan</w:t>
              </w:r>
            </w:hyperlink>
          </w:p>
        </w:tc>
        <w:tc>
          <w:tcPr>
            <w:tcW w:w="160" w:type="dxa"/>
            <w:vAlign w:val="bottom"/>
            <w:gridSpan w:val="2"/>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10.27†</w:t>
            </w:r>
          </w:p>
        </w:tc>
        <w:tc>
          <w:tcPr>
            <w:tcW w:w="5760" w:type="dxa"/>
            <w:vAlign w:val="bottom"/>
            <w:gridSpan w:val="23"/>
          </w:tcPr>
          <w:p>
            <w:pPr>
              <w:spacing w:after="0"/>
              <w:rPr>
                <w:rFonts w:ascii="Arial" w:cs="Arial" w:eastAsia="Arial" w:hAnsi="Arial"/>
                <w:sz w:val="14"/>
                <w:szCs w:val="14"/>
                <w:color w:val="0000FF"/>
                <w:w w:val="97"/>
              </w:rPr>
            </w:pPr>
            <w:hyperlink r:id="rId219">
              <w:r>
                <w:rPr>
                  <w:rFonts w:ascii="Arial" w:cs="Arial" w:eastAsia="Arial" w:hAnsi="Arial"/>
                  <w:sz w:val="14"/>
                  <w:szCs w:val="14"/>
                  <w:color w:val="0000FF"/>
                  <w:w w:val="97"/>
                </w:rPr>
                <w:t>Form of Non-Employee Director Annual Restricted Stock Unit Agreement under 2020 Omnibus</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13"/>
        </w:trPr>
        <w:tc>
          <w:tcPr>
            <w:tcW w:w="740" w:type="dxa"/>
            <w:vAlign w:val="bottom"/>
          </w:tcPr>
          <w:p>
            <w:pPr>
              <w:spacing w:after="0"/>
              <w:rPr>
                <w:sz w:val="9"/>
                <w:szCs w:val="9"/>
                <w:color w:val="auto"/>
              </w:rPr>
            </w:pPr>
          </w:p>
        </w:tc>
        <w:tc>
          <w:tcPr>
            <w:tcW w:w="84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rPr>
            </w:pPr>
            <w:hyperlink r:id="rId219">
              <w:r>
                <w:rPr>
                  <w:rFonts w:ascii="Arial" w:cs="Arial" w:eastAsia="Arial" w:hAnsi="Arial"/>
                  <w:sz w:val="13"/>
                  <w:szCs w:val="13"/>
                  <w:color w:val="0000FF"/>
                </w:rPr>
                <w:t>Incentive Plan</w:t>
              </w:r>
            </w:hyperlink>
          </w:p>
        </w:tc>
        <w:tc>
          <w:tcPr>
            <w:tcW w:w="4620" w:type="dxa"/>
            <w:vAlign w:val="bottom"/>
            <w:tcBorders>
              <w:top w:val="single" w:sz="8" w:color="0000FF"/>
            </w:tcBorders>
            <w:gridSpan w:val="14"/>
          </w:tcPr>
          <w:p>
            <w:pPr>
              <w:spacing w:after="0"/>
              <w:rPr>
                <w:sz w:val="9"/>
                <w:szCs w:val="9"/>
                <w:color w:val="auto"/>
              </w:rPr>
            </w:pPr>
          </w:p>
        </w:tc>
        <w:tc>
          <w:tcPr>
            <w:tcW w:w="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10.28†</w:t>
            </w:r>
          </w:p>
        </w:tc>
        <w:tc>
          <w:tcPr>
            <w:tcW w:w="5760" w:type="dxa"/>
            <w:vAlign w:val="bottom"/>
            <w:gridSpan w:val="23"/>
          </w:tcPr>
          <w:p>
            <w:pPr>
              <w:spacing w:after="0"/>
              <w:rPr>
                <w:rFonts w:ascii="Arial" w:cs="Arial" w:eastAsia="Arial" w:hAnsi="Arial"/>
                <w:sz w:val="14"/>
                <w:szCs w:val="14"/>
                <w:color w:val="0000FF"/>
                <w:w w:val="96"/>
              </w:rPr>
            </w:pPr>
            <w:hyperlink r:id="rId220">
              <w:r>
                <w:rPr>
                  <w:rFonts w:ascii="Arial" w:cs="Arial" w:eastAsia="Arial" w:hAnsi="Arial"/>
                  <w:sz w:val="14"/>
                  <w:szCs w:val="14"/>
                  <w:color w:val="0000FF"/>
                  <w:w w:val="96"/>
                </w:rPr>
                <w:t>Form of Non-Employee Director Sign-On Restricted Stock Unit Agreement under 2020 Omnibus</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820" w:type="dxa"/>
            <w:vAlign w:val="bottom"/>
            <w:tcBorders>
              <w:top w:val="single" w:sz="8" w:color="0000FF"/>
              <w:bottom w:val="single" w:sz="8" w:color="0000FF"/>
            </w:tcBorders>
            <w:gridSpan w:val="2"/>
          </w:tcPr>
          <w:p>
            <w:pPr>
              <w:spacing w:after="0" w:line="113" w:lineRule="exact"/>
              <w:rPr>
                <w:rFonts w:ascii="Arial" w:cs="Arial" w:eastAsia="Arial" w:hAnsi="Arial"/>
                <w:sz w:val="13"/>
                <w:szCs w:val="13"/>
                <w:color w:val="0000FF"/>
                <w:w w:val="97"/>
              </w:rPr>
            </w:pPr>
            <w:hyperlink r:id="rId220">
              <w:r>
                <w:rPr>
                  <w:rFonts w:ascii="Arial" w:cs="Arial" w:eastAsia="Arial" w:hAnsi="Arial"/>
                  <w:sz w:val="13"/>
                  <w:szCs w:val="13"/>
                  <w:color w:val="0000FF"/>
                  <w:w w:val="97"/>
                </w:rPr>
                <w:t>Incentive Plan</w:t>
              </w:r>
            </w:hyperlink>
          </w:p>
        </w:tc>
        <w:tc>
          <w:tcPr>
            <w:tcW w:w="4720" w:type="dxa"/>
            <w:vAlign w:val="bottom"/>
            <w:tcBorders>
              <w:top w:val="single" w:sz="8" w:color="0000FF"/>
            </w:tcBorders>
            <w:gridSpan w:val="17"/>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2"/>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10.29†</w:t>
            </w:r>
          </w:p>
        </w:tc>
        <w:tc>
          <w:tcPr>
            <w:tcW w:w="5760" w:type="dxa"/>
            <w:vAlign w:val="bottom"/>
            <w:gridSpan w:val="23"/>
          </w:tcPr>
          <w:p>
            <w:pPr>
              <w:spacing w:after="0"/>
              <w:rPr>
                <w:rFonts w:ascii="Arial" w:cs="Arial" w:eastAsia="Arial" w:hAnsi="Arial"/>
                <w:sz w:val="14"/>
                <w:szCs w:val="14"/>
                <w:color w:val="0000FF"/>
              </w:rPr>
            </w:pPr>
            <w:hyperlink r:id="rId221">
              <w:r>
                <w:rPr>
                  <w:rFonts w:ascii="Arial" w:cs="Arial" w:eastAsia="Arial" w:hAnsi="Arial"/>
                  <w:sz w:val="14"/>
                  <w:szCs w:val="14"/>
                  <w:color w:val="0000FF"/>
                </w:rPr>
                <w:t>Form of Class P Unit Award Agreement under 2020 Omnibus Incentive Plan</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65"/>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10.30†</w:t>
            </w:r>
          </w:p>
        </w:tc>
        <w:tc>
          <w:tcPr>
            <w:tcW w:w="4220" w:type="dxa"/>
            <w:vAlign w:val="bottom"/>
            <w:tcBorders>
              <w:top w:val="single" w:sz="8" w:color="0000FF"/>
              <w:bottom w:val="single" w:sz="8" w:color="0000FF"/>
            </w:tcBorders>
            <w:gridSpan w:val="9"/>
          </w:tcPr>
          <w:p>
            <w:pPr>
              <w:spacing w:after="0"/>
              <w:rPr>
                <w:rFonts w:ascii="Arial" w:cs="Arial" w:eastAsia="Arial" w:hAnsi="Arial"/>
                <w:sz w:val="14"/>
                <w:szCs w:val="14"/>
                <w:color w:val="0000FF"/>
                <w:w w:val="92"/>
              </w:rPr>
            </w:pPr>
            <w:hyperlink r:id="rId222">
              <w:r>
                <w:rPr>
                  <w:rFonts w:ascii="Arial" w:cs="Arial" w:eastAsia="Arial" w:hAnsi="Arial"/>
                  <w:sz w:val="14"/>
                  <w:szCs w:val="14"/>
                  <w:color w:val="0000FF"/>
                  <w:w w:val="92"/>
                </w:rPr>
                <w:t>Form of LTIP Unit Award Agreement under 2020 Omnibus Incentive Plan</w:t>
              </w:r>
            </w:hyperlink>
          </w:p>
        </w:tc>
        <w:tc>
          <w:tcPr>
            <w:tcW w:w="120" w:type="dxa"/>
            <w:vAlign w:val="bottom"/>
            <w:tcBorders>
              <w:top w:val="single" w:sz="8" w:color="0000FF"/>
            </w:tcBorders>
          </w:tcPr>
          <w:p>
            <w:pPr>
              <w:spacing w:after="0"/>
              <w:rPr>
                <w:sz w:val="14"/>
                <w:szCs w:val="14"/>
                <w:color w:val="auto"/>
              </w:rPr>
            </w:pPr>
          </w:p>
        </w:tc>
        <w:tc>
          <w:tcPr>
            <w:tcW w:w="1420" w:type="dxa"/>
            <w:vAlign w:val="bottom"/>
            <w:gridSpan w:val="13"/>
          </w:tcPr>
          <w:p>
            <w:pPr>
              <w:spacing w:after="0"/>
              <w:rPr>
                <w:sz w:val="14"/>
                <w:szCs w:val="14"/>
                <w:color w:val="auto"/>
              </w:rPr>
            </w:pPr>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66"/>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10.31†</w:t>
            </w:r>
          </w:p>
        </w:tc>
        <w:tc>
          <w:tcPr>
            <w:tcW w:w="5760" w:type="dxa"/>
            <w:vAlign w:val="bottom"/>
            <w:gridSpan w:val="23"/>
          </w:tcPr>
          <w:p>
            <w:pPr>
              <w:spacing w:after="0"/>
              <w:rPr>
                <w:rFonts w:ascii="Arial" w:cs="Arial" w:eastAsia="Arial" w:hAnsi="Arial"/>
                <w:sz w:val="14"/>
                <w:szCs w:val="14"/>
                <w:color w:val="0000FF"/>
                <w:w w:val="94"/>
              </w:rPr>
            </w:pPr>
            <w:hyperlink r:id="rId223">
              <w:r>
                <w:rPr>
                  <w:rFonts w:ascii="Arial" w:cs="Arial" w:eastAsia="Arial" w:hAnsi="Arial"/>
                  <w:sz w:val="14"/>
                  <w:szCs w:val="14"/>
                  <w:color w:val="0000FF"/>
                  <w:w w:val="94"/>
                </w:rPr>
                <w:t>Form of Restrictive Covenant Agreement Exhibit to Employee Equity Awards under 2020 Omnibus</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5"/>
              </w:rPr>
              <w:t>S-1/A filed May 22, 2020</w:t>
            </w:r>
          </w:p>
        </w:tc>
        <w:tc>
          <w:tcPr>
            <w:tcW w:w="0" w:type="dxa"/>
            <w:vAlign w:val="bottom"/>
          </w:tcPr>
          <w:p>
            <w:pPr>
              <w:spacing w:after="0"/>
              <w:rPr>
                <w:sz w:val="1"/>
                <w:szCs w:val="1"/>
                <w:color w:val="auto"/>
              </w:rPr>
            </w:pPr>
          </w:p>
        </w:tc>
      </w:tr>
      <w:tr>
        <w:trPr>
          <w:trHeight w:val="112"/>
        </w:trPr>
        <w:tc>
          <w:tcPr>
            <w:tcW w:w="740" w:type="dxa"/>
            <w:vAlign w:val="bottom"/>
          </w:tcPr>
          <w:p>
            <w:pPr>
              <w:spacing w:after="0"/>
              <w:rPr>
                <w:sz w:val="9"/>
                <w:szCs w:val="9"/>
                <w:color w:val="auto"/>
              </w:rPr>
            </w:pPr>
          </w:p>
        </w:tc>
        <w:tc>
          <w:tcPr>
            <w:tcW w:w="840" w:type="dxa"/>
            <w:vAlign w:val="bottom"/>
            <w:tcBorders>
              <w:top w:val="single" w:sz="8" w:color="0000FF"/>
              <w:bottom w:val="single" w:sz="8" w:color="0000FF"/>
            </w:tcBorders>
            <w:gridSpan w:val="3"/>
          </w:tcPr>
          <w:p>
            <w:pPr>
              <w:spacing w:after="0" w:line="113" w:lineRule="exact"/>
              <w:rPr>
                <w:rFonts w:ascii="Arial" w:cs="Arial" w:eastAsia="Arial" w:hAnsi="Arial"/>
                <w:sz w:val="13"/>
                <w:szCs w:val="13"/>
                <w:color w:val="0000FF"/>
              </w:rPr>
            </w:pPr>
            <w:hyperlink r:id="rId223">
              <w:r>
                <w:rPr>
                  <w:rFonts w:ascii="Arial" w:cs="Arial" w:eastAsia="Arial" w:hAnsi="Arial"/>
                  <w:sz w:val="13"/>
                  <w:szCs w:val="13"/>
                  <w:color w:val="0000FF"/>
                </w:rPr>
                <w:t>Incentive Plan</w:t>
              </w:r>
            </w:hyperlink>
          </w:p>
        </w:tc>
        <w:tc>
          <w:tcPr>
            <w:tcW w:w="4820" w:type="dxa"/>
            <w:vAlign w:val="bottom"/>
            <w:tcBorders>
              <w:top w:val="single" w:sz="8" w:color="0000FF"/>
            </w:tcBorders>
            <w:gridSpan w:val="19"/>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10.32†</w:t>
            </w:r>
          </w:p>
        </w:tc>
        <w:tc>
          <w:tcPr>
            <w:tcW w:w="5760" w:type="dxa"/>
            <w:vAlign w:val="bottom"/>
            <w:gridSpan w:val="23"/>
          </w:tcPr>
          <w:p>
            <w:pPr>
              <w:spacing w:after="0"/>
              <w:rPr>
                <w:rFonts w:ascii="Arial" w:cs="Arial" w:eastAsia="Arial" w:hAnsi="Arial"/>
                <w:sz w:val="14"/>
                <w:szCs w:val="14"/>
                <w:color w:val="0000FF"/>
                <w:w w:val="99"/>
              </w:rPr>
            </w:pPr>
            <w:hyperlink r:id="rId224">
              <w:r>
                <w:rPr>
                  <w:rFonts w:ascii="Arial" w:cs="Arial" w:eastAsia="Arial" w:hAnsi="Arial"/>
                  <w:sz w:val="14"/>
                  <w:szCs w:val="14"/>
                  <w:color w:val="0000FF"/>
                  <w:w w:val="99"/>
                </w:rPr>
                <w:t>Employment Agreement, dated as of August 10, 2020, between ZoomInfo Technologies Inc.,</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2"/>
              </w:rPr>
              <w:t>10-Q filed August 11, 2020</w:t>
            </w:r>
          </w:p>
        </w:tc>
        <w:tc>
          <w:tcPr>
            <w:tcW w:w="0" w:type="dxa"/>
            <w:vAlign w:val="bottom"/>
          </w:tcPr>
          <w:p>
            <w:pPr>
              <w:spacing w:after="0"/>
              <w:rPr>
                <w:sz w:val="1"/>
                <w:szCs w:val="1"/>
                <w:color w:val="auto"/>
              </w:rPr>
            </w:pPr>
          </w:p>
        </w:tc>
      </w:tr>
      <w:tr>
        <w:trPr>
          <w:trHeight w:val="113"/>
        </w:trPr>
        <w:tc>
          <w:tcPr>
            <w:tcW w:w="740" w:type="dxa"/>
            <w:vAlign w:val="bottom"/>
          </w:tcPr>
          <w:p>
            <w:pPr>
              <w:spacing w:after="0"/>
              <w:rPr>
                <w:sz w:val="9"/>
                <w:szCs w:val="9"/>
                <w:color w:val="auto"/>
              </w:rPr>
            </w:pPr>
          </w:p>
        </w:tc>
        <w:tc>
          <w:tcPr>
            <w:tcW w:w="3360" w:type="dxa"/>
            <w:vAlign w:val="bottom"/>
            <w:tcBorders>
              <w:top w:val="single" w:sz="8" w:color="0000FF"/>
              <w:bottom w:val="single" w:sz="8" w:color="0000FF"/>
            </w:tcBorders>
            <w:gridSpan w:val="8"/>
          </w:tcPr>
          <w:p>
            <w:pPr>
              <w:spacing w:after="0" w:line="113" w:lineRule="exact"/>
              <w:rPr>
                <w:rFonts w:ascii="Arial" w:cs="Arial" w:eastAsia="Arial" w:hAnsi="Arial"/>
                <w:sz w:val="13"/>
                <w:szCs w:val="13"/>
                <w:color w:val="0000FF"/>
                <w:w w:val="98"/>
              </w:rPr>
            </w:pPr>
            <w:hyperlink r:id="rId224">
              <w:r>
                <w:rPr>
                  <w:rFonts w:ascii="Arial" w:cs="Arial" w:eastAsia="Arial" w:hAnsi="Arial"/>
                  <w:sz w:val="13"/>
                  <w:szCs w:val="13"/>
                  <w:color w:val="0000FF"/>
                  <w:w w:val="98"/>
                </w:rPr>
                <w:t>ZoomInfo Technologies LLC and Joseph Christopher Hays</w:t>
              </w:r>
            </w:hyperlink>
          </w:p>
        </w:tc>
        <w:tc>
          <w:tcPr>
            <w:tcW w:w="1920" w:type="dxa"/>
            <w:vAlign w:val="bottom"/>
            <w:tcBorders>
              <w:top w:val="single" w:sz="8" w:color="0000FF"/>
            </w:tcBorders>
            <w:gridSpan w:val="7"/>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gridSpan w:val="4"/>
          </w:tcPr>
          <w:p>
            <w:pPr>
              <w:spacing w:after="0"/>
              <w:rPr>
                <w:sz w:val="9"/>
                <w:szCs w:val="9"/>
                <w:color w:val="auto"/>
              </w:rPr>
            </w:pPr>
          </w:p>
        </w:tc>
        <w:tc>
          <w:tcPr>
            <w:tcW w:w="200" w:type="dxa"/>
            <w:vAlign w:val="bottom"/>
            <w:gridSpan w:val="3"/>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3"/>
              </w:rPr>
              <w:t>10.33†</w:t>
            </w:r>
          </w:p>
        </w:tc>
        <w:tc>
          <w:tcPr>
            <w:tcW w:w="5760" w:type="dxa"/>
            <w:vAlign w:val="bottom"/>
            <w:gridSpan w:val="23"/>
          </w:tcPr>
          <w:p>
            <w:pPr>
              <w:spacing w:after="0"/>
              <w:rPr>
                <w:rFonts w:ascii="Arial" w:cs="Arial" w:eastAsia="Arial" w:hAnsi="Arial"/>
                <w:sz w:val="14"/>
                <w:szCs w:val="14"/>
                <w:color w:val="0000FF"/>
                <w:w w:val="97"/>
              </w:rPr>
            </w:pPr>
            <w:hyperlink r:id="rId225">
              <w:r>
                <w:rPr>
                  <w:rFonts w:ascii="Arial" w:cs="Arial" w:eastAsia="Arial" w:hAnsi="Arial"/>
                  <w:sz w:val="14"/>
                  <w:szCs w:val="14"/>
                  <w:color w:val="0000FF"/>
                  <w:w w:val="97"/>
                </w:rPr>
                <w:t>Offer Letter Agreement, dated as of February 1, 2019, between DiscoverOrg Data, LLC and Nir</w:t>
              </w:r>
            </w:hyperlink>
          </w:p>
        </w:tc>
        <w:tc>
          <w:tcPr>
            <w:tcW w:w="1660" w:type="dxa"/>
            <w:vAlign w:val="bottom"/>
          </w:tcPr>
          <w:p>
            <w:pPr>
              <w:jc w:val="center"/>
              <w:ind w:left="9"/>
              <w:spacing w:after="0"/>
              <w:rPr>
                <w:sz w:val="20"/>
                <w:szCs w:val="20"/>
                <w:color w:val="auto"/>
              </w:rPr>
            </w:pPr>
            <w:r>
              <w:rPr>
                <w:rFonts w:ascii="Arial" w:cs="Arial" w:eastAsia="Arial" w:hAnsi="Arial"/>
                <w:sz w:val="14"/>
                <w:szCs w:val="14"/>
                <w:color w:val="auto"/>
                <w:w w:val="94"/>
              </w:rPr>
              <w:t>10-K filed February 26,</w:t>
            </w:r>
          </w:p>
        </w:tc>
        <w:tc>
          <w:tcPr>
            <w:tcW w:w="0" w:type="dxa"/>
            <w:vAlign w:val="bottom"/>
          </w:tcPr>
          <w:p>
            <w:pPr>
              <w:spacing w:after="0"/>
              <w:rPr>
                <w:sz w:val="1"/>
                <w:szCs w:val="1"/>
                <w:color w:val="auto"/>
              </w:rPr>
            </w:pPr>
          </w:p>
        </w:tc>
      </w:tr>
      <w:tr>
        <w:trPr>
          <w:trHeight w:val="133"/>
        </w:trPr>
        <w:tc>
          <w:tcPr>
            <w:tcW w:w="740" w:type="dxa"/>
            <w:vAlign w:val="bottom"/>
          </w:tcPr>
          <w:p>
            <w:pPr>
              <w:spacing w:after="0"/>
              <w:rPr>
                <w:sz w:val="11"/>
                <w:szCs w:val="11"/>
                <w:color w:val="auto"/>
              </w:rPr>
            </w:pPr>
          </w:p>
        </w:tc>
        <w:tc>
          <w:tcPr>
            <w:tcW w:w="5440" w:type="dxa"/>
            <w:vAlign w:val="bottom"/>
            <w:tcBorders>
              <w:top w:val="single" w:sz="8" w:color="0000FF"/>
            </w:tcBorders>
            <w:gridSpan w:val="16"/>
          </w:tcPr>
          <w:p>
            <w:pPr>
              <w:spacing w:after="0" w:line="133" w:lineRule="exact"/>
              <w:rPr>
                <w:rFonts w:ascii="Arial" w:cs="Arial" w:eastAsia="Arial" w:hAnsi="Arial"/>
                <w:sz w:val="14"/>
                <w:szCs w:val="14"/>
                <w:color w:val="0000FF"/>
              </w:rPr>
            </w:pPr>
            <w:hyperlink r:id="rId225">
              <w:r>
                <w:rPr>
                  <w:rFonts w:ascii="Arial" w:cs="Arial" w:eastAsia="Arial" w:hAnsi="Arial"/>
                  <w:sz w:val="14"/>
                  <w:szCs w:val="14"/>
                  <w:color w:val="0000FF"/>
                </w:rPr>
                <w:t>Keren</w:t>
              </w:r>
            </w:hyperlink>
          </w:p>
        </w:tc>
        <w:tc>
          <w:tcPr>
            <w:tcW w:w="120" w:type="dxa"/>
            <w:vAlign w:val="bottom"/>
            <w:gridSpan w:val="4"/>
          </w:tcPr>
          <w:p>
            <w:pPr>
              <w:spacing w:after="0"/>
              <w:rPr>
                <w:sz w:val="11"/>
                <w:szCs w:val="11"/>
                <w:color w:val="auto"/>
              </w:rPr>
            </w:pPr>
          </w:p>
        </w:tc>
        <w:tc>
          <w:tcPr>
            <w:tcW w:w="200" w:type="dxa"/>
            <w:vAlign w:val="bottom"/>
            <w:gridSpan w:val="3"/>
          </w:tcPr>
          <w:p>
            <w:pPr>
              <w:spacing w:after="0"/>
              <w:rPr>
                <w:sz w:val="11"/>
                <w:szCs w:val="11"/>
                <w:color w:val="auto"/>
              </w:rPr>
            </w:pPr>
          </w:p>
        </w:tc>
        <w:tc>
          <w:tcPr>
            <w:tcW w:w="1660" w:type="dxa"/>
            <w:vAlign w:val="bottom"/>
          </w:tcPr>
          <w:p>
            <w:pPr>
              <w:jc w:val="center"/>
              <w:ind w:left="29"/>
              <w:spacing w:after="0" w:line="133" w:lineRule="exact"/>
              <w:rPr>
                <w:sz w:val="20"/>
                <w:szCs w:val="20"/>
                <w:color w:val="auto"/>
              </w:rPr>
            </w:pPr>
            <w:r>
              <w:rPr>
                <w:rFonts w:ascii="Arial" w:cs="Arial" w:eastAsia="Arial" w:hAnsi="Arial"/>
                <w:sz w:val="14"/>
                <w:szCs w:val="14"/>
                <w:color w:val="auto"/>
                <w:w w:val="89"/>
              </w:rPr>
              <w:t>2021</w:t>
            </w:r>
          </w:p>
        </w:tc>
        <w:tc>
          <w:tcPr>
            <w:tcW w:w="0" w:type="dxa"/>
            <w:vAlign w:val="bottom"/>
          </w:tcPr>
          <w:p>
            <w:pPr>
              <w:spacing w:after="0"/>
              <w:rPr>
                <w:sz w:val="1"/>
                <w:szCs w:val="1"/>
                <w:color w:val="auto"/>
              </w:rPr>
            </w:pPr>
          </w:p>
        </w:tc>
      </w:tr>
      <w:tr>
        <w:trPr>
          <w:trHeight w:val="20"/>
        </w:trPr>
        <w:tc>
          <w:tcPr>
            <w:tcW w:w="740" w:type="dxa"/>
            <w:vAlign w:val="bottom"/>
            <w:vMerge w:val="restart"/>
          </w:tcPr>
          <w:p>
            <w:pPr>
              <w:jc w:val="center"/>
              <w:ind w:right="189"/>
              <w:spacing w:after="0"/>
              <w:rPr>
                <w:sz w:val="20"/>
                <w:szCs w:val="20"/>
                <w:color w:val="auto"/>
              </w:rPr>
            </w:pPr>
            <w:r>
              <w:rPr>
                <w:rFonts w:ascii="Arial" w:cs="Arial" w:eastAsia="Arial" w:hAnsi="Arial"/>
                <w:sz w:val="14"/>
                <w:szCs w:val="14"/>
                <w:color w:val="auto"/>
                <w:w w:val="90"/>
              </w:rPr>
              <w:t>+21.1</w:t>
            </w:r>
          </w:p>
        </w:tc>
        <w:tc>
          <w:tcPr>
            <w:tcW w:w="340" w:type="dxa"/>
            <w:vAlign w:val="bottom"/>
            <w:shd w:val="clear" w:color="auto" w:fill="0000FF"/>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40" w:type="dxa"/>
            <w:vAlign w:val="bottom"/>
            <w:vMerge w:val="continue"/>
          </w:tcPr>
          <w:p>
            <w:pPr>
              <w:spacing w:after="0"/>
              <w:rPr>
                <w:sz w:val="15"/>
                <w:szCs w:val="15"/>
                <w:color w:val="auto"/>
              </w:rPr>
            </w:pPr>
          </w:p>
        </w:tc>
        <w:tc>
          <w:tcPr>
            <w:tcW w:w="2560" w:type="dxa"/>
            <w:vAlign w:val="bottom"/>
            <w:tcBorders>
              <w:bottom w:val="single" w:sz="8" w:color="0000FF"/>
            </w:tcBorders>
            <w:gridSpan w:val="6"/>
          </w:tcPr>
          <w:p>
            <w:pPr>
              <w:spacing w:after="0"/>
              <w:rPr>
                <w:rFonts w:ascii="Arial" w:cs="Arial" w:eastAsia="Arial" w:hAnsi="Arial"/>
                <w:sz w:val="14"/>
                <w:szCs w:val="14"/>
                <w:color w:val="0000FF"/>
                <w:w w:val="93"/>
              </w:rPr>
            </w:pPr>
            <w:hyperlink w:anchor="page227">
              <w:r>
                <w:rPr>
                  <w:rFonts w:ascii="Arial" w:cs="Arial" w:eastAsia="Arial" w:hAnsi="Arial"/>
                  <w:sz w:val="14"/>
                  <w:szCs w:val="14"/>
                  <w:color w:val="0000FF"/>
                  <w:w w:val="93"/>
                </w:rPr>
                <w:t>Subsidiaries of ZoomInfo Technologies Inc.</w:t>
              </w:r>
            </w:hyperlink>
          </w:p>
        </w:tc>
        <w:tc>
          <w:tcPr>
            <w:tcW w:w="3200" w:type="dxa"/>
            <w:vAlign w:val="bottom"/>
            <w:gridSpan w:val="17"/>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40" w:type="dxa"/>
            <w:vAlign w:val="bottom"/>
          </w:tcPr>
          <w:p>
            <w:pPr>
              <w:jc w:val="center"/>
              <w:ind w:right="189"/>
              <w:spacing w:after="0"/>
              <w:rPr>
                <w:sz w:val="20"/>
                <w:szCs w:val="20"/>
                <w:color w:val="auto"/>
              </w:rPr>
            </w:pPr>
            <w:r>
              <w:rPr>
                <w:rFonts w:ascii="Arial" w:cs="Arial" w:eastAsia="Arial" w:hAnsi="Arial"/>
                <w:sz w:val="14"/>
                <w:szCs w:val="14"/>
                <w:color w:val="auto"/>
                <w:w w:val="90"/>
              </w:rPr>
              <w:t>+23.1</w:t>
            </w:r>
          </w:p>
        </w:tc>
        <w:tc>
          <w:tcPr>
            <w:tcW w:w="5260" w:type="dxa"/>
            <w:vAlign w:val="bottom"/>
            <w:tcBorders>
              <w:bottom w:val="single" w:sz="8" w:color="0000FF"/>
            </w:tcBorders>
            <w:gridSpan w:val="14"/>
          </w:tcPr>
          <w:p>
            <w:pPr>
              <w:spacing w:after="0"/>
              <w:rPr>
                <w:rFonts w:ascii="Arial" w:cs="Arial" w:eastAsia="Arial" w:hAnsi="Arial"/>
                <w:sz w:val="14"/>
                <w:szCs w:val="14"/>
                <w:color w:val="0000FF"/>
                <w:w w:val="92"/>
              </w:rPr>
            </w:pPr>
            <w:hyperlink w:anchor="page228">
              <w:r>
                <w:rPr>
                  <w:rFonts w:ascii="Arial" w:cs="Arial" w:eastAsia="Arial" w:hAnsi="Arial"/>
                  <w:sz w:val="14"/>
                  <w:szCs w:val="14"/>
                  <w:color w:val="0000FF"/>
                  <w:w w:val="92"/>
                </w:rPr>
                <w:t>Consent of KPMG LLP, Independent Registered Public Accounting Firm, with respect to the</w:t>
              </w:r>
            </w:hyperlink>
          </w:p>
        </w:tc>
        <w:tc>
          <w:tcPr>
            <w:tcW w:w="500" w:type="dxa"/>
            <w:vAlign w:val="bottom"/>
            <w:gridSpan w:val="9"/>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5760" w:type="dxa"/>
            <w:vAlign w:val="bottom"/>
            <w:gridSpan w:val="23"/>
          </w:tcPr>
          <w:p>
            <w:pPr>
              <w:spacing w:after="0" w:line="126" w:lineRule="exact"/>
              <w:rPr>
                <w:rFonts w:ascii="Arial" w:cs="Arial" w:eastAsia="Arial" w:hAnsi="Arial"/>
                <w:sz w:val="14"/>
                <w:szCs w:val="14"/>
                <w:color w:val="0000FF"/>
                <w:w w:val="96"/>
              </w:rPr>
            </w:pPr>
            <w:hyperlink w:anchor="page228">
              <w:r>
                <w:rPr>
                  <w:rFonts w:ascii="Arial" w:cs="Arial" w:eastAsia="Arial" w:hAnsi="Arial"/>
                  <w:sz w:val="14"/>
                  <w:szCs w:val="14"/>
                  <w:color w:val="0000FF"/>
                  <w:w w:val="96"/>
                </w:rPr>
                <w:t>incorporation by reference of KPMG LLP’s audit report into Registration Statements of ZoomInfo</w:t>
              </w:r>
            </w:hyperlink>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40" w:type="dxa"/>
            <w:vAlign w:val="bottom"/>
          </w:tcPr>
          <w:p>
            <w:pPr>
              <w:spacing w:after="0"/>
              <w:rPr>
                <w:sz w:val="10"/>
                <w:szCs w:val="10"/>
                <w:color w:val="auto"/>
              </w:rPr>
            </w:pPr>
          </w:p>
        </w:tc>
        <w:tc>
          <w:tcPr>
            <w:tcW w:w="5560" w:type="dxa"/>
            <w:vAlign w:val="bottom"/>
            <w:tcBorders>
              <w:top w:val="single" w:sz="8" w:color="0000FF"/>
            </w:tcBorders>
            <w:gridSpan w:val="20"/>
          </w:tcPr>
          <w:p>
            <w:pPr>
              <w:spacing w:after="0" w:line="126" w:lineRule="exact"/>
              <w:rPr>
                <w:rFonts w:ascii="Arial" w:cs="Arial" w:eastAsia="Arial" w:hAnsi="Arial"/>
                <w:sz w:val="14"/>
                <w:szCs w:val="14"/>
                <w:color w:val="0000FF"/>
              </w:rPr>
            </w:pPr>
            <w:hyperlink w:anchor="page228">
              <w:r>
                <w:rPr>
                  <w:rFonts w:ascii="Arial" w:cs="Arial" w:eastAsia="Arial" w:hAnsi="Arial"/>
                  <w:sz w:val="14"/>
                  <w:szCs w:val="14"/>
                  <w:color w:val="0000FF"/>
                </w:rPr>
                <w:t>Technologies Inc. on Form S-8 and Form S-3</w:t>
              </w:r>
            </w:hyperlink>
          </w:p>
        </w:tc>
        <w:tc>
          <w:tcPr>
            <w:tcW w:w="200" w:type="dxa"/>
            <w:vAlign w:val="bottom"/>
            <w:gridSpan w:val="3"/>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10.25</w:t>
      </w:r>
    </w:p>
    <w:p>
      <w:pPr>
        <w:spacing w:after="0" w:line="15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10.26</w:t>
      </w:r>
    </w:p>
    <w:p>
      <w:pPr>
        <w:spacing w:after="0" w:line="2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10.27</w:t>
      </w:r>
    </w:p>
    <w:p>
      <w:pPr>
        <w:spacing w:after="0" w:line="2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10.28</w:t>
      </w:r>
    </w:p>
    <w:p>
      <w:pPr>
        <w:spacing w:after="0" w:line="2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10.29</w:t>
      </w:r>
    </w:p>
    <w:p>
      <w:pPr>
        <w:spacing w:after="0" w:line="2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10.30</w:t>
      </w:r>
    </w:p>
    <w:p>
      <w:pPr>
        <w:spacing w:after="0" w:line="210"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10.32</w:t>
      </w:r>
    </w:p>
    <w:p>
      <w:pPr>
        <w:spacing w:after="0" w:line="15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10.33</w:t>
      </w:r>
    </w:p>
    <w:p>
      <w:pPr>
        <w:spacing w:after="0" w:line="157"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10.34</w:t>
      </w:r>
    </w:p>
    <w:p>
      <w:pPr>
        <w:spacing w:after="0" w:line="2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10.35</w:t>
      </w:r>
    </w:p>
    <w:p>
      <w:pPr>
        <w:spacing w:after="0" w:line="25" w:lineRule="exact"/>
        <w:rPr>
          <w:sz w:val="20"/>
          <w:szCs w:val="20"/>
          <w:color w:val="auto"/>
        </w:rPr>
      </w:pPr>
    </w:p>
    <w:p>
      <w:pPr>
        <w:spacing w:after="0"/>
        <w:tabs>
          <w:tab w:leader="none" w:pos="1560" w:val="left"/>
        </w:tabs>
        <w:rPr>
          <w:sz w:val="20"/>
          <w:szCs w:val="20"/>
          <w:color w:val="auto"/>
        </w:rPr>
      </w:pPr>
      <w:r>
        <w:rPr>
          <w:rFonts w:ascii="Arial" w:cs="Arial" w:eastAsia="Arial" w:hAnsi="Arial"/>
          <w:sz w:val="14"/>
          <w:szCs w:val="14"/>
          <w:color w:val="auto"/>
        </w:rPr>
        <w:t>333-236674</w:t>
      </w:r>
      <w:r>
        <w:rPr>
          <w:sz w:val="20"/>
          <w:szCs w:val="20"/>
          <w:color w:val="auto"/>
        </w:rPr>
        <w:tab/>
      </w:r>
      <w:r>
        <w:rPr>
          <w:rFonts w:ascii="Arial" w:cs="Arial" w:eastAsia="Arial" w:hAnsi="Arial"/>
          <w:sz w:val="12"/>
          <w:szCs w:val="12"/>
          <w:color w:val="auto"/>
        </w:rPr>
        <w:t>10.36</w:t>
      </w:r>
    </w:p>
    <w:p>
      <w:pPr>
        <w:spacing w:after="0" w:line="157" w:lineRule="exact"/>
        <w:rPr>
          <w:sz w:val="20"/>
          <w:szCs w:val="20"/>
          <w:color w:val="auto"/>
        </w:rPr>
      </w:pPr>
    </w:p>
    <w:p>
      <w:pPr>
        <w:ind w:left="40"/>
        <w:spacing w:after="0"/>
        <w:tabs>
          <w:tab w:leader="none" w:pos="156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2"/>
          <w:szCs w:val="12"/>
          <w:color w:val="auto"/>
        </w:rPr>
        <w:t>10.20</w:t>
      </w:r>
    </w:p>
    <w:p>
      <w:pPr>
        <w:spacing w:after="0" w:line="157" w:lineRule="exact"/>
        <w:rPr>
          <w:sz w:val="20"/>
          <w:szCs w:val="20"/>
          <w:color w:val="auto"/>
        </w:rPr>
      </w:pPr>
    </w:p>
    <w:p>
      <w:pPr>
        <w:ind w:left="40"/>
        <w:spacing w:after="0"/>
        <w:tabs>
          <w:tab w:leader="none" w:pos="1560" w:val="left"/>
        </w:tabs>
        <w:rPr>
          <w:sz w:val="20"/>
          <w:szCs w:val="20"/>
          <w:color w:val="auto"/>
        </w:rPr>
      </w:pPr>
      <w:r>
        <w:rPr>
          <w:rFonts w:ascii="Arial" w:cs="Arial" w:eastAsia="Arial" w:hAnsi="Arial"/>
          <w:sz w:val="14"/>
          <w:szCs w:val="14"/>
          <w:color w:val="auto"/>
        </w:rPr>
        <w:t>001-39310</w:t>
      </w:r>
      <w:r>
        <w:rPr>
          <w:sz w:val="20"/>
          <w:szCs w:val="20"/>
          <w:color w:val="auto"/>
        </w:rPr>
        <w:tab/>
      </w:r>
      <w:r>
        <w:rPr>
          <w:rFonts w:ascii="Arial" w:cs="Arial" w:eastAsia="Arial" w:hAnsi="Arial"/>
          <w:sz w:val="12"/>
          <w:szCs w:val="12"/>
          <w:color w:val="auto"/>
        </w:rPr>
        <w:t>10.30</w:t>
      </w:r>
    </w:p>
    <w:p>
      <w:pPr>
        <w:sectPr>
          <w:pgSz w:w="11900" w:h="16838" w:orient="portrait"/>
          <w:cols w:equalWidth="0" w:num="2">
            <w:col w:w="8420" w:space="500"/>
            <w:col w:w="1900"/>
          </w:cols>
          <w:pgMar w:left="320" w:top="111" w:right="759" w:bottom="1440" w:gutter="0" w:footer="0" w:header="0"/>
          <w:type w:val="continuous"/>
        </w:sectPr>
      </w:pPr>
    </w:p>
    <w:bookmarkStart w:id="160" w:name="page161"/>
    <w:bookmarkEnd w:id="16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355"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0"/>
              </w:rPr>
              <w:t>+31.1</w:t>
            </w:r>
          </w:p>
        </w:tc>
        <w:tc>
          <w:tcPr>
            <w:tcW w:w="5760" w:type="dxa"/>
            <w:vAlign w:val="bottom"/>
            <w:tcBorders>
              <w:bottom w:val="single" w:sz="8" w:color="0000FF"/>
            </w:tcBorders>
            <w:gridSpan w:val="5"/>
          </w:tcPr>
          <w:p>
            <w:pPr>
              <w:spacing w:after="0"/>
              <w:rPr>
                <w:rFonts w:ascii="Arial" w:cs="Arial" w:eastAsia="Arial" w:hAnsi="Arial"/>
                <w:sz w:val="14"/>
                <w:szCs w:val="14"/>
                <w:color w:val="0000FF"/>
                <w:w w:val="92"/>
              </w:rPr>
            </w:pPr>
            <w:hyperlink w:anchor="page229">
              <w:r>
                <w:rPr>
                  <w:rFonts w:ascii="Arial" w:cs="Arial" w:eastAsia="Arial" w:hAnsi="Arial"/>
                  <w:sz w:val="14"/>
                  <w:szCs w:val="14"/>
                  <w:color w:val="0000FF"/>
                  <w:w w:val="92"/>
                </w:rPr>
                <w:t>Certification of Principal Executive Officer pursuant to Exchange Act Rules 13a-14(a) and 15d-14(a),</w:t>
              </w:r>
            </w:hyperlink>
          </w:p>
        </w:tc>
      </w:tr>
      <w:tr>
        <w:trPr>
          <w:trHeight w:val="126"/>
        </w:trPr>
        <w:tc>
          <w:tcPr>
            <w:tcW w:w="800" w:type="dxa"/>
            <w:vAlign w:val="bottom"/>
          </w:tcPr>
          <w:p>
            <w:pPr>
              <w:spacing w:after="0"/>
              <w:rPr>
                <w:sz w:val="10"/>
                <w:szCs w:val="10"/>
                <w:color w:val="auto"/>
              </w:rPr>
            </w:pPr>
          </w:p>
        </w:tc>
        <w:tc>
          <w:tcPr>
            <w:tcW w:w="4020" w:type="dxa"/>
            <w:vAlign w:val="bottom"/>
            <w:tcBorders>
              <w:bottom w:val="single" w:sz="8" w:color="0000FF"/>
            </w:tcBorders>
          </w:tcPr>
          <w:p>
            <w:pPr>
              <w:spacing w:after="0" w:line="126" w:lineRule="exact"/>
              <w:rPr>
                <w:rFonts w:ascii="Arial" w:cs="Arial" w:eastAsia="Arial" w:hAnsi="Arial"/>
                <w:sz w:val="14"/>
                <w:szCs w:val="14"/>
                <w:color w:val="0000FF"/>
                <w:w w:val="90"/>
              </w:rPr>
            </w:pPr>
            <w:hyperlink w:anchor="page229">
              <w:r>
                <w:rPr>
                  <w:rFonts w:ascii="Arial" w:cs="Arial" w:eastAsia="Arial" w:hAnsi="Arial"/>
                  <w:sz w:val="14"/>
                  <w:szCs w:val="14"/>
                  <w:color w:val="0000FF"/>
                  <w:w w:val="90"/>
                </w:rPr>
                <w:t>as adopted pursuant to Section 302 of the Sarbanes-Oxley Act of 2002.</w:t>
              </w:r>
            </w:hyperlink>
          </w:p>
        </w:tc>
        <w:tc>
          <w:tcPr>
            <w:tcW w:w="1740" w:type="dxa"/>
            <w:vAlign w:val="bottom"/>
            <w:gridSpan w:val="4"/>
          </w:tcPr>
          <w:p>
            <w:pPr>
              <w:spacing w:after="0"/>
              <w:rPr>
                <w:sz w:val="10"/>
                <w:szCs w:val="10"/>
                <w:color w:val="auto"/>
              </w:rPr>
            </w:pPr>
          </w:p>
        </w:tc>
      </w:tr>
      <w:tr>
        <w:trPr>
          <w:trHeight w:val="17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0"/>
              </w:rPr>
              <w:t>+31.2</w:t>
            </w:r>
          </w:p>
        </w:tc>
        <w:tc>
          <w:tcPr>
            <w:tcW w:w="5760" w:type="dxa"/>
            <w:vAlign w:val="bottom"/>
            <w:gridSpan w:val="5"/>
          </w:tcPr>
          <w:p>
            <w:pPr>
              <w:spacing w:after="0"/>
              <w:rPr>
                <w:rFonts w:ascii="Arial" w:cs="Arial" w:eastAsia="Arial" w:hAnsi="Arial"/>
                <w:sz w:val="14"/>
                <w:szCs w:val="14"/>
                <w:color w:val="0000FF"/>
                <w:w w:val="93"/>
              </w:rPr>
            </w:pPr>
            <w:hyperlink w:anchor="page231">
              <w:r>
                <w:rPr>
                  <w:rFonts w:ascii="Arial" w:cs="Arial" w:eastAsia="Arial" w:hAnsi="Arial"/>
                  <w:sz w:val="14"/>
                  <w:szCs w:val="14"/>
                  <w:color w:val="0000FF"/>
                  <w:w w:val="93"/>
                </w:rPr>
                <w:t>Certification of Principal Financial Officer pursuant to Exchange Act Rules 13a-14(a) and 15d-14(a),</w:t>
              </w:r>
            </w:hyperlink>
          </w:p>
        </w:tc>
      </w:tr>
      <w:tr>
        <w:trPr>
          <w:trHeight w:val="126"/>
        </w:trPr>
        <w:tc>
          <w:tcPr>
            <w:tcW w:w="800" w:type="dxa"/>
            <w:vAlign w:val="bottom"/>
          </w:tcPr>
          <w:p>
            <w:pPr>
              <w:spacing w:after="0"/>
              <w:rPr>
                <w:sz w:val="10"/>
                <w:szCs w:val="10"/>
                <w:color w:val="auto"/>
              </w:rPr>
            </w:pPr>
          </w:p>
        </w:tc>
        <w:tc>
          <w:tcPr>
            <w:tcW w:w="4020" w:type="dxa"/>
            <w:vAlign w:val="bottom"/>
            <w:tcBorders>
              <w:top w:val="single" w:sz="8" w:color="0000FF"/>
              <w:bottom w:val="single" w:sz="8" w:color="0000FF"/>
            </w:tcBorders>
          </w:tcPr>
          <w:p>
            <w:pPr>
              <w:spacing w:after="0" w:line="126" w:lineRule="exact"/>
              <w:rPr>
                <w:rFonts w:ascii="Arial" w:cs="Arial" w:eastAsia="Arial" w:hAnsi="Arial"/>
                <w:sz w:val="14"/>
                <w:szCs w:val="14"/>
                <w:color w:val="0000FF"/>
                <w:w w:val="90"/>
              </w:rPr>
            </w:pPr>
            <w:hyperlink w:anchor="page231">
              <w:r>
                <w:rPr>
                  <w:rFonts w:ascii="Arial" w:cs="Arial" w:eastAsia="Arial" w:hAnsi="Arial"/>
                  <w:sz w:val="14"/>
                  <w:szCs w:val="14"/>
                  <w:color w:val="0000FF"/>
                  <w:w w:val="90"/>
                </w:rPr>
                <w:t>as adopted pursuant to Section 302 of the Sarbanes-Oxley Act of 2002.</w:t>
              </w:r>
            </w:hyperlink>
          </w:p>
        </w:tc>
        <w:tc>
          <w:tcPr>
            <w:tcW w:w="1700" w:type="dxa"/>
            <w:vAlign w:val="bottom"/>
            <w:tcBorders>
              <w:top w:val="single" w:sz="8" w:color="0000FF"/>
            </w:tcBorders>
            <w:gridSpan w:val="3"/>
          </w:tcPr>
          <w:p>
            <w:pPr>
              <w:spacing w:after="0"/>
              <w:rPr>
                <w:sz w:val="10"/>
                <w:szCs w:val="10"/>
                <w:color w:val="auto"/>
              </w:rPr>
            </w:pPr>
          </w:p>
        </w:tc>
        <w:tc>
          <w:tcPr>
            <w:tcW w:w="40" w:type="dxa"/>
            <w:vAlign w:val="bottom"/>
          </w:tcPr>
          <w:p>
            <w:pPr>
              <w:spacing w:after="0"/>
              <w:rPr>
                <w:sz w:val="10"/>
                <w:szCs w:val="10"/>
                <w:color w:val="auto"/>
              </w:rPr>
            </w:pPr>
          </w:p>
        </w:tc>
      </w:tr>
      <w:tr>
        <w:trPr>
          <w:trHeight w:val="179"/>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7"/>
              </w:rPr>
              <w:t>+32.1*</w:t>
            </w:r>
          </w:p>
        </w:tc>
        <w:tc>
          <w:tcPr>
            <w:tcW w:w="5760" w:type="dxa"/>
            <w:vAlign w:val="bottom"/>
            <w:gridSpan w:val="5"/>
          </w:tcPr>
          <w:p>
            <w:pPr>
              <w:spacing w:after="0"/>
              <w:rPr>
                <w:rFonts w:ascii="Arial" w:cs="Arial" w:eastAsia="Arial" w:hAnsi="Arial"/>
                <w:sz w:val="14"/>
                <w:szCs w:val="14"/>
                <w:color w:val="0000FF"/>
                <w:w w:val="96"/>
              </w:rPr>
            </w:pPr>
            <w:hyperlink w:anchor="page233">
              <w:r>
                <w:rPr>
                  <w:rFonts w:ascii="Arial" w:cs="Arial" w:eastAsia="Arial" w:hAnsi="Arial"/>
                  <w:sz w:val="14"/>
                  <w:szCs w:val="14"/>
                  <w:color w:val="0000FF"/>
                  <w:w w:val="96"/>
                </w:rPr>
                <w:t>Certifications of Principal Executive Officer and Principal Financial Officer pursuant to 18 U.S.C.</w:t>
              </w:r>
            </w:hyperlink>
          </w:p>
        </w:tc>
      </w:tr>
      <w:tr>
        <w:trPr>
          <w:trHeight w:val="126"/>
        </w:trPr>
        <w:tc>
          <w:tcPr>
            <w:tcW w:w="800" w:type="dxa"/>
            <w:vAlign w:val="bottom"/>
          </w:tcPr>
          <w:p>
            <w:pPr>
              <w:spacing w:after="0"/>
              <w:rPr>
                <w:sz w:val="10"/>
                <w:szCs w:val="10"/>
                <w:color w:val="auto"/>
              </w:rPr>
            </w:pPr>
          </w:p>
        </w:tc>
        <w:tc>
          <w:tcPr>
            <w:tcW w:w="4840" w:type="dxa"/>
            <w:vAlign w:val="bottom"/>
            <w:tcBorders>
              <w:top w:val="single" w:sz="8" w:color="0000FF"/>
              <w:bottom w:val="single" w:sz="8" w:color="0000FF"/>
            </w:tcBorders>
            <w:gridSpan w:val="2"/>
          </w:tcPr>
          <w:p>
            <w:pPr>
              <w:spacing w:after="0" w:line="126" w:lineRule="exact"/>
              <w:rPr>
                <w:rFonts w:ascii="Arial" w:cs="Arial" w:eastAsia="Arial" w:hAnsi="Arial"/>
                <w:sz w:val="14"/>
                <w:szCs w:val="14"/>
                <w:color w:val="0000FF"/>
                <w:w w:val="90"/>
              </w:rPr>
            </w:pPr>
            <w:hyperlink w:anchor="page233">
              <w:r>
                <w:rPr>
                  <w:rFonts w:ascii="Arial" w:cs="Arial" w:eastAsia="Arial" w:hAnsi="Arial"/>
                  <w:sz w:val="14"/>
                  <w:szCs w:val="14"/>
                  <w:color w:val="0000FF"/>
                  <w:w w:val="90"/>
                </w:rPr>
                <w:t>Section 1350, as adopted pursuant to Section 906 of the Sarbanes-Oxley Act of 2002.</w:t>
              </w:r>
            </w:hyperlink>
          </w:p>
        </w:tc>
        <w:tc>
          <w:tcPr>
            <w:tcW w:w="720" w:type="dxa"/>
            <w:vAlign w:val="bottom"/>
            <w:tcBorders>
              <w:top w:val="single" w:sz="8" w:color="0000FF"/>
            </w:tcBorders>
          </w:tcPr>
          <w:p>
            <w:pPr>
              <w:spacing w:after="0"/>
              <w:rPr>
                <w:sz w:val="10"/>
                <w:szCs w:val="10"/>
                <w:color w:val="auto"/>
              </w:rPr>
            </w:pPr>
          </w:p>
        </w:tc>
        <w:tc>
          <w:tcPr>
            <w:tcW w:w="200" w:type="dxa"/>
            <w:vAlign w:val="bottom"/>
            <w:gridSpan w:val="2"/>
          </w:tcPr>
          <w:p>
            <w:pPr>
              <w:spacing w:after="0"/>
              <w:rPr>
                <w:sz w:val="10"/>
                <w:szCs w:val="10"/>
                <w:color w:val="auto"/>
              </w:rPr>
            </w:pPr>
          </w:p>
        </w:tc>
      </w:tr>
      <w:tr>
        <w:trPr>
          <w:trHeight w:val="194"/>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5"/>
              </w:rPr>
              <w:t>+101.INS</w:t>
            </w:r>
          </w:p>
        </w:tc>
        <w:tc>
          <w:tcPr>
            <w:tcW w:w="5760" w:type="dxa"/>
            <w:vAlign w:val="bottom"/>
            <w:gridSpan w:val="5"/>
          </w:tcPr>
          <w:p>
            <w:pPr>
              <w:spacing w:after="0"/>
              <w:rPr>
                <w:sz w:val="20"/>
                <w:szCs w:val="20"/>
                <w:color w:val="auto"/>
              </w:rPr>
            </w:pPr>
            <w:r>
              <w:rPr>
                <w:rFonts w:ascii="Arial" w:cs="Arial" w:eastAsia="Arial" w:hAnsi="Arial"/>
                <w:sz w:val="14"/>
                <w:szCs w:val="14"/>
                <w:color w:val="auto"/>
              </w:rPr>
              <w:t>XBRL Instance Document</w:t>
            </w:r>
          </w:p>
        </w:tc>
      </w:tr>
      <w:tr>
        <w:trPr>
          <w:trHeight w:val="185"/>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2"/>
              </w:rPr>
              <w:t>+101.SCH</w:t>
            </w:r>
          </w:p>
        </w:tc>
        <w:tc>
          <w:tcPr>
            <w:tcW w:w="5760" w:type="dxa"/>
            <w:vAlign w:val="bottom"/>
            <w:gridSpan w:val="5"/>
          </w:tcPr>
          <w:p>
            <w:pPr>
              <w:spacing w:after="0"/>
              <w:rPr>
                <w:sz w:val="20"/>
                <w:szCs w:val="20"/>
                <w:color w:val="auto"/>
              </w:rPr>
            </w:pPr>
            <w:r>
              <w:rPr>
                <w:rFonts w:ascii="Arial" w:cs="Arial" w:eastAsia="Arial" w:hAnsi="Arial"/>
                <w:sz w:val="14"/>
                <w:szCs w:val="14"/>
                <w:color w:val="auto"/>
              </w:rPr>
              <w:t>XBRL Taxonomy Extension Schema Document</w:t>
            </w:r>
          </w:p>
        </w:tc>
      </w:tr>
      <w:tr>
        <w:trPr>
          <w:trHeight w:val="186"/>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5"/>
              </w:rPr>
              <w:t>+101.CAL</w:t>
            </w:r>
          </w:p>
        </w:tc>
        <w:tc>
          <w:tcPr>
            <w:tcW w:w="5760" w:type="dxa"/>
            <w:vAlign w:val="bottom"/>
            <w:gridSpan w:val="5"/>
          </w:tcPr>
          <w:p>
            <w:pPr>
              <w:spacing w:after="0"/>
              <w:rPr>
                <w:sz w:val="20"/>
                <w:szCs w:val="20"/>
                <w:color w:val="auto"/>
              </w:rPr>
            </w:pPr>
            <w:r>
              <w:rPr>
                <w:rFonts w:ascii="Arial" w:cs="Arial" w:eastAsia="Arial" w:hAnsi="Arial"/>
                <w:sz w:val="14"/>
                <w:szCs w:val="14"/>
                <w:color w:val="auto"/>
              </w:rPr>
              <w:t>XBRL Taxonomy Extension Calculation Linkbase Document</w:t>
            </w:r>
          </w:p>
        </w:tc>
      </w:tr>
      <w:tr>
        <w:trPr>
          <w:trHeight w:val="186"/>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4"/>
              </w:rPr>
              <w:t>+101.DEF</w:t>
            </w:r>
          </w:p>
        </w:tc>
        <w:tc>
          <w:tcPr>
            <w:tcW w:w="5760" w:type="dxa"/>
            <w:vAlign w:val="bottom"/>
            <w:gridSpan w:val="5"/>
          </w:tcPr>
          <w:p>
            <w:pPr>
              <w:spacing w:after="0"/>
              <w:rPr>
                <w:sz w:val="20"/>
                <w:szCs w:val="20"/>
                <w:color w:val="auto"/>
              </w:rPr>
            </w:pPr>
            <w:r>
              <w:rPr>
                <w:rFonts w:ascii="Arial" w:cs="Arial" w:eastAsia="Arial" w:hAnsi="Arial"/>
                <w:sz w:val="14"/>
                <w:szCs w:val="14"/>
                <w:color w:val="auto"/>
              </w:rPr>
              <w:t>XBRL Taxonomy Extension Definition Linkbase Document</w:t>
            </w:r>
          </w:p>
        </w:tc>
      </w:tr>
      <w:tr>
        <w:trPr>
          <w:trHeight w:val="185"/>
        </w:trPr>
        <w:tc>
          <w:tcPr>
            <w:tcW w:w="800" w:type="dxa"/>
            <w:vAlign w:val="bottom"/>
          </w:tcPr>
          <w:p>
            <w:pPr>
              <w:jc w:val="center"/>
              <w:ind w:right="129"/>
              <w:spacing w:after="0"/>
              <w:rPr>
                <w:sz w:val="20"/>
                <w:szCs w:val="20"/>
                <w:color w:val="auto"/>
              </w:rPr>
            </w:pPr>
            <w:r>
              <w:rPr>
                <w:rFonts w:ascii="Arial" w:cs="Arial" w:eastAsia="Arial" w:hAnsi="Arial"/>
                <w:sz w:val="14"/>
                <w:szCs w:val="14"/>
                <w:color w:val="auto"/>
                <w:w w:val="96"/>
              </w:rPr>
              <w:t>+101.LAB</w:t>
            </w:r>
          </w:p>
        </w:tc>
        <w:tc>
          <w:tcPr>
            <w:tcW w:w="5760" w:type="dxa"/>
            <w:vAlign w:val="bottom"/>
            <w:gridSpan w:val="5"/>
          </w:tcPr>
          <w:p>
            <w:pPr>
              <w:spacing w:after="0"/>
              <w:rPr>
                <w:sz w:val="20"/>
                <w:szCs w:val="20"/>
                <w:color w:val="auto"/>
              </w:rPr>
            </w:pPr>
            <w:r>
              <w:rPr>
                <w:rFonts w:ascii="Arial" w:cs="Arial" w:eastAsia="Arial" w:hAnsi="Arial"/>
                <w:sz w:val="14"/>
                <w:szCs w:val="14"/>
                <w:color w:val="auto"/>
              </w:rPr>
              <w:t>XBRL Taxonomy Extension Label Linkbase Document</w:t>
            </w:r>
          </w:p>
        </w:tc>
      </w:tr>
      <w:tr>
        <w:trPr>
          <w:trHeight w:val="186"/>
        </w:trPr>
        <w:tc>
          <w:tcPr>
            <w:tcW w:w="800" w:type="dxa"/>
            <w:vAlign w:val="bottom"/>
          </w:tcPr>
          <w:p>
            <w:pPr>
              <w:jc w:val="center"/>
              <w:ind w:right="149"/>
              <w:spacing w:after="0"/>
              <w:rPr>
                <w:sz w:val="20"/>
                <w:szCs w:val="20"/>
                <w:color w:val="auto"/>
              </w:rPr>
            </w:pPr>
            <w:r>
              <w:rPr>
                <w:rFonts w:ascii="Arial" w:cs="Arial" w:eastAsia="Arial" w:hAnsi="Arial"/>
                <w:sz w:val="14"/>
                <w:szCs w:val="14"/>
                <w:color w:val="auto"/>
                <w:w w:val="90"/>
              </w:rPr>
              <w:t>+101.PRE</w:t>
            </w:r>
          </w:p>
        </w:tc>
        <w:tc>
          <w:tcPr>
            <w:tcW w:w="5760" w:type="dxa"/>
            <w:vAlign w:val="bottom"/>
            <w:gridSpan w:val="5"/>
          </w:tcPr>
          <w:p>
            <w:pPr>
              <w:spacing w:after="0"/>
              <w:rPr>
                <w:sz w:val="20"/>
                <w:szCs w:val="20"/>
                <w:color w:val="auto"/>
              </w:rPr>
            </w:pPr>
            <w:r>
              <w:rPr>
                <w:rFonts w:ascii="Arial" w:cs="Arial" w:eastAsia="Arial" w:hAnsi="Arial"/>
                <w:sz w:val="14"/>
                <w:szCs w:val="14"/>
                <w:color w:val="auto"/>
              </w:rPr>
              <w:t>XBRL Taxonomy Extension Presentation Linkbase Document</w:t>
            </w:r>
          </w:p>
        </w:tc>
      </w:tr>
    </w:tbl>
    <w:p>
      <w:pPr>
        <w:spacing w:after="0" w:line="151" w:lineRule="exact"/>
        <w:rPr>
          <w:sz w:val="20"/>
          <w:szCs w:val="20"/>
          <w:color w:val="auto"/>
        </w:rPr>
      </w:pPr>
    </w:p>
    <w:p>
      <w:pPr>
        <w:jc w:val="both"/>
        <w:ind w:firstLine="6"/>
        <w:spacing w:after="0" w:line="251" w:lineRule="auto"/>
        <w:tabs>
          <w:tab w:leader="none" w:pos="109"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certifications attached as Exhibit 32.1 that accompany this Annual Report on Form 10-K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1" w:name="page162"/>
    <w:bookmarkEnd w:id="16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166370</wp:posOffset>
            </wp:positionV>
            <wp:extent cx="716026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162" w:name="page163"/>
    <w:bookmarkEnd w:id="16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0" w:lineRule="exact"/>
        <w:rPr>
          <w:sz w:val="20"/>
          <w:szCs w:val="20"/>
          <w:color w:val="auto"/>
        </w:rPr>
      </w:pPr>
    </w:p>
    <w:p>
      <w:pPr>
        <w:ind w:firstLine="318"/>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the 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February, 2022.</w:t>
      </w:r>
    </w:p>
    <w:p>
      <w:pPr>
        <w:spacing w:after="0" w:line="82"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10795</wp:posOffset>
            </wp:positionV>
            <wp:extent cx="243141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9">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Arial" w:cs="Arial" w:eastAsia="Arial" w:hAnsi="Arial"/>
          <w:sz w:val="18"/>
          <w:szCs w:val="18"/>
          <w:color w:val="auto"/>
        </w:rPr>
        <w:t>Name: Henry Schuck</w:t>
      </w:r>
    </w:p>
    <w:p>
      <w:pPr>
        <w:ind w:left="7440"/>
        <w:spacing w:after="0"/>
        <w:rPr>
          <w:sz w:val="20"/>
          <w:szCs w:val="20"/>
          <w:color w:val="auto"/>
        </w:rPr>
      </w:pPr>
      <w:r>
        <w:rPr>
          <w:rFonts w:ascii="Arial" w:cs="Arial" w:eastAsia="Arial" w:hAnsi="Arial"/>
          <w:sz w:val="18"/>
          <w:szCs w:val="18"/>
          <w:color w:val="auto"/>
        </w:rPr>
        <w:t>Title: Chief Executive Officer</w:t>
      </w:r>
    </w:p>
    <w:p>
      <w:pPr>
        <w:spacing w:after="0" w:line="150"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22" w:right="339" w:bottom="1440" w:gutter="0" w:footer="0" w:header="0"/>
        </w:sectPr>
      </w:pPr>
    </w:p>
    <w:p>
      <w:pPr>
        <w:spacing w:after="0" w:line="157" w:lineRule="exact"/>
        <w:rPr>
          <w:sz w:val="20"/>
          <w:szCs w:val="20"/>
          <w:color w:val="auto"/>
        </w:rPr>
      </w:pPr>
    </w:p>
    <w:p>
      <w:pPr>
        <w:jc w:val="center"/>
        <w:ind w:left="6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2490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68"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Henry Schuck</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Todd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Todd Crockett</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Mitesh Dhruv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Mitesh Dhruv</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Keith Enright</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5">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Ashley Evans</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6">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Mark Mader</w:t>
      </w:r>
    </w:p>
    <w:p>
      <w:pPr>
        <w:spacing w:after="0" w:line="71"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7">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Patrick McCarter</w:t>
      </w:r>
    </w:p>
    <w:p>
      <w:pPr>
        <w:spacing w:after="0" w:line="71"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/s/ Jason Mironov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2490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Jason Mironov</w:t>
      </w:r>
    </w:p>
    <w:p>
      <w:pPr>
        <w:spacing w:after="0" w:line="7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49047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9">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 Randall Winn</w:t>
      </w:r>
    </w:p>
    <w:p>
      <w:pPr>
        <w:spacing w:after="0" w:line="7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24904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Cameron Hyzer</w:t>
      </w:r>
    </w:p>
    <w:p>
      <w:pPr>
        <w:spacing w:after="0" w:line="7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/s/ Sriprasadh Cadambi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2490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Sriprasadh Cadambi</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21590</wp:posOffset>
            </wp:positionV>
            <wp:extent cx="32645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2">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Chairman of the Board of Directors</w:t>
      </w:r>
    </w:p>
    <w:p>
      <w:pPr>
        <w:jc w:val="center"/>
        <w:spacing w:after="0"/>
        <w:rPr>
          <w:sz w:val="20"/>
          <w:szCs w:val="20"/>
          <w:color w:val="auto"/>
        </w:rPr>
      </w:pPr>
      <w:r>
        <w:rPr>
          <w:rFonts w:ascii="Arial" w:cs="Arial" w:eastAsia="Arial" w:hAnsi="Arial"/>
          <w:sz w:val="18"/>
          <w:szCs w:val="18"/>
          <w:color w:val="auto"/>
        </w:rPr>
        <w:t>(principal executive officer)</w:t>
      </w:r>
    </w:p>
    <w:p>
      <w:pPr>
        <w:spacing w:after="0" w:line="216"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Director</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(principal financial officer)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Chief Accounting Officer and Senior Vice President, Finance (principal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21590</wp:posOffset>
            </wp:positionV>
            <wp:extent cx="12617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33020</wp:posOffset>
            </wp:positionV>
            <wp:extent cx="12617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473" w:lineRule="exact"/>
        <w:rPr>
          <w:sz w:val="20"/>
          <w:szCs w:val="20"/>
          <w:color w:val="auto"/>
        </w:rPr>
      </w:pPr>
    </w:p>
    <w:p>
      <w:pPr>
        <w:sectPr>
          <w:pgSz w:w="11900" w:h="16838" w:orient="portrait"/>
          <w:cols w:equalWidth="0" w:num="3">
            <w:col w:w="3340" w:space="720"/>
            <w:col w:w="5060" w:space="480"/>
            <w:col w:w="1640"/>
          </w:cols>
          <w:pgMar w:left="320" w:top="122" w:right="339" w:bottom="1440" w:gutter="0" w:footer="0" w:header="0"/>
          <w:type w:val="continuous"/>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1240"/>
          </w:cols>
          <w:pgMar w:left="320" w:top="122" w:right="339" w:bottom="1440" w:gutter="0" w:footer="0" w:header="0"/>
          <w:type w:val="continuous"/>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340" w:right="180"/>
        <w:spacing w:after="0" w:line="271" w:lineRule="auto"/>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Class A common stock, par value $0.01 per share, is the only class of securities of ZoomInfo Technologies Inc., a Delaware corporation, registered pursuant to Section 12 of the Securities Exchange Act of 1934, as amended (the “Exchange Act”). The Class A common stock is listed on the Nasdaq under the symbol “ZI”. As used in this Exhibit 4.1, unless the context otherwise requires, references to “we,” “us,” “our,” the “Company,” “ZoomInfo” and similar references refer to ZoomInfo Technologies Inc., and not to any of its subsidiaries.</w:t>
      </w:r>
    </w:p>
    <w:p>
      <w:pPr>
        <w:spacing w:after="0" w:line="111"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following description of our Class A common stock is a summary and does not purport to be complete. It is subject to and qualified in its entirety by our amended and restated certificate of incorporation and amended and restated bylaws, each of which is incorporated by reference as an exhibit to the Annual Report on Form 10-K of which this Exhibit 4.1 is a part (the “Annual Report”), and the Delaware General Corporation Law (the “DGCL”). We encourage you to read the amended and restated certificate of incorporation, amended and restated bylaws and the applicable provisions of the DGCL, as well as our stockholders agreement and the registration rights agreement entered into in connection with our initial public offering of our Class A common stock (the “IPO”), both of which are incorporated by reference as exhibits to the Annual Report, for additional information. Capitalized terms used in this Exhibit 4.1 that are not defined herein are defined in the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 of Capital Stock</w:t>
      </w:r>
    </w:p>
    <w:p>
      <w:pPr>
        <w:spacing w:after="0" w:line="183"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Our authorized capital stock consists of 2,500,000,000 shares of Class A common stock, par value $0.01 per share, 500,000,000 shares of Class B common stock, par value $0.01 per share, 300,000,000 shares of Class C common stock, par value $0.01 per share, and 200,000,000 shares of preferred stock, par value $0.01 per share. After the consummation of the Reorganization, there are no issued and outstanding shares of Class B common stock or Class C common stock and we do not intend to issue any shares of Class B common stock or Class C common stock. No shares of preferred stock have been issued or are currently outstanding. Unless our board of directors determines otherwise, we will issue all shares of our capital stock in uncertificated form.</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57" w:lineRule="exact"/>
        <w:rPr>
          <w:sz w:val="20"/>
          <w:szCs w:val="20"/>
          <w:color w:val="auto"/>
        </w:rPr>
      </w:pPr>
    </w:p>
    <w:p>
      <w:pPr>
        <w:jc w:val="both"/>
        <w:ind w:firstLine="318"/>
        <w:spacing w:after="0" w:line="303" w:lineRule="auto"/>
        <w:rPr>
          <w:sz w:val="20"/>
          <w:szCs w:val="20"/>
          <w:color w:val="auto"/>
        </w:rPr>
      </w:pPr>
      <w:r>
        <w:rPr>
          <w:rFonts w:ascii="Arial" w:cs="Arial" w:eastAsia="Arial" w:hAnsi="Arial"/>
          <w:sz w:val="15"/>
          <w:szCs w:val="15"/>
          <w:color w:val="auto"/>
        </w:rPr>
        <w:t>Holders of outstanding shares of our Class A common stock will vote as a single class on all matters on which stockholders are entitled to vote generally, except as otherwise required by law. Delaware law entitles the holders of the outstanding shares of Class A common stock to vote separately as a different class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class vote that the holders of Class A common stock would otherwise have with respect to an amendment to the certificate of incorporation increasing or decreasing the number of shares of Class A common stock the Company is entitled to issue. Thus, subject to any other voting requirements contained in the certificate of incorporation, any amendment to the certificate of incorporation increasing or decreasing the number of shares of Class A common stock that the Company is authorized to issue would require a vote of a majority of the outstanding voting power of all capital stock (including the Class A common stock), voting together as a single class.</w:t>
      </w:r>
    </w:p>
    <w:p>
      <w:pPr>
        <w:spacing w:after="0" w:line="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2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Holders of shares of our Class A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w:t>
      </w:r>
    </w:p>
    <w:p>
      <w:pPr>
        <w:sectPr>
          <w:pgSz w:w="11900" w:h="16838" w:orient="portrait"/>
          <w:cols w:equalWidth="0" w:num="1">
            <w:col w:w="11240"/>
          </w:cols>
          <w:pgMar w:left="320" w:top="121" w:right="339" w:bottom="1440" w:gutter="0" w:footer="0" w:header="0"/>
        </w:sectPr>
      </w:pPr>
    </w:p>
    <w:bookmarkStart w:id="164" w:name="page165"/>
    <w:bookmarkEnd w:id="164"/>
    <w:p>
      <w:pPr>
        <w:jc w:val="both"/>
        <w:ind w:firstLine="318"/>
        <w:spacing w:after="0" w:line="255"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subject to the rights of the holders of one or more outstanding series of preferred stock having liquidation preferences, the holders of shares of our Class A common stock will be entitled to receive pro rata our remaining assets available for distribution.</w:t>
      </w:r>
    </w:p>
    <w:p>
      <w:pPr>
        <w:spacing w:after="0" w:line="12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Class A common stock is not be subject to further calls or assessments by us. Holders of shares of our Class A common stock do not have preemptive, subscription, redemption or conversion rights. There are no redemption or sinking fund provisions applicable to the Class A common stock. The rights, powers, preferences and privileges of holders of our Class A common stock are subject to those of the holders of any shares of our preferred stock or any other series or class of stock we may authorize and issue in the future.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5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the Nasdaq, and subject to the terms of our amended and restated certificate of incorporation, the authorized shares of preferred stock will be available for issuance without further action by holders of our Class A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113" w:lineRule="exact"/>
        <w:rPr>
          <w:sz w:val="20"/>
          <w:szCs w:val="20"/>
          <w:color w:val="auto"/>
        </w:rPr>
      </w:pPr>
    </w:p>
    <w:p>
      <w:pPr>
        <w:ind w:left="620" w:hanging="296"/>
        <w:spacing w:after="0"/>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the designation of the series;</w:t>
      </w:r>
    </w:p>
    <w:p>
      <w:pPr>
        <w:spacing w:after="0" w:line="41" w:lineRule="exact"/>
        <w:rPr>
          <w:rFonts w:ascii="Arial" w:cs="Arial" w:eastAsia="Arial" w:hAnsi="Arial"/>
          <w:sz w:val="23"/>
          <w:szCs w:val="23"/>
          <w:color w:val="auto"/>
        </w:rPr>
      </w:pPr>
    </w:p>
    <w:p>
      <w:pPr>
        <w:ind w:left="640" w:hanging="316"/>
        <w:spacing w:after="0" w:line="259" w:lineRule="auto"/>
        <w:tabs>
          <w:tab w:leader="none" w:pos="635" w:val="left"/>
        </w:tabs>
        <w:numPr>
          <w:ilvl w:val="0"/>
          <w:numId w:val="50"/>
        </w:numPr>
        <w:rPr>
          <w:rFonts w:ascii="Arial" w:cs="Arial" w:eastAsia="Arial" w:hAnsi="Arial"/>
          <w:sz w:val="19"/>
          <w:szCs w:val="19"/>
          <w:color w:val="auto"/>
        </w:rPr>
      </w:pPr>
      <w:r>
        <w:rPr>
          <w:rFonts w:ascii="Arial" w:cs="Arial" w:eastAsia="Arial" w:hAnsi="Arial"/>
          <w:sz w:val="16"/>
          <w:szCs w:val="16"/>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1" w:lineRule="exact"/>
        <w:rPr>
          <w:rFonts w:ascii="Arial" w:cs="Arial" w:eastAsia="Arial" w:hAnsi="Arial"/>
          <w:sz w:val="19"/>
          <w:szCs w:val="19"/>
          <w:color w:val="auto"/>
        </w:rPr>
      </w:pPr>
    </w:p>
    <w:p>
      <w:pPr>
        <w:ind w:left="620" w:hanging="296"/>
        <w:spacing w:after="0" w:line="228" w:lineRule="auto"/>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whether dividends, if any, will be cumulative or non-cumulative and the dividend rate of the series;</w:t>
      </w:r>
    </w:p>
    <w:p>
      <w:pPr>
        <w:spacing w:after="0" w:line="16"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the dates at which dividends, if any, will be payable on shares of such series;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the redemption rights and price or prices, if any, for shares of the series;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42" w:lineRule="exact"/>
        <w:rPr>
          <w:rFonts w:ascii="Arial" w:cs="Arial" w:eastAsia="Arial" w:hAnsi="Arial"/>
          <w:sz w:val="23"/>
          <w:szCs w:val="23"/>
          <w:color w:val="auto"/>
        </w:rPr>
      </w:pPr>
    </w:p>
    <w:p>
      <w:pPr>
        <w:ind w:left="640" w:hanging="316"/>
        <w:spacing w:after="0" w:line="228" w:lineRule="auto"/>
        <w:tabs>
          <w:tab w:leader="none" w:pos="628" w:val="left"/>
        </w:tabs>
        <w:numPr>
          <w:ilvl w:val="0"/>
          <w:numId w:val="50"/>
        </w:numPr>
        <w:rPr>
          <w:rFonts w:ascii="Arial" w:cs="Arial" w:eastAsia="Arial" w:hAnsi="Arial"/>
          <w:sz w:val="23"/>
          <w:szCs w:val="23"/>
          <w:color w:val="auto"/>
        </w:rPr>
      </w:pPr>
      <w:r>
        <w:rPr>
          <w:rFonts w:ascii="Arial" w:cs="Arial" w:eastAsia="Arial" w:hAnsi="Arial"/>
          <w:sz w:val="18"/>
          <w:szCs w:val="18"/>
          <w:color w:val="auto"/>
        </w:rPr>
        <w:t>the amounts payable on shares of the series in the event of any voluntary or involuntary liquidation, dissolution, or winding-up of our affairs or other event;</w:t>
      </w:r>
    </w:p>
    <w:p>
      <w:pPr>
        <w:spacing w:after="0" w:line="29" w:lineRule="exact"/>
        <w:rPr>
          <w:rFonts w:ascii="Arial" w:cs="Arial" w:eastAsia="Arial" w:hAnsi="Arial"/>
          <w:sz w:val="23"/>
          <w:szCs w:val="23"/>
          <w:color w:val="auto"/>
        </w:rPr>
      </w:pPr>
    </w:p>
    <w:p>
      <w:pPr>
        <w:jc w:val="both"/>
        <w:ind w:left="640" w:hanging="316"/>
        <w:spacing w:after="0" w:line="250" w:lineRule="auto"/>
        <w:tabs>
          <w:tab w:leader="none" w:pos="635" w:val="left"/>
        </w:tabs>
        <w:numPr>
          <w:ilvl w:val="0"/>
          <w:numId w:val="50"/>
        </w:numPr>
        <w:rPr>
          <w:rFonts w:ascii="Arial" w:cs="Arial" w:eastAsia="Arial" w:hAnsi="Arial"/>
          <w:sz w:val="20"/>
          <w:szCs w:val="20"/>
          <w:color w:val="auto"/>
        </w:rPr>
      </w:pPr>
      <w:r>
        <w:rPr>
          <w:rFonts w:ascii="Arial" w:cs="Arial" w:eastAsia="Arial" w:hAnsi="Arial"/>
          <w:sz w:val="17"/>
          <w:szCs w:val="17"/>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ind w:left="620" w:hanging="296"/>
        <w:spacing w:after="0" w:line="228" w:lineRule="auto"/>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restrictions on the issuance of shares of the same series or of any other class or series of our capital stock; and</w:t>
      </w:r>
    </w:p>
    <w:p>
      <w:pPr>
        <w:spacing w:after="0" w:line="16"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0"/>
        </w:numPr>
        <w:rPr>
          <w:rFonts w:ascii="Arial" w:cs="Arial" w:eastAsia="Arial" w:hAnsi="Arial"/>
          <w:sz w:val="23"/>
          <w:szCs w:val="23"/>
          <w:color w:val="auto"/>
        </w:rPr>
      </w:pPr>
      <w:r>
        <w:rPr>
          <w:rFonts w:ascii="Arial" w:cs="Arial" w:eastAsia="Arial" w:hAnsi="Arial"/>
          <w:sz w:val="18"/>
          <w:szCs w:val="18"/>
          <w:color w:val="auto"/>
        </w:rPr>
        <w:t>the voting rights, if any, of the holders of the series.</w:t>
      </w:r>
    </w:p>
    <w:p>
      <w:pPr>
        <w:spacing w:after="0" w:line="13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5"/>
          <w:szCs w:val="15"/>
          <w:color w:val="auto"/>
        </w:rPr>
        <w:t>We could issue a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of holders of our Class A common 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ectPr>
          <w:pgSz w:w="11900" w:h="16838" w:orient="portrait"/>
          <w:cols w:equalWidth="0" w:num="1">
            <w:col w:w="11240"/>
          </w:cols>
          <w:pgMar w:left="320" w:top="1399"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Dividends</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equals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w:t>
      </w:r>
    </w:p>
    <w:p>
      <w:pPr>
        <w:spacing w:after="0" w:line="113"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10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3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authorized but unissued shares of common stock and preferred stock are available for future issuance without stockholder approval, subject to any limitations imposed by the listing standards of the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5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amended and restated certificate of incorporation provides that, subject to the rights of holders of any series of preferred stock, our board of directors is divided into three classes of directors, as nearly equal in number as possible, and with the directors serving staggered three-year terms, with only one class of directors being elected at each annual meeting of stockholders. As a result, approximately one-third of our board of directors will be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62" w:lineRule="exact"/>
        <w:rPr>
          <w:sz w:val="20"/>
          <w:szCs w:val="20"/>
          <w:color w:val="auto"/>
        </w:rPr>
      </w:pPr>
    </w:p>
    <w:p>
      <w:pPr>
        <w:ind w:left="640" w:hanging="316"/>
        <w:spacing w:after="0" w:line="228" w:lineRule="auto"/>
        <w:tabs>
          <w:tab w:leader="none" w:pos="628" w:val="left"/>
        </w:tabs>
        <w:numPr>
          <w:ilvl w:val="0"/>
          <w:numId w:val="51"/>
        </w:numPr>
        <w:rPr>
          <w:rFonts w:ascii="Arial" w:cs="Arial" w:eastAsia="Arial" w:hAnsi="Arial"/>
          <w:sz w:val="23"/>
          <w:szCs w:val="23"/>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ectPr>
          <w:pgSz w:w="11900" w:h="16838" w:orient="portrait"/>
          <w:cols w:equalWidth="0" w:num="1">
            <w:col w:w="11240"/>
          </w:cols>
          <w:pgMar w:left="320" w:top="1393" w:right="339" w:bottom="1440" w:gutter="0" w:footer="0" w:header="0"/>
        </w:sectPr>
      </w:pPr>
    </w:p>
    <w:bookmarkStart w:id="166" w:name="page167"/>
    <w:bookmarkEnd w:id="166"/>
    <w:p>
      <w:pPr>
        <w:ind w:left="640" w:hanging="316"/>
        <w:spacing w:after="0" w:line="228" w:lineRule="auto"/>
        <w:tabs>
          <w:tab w:leader="none" w:pos="628" w:val="left"/>
        </w:tabs>
        <w:numPr>
          <w:ilvl w:val="0"/>
          <w:numId w:val="52"/>
        </w:numPr>
        <w:rPr>
          <w:rFonts w:ascii="Arial" w:cs="Arial" w:eastAsia="Arial" w:hAnsi="Arial"/>
          <w:sz w:val="23"/>
          <w:szCs w:val="23"/>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ind w:left="640" w:hanging="316"/>
        <w:spacing w:after="0" w:line="246" w:lineRule="auto"/>
        <w:tabs>
          <w:tab w:leader="none" w:pos="628" w:val="left"/>
        </w:tabs>
        <w:numPr>
          <w:ilvl w:val="0"/>
          <w:numId w:val="52"/>
        </w:numPr>
        <w:rPr>
          <w:rFonts w:ascii="Arial" w:cs="Arial" w:eastAsia="Arial" w:hAnsi="Arial"/>
          <w:sz w:val="23"/>
          <w:szCs w:val="23"/>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66⅔% of our outstanding voting stock that is not owned by the interested stockholder.</w:t>
      </w:r>
    </w:p>
    <w:p>
      <w:pPr>
        <w:spacing w:after="0" w:line="12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11" w:lineRule="exact"/>
        <w:rPr>
          <w:sz w:val="20"/>
          <w:szCs w:val="20"/>
          <w:color w:val="auto"/>
        </w:rPr>
      </w:pPr>
    </w:p>
    <w:p>
      <w:pPr>
        <w:jc w:val="both"/>
        <w:ind w:firstLine="318"/>
        <w:spacing w:after="0" w:line="312" w:lineRule="auto"/>
        <w:rPr>
          <w:sz w:val="20"/>
          <w:szCs w:val="20"/>
          <w:color w:val="auto"/>
        </w:rPr>
      </w:pPr>
      <w:r>
        <w:rPr>
          <w:rFonts w:ascii="Arial" w:cs="Arial" w:eastAsia="Arial" w:hAnsi="Arial"/>
          <w:sz w:val="15"/>
          <w:szCs w:val="15"/>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85" w:lineRule="exact"/>
        <w:rPr>
          <w:sz w:val="20"/>
          <w:szCs w:val="20"/>
          <w:color w:val="auto"/>
        </w:rPr>
      </w:pPr>
    </w:p>
    <w:p>
      <w:pPr>
        <w:jc w:val="both"/>
        <w:ind w:firstLine="318"/>
        <w:spacing w:after="0" w:line="294" w:lineRule="auto"/>
        <w:rPr>
          <w:sz w:val="20"/>
          <w:szCs w:val="20"/>
          <w:color w:val="auto"/>
        </w:rPr>
      </w:pPr>
      <w:r>
        <w:rPr>
          <w:rFonts w:ascii="Arial" w:cs="Arial" w:eastAsia="Arial" w:hAnsi="Arial"/>
          <w:sz w:val="17"/>
          <w:szCs w:val="17"/>
          <w:color w:val="auto"/>
        </w:rPr>
        <w:t>Our amended and restated certificate of incorporation provides that our Sponsors and their affiliates and any of their respective direct or indirect transferees, and any group as to which such persons are a party, do not constitute “interested stockholders” for purposes of this provision.</w:t>
      </w:r>
    </w:p>
    <w:p>
      <w:pPr>
        <w:spacing w:after="0" w:line="9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Removal of Directors; Vacancies and Newly Created Directorships</w:t>
      </w:r>
    </w:p>
    <w:p>
      <w:pPr>
        <w:spacing w:after="0" w:line="138" w:lineRule="exact"/>
        <w:rPr>
          <w:sz w:val="20"/>
          <w:szCs w:val="20"/>
          <w:color w:val="auto"/>
        </w:rPr>
      </w:pPr>
    </w:p>
    <w:p>
      <w:pPr>
        <w:jc w:val="both"/>
        <w:ind w:firstLine="318"/>
        <w:spacing w:after="0" w:line="300" w:lineRule="auto"/>
        <w:rPr>
          <w:sz w:val="20"/>
          <w:szCs w:val="20"/>
          <w:color w:val="auto"/>
        </w:rPr>
      </w:pPr>
      <w:r>
        <w:rPr>
          <w:rFonts w:ascii="Arial" w:cs="Arial" w:eastAsia="Arial" w:hAnsi="Arial"/>
          <w:sz w:val="15"/>
          <w:szCs w:val="15"/>
          <w:color w:val="auto"/>
        </w:rPr>
        <w:t>Under the DGCL, unless otherwise provided in our amended and restated certificate of incorporation, directors serving on a classified board may be removed by the stockholders only for cause. Our amended and restated certificate of incorporation provides that the directors divided into classes may be removed with or without cause upon the affirmative vote of a majority in voting power of all outstanding shares of stock entitled to vote generally in the election of directors, voting together as a single class; provided, however, at any time when the parties to our stockholders agreement collectively beneficially own, in the aggregate, less than 50% of the voting power of all outstanding shares of our stock entitled to vote generally in the election of directors, directors may only be removed for cause, and only upon the affirmative vote of holders of at least 66⅔% of the voting power of all the then outstanding shares of stock entitled to vote generally in the election of directors, voting together as a single class. In addition, our amended and restated certificate of incorporation also provides that, subject to the rights granted to one or more series of preferred stock then outstanding or the rights granted under the stockholders agreement, any newly created directorship on the board of directors that results from an increase in the number of directors and any vacancies on our board of directors will be filled only by the affirmative vote of a majority of the remaining directors, even if less than a quorum, by a sole remaining director or by the stockholders; provided, however, at any time when the parties to our stockholders agreement collectively beneficially own, in the aggregate, less than 50% of voting power of the stock of the Company entitled to vote generally in the election of directors,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w:t>
      </w:r>
    </w:p>
    <w:p>
      <w:pPr>
        <w:spacing w:after="0" w:line="3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5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ectPr>
          <w:pgSz w:w="11900" w:h="16838" w:orient="portrait"/>
          <w:cols w:equalWidth="0" w:num="1">
            <w:col w:w="11240"/>
          </w:cols>
          <w:pgMar w:left="320" w:top="1439" w:right="339" w:bottom="1440" w:gutter="0" w:footer="0" w:header="0"/>
        </w:sectPr>
      </w:pPr>
    </w:p>
    <w:bookmarkStart w:id="167" w:name="page168"/>
    <w:bookmarkEnd w:id="167"/>
    <w:p>
      <w:pPr>
        <w:ind w:left="3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amended and restated certificate of incorporation provides that special meetings of our stockholders may be called at any time only by or at the direction of the board of directors, the chairman of our board or the chief executive officer; provided, however, that at any time when a Sponsor beneficially owns, in the aggregate, at least 20% in voting power of the stock entitled to vote generally in the election of directors, special meetings of our stockholders shall also be called by the board of directors or the chairman of the board of directors at the request of such Sponsor.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Director Nominations and Stockholder Proposals</w:t>
      </w:r>
    </w:p>
    <w:p>
      <w:pPr>
        <w:spacing w:after="0" w:line="15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do not apply to the parties to our stockholders agreement so long as the stockholders agreement remains in effect. Our amended and restated bylaws allow the chairman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38"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writing, unless such action is recommended by all directors then in office, at any time when the parties to our stockholders agreement collectively own, in the aggregate, less than 50% in voting power of our stock entitled to vote generally in the election of directors.</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51"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bylaws without a stockholder vote in any matter not inconsistent with the laws of the State of Delaware or our amended and restated certificate of incorporation. At any time when the parties to our stockholders agreement collectively beneficially own, in the aggregate, less than 50% in voting power of our stock entitled to vote generally in the election of directors, any amendment, alteration, rescission or repeal of our bylaws by our stockholders requires the affirmative vote of the holders of at least 66⅔% in voting power of all the then outstanding shares of stock entitled to vote thereon, voting together as a single class.</w:t>
      </w:r>
    </w:p>
    <w:p>
      <w:pPr>
        <w:spacing w:after="0" w:line="10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 Our amended and restated certificate of incorporation provides that at any time when the parties to our stockholders agreement collectively beneficially own, in the aggregate, less than 50% in voting power of our stock entitled to vote generally in the election of directors, the following provisions in our amended and restated certificate of incorporation may be amended, altered, repealed or</w:t>
      </w:r>
    </w:p>
    <w:p>
      <w:pPr>
        <w:sectPr>
          <w:pgSz w:w="11900" w:h="16838" w:orient="portrait"/>
          <w:cols w:equalWidth="0" w:num="1">
            <w:col w:w="11240"/>
          </w:cols>
          <w:pgMar w:left="320" w:top="1399" w:right="339" w:bottom="1440" w:gutter="0" w:footer="0" w:header="0"/>
        </w:sectPr>
      </w:pPr>
    </w:p>
    <w:bookmarkStart w:id="168" w:name="page169"/>
    <w:bookmarkEnd w:id="168"/>
    <w:p>
      <w:pPr>
        <w:spacing w:after="0" w:line="304" w:lineRule="auto"/>
        <w:rPr>
          <w:sz w:val="20"/>
          <w:szCs w:val="20"/>
          <w:color w:val="auto"/>
        </w:rPr>
      </w:pPr>
      <w:r>
        <w:rPr>
          <w:rFonts w:ascii="Arial" w:cs="Arial" w:eastAsia="Arial" w:hAnsi="Arial"/>
          <w:sz w:val="18"/>
          <w:szCs w:val="18"/>
          <w:color w:val="auto"/>
        </w:rPr>
        <w:t>rescinded only by the affirmative vote of the holders of at least 66⅔% in voting power of all the then outstanding shares of our stock entitled to vote thereon, voting together as a single class:</w:t>
      </w:r>
    </w:p>
    <w:p>
      <w:pPr>
        <w:spacing w:after="0" w:line="85" w:lineRule="exact"/>
        <w:rPr>
          <w:sz w:val="20"/>
          <w:szCs w:val="20"/>
          <w:color w:val="auto"/>
        </w:rPr>
      </w:pPr>
    </w:p>
    <w:p>
      <w:pPr>
        <w:ind w:left="620" w:hanging="296"/>
        <w:spacing w:after="0"/>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 requiring a 66⅔% supermajority vote for stockholders to amend our amended and restated bylaws;</w:t>
      </w:r>
    </w:p>
    <w:p>
      <w:pPr>
        <w:spacing w:after="0" w:line="13" w:lineRule="exact"/>
        <w:rPr>
          <w:rFonts w:ascii="Arial" w:cs="Arial" w:eastAsia="Arial" w:hAnsi="Arial"/>
          <w:sz w:val="23"/>
          <w:szCs w:val="23"/>
          <w:color w:val="auto"/>
        </w:rPr>
      </w:pPr>
    </w:p>
    <w:p>
      <w:pPr>
        <w:ind w:left="620" w:hanging="296"/>
        <w:spacing w:after="0" w:line="222"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providing for a classified board of directors (the election and term of our directors);</w:t>
      </w:r>
    </w:p>
    <w:p>
      <w:pPr>
        <w:spacing w:after="0" w:line="16"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regarding resignation and removal of directors;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regarding competition and corporate opportunities;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regarding entering into business combinations with interested stockholders;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regarding stockholder action by written consent;</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regarding calling special meetings of stockholders;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regarding filling vacancies on our board of directors and newly created directorships;</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provisions eliminating monetary damages for breaches of fiduciary duty by a director;</w:t>
      </w:r>
    </w:p>
    <w:p>
      <w:pPr>
        <w:spacing w:after="0" w:line="17" w:lineRule="exact"/>
        <w:rPr>
          <w:rFonts w:ascii="Arial" w:cs="Arial" w:eastAsia="Arial" w:hAnsi="Arial"/>
          <w:sz w:val="23"/>
          <w:szCs w:val="23"/>
          <w:color w:val="auto"/>
        </w:rPr>
      </w:pPr>
    </w:p>
    <w:p>
      <w:pPr>
        <w:ind w:left="620" w:hanging="296"/>
        <w:spacing w:after="0" w:line="225" w:lineRule="auto"/>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provision regarding forum selection; and</w:t>
      </w:r>
    </w:p>
    <w:p>
      <w:pPr>
        <w:spacing w:after="0" w:line="17" w:lineRule="exact"/>
        <w:rPr>
          <w:rFonts w:ascii="Arial" w:cs="Arial" w:eastAsia="Arial" w:hAnsi="Arial"/>
          <w:sz w:val="23"/>
          <w:szCs w:val="23"/>
          <w:color w:val="auto"/>
        </w:rPr>
      </w:pPr>
    </w:p>
    <w:p>
      <w:pPr>
        <w:ind w:left="620" w:hanging="296"/>
        <w:spacing w:after="0"/>
        <w:tabs>
          <w:tab w:leader="none" w:pos="620" w:val="left"/>
        </w:tabs>
        <w:numPr>
          <w:ilvl w:val="0"/>
          <w:numId w:val="53"/>
        </w:numPr>
        <w:rPr>
          <w:rFonts w:ascii="Arial" w:cs="Arial" w:eastAsia="Arial" w:hAnsi="Arial"/>
          <w:sz w:val="23"/>
          <w:szCs w:val="23"/>
          <w:color w:val="auto"/>
        </w:rPr>
      </w:pPr>
      <w:r>
        <w:rPr>
          <w:rFonts w:ascii="Arial" w:cs="Arial" w:eastAsia="Arial" w:hAnsi="Arial"/>
          <w:sz w:val="18"/>
          <w:szCs w:val="18"/>
          <w:color w:val="auto"/>
        </w:rPr>
        <w:t>the amendment provision requiring that the above provisions be amended only with a 66⅔% supermajority vote.</w:t>
      </w:r>
    </w:p>
    <w:p>
      <w:pPr>
        <w:spacing w:after="0" w:line="1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2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These provisions may have the effect of deterring hostile takeovers or delaying or preventing changes in control of us or our management, such as a merger, reorganization or tender offer. These provisions are intended to enhance the likelihood of continued stability in the composition of our board of directors and its policies and to discourage certain types of transactions that may involve an actual or threatened acquisition of the Company.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ectPr>
          <w:pgSz w:w="11900" w:h="16838" w:orient="portrait"/>
          <w:cols w:equalWidth="0" w:num="1">
            <w:col w:w="11240"/>
          </w:cols>
          <w:pgMar w:left="320" w:top="1365"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ZOOMINFO HOLDINGS LLC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SIXTH AMENDED AND RESTATED LIMITED LIABILITY COMPANY AGREEMENT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as of October 29,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THE UNITS REPRESENTED BY THIS SIXTH AMENDED AND RESTATED LIMITED LIABILITY COMPANY AGREEMENT HAVE NOT BEEN REGISTERED UNDER THE UNITED STATES SECURITIES ACT OF 1933, AS AMENDED, OR UNDER ANY OTHER APPLICABLE SECURITIES LAWS. SUCH UNITS MAY NOT BE SOLD, ASSIGNED, PLEDGED OR OTHERWISE DISPOSED OF AT ANY TIME WITHOUT EFFECTIVE REGISTRATION UNDER SUCH ACT AND LAWS OR EXEMPTION THEREFROM, AND COMPLIANCE WITH THE OTHER SUBSTANTIAL RESTRICTIONS ON TRANSFERABILITY SET FORTH HEREIN.</w:t>
      </w:r>
    </w:p>
    <w:p>
      <w:pPr>
        <w:sectPr>
          <w:pgSz w:w="11900" w:h="16838" w:orient="portrait"/>
          <w:cols w:equalWidth="0" w:num="1">
            <w:col w:w="11240"/>
          </w:cols>
          <w:pgMar w:left="320" w:top="121" w:right="339" w:bottom="1440" w:gutter="0" w:footer="0" w:header="0"/>
        </w:sectPr>
      </w:pPr>
    </w:p>
    <w:bookmarkStart w:id="170" w:name="page171"/>
    <w:bookmarkEnd w:id="170"/>
    <w:p>
      <w:pPr>
        <w:jc w:val="right"/>
        <w:ind w:right="3500"/>
        <w:spacing w:after="0"/>
        <w:rPr>
          <w:sz w:val="20"/>
          <w:szCs w:val="20"/>
          <w:color w:val="auto"/>
        </w:rPr>
      </w:pPr>
      <w:r>
        <w:rPr>
          <w:rFonts w:ascii="Arial" w:cs="Arial" w:eastAsia="Arial" w:hAnsi="Arial"/>
          <w:sz w:val="21"/>
          <w:szCs w:val="21"/>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1"/>
          <w:szCs w:val="21"/>
          <w:color w:val="auto"/>
        </w:rPr>
        <w:t>ARTICLE I DEFINITIONS</w:t>
      </w:r>
    </w:p>
    <w:p>
      <w:pPr>
        <w:spacing w:after="0" w:line="63" w:lineRule="exact"/>
        <w:rPr>
          <w:sz w:val="20"/>
          <w:szCs w:val="20"/>
          <w:color w:val="auto"/>
        </w:rPr>
      </w:pPr>
    </w:p>
    <w:p>
      <w:pPr>
        <w:spacing w:after="0"/>
        <w:rPr>
          <w:sz w:val="20"/>
          <w:szCs w:val="20"/>
          <w:color w:val="auto"/>
        </w:rPr>
      </w:pPr>
      <w:r>
        <w:rPr>
          <w:rFonts w:ascii="Arial" w:cs="Arial" w:eastAsia="Arial" w:hAnsi="Arial"/>
          <w:sz w:val="21"/>
          <w:szCs w:val="21"/>
          <w:color w:val="auto"/>
        </w:rPr>
        <w:t>ARTICLE II ORGANIZATIONAL MATTERS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1000" w:type="dxa"/>
            <w:vAlign w:val="bottom"/>
          </w:tcPr>
          <w:p>
            <w:pPr>
              <w:jc w:val="right"/>
              <w:spacing w:after="0"/>
              <w:rPr>
                <w:sz w:val="20"/>
                <w:szCs w:val="20"/>
                <w:color w:val="auto"/>
              </w:rPr>
            </w:pPr>
            <w:r>
              <w:rPr>
                <w:rFonts w:ascii="Arial" w:cs="Arial" w:eastAsia="Arial" w:hAnsi="Arial"/>
                <w:sz w:val="21"/>
                <w:szCs w:val="21"/>
                <w:color w:val="auto"/>
              </w:rPr>
              <w:t>2.1</w:t>
            </w:r>
          </w:p>
        </w:tc>
        <w:tc>
          <w:tcPr>
            <w:tcW w:w="5060" w:type="dxa"/>
            <w:vAlign w:val="bottom"/>
          </w:tcPr>
          <w:p>
            <w:pPr>
              <w:ind w:left="100"/>
              <w:spacing w:after="0"/>
              <w:rPr>
                <w:sz w:val="20"/>
                <w:szCs w:val="20"/>
                <w:color w:val="auto"/>
              </w:rPr>
            </w:pPr>
            <w:r>
              <w:rPr>
                <w:rFonts w:ascii="Arial" w:cs="Arial" w:eastAsia="Arial" w:hAnsi="Arial"/>
                <w:sz w:val="21"/>
                <w:szCs w:val="21"/>
                <w:color w:val="auto"/>
              </w:rPr>
              <w:t>Formation of Company</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2.2</w:t>
            </w:r>
          </w:p>
        </w:tc>
        <w:tc>
          <w:tcPr>
            <w:tcW w:w="5060" w:type="dxa"/>
            <w:vAlign w:val="bottom"/>
          </w:tcPr>
          <w:p>
            <w:pPr>
              <w:ind w:left="100"/>
              <w:spacing w:after="0"/>
              <w:rPr>
                <w:sz w:val="20"/>
                <w:szCs w:val="20"/>
                <w:color w:val="auto"/>
              </w:rPr>
            </w:pPr>
            <w:r>
              <w:rPr>
                <w:rFonts w:ascii="Arial" w:cs="Arial" w:eastAsia="Arial" w:hAnsi="Arial"/>
                <w:sz w:val="21"/>
                <w:szCs w:val="21"/>
                <w:color w:val="auto"/>
              </w:rPr>
              <w:t>Limited Liability Company Agreement</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2.3</w:t>
            </w:r>
          </w:p>
        </w:tc>
        <w:tc>
          <w:tcPr>
            <w:tcW w:w="5060" w:type="dxa"/>
            <w:vAlign w:val="bottom"/>
          </w:tcPr>
          <w:p>
            <w:pPr>
              <w:ind w:left="100"/>
              <w:spacing w:after="0"/>
              <w:rPr>
                <w:sz w:val="20"/>
                <w:szCs w:val="20"/>
                <w:color w:val="auto"/>
              </w:rPr>
            </w:pPr>
            <w:r>
              <w:rPr>
                <w:rFonts w:ascii="Arial" w:cs="Arial" w:eastAsia="Arial" w:hAnsi="Arial"/>
                <w:sz w:val="21"/>
                <w:szCs w:val="21"/>
                <w:color w:val="auto"/>
              </w:rPr>
              <w:t>Name</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2.4</w:t>
            </w:r>
          </w:p>
        </w:tc>
        <w:tc>
          <w:tcPr>
            <w:tcW w:w="5060" w:type="dxa"/>
            <w:vAlign w:val="bottom"/>
          </w:tcPr>
          <w:p>
            <w:pPr>
              <w:ind w:left="100"/>
              <w:spacing w:after="0"/>
              <w:rPr>
                <w:sz w:val="20"/>
                <w:szCs w:val="20"/>
                <w:color w:val="auto"/>
              </w:rPr>
            </w:pPr>
            <w:r>
              <w:rPr>
                <w:rFonts w:ascii="Arial" w:cs="Arial" w:eastAsia="Arial" w:hAnsi="Arial"/>
                <w:sz w:val="21"/>
                <w:szCs w:val="21"/>
                <w:color w:val="auto"/>
              </w:rPr>
              <w:t>Purpose</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2.5</w:t>
            </w:r>
          </w:p>
        </w:tc>
        <w:tc>
          <w:tcPr>
            <w:tcW w:w="5060" w:type="dxa"/>
            <w:vAlign w:val="bottom"/>
          </w:tcPr>
          <w:p>
            <w:pPr>
              <w:ind w:left="100"/>
              <w:spacing w:after="0"/>
              <w:rPr>
                <w:sz w:val="20"/>
                <w:szCs w:val="20"/>
                <w:color w:val="auto"/>
              </w:rPr>
            </w:pPr>
            <w:r>
              <w:rPr>
                <w:rFonts w:ascii="Arial" w:cs="Arial" w:eastAsia="Arial" w:hAnsi="Arial"/>
                <w:sz w:val="21"/>
                <w:szCs w:val="21"/>
                <w:color w:val="auto"/>
              </w:rPr>
              <w:t>Principal Office; Registered Office</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2.6</w:t>
            </w:r>
          </w:p>
        </w:tc>
        <w:tc>
          <w:tcPr>
            <w:tcW w:w="5060" w:type="dxa"/>
            <w:vAlign w:val="bottom"/>
          </w:tcPr>
          <w:p>
            <w:pPr>
              <w:ind w:left="100"/>
              <w:spacing w:after="0"/>
              <w:rPr>
                <w:sz w:val="20"/>
                <w:szCs w:val="20"/>
                <w:color w:val="auto"/>
              </w:rPr>
            </w:pPr>
            <w:r>
              <w:rPr>
                <w:rFonts w:ascii="Arial" w:cs="Arial" w:eastAsia="Arial" w:hAnsi="Arial"/>
                <w:sz w:val="21"/>
                <w:szCs w:val="21"/>
                <w:color w:val="auto"/>
              </w:rPr>
              <w:t>Term</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2.7</w:t>
            </w:r>
          </w:p>
        </w:tc>
        <w:tc>
          <w:tcPr>
            <w:tcW w:w="5060" w:type="dxa"/>
            <w:vAlign w:val="bottom"/>
          </w:tcPr>
          <w:p>
            <w:pPr>
              <w:ind w:left="100"/>
              <w:spacing w:after="0"/>
              <w:rPr>
                <w:sz w:val="20"/>
                <w:szCs w:val="20"/>
                <w:color w:val="auto"/>
              </w:rPr>
            </w:pPr>
            <w:r>
              <w:rPr>
                <w:rFonts w:ascii="Arial" w:cs="Arial" w:eastAsia="Arial" w:hAnsi="Arial"/>
                <w:sz w:val="21"/>
                <w:szCs w:val="21"/>
                <w:color w:val="auto"/>
              </w:rPr>
              <w:t>No State-Law Partnership</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2.8</w:t>
            </w:r>
          </w:p>
        </w:tc>
        <w:tc>
          <w:tcPr>
            <w:tcW w:w="5060" w:type="dxa"/>
            <w:vAlign w:val="bottom"/>
          </w:tcPr>
          <w:p>
            <w:pPr>
              <w:ind w:left="100"/>
              <w:spacing w:after="0"/>
              <w:rPr>
                <w:sz w:val="20"/>
                <w:szCs w:val="20"/>
                <w:color w:val="auto"/>
              </w:rPr>
            </w:pPr>
            <w:r>
              <w:rPr>
                <w:rFonts w:ascii="Arial" w:cs="Arial" w:eastAsia="Arial" w:hAnsi="Arial"/>
                <w:sz w:val="21"/>
                <w:szCs w:val="21"/>
                <w:color w:val="auto"/>
              </w:rPr>
              <w:t>Tax Treatment</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2.9</w:t>
            </w:r>
          </w:p>
        </w:tc>
        <w:tc>
          <w:tcPr>
            <w:tcW w:w="5060" w:type="dxa"/>
            <w:vAlign w:val="bottom"/>
          </w:tcPr>
          <w:p>
            <w:pPr>
              <w:ind w:left="100"/>
              <w:spacing w:after="0"/>
              <w:rPr>
                <w:sz w:val="20"/>
                <w:szCs w:val="20"/>
                <w:color w:val="auto"/>
              </w:rPr>
            </w:pPr>
            <w:r>
              <w:rPr>
                <w:rFonts w:ascii="Arial" w:cs="Arial" w:eastAsia="Arial" w:hAnsi="Arial"/>
                <w:sz w:val="21"/>
                <w:szCs w:val="21"/>
                <w:color w:val="auto"/>
              </w:rPr>
              <w:t>Prior Agreements</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rPr>
              <w:t>ARTICLE III CAPITALIZATION; CAPITAL CONTRIBUTIONS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3.1</w:t>
            </w:r>
          </w:p>
        </w:tc>
        <w:tc>
          <w:tcPr>
            <w:tcW w:w="5060" w:type="dxa"/>
            <w:vAlign w:val="bottom"/>
          </w:tcPr>
          <w:p>
            <w:pPr>
              <w:ind w:left="80"/>
              <w:spacing w:after="0"/>
              <w:rPr>
                <w:sz w:val="20"/>
                <w:szCs w:val="20"/>
                <w:color w:val="auto"/>
              </w:rPr>
            </w:pPr>
            <w:r>
              <w:rPr>
                <w:rFonts w:ascii="Arial" w:cs="Arial" w:eastAsia="Arial" w:hAnsi="Arial"/>
                <w:sz w:val="21"/>
                <w:szCs w:val="21"/>
                <w:color w:val="auto"/>
              </w:rPr>
              <w:t>Capitalization.</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3.2</w:t>
            </w:r>
          </w:p>
        </w:tc>
        <w:tc>
          <w:tcPr>
            <w:tcW w:w="5060" w:type="dxa"/>
            <w:vAlign w:val="bottom"/>
          </w:tcPr>
          <w:p>
            <w:pPr>
              <w:ind w:left="80"/>
              <w:spacing w:after="0"/>
              <w:rPr>
                <w:sz w:val="20"/>
                <w:szCs w:val="20"/>
                <w:color w:val="auto"/>
              </w:rPr>
            </w:pPr>
            <w:r>
              <w:rPr>
                <w:rFonts w:ascii="Arial" w:cs="Arial" w:eastAsia="Arial" w:hAnsi="Arial"/>
                <w:sz w:val="21"/>
                <w:szCs w:val="21"/>
                <w:color w:val="auto"/>
              </w:rPr>
              <w:t>No Withdrawal</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3.3</w:t>
            </w:r>
          </w:p>
        </w:tc>
        <w:tc>
          <w:tcPr>
            <w:tcW w:w="5060" w:type="dxa"/>
            <w:vAlign w:val="bottom"/>
          </w:tcPr>
          <w:p>
            <w:pPr>
              <w:ind w:left="80"/>
              <w:spacing w:after="0"/>
              <w:rPr>
                <w:sz w:val="20"/>
                <w:szCs w:val="20"/>
                <w:color w:val="auto"/>
              </w:rPr>
            </w:pPr>
            <w:r>
              <w:rPr>
                <w:rFonts w:ascii="Arial" w:cs="Arial" w:eastAsia="Arial" w:hAnsi="Arial"/>
                <w:sz w:val="21"/>
                <w:szCs w:val="21"/>
                <w:color w:val="auto"/>
              </w:rPr>
              <w:t>Loans From Members</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rPr>
              <w:t>ARTICLE IV DISTRIBUTIONS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4.1</w:t>
            </w:r>
          </w:p>
        </w:tc>
        <w:tc>
          <w:tcPr>
            <w:tcW w:w="5060" w:type="dxa"/>
            <w:vAlign w:val="bottom"/>
          </w:tcPr>
          <w:p>
            <w:pPr>
              <w:ind w:left="80"/>
              <w:spacing w:after="0"/>
              <w:rPr>
                <w:sz w:val="20"/>
                <w:szCs w:val="20"/>
                <w:color w:val="auto"/>
              </w:rPr>
            </w:pPr>
            <w:r>
              <w:rPr>
                <w:rFonts w:ascii="Arial" w:cs="Arial" w:eastAsia="Arial" w:hAnsi="Arial"/>
                <w:sz w:val="21"/>
                <w:szCs w:val="21"/>
                <w:color w:val="auto"/>
              </w:rPr>
              <w:t>Distributions.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4.2</w:t>
            </w:r>
          </w:p>
        </w:tc>
        <w:tc>
          <w:tcPr>
            <w:tcW w:w="5060" w:type="dxa"/>
            <w:vAlign w:val="bottom"/>
          </w:tcPr>
          <w:p>
            <w:pPr>
              <w:ind w:left="80"/>
              <w:spacing w:after="0"/>
              <w:rPr>
                <w:sz w:val="20"/>
                <w:szCs w:val="20"/>
                <w:color w:val="auto"/>
              </w:rPr>
            </w:pPr>
            <w:r>
              <w:rPr>
                <w:rFonts w:ascii="Arial" w:cs="Arial" w:eastAsia="Arial" w:hAnsi="Arial"/>
                <w:sz w:val="21"/>
                <w:szCs w:val="21"/>
                <w:color w:val="auto"/>
              </w:rPr>
              <w:t>Withholding Taxes.</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rPr>
              <w:t>ARTICLE V MANAGEMENT</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5.1</w:t>
            </w:r>
          </w:p>
        </w:tc>
        <w:tc>
          <w:tcPr>
            <w:tcW w:w="5060" w:type="dxa"/>
            <w:vAlign w:val="bottom"/>
          </w:tcPr>
          <w:p>
            <w:pPr>
              <w:ind w:left="80"/>
              <w:spacing w:after="0"/>
              <w:rPr>
                <w:sz w:val="20"/>
                <w:szCs w:val="20"/>
                <w:color w:val="auto"/>
              </w:rPr>
            </w:pPr>
            <w:r>
              <w:rPr>
                <w:rFonts w:ascii="Arial" w:cs="Arial" w:eastAsia="Arial" w:hAnsi="Arial"/>
                <w:sz w:val="21"/>
                <w:szCs w:val="21"/>
                <w:color w:val="auto"/>
              </w:rPr>
              <w:t>Authority of the Managing Member</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5.2</w:t>
            </w:r>
          </w:p>
        </w:tc>
        <w:tc>
          <w:tcPr>
            <w:tcW w:w="5060" w:type="dxa"/>
            <w:vAlign w:val="bottom"/>
          </w:tcPr>
          <w:p>
            <w:pPr>
              <w:ind w:left="80"/>
              <w:spacing w:after="0"/>
              <w:rPr>
                <w:sz w:val="20"/>
                <w:szCs w:val="20"/>
                <w:color w:val="auto"/>
              </w:rPr>
            </w:pPr>
            <w:r>
              <w:rPr>
                <w:rFonts w:ascii="Arial" w:cs="Arial" w:eastAsia="Arial" w:hAnsi="Arial"/>
                <w:sz w:val="21"/>
                <w:szCs w:val="21"/>
                <w:color w:val="auto"/>
              </w:rPr>
              <w:t>Actions of the Managing Member</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5.3</w:t>
            </w:r>
          </w:p>
        </w:tc>
        <w:tc>
          <w:tcPr>
            <w:tcW w:w="5060" w:type="dxa"/>
            <w:vAlign w:val="bottom"/>
          </w:tcPr>
          <w:p>
            <w:pPr>
              <w:ind w:left="80"/>
              <w:spacing w:after="0"/>
              <w:rPr>
                <w:sz w:val="20"/>
                <w:szCs w:val="20"/>
                <w:color w:val="auto"/>
              </w:rPr>
            </w:pPr>
            <w:r>
              <w:rPr>
                <w:rFonts w:ascii="Arial" w:cs="Arial" w:eastAsia="Arial" w:hAnsi="Arial"/>
                <w:sz w:val="21"/>
                <w:szCs w:val="21"/>
                <w:color w:val="auto"/>
              </w:rPr>
              <w:t>Compensation; Expenses.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5.4</w:t>
            </w:r>
          </w:p>
        </w:tc>
        <w:tc>
          <w:tcPr>
            <w:tcW w:w="5060" w:type="dxa"/>
            <w:vAlign w:val="bottom"/>
          </w:tcPr>
          <w:p>
            <w:pPr>
              <w:ind w:left="80"/>
              <w:spacing w:after="0"/>
              <w:rPr>
                <w:sz w:val="20"/>
                <w:szCs w:val="20"/>
                <w:color w:val="auto"/>
              </w:rPr>
            </w:pPr>
            <w:r>
              <w:rPr>
                <w:rFonts w:ascii="Arial" w:cs="Arial" w:eastAsia="Arial" w:hAnsi="Arial"/>
                <w:sz w:val="21"/>
                <w:szCs w:val="21"/>
                <w:color w:val="auto"/>
              </w:rPr>
              <w:t>Delegation of Authority</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5.5</w:t>
            </w:r>
          </w:p>
        </w:tc>
        <w:tc>
          <w:tcPr>
            <w:tcW w:w="5060" w:type="dxa"/>
            <w:vAlign w:val="bottom"/>
          </w:tcPr>
          <w:p>
            <w:pPr>
              <w:ind w:left="80"/>
              <w:spacing w:after="0"/>
              <w:rPr>
                <w:sz w:val="20"/>
                <w:szCs w:val="20"/>
                <w:color w:val="auto"/>
              </w:rPr>
            </w:pPr>
            <w:r>
              <w:rPr>
                <w:rFonts w:ascii="Arial" w:cs="Arial" w:eastAsia="Arial" w:hAnsi="Arial"/>
                <w:sz w:val="21"/>
                <w:szCs w:val="21"/>
                <w:color w:val="auto"/>
              </w:rPr>
              <w:t>Limitation of Liability.</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rPr>
              <w:t>ARTICLE VI RIGHTS AND OBLIGATIONS OF MEMBERS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6.1</w:t>
            </w:r>
          </w:p>
        </w:tc>
        <w:tc>
          <w:tcPr>
            <w:tcW w:w="5060" w:type="dxa"/>
            <w:vAlign w:val="bottom"/>
          </w:tcPr>
          <w:p>
            <w:pPr>
              <w:ind w:left="80"/>
              <w:spacing w:after="0"/>
              <w:rPr>
                <w:sz w:val="20"/>
                <w:szCs w:val="20"/>
                <w:color w:val="auto"/>
              </w:rPr>
            </w:pPr>
            <w:r>
              <w:rPr>
                <w:rFonts w:ascii="Arial" w:cs="Arial" w:eastAsia="Arial" w:hAnsi="Arial"/>
                <w:sz w:val="21"/>
                <w:szCs w:val="21"/>
                <w:color w:val="auto"/>
              </w:rPr>
              <w:t>Limitation of Liability</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6.2</w:t>
            </w:r>
          </w:p>
        </w:tc>
        <w:tc>
          <w:tcPr>
            <w:tcW w:w="5060" w:type="dxa"/>
            <w:vAlign w:val="bottom"/>
          </w:tcPr>
          <w:p>
            <w:pPr>
              <w:ind w:left="80"/>
              <w:spacing w:after="0"/>
              <w:rPr>
                <w:sz w:val="20"/>
                <w:szCs w:val="20"/>
                <w:color w:val="auto"/>
              </w:rPr>
            </w:pPr>
            <w:r>
              <w:rPr>
                <w:rFonts w:ascii="Arial" w:cs="Arial" w:eastAsia="Arial" w:hAnsi="Arial"/>
                <w:sz w:val="21"/>
                <w:szCs w:val="21"/>
                <w:color w:val="auto"/>
              </w:rPr>
              <w:t>Lack of Authority</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6.3</w:t>
            </w:r>
          </w:p>
        </w:tc>
        <w:tc>
          <w:tcPr>
            <w:tcW w:w="5060" w:type="dxa"/>
            <w:vAlign w:val="bottom"/>
          </w:tcPr>
          <w:p>
            <w:pPr>
              <w:ind w:left="80"/>
              <w:spacing w:after="0"/>
              <w:rPr>
                <w:sz w:val="20"/>
                <w:szCs w:val="20"/>
                <w:color w:val="auto"/>
              </w:rPr>
            </w:pPr>
            <w:r>
              <w:rPr>
                <w:rFonts w:ascii="Arial" w:cs="Arial" w:eastAsia="Arial" w:hAnsi="Arial"/>
                <w:sz w:val="21"/>
                <w:szCs w:val="21"/>
                <w:color w:val="auto"/>
              </w:rPr>
              <w:t>No Right of Partition</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6.4</w:t>
            </w:r>
          </w:p>
        </w:tc>
        <w:tc>
          <w:tcPr>
            <w:tcW w:w="5060" w:type="dxa"/>
            <w:vAlign w:val="bottom"/>
          </w:tcPr>
          <w:p>
            <w:pPr>
              <w:ind w:left="80"/>
              <w:spacing w:after="0"/>
              <w:rPr>
                <w:sz w:val="20"/>
                <w:szCs w:val="20"/>
                <w:color w:val="auto"/>
              </w:rPr>
            </w:pPr>
            <w:r>
              <w:rPr>
                <w:rFonts w:ascii="Arial" w:cs="Arial" w:eastAsia="Arial" w:hAnsi="Arial"/>
                <w:sz w:val="21"/>
                <w:szCs w:val="21"/>
                <w:color w:val="auto"/>
              </w:rPr>
              <w:t>Indemnification.</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6.5</w:t>
            </w:r>
          </w:p>
        </w:tc>
        <w:tc>
          <w:tcPr>
            <w:tcW w:w="5060" w:type="dxa"/>
            <w:vAlign w:val="bottom"/>
          </w:tcPr>
          <w:p>
            <w:pPr>
              <w:ind w:left="80"/>
              <w:spacing w:after="0"/>
              <w:rPr>
                <w:sz w:val="20"/>
                <w:szCs w:val="20"/>
                <w:color w:val="auto"/>
              </w:rPr>
            </w:pPr>
            <w:r>
              <w:rPr>
                <w:rFonts w:ascii="Arial" w:cs="Arial" w:eastAsia="Arial" w:hAnsi="Arial"/>
                <w:sz w:val="21"/>
                <w:szCs w:val="21"/>
                <w:color w:val="auto"/>
              </w:rPr>
              <w:t>Members Right to Act</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w w:val="96"/>
              </w:rPr>
              <w:t>ARTICLE VII BOOKS, RECORDS, ACCOUNTING AND REPORTS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7.1</w:t>
            </w:r>
          </w:p>
        </w:tc>
        <w:tc>
          <w:tcPr>
            <w:tcW w:w="5060" w:type="dxa"/>
            <w:vAlign w:val="bottom"/>
          </w:tcPr>
          <w:p>
            <w:pPr>
              <w:ind w:left="80"/>
              <w:spacing w:after="0"/>
              <w:rPr>
                <w:sz w:val="20"/>
                <w:szCs w:val="20"/>
                <w:color w:val="auto"/>
              </w:rPr>
            </w:pPr>
            <w:r>
              <w:rPr>
                <w:rFonts w:ascii="Arial" w:cs="Arial" w:eastAsia="Arial" w:hAnsi="Arial"/>
                <w:sz w:val="21"/>
                <w:szCs w:val="21"/>
                <w:color w:val="auto"/>
              </w:rPr>
              <w:t>Records and Accounting</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7.2</w:t>
            </w:r>
          </w:p>
        </w:tc>
        <w:tc>
          <w:tcPr>
            <w:tcW w:w="5060" w:type="dxa"/>
            <w:vAlign w:val="bottom"/>
          </w:tcPr>
          <w:p>
            <w:pPr>
              <w:ind w:left="80"/>
              <w:spacing w:after="0"/>
              <w:rPr>
                <w:sz w:val="20"/>
                <w:szCs w:val="20"/>
                <w:color w:val="auto"/>
              </w:rPr>
            </w:pPr>
            <w:r>
              <w:rPr>
                <w:rFonts w:ascii="Arial" w:cs="Arial" w:eastAsia="Arial" w:hAnsi="Arial"/>
                <w:sz w:val="21"/>
                <w:szCs w:val="21"/>
                <w:color w:val="auto"/>
              </w:rPr>
              <w:t>Fiscal Year</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7.3</w:t>
            </w:r>
          </w:p>
        </w:tc>
        <w:tc>
          <w:tcPr>
            <w:tcW w:w="5060" w:type="dxa"/>
            <w:vAlign w:val="bottom"/>
          </w:tcPr>
          <w:p>
            <w:pPr>
              <w:ind w:left="80"/>
              <w:spacing w:after="0"/>
              <w:rPr>
                <w:sz w:val="20"/>
                <w:szCs w:val="20"/>
                <w:color w:val="auto"/>
              </w:rPr>
            </w:pPr>
            <w:r>
              <w:rPr>
                <w:rFonts w:ascii="Arial" w:cs="Arial" w:eastAsia="Arial" w:hAnsi="Arial"/>
                <w:sz w:val="21"/>
                <w:szCs w:val="21"/>
                <w:color w:val="auto"/>
              </w:rPr>
              <w:t>Reports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7.4</w:t>
            </w:r>
          </w:p>
        </w:tc>
        <w:tc>
          <w:tcPr>
            <w:tcW w:w="5060" w:type="dxa"/>
            <w:vAlign w:val="bottom"/>
          </w:tcPr>
          <w:p>
            <w:pPr>
              <w:ind w:left="80"/>
              <w:spacing w:after="0"/>
              <w:rPr>
                <w:sz w:val="20"/>
                <w:szCs w:val="20"/>
                <w:color w:val="auto"/>
              </w:rPr>
            </w:pPr>
            <w:r>
              <w:rPr>
                <w:rFonts w:ascii="Arial" w:cs="Arial" w:eastAsia="Arial" w:hAnsi="Arial"/>
                <w:sz w:val="21"/>
                <w:szCs w:val="21"/>
                <w:color w:val="auto"/>
              </w:rPr>
              <w:t>Transmission of Communications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7.5</w:t>
            </w:r>
          </w:p>
        </w:tc>
        <w:tc>
          <w:tcPr>
            <w:tcW w:w="5060" w:type="dxa"/>
            <w:vAlign w:val="bottom"/>
          </w:tcPr>
          <w:p>
            <w:pPr>
              <w:ind w:left="80"/>
              <w:spacing w:after="0"/>
              <w:rPr>
                <w:sz w:val="20"/>
                <w:szCs w:val="20"/>
                <w:color w:val="auto"/>
              </w:rPr>
            </w:pPr>
            <w:r>
              <w:rPr>
                <w:rFonts w:ascii="Arial" w:cs="Arial" w:eastAsia="Arial" w:hAnsi="Arial"/>
                <w:sz w:val="21"/>
                <w:szCs w:val="21"/>
                <w:color w:val="auto"/>
              </w:rPr>
              <w:t>Confidentiality</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rPr>
              <w:t>ARTICLE VIII TAX MATTERS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8.1</w:t>
            </w:r>
          </w:p>
        </w:tc>
        <w:tc>
          <w:tcPr>
            <w:tcW w:w="5060" w:type="dxa"/>
            <w:vAlign w:val="bottom"/>
          </w:tcPr>
          <w:p>
            <w:pPr>
              <w:ind w:left="80"/>
              <w:spacing w:after="0"/>
              <w:rPr>
                <w:sz w:val="20"/>
                <w:szCs w:val="20"/>
                <w:color w:val="auto"/>
              </w:rPr>
            </w:pPr>
            <w:r>
              <w:rPr>
                <w:rFonts w:ascii="Arial" w:cs="Arial" w:eastAsia="Arial" w:hAnsi="Arial"/>
                <w:sz w:val="21"/>
                <w:szCs w:val="21"/>
                <w:color w:val="auto"/>
              </w:rPr>
              <w:t>Preparation of Tax Returns</w:t>
            </w:r>
          </w:p>
        </w:tc>
      </w:tr>
      <w:tr>
        <w:trPr>
          <w:trHeight w:val="305"/>
        </w:trPr>
        <w:tc>
          <w:tcPr>
            <w:tcW w:w="6060" w:type="dxa"/>
            <w:vAlign w:val="bottom"/>
            <w:gridSpan w:val="2"/>
          </w:tcPr>
          <w:p>
            <w:pPr>
              <w:spacing w:after="0"/>
              <w:rPr>
                <w:sz w:val="20"/>
                <w:szCs w:val="20"/>
                <w:color w:val="auto"/>
              </w:rPr>
            </w:pPr>
            <w:r>
              <w:rPr>
                <w:rFonts w:ascii="Arial" w:cs="Arial" w:eastAsia="Arial" w:hAnsi="Arial"/>
                <w:sz w:val="21"/>
                <w:szCs w:val="21"/>
                <w:color w:val="auto"/>
              </w:rPr>
              <w:t>ARTICLE IX RESTRICTIONS ON TRANSFER OF UNITS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9.1</w:t>
            </w:r>
          </w:p>
        </w:tc>
        <w:tc>
          <w:tcPr>
            <w:tcW w:w="5060" w:type="dxa"/>
            <w:vAlign w:val="bottom"/>
          </w:tcPr>
          <w:p>
            <w:pPr>
              <w:ind w:left="80"/>
              <w:spacing w:after="0"/>
              <w:rPr>
                <w:sz w:val="20"/>
                <w:szCs w:val="20"/>
                <w:color w:val="auto"/>
              </w:rPr>
            </w:pPr>
            <w:r>
              <w:rPr>
                <w:rFonts w:ascii="Arial" w:cs="Arial" w:eastAsia="Arial" w:hAnsi="Arial"/>
                <w:sz w:val="21"/>
                <w:szCs w:val="21"/>
                <w:color w:val="auto"/>
              </w:rPr>
              <w:t>Transfers of Units.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9.2</w:t>
            </w:r>
          </w:p>
        </w:tc>
        <w:tc>
          <w:tcPr>
            <w:tcW w:w="5060" w:type="dxa"/>
            <w:vAlign w:val="bottom"/>
          </w:tcPr>
          <w:p>
            <w:pPr>
              <w:ind w:left="80"/>
              <w:spacing w:after="0"/>
              <w:rPr>
                <w:sz w:val="20"/>
                <w:szCs w:val="20"/>
                <w:color w:val="auto"/>
              </w:rPr>
            </w:pPr>
            <w:r>
              <w:rPr>
                <w:rFonts w:ascii="Arial" w:cs="Arial" w:eastAsia="Arial" w:hAnsi="Arial"/>
                <w:sz w:val="21"/>
                <w:szCs w:val="21"/>
                <w:color w:val="auto"/>
              </w:rPr>
              <w:t>Restricted Units Legend.</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9.3</w:t>
            </w:r>
          </w:p>
        </w:tc>
        <w:tc>
          <w:tcPr>
            <w:tcW w:w="5060" w:type="dxa"/>
            <w:vAlign w:val="bottom"/>
          </w:tcPr>
          <w:p>
            <w:pPr>
              <w:ind w:left="80"/>
              <w:spacing w:after="0"/>
              <w:rPr>
                <w:sz w:val="20"/>
                <w:szCs w:val="20"/>
                <w:color w:val="auto"/>
              </w:rPr>
            </w:pPr>
            <w:r>
              <w:rPr>
                <w:rFonts w:ascii="Arial" w:cs="Arial" w:eastAsia="Arial" w:hAnsi="Arial"/>
                <w:sz w:val="21"/>
                <w:szCs w:val="21"/>
                <w:color w:val="auto"/>
              </w:rPr>
              <w:t>Assignee’s Rights.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9.4</w:t>
            </w:r>
          </w:p>
        </w:tc>
        <w:tc>
          <w:tcPr>
            <w:tcW w:w="5060" w:type="dxa"/>
            <w:vAlign w:val="bottom"/>
          </w:tcPr>
          <w:p>
            <w:pPr>
              <w:ind w:left="80"/>
              <w:spacing w:after="0"/>
              <w:rPr>
                <w:sz w:val="20"/>
                <w:szCs w:val="20"/>
                <w:color w:val="auto"/>
              </w:rPr>
            </w:pPr>
            <w:r>
              <w:rPr>
                <w:rFonts w:ascii="Arial" w:cs="Arial" w:eastAsia="Arial" w:hAnsi="Arial"/>
                <w:sz w:val="21"/>
                <w:szCs w:val="21"/>
                <w:color w:val="auto"/>
              </w:rPr>
              <w:t>Assignor’s Rights and Obligations</w:t>
            </w:r>
          </w:p>
        </w:tc>
      </w:tr>
      <w:tr>
        <w:trPr>
          <w:trHeight w:val="305"/>
        </w:trPr>
        <w:tc>
          <w:tcPr>
            <w:tcW w:w="1000" w:type="dxa"/>
            <w:vAlign w:val="bottom"/>
          </w:tcPr>
          <w:p>
            <w:pPr>
              <w:jc w:val="right"/>
              <w:spacing w:after="0"/>
              <w:rPr>
                <w:sz w:val="20"/>
                <w:szCs w:val="20"/>
                <w:color w:val="auto"/>
              </w:rPr>
            </w:pPr>
            <w:r>
              <w:rPr>
                <w:rFonts w:ascii="Arial" w:cs="Arial" w:eastAsia="Arial" w:hAnsi="Arial"/>
                <w:sz w:val="21"/>
                <w:szCs w:val="21"/>
                <w:color w:val="auto"/>
              </w:rPr>
              <w:t>9.5</w:t>
            </w:r>
          </w:p>
        </w:tc>
        <w:tc>
          <w:tcPr>
            <w:tcW w:w="5060" w:type="dxa"/>
            <w:vAlign w:val="bottom"/>
          </w:tcPr>
          <w:p>
            <w:pPr>
              <w:ind w:left="80"/>
              <w:spacing w:after="0"/>
              <w:rPr>
                <w:sz w:val="20"/>
                <w:szCs w:val="20"/>
                <w:color w:val="auto"/>
              </w:rPr>
            </w:pPr>
            <w:r>
              <w:rPr>
                <w:rFonts w:ascii="Arial" w:cs="Arial" w:eastAsia="Arial" w:hAnsi="Arial"/>
                <w:sz w:val="21"/>
                <w:szCs w:val="21"/>
                <w:color w:val="auto"/>
              </w:rPr>
              <w:t>Encumbrances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Page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8</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8</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9"/>
          <w:szCs w:val="19"/>
          <w:color w:val="auto"/>
        </w:rPr>
        <w:t>9</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12</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12</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13</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13</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15</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21</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21</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22</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22</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23</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23</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24</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24</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25</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25</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25</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26</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27</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27</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27</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27</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27</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28</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29</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29</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30</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30</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32</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33</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33</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34</w:t>
      </w:r>
    </w:p>
    <w:p>
      <w:pPr>
        <w:sectPr>
          <w:pgSz w:w="11900" w:h="16838" w:orient="portrait"/>
          <w:cols w:equalWidth="0" w:num="2">
            <w:col w:w="9840" w:space="720"/>
            <w:col w:w="400"/>
          </w:cols>
          <w:pgMar w:left="400" w:top="1371" w:right="539" w:bottom="501" w:gutter="0" w:footer="0" w:header="0"/>
        </w:sectPr>
      </w:pPr>
    </w:p>
    <w:bookmarkStart w:id="171" w:name="page172"/>
    <w:bookmarkEnd w:id="171"/>
    <w:p>
      <w:pPr>
        <w:jc w:val="center"/>
        <w:ind w:right="-200"/>
        <w:spacing w:after="0"/>
        <w:rPr>
          <w:sz w:val="20"/>
          <w:szCs w:val="20"/>
          <w:color w:val="auto"/>
        </w:rPr>
      </w:pPr>
      <w:r>
        <w:rPr>
          <w:rFonts w:ascii="Arial" w:cs="Arial" w:eastAsia="Arial" w:hAnsi="Arial"/>
          <w:sz w:val="21"/>
          <w:szCs w:val="21"/>
          <w:color w:val="auto"/>
        </w:rPr>
        <w:t>i</w:t>
      </w:r>
    </w:p>
    <w:p>
      <w:pPr>
        <w:sectPr>
          <w:pgSz w:w="11900" w:h="16838" w:orient="portrait"/>
          <w:cols w:equalWidth="0" w:num="1">
            <w:col w:w="9019"/>
          </w:cols>
          <w:pgMar w:left="1440" w:top="330" w:right="1440" w:bottom="1440" w:gutter="0" w:footer="0" w:header="0"/>
        </w:sectPr>
      </w:pPr>
    </w:p>
    <w:bookmarkStart w:id="172" w:name="page173"/>
    <w:bookmarkEnd w:id="172"/>
    <w:p>
      <w:pPr>
        <w:spacing w:after="0" w:line="17"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21"/>
          <w:szCs w:val="21"/>
          <w:color w:val="auto"/>
        </w:rPr>
        <w:t>9.6</w:t>
      </w:r>
      <w:r>
        <w:rPr>
          <w:sz w:val="20"/>
          <w:szCs w:val="20"/>
          <w:color w:val="auto"/>
        </w:rPr>
        <w:tab/>
      </w:r>
      <w:r>
        <w:rPr>
          <w:rFonts w:ascii="Arial" w:cs="Arial" w:eastAsia="Arial" w:hAnsi="Arial"/>
          <w:sz w:val="19"/>
          <w:szCs w:val="19"/>
          <w:color w:val="auto"/>
        </w:rPr>
        <w:t>Further Restrictions.</w:t>
      </w:r>
    </w:p>
    <w:p>
      <w:pPr>
        <w:spacing w:after="0" w:line="63"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21"/>
          <w:szCs w:val="21"/>
          <w:color w:val="auto"/>
        </w:rPr>
        <w:t>9.7</w:t>
      </w:r>
      <w:r>
        <w:rPr>
          <w:sz w:val="20"/>
          <w:szCs w:val="20"/>
          <w:color w:val="auto"/>
        </w:rPr>
        <w:tab/>
      </w:r>
      <w:r>
        <w:rPr>
          <w:rFonts w:ascii="Arial" w:cs="Arial" w:eastAsia="Arial" w:hAnsi="Arial"/>
          <w:sz w:val="19"/>
          <w:szCs w:val="19"/>
          <w:color w:val="auto"/>
        </w:rPr>
        <w:t>Counterparts; Joinder</w:t>
      </w:r>
    </w:p>
    <w:p>
      <w:pPr>
        <w:spacing w:after="0" w:line="63" w:lineRule="exact"/>
        <w:rPr>
          <w:sz w:val="20"/>
          <w:szCs w:val="20"/>
          <w:color w:val="auto"/>
        </w:rPr>
      </w:pPr>
    </w:p>
    <w:p>
      <w:pPr>
        <w:ind w:left="700"/>
        <w:spacing w:after="0"/>
        <w:tabs>
          <w:tab w:leader="none" w:pos="1140" w:val="left"/>
        </w:tabs>
        <w:rPr>
          <w:sz w:val="20"/>
          <w:szCs w:val="20"/>
          <w:color w:val="auto"/>
        </w:rPr>
      </w:pPr>
      <w:r>
        <w:rPr>
          <w:rFonts w:ascii="Arial" w:cs="Arial" w:eastAsia="Arial" w:hAnsi="Arial"/>
          <w:sz w:val="21"/>
          <w:szCs w:val="21"/>
          <w:color w:val="auto"/>
        </w:rPr>
        <w:t>9.8</w:t>
      </w:r>
      <w:r>
        <w:rPr>
          <w:sz w:val="20"/>
          <w:szCs w:val="20"/>
          <w:color w:val="auto"/>
        </w:rPr>
        <w:tab/>
      </w:r>
      <w:r>
        <w:rPr>
          <w:rFonts w:ascii="Arial" w:cs="Arial" w:eastAsia="Arial" w:hAnsi="Arial"/>
          <w:sz w:val="19"/>
          <w:szCs w:val="19"/>
          <w:color w:val="auto"/>
        </w:rPr>
        <w:t>Ineffective Transfer</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21"/>
          <w:szCs w:val="21"/>
          <w:color w:val="auto"/>
        </w:rPr>
        <w:t>ARTICLE X ADMISSION OF MEMBERS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19"/>
          <w:szCs w:val="19"/>
          <w:color w:val="auto"/>
        </w:rPr>
        <w:t>Substituted Members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19"/>
          <w:szCs w:val="19"/>
          <w:color w:val="auto"/>
        </w:rPr>
        <w:t>Additional Members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10.3</w:t>
      </w:r>
      <w:r>
        <w:rPr>
          <w:sz w:val="20"/>
          <w:szCs w:val="20"/>
          <w:color w:val="auto"/>
        </w:rPr>
        <w:tab/>
      </w:r>
      <w:r>
        <w:rPr>
          <w:rFonts w:ascii="Arial" w:cs="Arial" w:eastAsia="Arial" w:hAnsi="Arial"/>
          <w:sz w:val="19"/>
          <w:szCs w:val="19"/>
          <w:color w:val="auto"/>
        </w:rPr>
        <w:t>Additional Managing Member</w:t>
      </w:r>
    </w:p>
    <w:p>
      <w:pPr>
        <w:spacing w:after="0" w:line="63" w:lineRule="exact"/>
        <w:rPr>
          <w:sz w:val="20"/>
          <w:szCs w:val="20"/>
          <w:color w:val="auto"/>
        </w:rPr>
      </w:pPr>
    </w:p>
    <w:p>
      <w:pPr>
        <w:ind w:left="80" w:right="3860"/>
        <w:spacing w:after="0" w:line="302" w:lineRule="auto"/>
        <w:rPr>
          <w:sz w:val="20"/>
          <w:szCs w:val="20"/>
          <w:color w:val="auto"/>
        </w:rPr>
      </w:pPr>
      <w:r>
        <w:rPr>
          <w:rFonts w:ascii="Arial" w:cs="Arial" w:eastAsia="Arial" w:hAnsi="Arial"/>
          <w:sz w:val="21"/>
          <w:szCs w:val="21"/>
          <w:color w:val="auto"/>
        </w:rPr>
        <w:t>ARTICLE XI WITHDRAWAL AND RESIGNATION OF MEMBERS ARTICLE XII DISSOLUTION AND LIQUIDATION</w:t>
      </w:r>
    </w:p>
    <w:p>
      <w:pPr>
        <w:spacing w:after="0" w:line="2"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20"/>
          <w:szCs w:val="20"/>
          <w:color w:val="auto"/>
        </w:rPr>
        <w:t>Dissolution</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9"/>
          <w:szCs w:val="19"/>
          <w:color w:val="auto"/>
        </w:rPr>
        <w:t>Winding Up and Termination</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12.3</w:t>
      </w:r>
      <w:r>
        <w:rPr>
          <w:sz w:val="20"/>
          <w:szCs w:val="20"/>
          <w:color w:val="auto"/>
        </w:rPr>
        <w:tab/>
      </w:r>
      <w:r>
        <w:rPr>
          <w:rFonts w:ascii="Arial" w:cs="Arial" w:eastAsia="Arial" w:hAnsi="Arial"/>
          <w:sz w:val="20"/>
          <w:szCs w:val="20"/>
          <w:color w:val="auto"/>
        </w:rPr>
        <w:t>Deferment; Distribution in Kind</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color w:val="auto"/>
        </w:rPr>
        <w:t>Cancellation of Certificate</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9"/>
          <w:szCs w:val="19"/>
          <w:color w:val="auto"/>
        </w:rPr>
        <w:t>Reasonable Time for Winding Up</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12.6</w:t>
      </w:r>
      <w:r>
        <w:rPr>
          <w:sz w:val="20"/>
          <w:szCs w:val="20"/>
          <w:color w:val="auto"/>
        </w:rPr>
        <w:tab/>
      </w:r>
      <w:r>
        <w:rPr>
          <w:rFonts w:ascii="Arial" w:cs="Arial" w:eastAsia="Arial" w:hAnsi="Arial"/>
          <w:sz w:val="19"/>
          <w:szCs w:val="19"/>
          <w:color w:val="auto"/>
        </w:rPr>
        <w:t>Return of Capital</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21"/>
          <w:szCs w:val="21"/>
          <w:color w:val="auto"/>
        </w:rPr>
        <w:t>ARTICLE XIII VALUATION</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13.1</w:t>
      </w:r>
      <w:r>
        <w:rPr>
          <w:sz w:val="20"/>
          <w:szCs w:val="20"/>
          <w:color w:val="auto"/>
        </w:rPr>
        <w:tab/>
      </w:r>
      <w:r>
        <w:rPr>
          <w:rFonts w:ascii="Arial" w:cs="Arial" w:eastAsia="Arial" w:hAnsi="Arial"/>
          <w:sz w:val="18"/>
          <w:szCs w:val="18"/>
          <w:color w:val="auto"/>
        </w:rPr>
        <w:t>Value</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13.2</w:t>
      </w:r>
      <w:r>
        <w:rPr>
          <w:sz w:val="20"/>
          <w:szCs w:val="20"/>
          <w:color w:val="auto"/>
        </w:rPr>
        <w:tab/>
      </w:r>
      <w:r>
        <w:rPr>
          <w:rFonts w:ascii="Arial" w:cs="Arial" w:eastAsia="Arial" w:hAnsi="Arial"/>
          <w:sz w:val="19"/>
          <w:szCs w:val="19"/>
          <w:color w:val="auto"/>
        </w:rPr>
        <w:t>Determination and Dispute</w:t>
      </w:r>
    </w:p>
    <w:p>
      <w:pPr>
        <w:spacing w:after="0" w:line="63" w:lineRule="exact"/>
        <w:rPr>
          <w:sz w:val="20"/>
          <w:szCs w:val="20"/>
          <w:color w:val="auto"/>
        </w:rPr>
      </w:pPr>
    </w:p>
    <w:p>
      <w:pPr>
        <w:ind w:left="80"/>
        <w:spacing w:after="0"/>
        <w:rPr>
          <w:sz w:val="20"/>
          <w:szCs w:val="20"/>
          <w:color w:val="auto"/>
        </w:rPr>
      </w:pPr>
      <w:r>
        <w:rPr>
          <w:rFonts w:ascii="Arial" w:cs="Arial" w:eastAsia="Arial" w:hAnsi="Arial"/>
          <w:sz w:val="21"/>
          <w:szCs w:val="21"/>
          <w:color w:val="auto"/>
        </w:rPr>
        <w:t>ARTICLE XIV GENERAL PROVISIONS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14.1</w:t>
      </w:r>
      <w:r>
        <w:rPr>
          <w:sz w:val="20"/>
          <w:szCs w:val="20"/>
          <w:color w:val="auto"/>
        </w:rPr>
        <w:tab/>
      </w:r>
      <w:r>
        <w:rPr>
          <w:rFonts w:ascii="Arial" w:cs="Arial" w:eastAsia="Arial" w:hAnsi="Arial"/>
          <w:sz w:val="19"/>
          <w:szCs w:val="19"/>
          <w:color w:val="auto"/>
        </w:rPr>
        <w:t>Power of Attorney</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14.2</w:t>
      </w:r>
      <w:r>
        <w:rPr>
          <w:sz w:val="20"/>
          <w:szCs w:val="20"/>
          <w:color w:val="auto"/>
        </w:rPr>
        <w:tab/>
      </w:r>
      <w:r>
        <w:rPr>
          <w:rFonts w:ascii="Arial" w:cs="Arial" w:eastAsia="Arial" w:hAnsi="Arial"/>
          <w:sz w:val="19"/>
          <w:szCs w:val="19"/>
          <w:color w:val="auto"/>
        </w:rPr>
        <w:t>Amendments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14.3</w:t>
      </w:r>
      <w:r>
        <w:rPr>
          <w:sz w:val="20"/>
          <w:szCs w:val="20"/>
          <w:color w:val="auto"/>
        </w:rPr>
        <w:tab/>
      </w:r>
      <w:r>
        <w:rPr>
          <w:rFonts w:ascii="Arial" w:cs="Arial" w:eastAsia="Arial" w:hAnsi="Arial"/>
          <w:sz w:val="19"/>
          <w:szCs w:val="19"/>
          <w:color w:val="auto"/>
        </w:rPr>
        <w:t>Title to Company Assets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14.4</w:t>
      </w:r>
      <w:r>
        <w:rPr>
          <w:sz w:val="20"/>
          <w:szCs w:val="20"/>
          <w:color w:val="auto"/>
        </w:rPr>
        <w:tab/>
      </w:r>
      <w:r>
        <w:rPr>
          <w:rFonts w:ascii="Arial" w:cs="Arial" w:eastAsia="Arial" w:hAnsi="Arial"/>
          <w:sz w:val="18"/>
          <w:szCs w:val="18"/>
          <w:color w:val="auto"/>
        </w:rPr>
        <w:t>Addresses and Notices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14.5</w:t>
      </w:r>
      <w:r>
        <w:rPr>
          <w:sz w:val="20"/>
          <w:szCs w:val="20"/>
          <w:color w:val="auto"/>
        </w:rPr>
        <w:tab/>
      </w:r>
      <w:r>
        <w:rPr>
          <w:rFonts w:ascii="Arial" w:cs="Arial" w:eastAsia="Arial" w:hAnsi="Arial"/>
          <w:sz w:val="20"/>
          <w:szCs w:val="20"/>
          <w:color w:val="auto"/>
        </w:rPr>
        <w:t>Binding Effect</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14.6</w:t>
      </w:r>
      <w:r>
        <w:rPr>
          <w:sz w:val="20"/>
          <w:szCs w:val="20"/>
          <w:color w:val="auto"/>
        </w:rPr>
        <w:tab/>
      </w:r>
      <w:r>
        <w:rPr>
          <w:rFonts w:ascii="Arial" w:cs="Arial" w:eastAsia="Arial" w:hAnsi="Arial"/>
          <w:sz w:val="19"/>
          <w:szCs w:val="19"/>
          <w:color w:val="auto"/>
        </w:rPr>
        <w:t>Creditors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14.7</w:t>
      </w:r>
      <w:r>
        <w:rPr>
          <w:sz w:val="20"/>
          <w:szCs w:val="20"/>
          <w:color w:val="auto"/>
        </w:rPr>
        <w:tab/>
      </w:r>
      <w:r>
        <w:rPr>
          <w:rFonts w:ascii="Arial" w:cs="Arial" w:eastAsia="Arial" w:hAnsi="Arial"/>
          <w:sz w:val="19"/>
          <w:szCs w:val="19"/>
          <w:color w:val="auto"/>
        </w:rPr>
        <w:t>Waiver</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14.8</w:t>
      </w:r>
      <w:r>
        <w:rPr>
          <w:sz w:val="20"/>
          <w:szCs w:val="20"/>
          <w:color w:val="auto"/>
        </w:rPr>
        <w:tab/>
      </w:r>
      <w:r>
        <w:rPr>
          <w:rFonts w:ascii="Arial" w:cs="Arial" w:eastAsia="Arial" w:hAnsi="Arial"/>
          <w:sz w:val="18"/>
          <w:szCs w:val="18"/>
          <w:color w:val="auto"/>
        </w:rPr>
        <w:t>Counterparts</w:t>
      </w:r>
    </w:p>
    <w:p>
      <w:pPr>
        <w:spacing w:after="0" w:line="63" w:lineRule="exact"/>
        <w:rPr>
          <w:sz w:val="20"/>
          <w:szCs w:val="20"/>
          <w:color w:val="auto"/>
        </w:rPr>
      </w:pPr>
    </w:p>
    <w:p>
      <w:pPr>
        <w:ind w:left="700"/>
        <w:spacing w:after="0"/>
        <w:tabs>
          <w:tab w:leader="none" w:pos="1260" w:val="left"/>
        </w:tabs>
        <w:rPr>
          <w:sz w:val="20"/>
          <w:szCs w:val="20"/>
          <w:color w:val="auto"/>
        </w:rPr>
      </w:pPr>
      <w:r>
        <w:rPr>
          <w:rFonts w:ascii="Arial" w:cs="Arial" w:eastAsia="Arial" w:hAnsi="Arial"/>
          <w:sz w:val="21"/>
          <w:szCs w:val="21"/>
          <w:color w:val="auto"/>
        </w:rPr>
        <w:t>14.9</w:t>
      </w:r>
      <w:r>
        <w:rPr>
          <w:sz w:val="20"/>
          <w:szCs w:val="20"/>
          <w:color w:val="auto"/>
        </w:rPr>
        <w:tab/>
      </w:r>
      <w:r>
        <w:rPr>
          <w:rFonts w:ascii="Arial" w:cs="Arial" w:eastAsia="Arial" w:hAnsi="Arial"/>
          <w:sz w:val="20"/>
          <w:szCs w:val="20"/>
          <w:color w:val="auto"/>
        </w:rPr>
        <w:t>Applicable Law; Waiver of Jury Trial</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14.10</w:t>
      </w:r>
      <w:r>
        <w:rPr>
          <w:sz w:val="20"/>
          <w:szCs w:val="20"/>
          <w:color w:val="auto"/>
        </w:rPr>
        <w:tab/>
      </w:r>
      <w:r>
        <w:rPr>
          <w:rFonts w:ascii="Arial" w:cs="Arial" w:eastAsia="Arial" w:hAnsi="Arial"/>
          <w:sz w:val="19"/>
          <w:szCs w:val="19"/>
          <w:color w:val="auto"/>
        </w:rPr>
        <w:t>Severability</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14.11</w:t>
      </w:r>
      <w:r>
        <w:rPr>
          <w:sz w:val="20"/>
          <w:szCs w:val="20"/>
          <w:color w:val="auto"/>
        </w:rPr>
        <w:tab/>
      </w:r>
      <w:r>
        <w:rPr>
          <w:rFonts w:ascii="Arial" w:cs="Arial" w:eastAsia="Arial" w:hAnsi="Arial"/>
          <w:sz w:val="19"/>
          <w:szCs w:val="19"/>
          <w:color w:val="auto"/>
        </w:rPr>
        <w:t>Further Action</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14.12</w:t>
      </w:r>
      <w:r>
        <w:rPr>
          <w:sz w:val="20"/>
          <w:szCs w:val="20"/>
          <w:color w:val="auto"/>
        </w:rPr>
        <w:tab/>
      </w:r>
      <w:r>
        <w:rPr>
          <w:rFonts w:ascii="Arial" w:cs="Arial" w:eastAsia="Arial" w:hAnsi="Arial"/>
          <w:sz w:val="19"/>
          <w:szCs w:val="19"/>
          <w:color w:val="auto"/>
        </w:rPr>
        <w:t>Delivery by Facsimile</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14.13</w:t>
      </w:r>
      <w:r>
        <w:rPr>
          <w:sz w:val="20"/>
          <w:szCs w:val="20"/>
          <w:color w:val="auto"/>
        </w:rPr>
        <w:tab/>
      </w:r>
      <w:r>
        <w:rPr>
          <w:rFonts w:ascii="Arial" w:cs="Arial" w:eastAsia="Arial" w:hAnsi="Arial"/>
          <w:sz w:val="19"/>
          <w:szCs w:val="19"/>
          <w:color w:val="auto"/>
        </w:rPr>
        <w:t>Offset</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14.14</w:t>
      </w:r>
      <w:r>
        <w:rPr>
          <w:sz w:val="20"/>
          <w:szCs w:val="20"/>
          <w:color w:val="auto"/>
        </w:rPr>
        <w:tab/>
      </w:r>
      <w:r>
        <w:rPr>
          <w:rFonts w:ascii="Arial" w:cs="Arial" w:eastAsia="Arial" w:hAnsi="Arial"/>
          <w:sz w:val="19"/>
          <w:szCs w:val="19"/>
          <w:color w:val="auto"/>
        </w:rPr>
        <w:t>Entire Agreement</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14.15</w:t>
      </w:r>
      <w:r>
        <w:rPr>
          <w:sz w:val="20"/>
          <w:szCs w:val="20"/>
          <w:color w:val="auto"/>
        </w:rPr>
        <w:tab/>
      </w:r>
      <w:r>
        <w:rPr>
          <w:rFonts w:ascii="Arial" w:cs="Arial" w:eastAsia="Arial" w:hAnsi="Arial"/>
          <w:sz w:val="18"/>
          <w:szCs w:val="18"/>
          <w:color w:val="auto"/>
        </w:rPr>
        <w:t>Remedies</w:t>
      </w:r>
    </w:p>
    <w:p>
      <w:pPr>
        <w:spacing w:after="0" w:line="63"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21"/>
          <w:szCs w:val="21"/>
          <w:color w:val="auto"/>
        </w:rPr>
        <w:t>14.16</w:t>
      </w:r>
      <w:r>
        <w:rPr>
          <w:sz w:val="20"/>
          <w:szCs w:val="20"/>
          <w:color w:val="auto"/>
        </w:rPr>
        <w:tab/>
      </w:r>
      <w:r>
        <w:rPr>
          <w:rFonts w:ascii="Arial" w:cs="Arial" w:eastAsia="Arial" w:hAnsi="Arial"/>
          <w:sz w:val="19"/>
          <w:szCs w:val="19"/>
          <w:color w:val="auto"/>
        </w:rPr>
        <w:t>Descriptive Headings; Interpretation</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EXHIBITS</w:t>
      </w:r>
    </w:p>
    <w:p>
      <w:pPr>
        <w:spacing w:after="0" w:line="242" w:lineRule="exact"/>
        <w:rPr>
          <w:sz w:val="20"/>
          <w:szCs w:val="20"/>
          <w:color w:val="auto"/>
        </w:rPr>
      </w:pPr>
    </w:p>
    <w:p>
      <w:pPr>
        <w:ind w:left="160"/>
        <w:spacing w:after="0"/>
        <w:tabs>
          <w:tab w:leader="none" w:pos="1840" w:val="left"/>
        </w:tabs>
        <w:rPr>
          <w:sz w:val="20"/>
          <w:szCs w:val="20"/>
          <w:color w:val="auto"/>
        </w:rPr>
      </w:pPr>
      <w:r>
        <w:rPr>
          <w:rFonts w:ascii="Arial" w:cs="Arial" w:eastAsia="Arial" w:hAnsi="Arial"/>
          <w:sz w:val="21"/>
          <w:szCs w:val="21"/>
          <w:color w:val="auto"/>
        </w:rPr>
        <w:t>Exhibit A</w:t>
      </w:r>
      <w:r>
        <w:rPr>
          <w:sz w:val="20"/>
          <w:szCs w:val="20"/>
          <w:color w:val="auto"/>
        </w:rPr>
        <w:tab/>
      </w:r>
      <w:r>
        <w:rPr>
          <w:rFonts w:ascii="Arial" w:cs="Arial" w:eastAsia="Arial" w:hAnsi="Arial"/>
          <w:sz w:val="19"/>
          <w:szCs w:val="19"/>
          <w:color w:val="auto"/>
        </w:rPr>
        <w:t>Intended Application of IRC Section 704(c)</w:t>
      </w:r>
    </w:p>
    <w:p>
      <w:pPr>
        <w:spacing w:after="0" w:line="20" w:lineRule="exact"/>
        <w:rPr>
          <w:sz w:val="20"/>
          <w:szCs w:val="20"/>
          <w:color w:val="auto"/>
        </w:rPr>
      </w:pPr>
      <w:r>
        <w:rPr>
          <w:sz w:val="20"/>
          <w:szCs w:val="20"/>
          <w:color w:val="auto"/>
        </w:rPr>
        <w:br w:type="column"/>
      </w:r>
    </w:p>
    <w:p>
      <w:pPr>
        <w:ind w:left="60"/>
        <w:spacing w:after="0"/>
        <w:rPr>
          <w:sz w:val="20"/>
          <w:szCs w:val="20"/>
          <w:color w:val="auto"/>
        </w:rPr>
      </w:pPr>
      <w:r>
        <w:rPr>
          <w:rFonts w:ascii="Arial" w:cs="Arial" w:eastAsia="Arial" w:hAnsi="Arial"/>
          <w:sz w:val="19"/>
          <w:szCs w:val="19"/>
          <w:color w:val="auto"/>
        </w:rPr>
        <w:t>34</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35</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35</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35</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35</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35</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36</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36</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36</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36</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37</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38</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39</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39</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39</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40</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40</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41</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42</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42</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42</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42</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9"/>
          <w:szCs w:val="19"/>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9"/>
          <w:szCs w:val="19"/>
          <w:color w:val="auto"/>
        </w:rPr>
        <w:t>A-1</w:t>
      </w:r>
    </w:p>
    <w:p>
      <w:pPr>
        <w:spacing w:after="0" w:line="218" w:lineRule="exact"/>
        <w:rPr>
          <w:sz w:val="20"/>
          <w:szCs w:val="20"/>
          <w:color w:val="auto"/>
        </w:rPr>
      </w:pPr>
    </w:p>
    <w:p>
      <w:pPr>
        <w:sectPr>
          <w:pgSz w:w="11900" w:h="16838" w:orient="portrait"/>
          <w:cols w:equalWidth="0" w:num="2">
            <w:col w:w="9960" w:space="720"/>
            <w:col w:w="300"/>
          </w:cols>
          <w:pgMar w:left="320" w:top="1440" w:right="599" w:bottom="7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79"/>
        <w:spacing w:after="0"/>
        <w:rPr>
          <w:sz w:val="20"/>
          <w:szCs w:val="20"/>
          <w:color w:val="auto"/>
        </w:rPr>
      </w:pPr>
      <w:r>
        <w:rPr>
          <w:rFonts w:ascii="Arial" w:cs="Arial" w:eastAsia="Arial" w:hAnsi="Arial"/>
          <w:sz w:val="21"/>
          <w:szCs w:val="21"/>
          <w:color w:val="auto"/>
        </w:rPr>
        <w:t>ii</w:t>
      </w:r>
    </w:p>
    <w:p>
      <w:pPr>
        <w:sectPr>
          <w:pgSz w:w="11900" w:h="16838" w:orient="portrait"/>
          <w:cols w:equalWidth="0" w:num="1">
            <w:col w:w="10980"/>
          </w:cols>
          <w:pgMar w:left="320" w:top="1440" w:right="599" w:bottom="729" w:gutter="0" w:footer="0" w:header="0"/>
          <w:type w:val="continuous"/>
        </w:sectPr>
      </w:pPr>
    </w:p>
    <w:bookmarkStart w:id="173" w:name="page174"/>
    <w:bookmarkEnd w:id="173"/>
    <w:p>
      <w:pPr>
        <w:jc w:val="center"/>
        <w:spacing w:after="0"/>
        <w:rPr>
          <w:sz w:val="20"/>
          <w:szCs w:val="20"/>
          <w:color w:val="auto"/>
        </w:rPr>
      </w:pPr>
      <w:r>
        <w:rPr>
          <w:rFonts w:ascii="Arial" w:cs="Arial" w:eastAsia="Arial" w:hAnsi="Arial"/>
          <w:sz w:val="21"/>
          <w:szCs w:val="21"/>
          <w:b w:val="1"/>
          <w:bCs w:val="1"/>
          <w:color w:val="auto"/>
        </w:rPr>
        <w:t>ZOOMINFO HOLDINGS LLC</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SIXTH AMENDED AND RESTATED LIMITED LIABILITY COMPANY AGREEMENT</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b w:val="1"/>
          <w:bCs w:val="1"/>
          <w:color w:val="auto"/>
        </w:rPr>
        <w:t>THIS SIXTH AMENDED AND RESTATED LIMITED LIABILITY COMPANY AGREEMENT</w:t>
      </w:r>
      <w:r>
        <w:rPr>
          <w:rFonts w:ascii="Arial" w:cs="Arial" w:eastAsia="Arial" w:hAnsi="Arial"/>
          <w:sz w:val="21"/>
          <w:szCs w:val="21"/>
          <w:color w:val="auto"/>
        </w:rPr>
        <w:t>, dated as of October</w:t>
      </w:r>
      <w:r>
        <w:rPr>
          <w:rFonts w:ascii="Arial" w:cs="Arial" w:eastAsia="Arial" w:hAnsi="Arial"/>
          <w:sz w:val="21"/>
          <w:szCs w:val="21"/>
          <w:b w:val="1"/>
          <w:bCs w:val="1"/>
          <w:color w:val="auto"/>
        </w:rPr>
        <w:t xml:space="preserve"> </w:t>
      </w:r>
      <w:r>
        <w:rPr>
          <w:rFonts w:ascii="Arial" w:cs="Arial" w:eastAsia="Arial" w:hAnsi="Arial"/>
          <w:sz w:val="21"/>
          <w:szCs w:val="21"/>
          <w:color w:val="auto"/>
        </w:rPr>
        <w:t>29, 2021, is entered into by and among ZoomInfo Holdings LLC, a Delaware limited liability company (the “</w:t>
      </w:r>
      <w:r>
        <w:rPr>
          <w:rFonts w:ascii="Arial" w:cs="Arial" w:eastAsia="Arial" w:hAnsi="Arial"/>
          <w:sz w:val="21"/>
          <w:szCs w:val="21"/>
          <w:b w:val="1"/>
          <w:bCs w:val="1"/>
          <w:color w:val="auto"/>
        </w:rPr>
        <w:t>Company</w:t>
      </w:r>
      <w:r>
        <w:rPr>
          <w:rFonts w:ascii="Arial" w:cs="Arial" w:eastAsia="Arial" w:hAnsi="Arial"/>
          <w:sz w:val="21"/>
          <w:szCs w:val="21"/>
          <w:color w:val="auto"/>
        </w:rPr>
        <w:t>”), ZoomInfo Intermediate Inc. (formerly known as ZoomInfo Technologies Inc.), a Delaware corporation (“</w:t>
      </w:r>
      <w:r>
        <w:rPr>
          <w:rFonts w:ascii="Arial" w:cs="Arial" w:eastAsia="Arial" w:hAnsi="Arial"/>
          <w:sz w:val="21"/>
          <w:szCs w:val="21"/>
          <w:b w:val="1"/>
          <w:bCs w:val="1"/>
          <w:color w:val="auto"/>
        </w:rPr>
        <w:t>Old PubCo</w:t>
      </w:r>
      <w:r>
        <w:rPr>
          <w:rFonts w:ascii="Arial" w:cs="Arial" w:eastAsia="Arial" w:hAnsi="Arial"/>
          <w:sz w:val="21"/>
          <w:szCs w:val="21"/>
          <w:color w:val="auto"/>
        </w:rPr>
        <w:t xml:space="preserve">”), as Managing Member and on its behalf, and the Members. Capitalized terms used herein without definition shall have the meanings assigned to such terms in </w:t>
      </w:r>
      <w:r>
        <w:rPr>
          <w:rFonts w:ascii="Arial" w:cs="Arial" w:eastAsia="Arial" w:hAnsi="Arial"/>
          <w:sz w:val="21"/>
          <w:szCs w:val="21"/>
          <w:u w:val="single" w:color="auto"/>
          <w:color w:val="auto"/>
        </w:rPr>
        <w:t>Article I</w:t>
      </w:r>
      <w:r>
        <w:rPr>
          <w:rFonts w:ascii="Arial" w:cs="Arial" w:eastAsia="Arial" w:hAnsi="Arial"/>
          <w:sz w:val="21"/>
          <w:szCs w:val="21"/>
          <w:color w:val="auto"/>
        </w:rPr>
        <w:t>.</w:t>
      </w:r>
    </w:p>
    <w:p>
      <w:pPr>
        <w:spacing w:after="0" w:line="150"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prior to May 29, 2014, DO Holdings (WA), LLC, a Washington limited liability company (the “</w:t>
      </w:r>
      <w:r>
        <w:rPr>
          <w:rFonts w:ascii="Arial" w:cs="Arial" w:eastAsia="Arial" w:hAnsi="Arial"/>
          <w:sz w:val="21"/>
          <w:szCs w:val="21"/>
          <w:b w:val="1"/>
          <w:bCs w:val="1"/>
          <w:color w:val="auto"/>
        </w:rPr>
        <w:t>Holding Company</w:t>
      </w:r>
      <w:r>
        <w:rPr>
          <w:rFonts w:ascii="Arial" w:cs="Arial" w:eastAsia="Arial" w:hAnsi="Arial"/>
          <w:sz w:val="21"/>
          <w:szCs w:val="21"/>
          <w:color w:val="auto"/>
        </w:rPr>
        <w:t>”), was the initial member of the Company and entered into the Limited Liability Company Agreement of the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dated as of May 29, 2014;</w:t>
      </w:r>
    </w:p>
    <w:p>
      <w:pPr>
        <w:spacing w:after="0" w:line="14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and certain of the Members entered into the Fourth Amended and Restated Limited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Agreement of the Company, dated as of February 1, 2019 (as amended, the “</w:t>
      </w:r>
      <w:r>
        <w:rPr>
          <w:rFonts w:ascii="Arial" w:cs="Arial" w:eastAsia="Arial" w:hAnsi="Arial"/>
          <w:sz w:val="21"/>
          <w:szCs w:val="21"/>
          <w:b w:val="1"/>
          <w:bCs w:val="1"/>
          <w:color w:val="auto"/>
        </w:rPr>
        <w:t>Fourth A&amp;R LLCA</w:t>
      </w:r>
      <w:r>
        <w:rPr>
          <w:rFonts w:ascii="Arial" w:cs="Arial" w:eastAsia="Arial" w:hAnsi="Arial"/>
          <w:sz w:val="21"/>
          <w:szCs w:val="21"/>
          <w:color w:val="auto"/>
        </w:rPr>
        <w:t>”);</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and certain of the Members entered into the Fifth Amended and Restated Limited Liability</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Agreement of the Company, dated as of June 3, 2020 (as amended, the “</w:t>
      </w:r>
      <w:r>
        <w:rPr>
          <w:rFonts w:ascii="Arial" w:cs="Arial" w:eastAsia="Arial" w:hAnsi="Arial"/>
          <w:sz w:val="21"/>
          <w:szCs w:val="21"/>
          <w:b w:val="1"/>
          <w:bCs w:val="1"/>
          <w:color w:val="auto"/>
        </w:rPr>
        <w:t>Prior Agreement</w:t>
      </w:r>
      <w:r>
        <w:rPr>
          <w:rFonts w:ascii="Arial" w:cs="Arial" w:eastAsia="Arial" w:hAnsi="Arial"/>
          <w:sz w:val="21"/>
          <w:szCs w:val="21"/>
          <w:color w:val="auto"/>
        </w:rPr>
        <w:t>”);</w:t>
      </w:r>
    </w:p>
    <w:p>
      <w:pPr>
        <w:spacing w:after="0" w:line="14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September 7, 2021, the Board of Directors of Old PubCo (the “</w:t>
      </w:r>
      <w:r>
        <w:rPr>
          <w:rFonts w:ascii="Arial" w:cs="Arial" w:eastAsia="Arial" w:hAnsi="Arial"/>
          <w:sz w:val="20"/>
          <w:szCs w:val="20"/>
          <w:b w:val="1"/>
          <w:bCs w:val="1"/>
          <w:color w:val="auto"/>
        </w:rPr>
        <w:t>PubCo Board</w:t>
      </w:r>
      <w:r>
        <w:rPr>
          <w:rFonts w:ascii="Arial" w:cs="Arial" w:eastAsia="Arial" w:hAnsi="Arial"/>
          <w:sz w:val="20"/>
          <w:szCs w:val="20"/>
          <w:color w:val="auto"/>
        </w:rPr>
        <w:t>”), in order to combine all of</w:t>
      </w:r>
      <w:r>
        <w:rPr>
          <w:rFonts w:ascii="Arial" w:cs="Arial" w:eastAsia="Arial" w:hAnsi="Arial"/>
          <w:sz w:val="20"/>
          <w:szCs w:val="20"/>
          <w:b w:val="1"/>
          <w:bCs w:val="1"/>
          <w:color w:val="auto"/>
        </w:rPr>
        <w:t xml:space="preserve"> </w:t>
      </w:r>
      <w:r>
        <w:rPr>
          <w:rFonts w:ascii="Arial" w:cs="Arial" w:eastAsia="Arial" w:hAnsi="Arial"/>
          <w:sz w:val="20"/>
          <w:szCs w:val="20"/>
          <w:color w:val="auto"/>
        </w:rPr>
        <w:t>the operations of Old PubCo and its subsidiaries beneath a newly formed publicly traded entity (“</w:t>
      </w:r>
      <w:r>
        <w:rPr>
          <w:rFonts w:ascii="Arial" w:cs="Arial" w:eastAsia="Arial" w:hAnsi="Arial"/>
          <w:sz w:val="20"/>
          <w:szCs w:val="20"/>
          <w:b w:val="1"/>
          <w:bCs w:val="1"/>
          <w:u w:val="single" w:color="auto"/>
          <w:color w:val="auto"/>
        </w:rPr>
        <w:t>New Parent Company</w:t>
      </w:r>
      <w:r>
        <w:rPr>
          <w:rFonts w:ascii="Arial" w:cs="Arial" w:eastAsia="Arial" w:hAnsi="Arial"/>
          <w:sz w:val="20"/>
          <w:szCs w:val="20"/>
          <w:color w:val="auto"/>
        </w:rPr>
        <w:t>”) that will conduct its operations directly and indirectly through wholly owned subsidiaries, authorized Old PubCo to pursue a series of transactions as a result of which (i) holders of paired Class A Common Units and shares of Class B common stock, par value $0.01 per share, of Old PubCo (“</w:t>
      </w:r>
      <w:r>
        <w:rPr>
          <w:rFonts w:ascii="Arial" w:cs="Arial" w:eastAsia="Arial" w:hAnsi="Arial"/>
          <w:sz w:val="20"/>
          <w:szCs w:val="20"/>
          <w:b w:val="1"/>
          <w:bCs w:val="1"/>
          <w:color w:val="auto"/>
        </w:rPr>
        <w:t>Class B Common Stock</w:t>
      </w:r>
      <w:r>
        <w:rPr>
          <w:rFonts w:ascii="Arial" w:cs="Arial" w:eastAsia="Arial" w:hAnsi="Arial"/>
          <w:sz w:val="20"/>
          <w:szCs w:val="20"/>
          <w:color w:val="auto"/>
        </w:rPr>
        <w:t>”) will cease to hold such units and shares, and will receive an equivalent number of shares of Class A common stock, par value $0.01 per share, of New Parent Company (“</w:t>
      </w:r>
      <w:r>
        <w:rPr>
          <w:rFonts w:ascii="Arial" w:cs="Arial" w:eastAsia="Arial" w:hAnsi="Arial"/>
          <w:sz w:val="20"/>
          <w:szCs w:val="20"/>
          <w:b w:val="1"/>
          <w:bCs w:val="1"/>
          <w:color w:val="auto"/>
        </w:rPr>
        <w:t>NewCo Class A Common</w:t>
      </w:r>
      <w:r>
        <w:rPr>
          <w:rFonts w:ascii="Arial" w:cs="Arial" w:eastAsia="Arial" w:hAnsi="Arial"/>
          <w:sz w:val="20"/>
          <w:szCs w:val="20"/>
          <w:color w:val="auto"/>
        </w:rPr>
        <w:t xml:space="preserve"> </w:t>
      </w:r>
      <w:r>
        <w:rPr>
          <w:rFonts w:ascii="Arial" w:cs="Arial" w:eastAsia="Arial" w:hAnsi="Arial"/>
          <w:sz w:val="20"/>
          <w:szCs w:val="20"/>
          <w:b w:val="1"/>
          <w:bCs w:val="1"/>
          <w:color w:val="auto"/>
        </w:rPr>
        <w:t>Stock</w:t>
      </w:r>
      <w:r>
        <w:rPr>
          <w:rFonts w:ascii="Arial" w:cs="Arial" w:eastAsia="Arial" w:hAnsi="Arial"/>
          <w:sz w:val="20"/>
          <w:szCs w:val="20"/>
          <w:color w:val="auto"/>
        </w:rPr>
        <w:t>”), (ii) holders of Class P Units (as defined in the Prior Agreement) will cease to hold such units and will receive a number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of NewCo Class A Common Stock that is equal to the product of the number of Class P Units surrendered multiplied by the Class P Unit Exchange Rate (as defined in the Prior Agreement), (iii) holders of LTIP Units (as defined in the Prior Agreement) will cease to hold such units and will receive an equivalent number of shares of NewCo Class A Common Stock and (iv) holders of Class C common stock, par value $0.01 per share, of Old PubCo will cease to hold such shares and will receive an equivalent number of shares of NewCo Class A Common Stock (such transactions, together with the related matters thereto and any other agreements or arrangements necessary or advisable to effect the transactions contemplated herein, the “</w:t>
      </w:r>
      <w:r>
        <w:rPr>
          <w:rFonts w:ascii="Arial" w:cs="Arial" w:eastAsia="Arial" w:hAnsi="Arial"/>
          <w:sz w:val="20"/>
          <w:szCs w:val="20"/>
          <w:b w:val="1"/>
          <w:bCs w:val="1"/>
          <w:color w:val="auto"/>
        </w:rPr>
        <w:t>Reorganization</w:t>
      </w:r>
      <w:r>
        <w:rPr>
          <w:rFonts w:ascii="Arial" w:cs="Arial" w:eastAsia="Arial" w:hAnsi="Arial"/>
          <w:sz w:val="20"/>
          <w:szCs w:val="20"/>
          <w:color w:val="auto"/>
        </w:rPr>
        <w:t xml:space="preserve"> </w:t>
      </w:r>
      <w:r>
        <w:rPr>
          <w:rFonts w:ascii="Arial" w:cs="Arial" w:eastAsia="Arial" w:hAnsi="Arial"/>
          <w:sz w:val="20"/>
          <w:szCs w:val="20"/>
          <w:b w:val="1"/>
          <w:bCs w:val="1"/>
          <w:color w:val="auto"/>
        </w:rPr>
        <w:t>Transactions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371" w:right="339" w:bottom="1440" w:gutter="0" w:footer="0" w:header="0"/>
        </w:sectPr>
      </w:pPr>
    </w:p>
    <w:bookmarkStart w:id="174" w:name="page175"/>
    <w:bookmarkEnd w:id="174"/>
    <w:p>
      <w:pPr>
        <w:jc w:val="both"/>
        <w:ind w:firstLine="636"/>
        <w:spacing w:after="0" w:line="229"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Reorganization Transactions, the PubCo Board has (i) determined that it is in the best</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of Old PubCo and its stockholders that, prior to the consummation of the Reorganization Transactions, Old PubCo permit the holders of any unvested Class A Common Units, Class P Units and LTIP Units to exchange such units in the manner contemplated by Article XII of the Prior Agreement, and to issue shares of Class A common stock, par value $0.01 per share, of Old PubCo (“</w:t>
      </w:r>
      <w:r>
        <w:rPr>
          <w:rFonts w:ascii="Arial" w:cs="Arial" w:eastAsia="Arial" w:hAnsi="Arial"/>
          <w:sz w:val="20"/>
          <w:szCs w:val="20"/>
          <w:b w:val="1"/>
          <w:bCs w:val="1"/>
          <w:color w:val="auto"/>
        </w:rPr>
        <w:t>Class A Common Stock</w:t>
      </w:r>
      <w:r>
        <w:rPr>
          <w:rFonts w:ascii="Arial" w:cs="Arial" w:eastAsia="Arial" w:hAnsi="Arial"/>
          <w:sz w:val="20"/>
          <w:szCs w:val="20"/>
          <w:color w:val="auto"/>
        </w:rPr>
        <w:t>”) in any such exchange subject to the same vesting terms as the corresponding Class A Common Units, Class P Units and LTIP Units, and (ii) authorized Old PubCo to cause each of its direct and indirect subsidiaries, including the Company, to take any and all actions as Old PubCo may deem necessary or advisable in connection with the consummation of the transactions contemplated by such resolutions;</w:t>
      </w:r>
    </w:p>
    <w:p>
      <w:pPr>
        <w:spacing w:after="0" w:line="15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in connection with the Reorganization Transactions, Old PubCo, as Managing Member, (i) waived the</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restriction on exchanges of unvested Class A Common Units, Class P Units and LTIP Units set forth in Article XII of the Prior Agreement in order to permit holders of unvested Class A Common Units, Class P Units and LTIP Units to exchange such units in the manner contemplated by Article XII of the Prior Agreement on the condition that such holders accept such shares of Class A Common Stock subject to the same vesting terms as the corresponding Class A Common Units, Class P Units and LTIP Units and (ii) ratified any such exchanges previously consummated subject to such condition;</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on October 8, 2021, ZoomInfo NewCo Inc., a Delaware corporation (“</w:t>
      </w:r>
      <w:r>
        <w:rPr>
          <w:rFonts w:ascii="Arial" w:cs="Arial" w:eastAsia="Arial" w:hAnsi="Arial"/>
          <w:sz w:val="20"/>
          <w:szCs w:val="20"/>
          <w:b w:val="1"/>
          <w:bCs w:val="1"/>
          <w:color w:val="auto"/>
        </w:rPr>
        <w:t>New PubCo</w:t>
      </w:r>
      <w:r>
        <w:rPr>
          <w:rFonts w:ascii="Arial" w:cs="Arial" w:eastAsia="Arial" w:hAnsi="Arial"/>
          <w:sz w:val="20"/>
          <w:szCs w:val="20"/>
          <w:color w:val="auto"/>
        </w:rPr>
        <w:t>”), was incorporated as a</w:t>
      </w:r>
      <w:r>
        <w:rPr>
          <w:rFonts w:ascii="Arial" w:cs="Arial" w:eastAsia="Arial" w:hAnsi="Arial"/>
          <w:sz w:val="20"/>
          <w:szCs w:val="20"/>
          <w:b w:val="1"/>
          <w:bCs w:val="1"/>
          <w:color w:val="auto"/>
        </w:rPr>
        <w:t xml:space="preserve"> </w:t>
      </w:r>
      <w:r>
        <w:rPr>
          <w:rFonts w:ascii="Arial" w:cs="Arial" w:eastAsia="Arial" w:hAnsi="Arial"/>
          <w:sz w:val="20"/>
          <w:szCs w:val="20"/>
          <w:color w:val="auto"/>
        </w:rPr>
        <w:t>direct wholly-owned subsidiary of Old PubCo, and on October 29, 2021, the Certificate of Incorporation of New PubCo was amended and restated to, among other things, change the name of New PubCo to ZoomInfo Technologies Inc.;</w:t>
      </w:r>
    </w:p>
    <w:p>
      <w:pPr>
        <w:spacing w:after="0" w:line="144"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Reorganization Transactions, New PubCo, the Company, and ZoomInfo MergerSub 2</w:t>
      </w:r>
      <w:r>
        <w:rPr>
          <w:rFonts w:ascii="Arial" w:cs="Arial" w:eastAsia="Arial" w:hAnsi="Arial"/>
          <w:sz w:val="21"/>
          <w:szCs w:val="21"/>
          <w:b w:val="1"/>
          <w:bCs w:val="1"/>
          <w:color w:val="auto"/>
        </w:rPr>
        <w:t xml:space="preserve"> </w:t>
      </w:r>
      <w:r>
        <w:rPr>
          <w:rFonts w:ascii="Arial" w:cs="Arial" w:eastAsia="Arial" w:hAnsi="Arial"/>
          <w:sz w:val="21"/>
          <w:szCs w:val="21"/>
          <w:color w:val="auto"/>
        </w:rPr>
        <w:t>LLC, a Delaware limited liability company and a direct wholly-owned subsidiary of New PubCo (“</w:t>
      </w:r>
      <w:r>
        <w:rPr>
          <w:rFonts w:ascii="Arial" w:cs="Arial" w:eastAsia="Arial" w:hAnsi="Arial"/>
          <w:sz w:val="21"/>
          <w:szCs w:val="21"/>
          <w:b w:val="1"/>
          <w:bCs w:val="1"/>
          <w:color w:val="auto"/>
        </w:rPr>
        <w:t>Merger Sub 2</w:t>
      </w:r>
      <w:r>
        <w:rPr>
          <w:rFonts w:ascii="Arial" w:cs="Arial" w:eastAsia="Arial" w:hAnsi="Arial"/>
          <w:sz w:val="21"/>
          <w:szCs w:val="21"/>
          <w:color w:val="auto"/>
        </w:rPr>
        <w:t>”) entered into the Agreement and Plan of Merger, dated as of October 29, 2021 (the “</w:t>
      </w:r>
      <w:r>
        <w:rPr>
          <w:rFonts w:ascii="Arial" w:cs="Arial" w:eastAsia="Arial" w:hAnsi="Arial"/>
          <w:sz w:val="21"/>
          <w:szCs w:val="21"/>
          <w:b w:val="1"/>
          <w:bCs w:val="1"/>
          <w:color w:val="auto"/>
        </w:rPr>
        <w:t>Merger Agreement</w:t>
      </w:r>
      <w:r>
        <w:rPr>
          <w:rFonts w:ascii="Arial" w:cs="Arial" w:eastAsia="Arial" w:hAnsi="Arial"/>
          <w:sz w:val="21"/>
          <w:szCs w:val="21"/>
          <w:color w:val="auto"/>
        </w:rPr>
        <w:t>”), pursuant to which, among other things, at the Effective Time:</w:t>
      </w:r>
    </w:p>
    <w:p>
      <w:pPr>
        <w:spacing w:after="0" w:line="150" w:lineRule="exact"/>
        <w:rPr>
          <w:sz w:val="20"/>
          <w:szCs w:val="20"/>
          <w:color w:val="auto"/>
        </w:rPr>
      </w:pPr>
    </w:p>
    <w:p>
      <w:pPr>
        <w:ind w:left="640" w:firstLine="717"/>
        <w:spacing w:after="0" w:line="245" w:lineRule="auto"/>
        <w:tabs>
          <w:tab w:leader="none" w:pos="1609" w:val="left"/>
        </w:tabs>
        <w:numPr>
          <w:ilvl w:val="0"/>
          <w:numId w:val="54"/>
        </w:numPr>
        <w:rPr>
          <w:rFonts w:ascii="Arial" w:cs="Arial" w:eastAsia="Arial" w:hAnsi="Arial"/>
          <w:sz w:val="21"/>
          <w:szCs w:val="21"/>
          <w:color w:val="auto"/>
        </w:rPr>
      </w:pPr>
      <w:r>
        <w:rPr>
          <w:rFonts w:ascii="Arial" w:cs="Arial" w:eastAsia="Arial" w:hAnsi="Arial"/>
          <w:sz w:val="21"/>
          <w:szCs w:val="21"/>
          <w:color w:val="auto"/>
        </w:rPr>
        <w:t>Merger Sub 2 merged with and into the Company (the “</w:t>
      </w:r>
      <w:r>
        <w:rPr>
          <w:rFonts w:ascii="Arial" w:cs="Arial" w:eastAsia="Arial" w:hAnsi="Arial"/>
          <w:sz w:val="21"/>
          <w:szCs w:val="21"/>
          <w:b w:val="1"/>
          <w:bCs w:val="1"/>
          <w:color w:val="auto"/>
        </w:rPr>
        <w:t>Merger</w:t>
      </w:r>
      <w:r>
        <w:rPr>
          <w:rFonts w:ascii="Arial" w:cs="Arial" w:eastAsia="Arial" w:hAnsi="Arial"/>
          <w:sz w:val="21"/>
          <w:szCs w:val="21"/>
          <w:color w:val="auto"/>
        </w:rPr>
        <w:t>”), with the Company continuing as the surviving company in the Merger;</w:t>
      </w:r>
    </w:p>
    <w:p>
      <w:pPr>
        <w:spacing w:after="0" w:line="148" w:lineRule="exact"/>
        <w:rPr>
          <w:rFonts w:ascii="Arial" w:cs="Arial" w:eastAsia="Arial" w:hAnsi="Arial"/>
          <w:sz w:val="21"/>
          <w:szCs w:val="21"/>
          <w:color w:val="auto"/>
        </w:rPr>
      </w:pPr>
    </w:p>
    <w:p>
      <w:pPr>
        <w:jc w:val="both"/>
        <w:ind w:left="640" w:firstLine="717"/>
        <w:spacing w:after="0" w:line="230" w:lineRule="auto"/>
        <w:tabs>
          <w:tab w:leader="none" w:pos="1720" w:val="left"/>
        </w:tabs>
        <w:numPr>
          <w:ilvl w:val="0"/>
          <w:numId w:val="54"/>
        </w:numPr>
        <w:rPr>
          <w:rFonts w:ascii="Arial" w:cs="Arial" w:eastAsia="Arial" w:hAnsi="Arial"/>
          <w:sz w:val="21"/>
          <w:szCs w:val="21"/>
          <w:color w:val="auto"/>
        </w:rPr>
      </w:pPr>
      <w:r>
        <w:rPr>
          <w:rFonts w:ascii="Arial" w:cs="Arial" w:eastAsia="Arial" w:hAnsi="Arial"/>
          <w:sz w:val="21"/>
          <w:szCs w:val="21"/>
          <w:color w:val="auto"/>
        </w:rPr>
        <w:t>each Class A Common Unit (excluding any Class A Common Units owned by Old PubCo) issued and outstanding immediately prior to the Effective Time (as defined below) automatically converted into one validly issued, fully paid and nonassessable share of NewCo Class A Common Stock;</w:t>
      </w:r>
    </w:p>
    <w:p>
      <w:pPr>
        <w:spacing w:after="0" w:line="153" w:lineRule="exact"/>
        <w:rPr>
          <w:rFonts w:ascii="Arial" w:cs="Arial" w:eastAsia="Arial" w:hAnsi="Arial"/>
          <w:sz w:val="21"/>
          <w:szCs w:val="21"/>
          <w:color w:val="auto"/>
        </w:rPr>
      </w:pPr>
    </w:p>
    <w:p>
      <w:pPr>
        <w:jc w:val="both"/>
        <w:ind w:left="640" w:firstLine="717"/>
        <w:spacing w:after="0" w:line="220" w:lineRule="auto"/>
        <w:tabs>
          <w:tab w:leader="none" w:pos="1734" w:val="left"/>
        </w:tabs>
        <w:numPr>
          <w:ilvl w:val="0"/>
          <w:numId w:val="54"/>
        </w:numPr>
        <w:rPr>
          <w:rFonts w:ascii="Arial" w:cs="Arial" w:eastAsia="Arial" w:hAnsi="Arial"/>
          <w:sz w:val="21"/>
          <w:szCs w:val="21"/>
          <w:color w:val="auto"/>
        </w:rPr>
      </w:pPr>
      <w:r>
        <w:rPr>
          <w:rFonts w:ascii="Arial" w:cs="Arial" w:eastAsia="Arial" w:hAnsi="Arial"/>
          <w:sz w:val="21"/>
          <w:szCs w:val="21"/>
          <w:color w:val="auto"/>
        </w:rPr>
        <w:t>each Class P Unit issued and outstanding immediately prior to the Effective Time automatically converted into the right to receive a number of shares of NewCo Class A Common Stock equal to the product of the number of such Class P Units converted multiplied by the applicable Class P Unit Exchange Rate, subject to the restrictions provided in the Merger Agreement, including any vesting terms applicable to such Class P Unit immediately prior to the Merger continuing to apply to the corresponding shares of NewCo Class A Common Stock received upon conversion of such Class P Unit in the Merger;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40"/>
          </w:cols>
          <w:pgMar w:left="320" w:top="1371" w:right="339" w:bottom="1440" w:gutter="0" w:footer="0" w:header="0"/>
        </w:sectPr>
      </w:pPr>
    </w:p>
    <w:bookmarkStart w:id="175" w:name="page176"/>
    <w:bookmarkEnd w:id="175"/>
    <w:p>
      <w:pPr>
        <w:jc w:val="both"/>
        <w:ind w:left="640" w:firstLine="717"/>
        <w:spacing w:after="0" w:line="252" w:lineRule="auto"/>
        <w:tabs>
          <w:tab w:leader="none" w:pos="1715" w:val="left"/>
        </w:tabs>
        <w:numPr>
          <w:ilvl w:val="0"/>
          <w:numId w:val="55"/>
        </w:numPr>
        <w:rPr>
          <w:rFonts w:ascii="Arial" w:cs="Arial" w:eastAsia="Arial" w:hAnsi="Arial"/>
          <w:sz w:val="19"/>
          <w:szCs w:val="19"/>
          <w:color w:val="auto"/>
        </w:rPr>
      </w:pPr>
      <w:r>
        <w:rPr>
          <w:rFonts w:ascii="Arial" w:cs="Arial" w:eastAsia="Arial" w:hAnsi="Arial"/>
          <w:sz w:val="19"/>
          <w:szCs w:val="19"/>
          <w:color w:val="auto"/>
        </w:rPr>
        <w:t>each LTIP Unit issued and outstanding immediately prior to the Effective Time automatically converted into the right to receive one share of NewCo Class A Common Stock, subject to the restrictions provided in the Merger Agreement, including any vesting terms applicable to such LTIP Unit immediately prior to the Merger continuing to apply to the corresponding shares of NewCo Class A Common Stock received upon conversion of such LTIP Unit in the Merger; and</w:t>
      </w:r>
    </w:p>
    <w:p>
      <w:pPr>
        <w:spacing w:after="0" w:line="136"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the Company, Old PubCo, and New PubCo, as Member, desire to amend and restate the Prior Agreement in its</w:t>
      </w:r>
      <w:r>
        <w:rPr>
          <w:rFonts w:ascii="Arial" w:cs="Arial" w:eastAsia="Arial" w:hAnsi="Arial"/>
          <w:sz w:val="21"/>
          <w:szCs w:val="21"/>
          <w:b w:val="1"/>
          <w:bCs w:val="1"/>
          <w:color w:val="auto"/>
        </w:rPr>
        <w:t xml:space="preserve"> </w:t>
      </w:r>
      <w:r>
        <w:rPr>
          <w:rFonts w:ascii="Arial" w:cs="Arial" w:eastAsia="Arial" w:hAnsi="Arial"/>
          <w:sz w:val="21"/>
          <w:szCs w:val="21"/>
          <w:color w:val="auto"/>
        </w:rPr>
        <w:t>entirety as set forth herein effective as of the date hereof, at which time the Prior Agreement will be superseded entirely by this Agreement.</w:t>
      </w:r>
    </w:p>
    <w:p>
      <w:pPr>
        <w:spacing w:after="0" w:line="148"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b w:val="1"/>
          <w:bCs w:val="1"/>
          <w:color w:val="auto"/>
        </w:rPr>
        <w:t>NOW, THEREFORE</w:t>
      </w:r>
      <w:r>
        <w:rPr>
          <w:rFonts w:ascii="Arial" w:cs="Arial" w:eastAsia="Arial" w:hAnsi="Arial"/>
          <w:sz w:val="21"/>
          <w:szCs w:val="21"/>
          <w:color w:val="auto"/>
        </w:rPr>
        <w:t>, in consideration of the mutual covenants contained herein and other good and valuable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consideration, the receipt and sufficiency of which are hereby acknowledged, the parties hereto, intending to be legally bound, hereby agree to amend and restate the Prior Agreement to read in its entirety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DEFINITIONS</w:t>
      </w:r>
    </w:p>
    <w:p>
      <w:pPr>
        <w:spacing w:after="0" w:line="189"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auto"/>
        </w:rPr>
        <w:t>The following definitions shall be applied to the terms used in this Agreement for all purposes, unless otherwise clearly indicated to the contrary.</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Additional Member</w:t>
      </w:r>
      <w:r>
        <w:rPr>
          <w:rFonts w:ascii="Arial" w:cs="Arial" w:eastAsia="Arial" w:hAnsi="Arial"/>
          <w:sz w:val="21"/>
          <w:szCs w:val="21"/>
          <w:color w:val="auto"/>
        </w:rPr>
        <w:t xml:space="preserve">” means a Person admitted to the Company as a Member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Admission Date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9.4</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of any Person means any Person that directly or indirectly controls, is controlled by, or is under common control with the Person in question.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Agreement</w:t>
      </w:r>
      <w:r>
        <w:rPr>
          <w:rFonts w:ascii="Arial" w:cs="Arial" w:eastAsia="Arial" w:hAnsi="Arial"/>
          <w:sz w:val="21"/>
          <w:szCs w:val="21"/>
          <w:color w:val="auto"/>
        </w:rPr>
        <w:t>” means this Sixth Amended and Restated Limited Liability Company Agreement of the Company.</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Assignee</w:t>
      </w:r>
      <w:r>
        <w:rPr>
          <w:rFonts w:ascii="Arial" w:cs="Arial" w:eastAsia="Arial" w:hAnsi="Arial"/>
          <w:sz w:val="21"/>
          <w:szCs w:val="21"/>
          <w:color w:val="auto"/>
        </w:rPr>
        <w:t xml:space="preserve">” means a Person to whom any Units have been Transferred in accordance with the terms of this Agreement but who has not become a Member pursuant to </w:t>
      </w:r>
      <w:r>
        <w:rPr>
          <w:rFonts w:ascii="Arial" w:cs="Arial" w:eastAsia="Arial" w:hAnsi="Arial"/>
          <w:sz w:val="21"/>
          <w:szCs w:val="21"/>
          <w:u w:val="single" w:color="auto"/>
          <w:color w:val="auto"/>
        </w:rPr>
        <w:t>Article X</w:t>
      </w:r>
      <w:r>
        <w:rPr>
          <w:rFonts w:ascii="Arial" w:cs="Arial" w:eastAsia="Arial" w:hAnsi="Arial"/>
          <w:sz w:val="21"/>
          <w:szCs w:val="21"/>
          <w:color w:val="auto"/>
        </w:rPr>
        <w:t>.</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Tax Rate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4.1(e)(iii)</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Rate</w:t>
      </w:r>
      <w:r>
        <w:rPr>
          <w:rFonts w:ascii="Arial" w:cs="Arial" w:eastAsia="Arial" w:hAnsi="Arial"/>
          <w:sz w:val="21"/>
          <w:szCs w:val="21"/>
          <w:color w:val="auto"/>
        </w:rPr>
        <w:t>” means, on any date, a variable rate per annum equal to the rate of interest most recently published by The Wall Street Journal as the “prime rate” at large U.S. money center banks.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Account</w:t>
      </w:r>
      <w:r>
        <w:rPr>
          <w:rFonts w:ascii="Arial" w:cs="Arial" w:eastAsia="Arial" w:hAnsi="Arial"/>
          <w:sz w:val="21"/>
          <w:szCs w:val="21"/>
          <w:color w:val="auto"/>
        </w:rPr>
        <w:t xml:space="preserve">” means the capital account maintained for a Member pursuant to </w:t>
      </w:r>
      <w:r>
        <w:rPr>
          <w:rFonts w:ascii="Arial" w:cs="Arial" w:eastAsia="Arial" w:hAnsi="Arial"/>
          <w:sz w:val="21"/>
          <w:szCs w:val="21"/>
          <w:u w:val="single" w:color="auto"/>
          <w:color w:val="auto"/>
        </w:rPr>
        <w:t>Section 3.2</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Contribution</w:t>
      </w:r>
      <w:r>
        <w:rPr>
          <w:rFonts w:ascii="Arial" w:cs="Arial" w:eastAsia="Arial" w:hAnsi="Arial"/>
          <w:sz w:val="21"/>
          <w:szCs w:val="21"/>
          <w:color w:val="auto"/>
        </w:rPr>
        <w:t xml:space="preserve">” means any cash, cash equivalents, promissory obligations or the Fair Market Value of other property which a Member contributes to the Company pursuant to </w:t>
      </w:r>
      <w:r>
        <w:rPr>
          <w:rFonts w:ascii="Arial" w:cs="Arial" w:eastAsia="Arial" w:hAnsi="Arial"/>
          <w:sz w:val="21"/>
          <w:szCs w:val="21"/>
          <w:u w:val="single" w:color="auto"/>
          <w:color w:val="auto"/>
        </w:rPr>
        <w:t>Section 3.1</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377" w:right="339" w:bottom="1440" w:gutter="0" w:footer="0" w:header="0"/>
        </w:sectPr>
      </w:pPr>
    </w:p>
    <w:bookmarkStart w:id="176" w:name="page177"/>
    <w:bookmarkEnd w:id="176"/>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Stock</w:t>
      </w:r>
      <w:r>
        <w:rPr>
          <w:rFonts w:ascii="Arial" w:cs="Arial" w:eastAsia="Arial" w:hAnsi="Arial"/>
          <w:sz w:val="21"/>
          <w:szCs w:val="21"/>
          <w:color w:val="auto"/>
        </w:rPr>
        <w:t>” shall mean any and all shares, interests, participations or other equivalents (however designated) of capital stock of a corporation, any and all equivalent ownership interests in a Person (other than a corporation) including, without limitation, partnership or membership interests (including any components thereof such as capital accounts, priority returns or the like) in a limited partnership or limited liability company and any and all warrants, rights or options to purchase any of the foregoing.</w:t>
      </w:r>
    </w:p>
    <w:p>
      <w:pPr>
        <w:spacing w:after="0" w:line="150" w:lineRule="exact"/>
        <w:rPr>
          <w:sz w:val="20"/>
          <w:szCs w:val="20"/>
          <w:color w:val="auto"/>
        </w:rPr>
      </w:pPr>
    </w:p>
    <w:p>
      <w:pPr>
        <w:jc w:val="both"/>
        <w:ind w:right="20"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Certificate</w:t>
      </w:r>
      <w:r>
        <w:rPr>
          <w:rFonts w:ascii="Arial" w:cs="Arial" w:eastAsia="Arial" w:hAnsi="Arial"/>
          <w:sz w:val="21"/>
          <w:szCs w:val="21"/>
          <w:color w:val="auto"/>
        </w:rPr>
        <w:t>” means the Company’s Certificate of Formation as filed with the Secretary of State of the State of Delaware, as amended or amended and restated.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 Common Stock</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A Common Units</w:t>
      </w:r>
      <w:r>
        <w:rPr>
          <w:rFonts w:ascii="Arial" w:cs="Arial" w:eastAsia="Arial" w:hAnsi="Arial"/>
          <w:sz w:val="21"/>
          <w:szCs w:val="21"/>
          <w:color w:val="auto"/>
        </w:rPr>
        <w:t xml:space="preserve">” means the common limited liability company interests described in </w:t>
      </w:r>
      <w:r>
        <w:rPr>
          <w:rFonts w:ascii="Arial" w:cs="Arial" w:eastAsia="Arial" w:hAnsi="Arial"/>
          <w:sz w:val="21"/>
          <w:szCs w:val="21"/>
          <w:u w:val="single" w:color="auto"/>
          <w:color w:val="auto"/>
        </w:rPr>
        <w:t>Section 3.1(a)(i)</w:t>
      </w:r>
      <w:r>
        <w:rPr>
          <w:rFonts w:ascii="Arial" w:cs="Arial" w:eastAsia="Arial" w:hAnsi="Arial"/>
          <w:sz w:val="21"/>
          <w:szCs w:val="21"/>
          <w:color w:val="auto"/>
        </w:rPr>
        <w:t xml:space="preserve"> and having the rights and preferences specified herein.</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B Common Stock</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United States Internal Revenue Code of 1986, as amended.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means ZoomInfo Holdings LLC, a Delaware limited liability company.</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 Minimum Gain</w:t>
      </w:r>
      <w:r>
        <w:rPr>
          <w:rFonts w:ascii="Arial" w:cs="Arial" w:eastAsia="Arial" w:hAnsi="Arial"/>
          <w:sz w:val="21"/>
          <w:szCs w:val="21"/>
          <w:color w:val="auto"/>
        </w:rPr>
        <w:t>” has the meaning ascribed to the term "partnership minimum gain" set forth in Treasury Regulations Sections 1.704-2(b)(2) and 1.704-2(d).</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Convertible Securities</w:t>
      </w:r>
      <w:r>
        <w:rPr>
          <w:rFonts w:ascii="Arial" w:cs="Arial" w:eastAsia="Arial" w:hAnsi="Arial"/>
          <w:sz w:val="21"/>
          <w:szCs w:val="21"/>
          <w:color w:val="auto"/>
        </w:rPr>
        <w:t>” means any securities directly or indirectly convertible into or exchangeable for Units, other than Options.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Transaction</w:t>
      </w:r>
      <w:r>
        <w:rPr>
          <w:rFonts w:ascii="Arial" w:cs="Arial" w:eastAsia="Arial" w:hAnsi="Arial"/>
          <w:sz w:val="21"/>
          <w:szCs w:val="21"/>
          <w:color w:val="auto"/>
        </w:rPr>
        <w:t>” means any Liquidity Event or any other sale, redemption or Transfer of Units.</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Delaware Act</w:t>
      </w:r>
      <w:r>
        <w:rPr>
          <w:rFonts w:ascii="Arial" w:cs="Arial" w:eastAsia="Arial" w:hAnsi="Arial"/>
          <w:sz w:val="21"/>
          <w:szCs w:val="21"/>
          <w:color w:val="auto"/>
        </w:rPr>
        <w:t>” means the Delaware Limited Liability Company Act, 6 Del. C. § 18-101, et seq., as it may be amended from time to time, and any successor to the Delaware Act.</w:t>
      </w:r>
    </w:p>
    <w:p>
      <w:pPr>
        <w:spacing w:after="0" w:line="143" w:lineRule="exact"/>
        <w:rPr>
          <w:sz w:val="20"/>
          <w:szCs w:val="20"/>
          <w:color w:val="auto"/>
        </w:rPr>
      </w:pPr>
    </w:p>
    <w:p>
      <w:pPr>
        <w:jc w:val="both"/>
        <w:ind w:firstLine="636"/>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Distribution</w:t>
      </w:r>
      <w:r>
        <w:rPr>
          <w:rFonts w:ascii="Arial" w:cs="Arial" w:eastAsia="Arial" w:hAnsi="Arial"/>
          <w:sz w:val="19"/>
          <w:szCs w:val="19"/>
          <w:color w:val="auto"/>
        </w:rPr>
        <w:t xml:space="preserve">” means each distribution made by the Company to a Member, whether in cash, property or securities of the Company and whether by liquidating distribution or otherwise;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none of the following shall be a Distribution: (a) any redemption or repurchase by the Company of any securities, or (b) any recapitalization or exchange of securities of the Company, or any subdivision (by Unit split or otherwise) or any combination (by reverse Unit split or otherwise) of any outstanding Units.</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DTC</w:t>
      </w:r>
      <w:r>
        <w:rPr>
          <w:rFonts w:ascii="Arial" w:cs="Arial" w:eastAsia="Arial" w:hAnsi="Arial"/>
          <w:sz w:val="21"/>
          <w:szCs w:val="21"/>
          <w:color w:val="auto"/>
        </w:rPr>
        <w:t>” means The Depository Trust Company.</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Time</w:t>
      </w:r>
      <w:r>
        <w:rPr>
          <w:rFonts w:ascii="Arial" w:cs="Arial" w:eastAsia="Arial" w:hAnsi="Arial"/>
          <w:sz w:val="21"/>
          <w:szCs w:val="21"/>
          <w:color w:val="auto"/>
        </w:rPr>
        <w:t>” means the time at which this Agreement is effective as set forth in the Merger Agreement.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ERISA</w:t>
      </w:r>
      <w:r>
        <w:rPr>
          <w:rFonts w:ascii="Arial" w:cs="Arial" w:eastAsia="Arial" w:hAnsi="Arial"/>
          <w:sz w:val="21"/>
          <w:szCs w:val="21"/>
          <w:color w:val="auto"/>
        </w:rPr>
        <w:t>” means the Employee Retirement Income Security Act of 1974, as amended.</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Encumbrance</w:t>
      </w:r>
      <w:r>
        <w:rPr>
          <w:rFonts w:ascii="Arial" w:cs="Arial" w:eastAsia="Arial" w:hAnsi="Arial"/>
          <w:sz w:val="21"/>
          <w:szCs w:val="21"/>
          <w:color w:val="auto"/>
        </w:rPr>
        <w:t>” means any mortgage, hypothecation, claim, lien, encumbrance, conditional sales or other title retention agreement, right of first refusal, preemptive right, pledge, option, charge, security interest or other similar interest, easement, judgment or imperfection of title of any nature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371" w:right="339" w:bottom="1440" w:gutter="0" w:footer="0" w:header="0"/>
        </w:sectPr>
      </w:pPr>
    </w:p>
    <w:bookmarkStart w:id="177" w:name="page178"/>
    <w:bookmarkEnd w:id="177"/>
    <w:p>
      <w:pPr>
        <w:jc w:val="both"/>
        <w:ind w:firstLine="636"/>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means (i) Units or other equity interests in the Company (including other classes or groups thereof having such relative rights, powers and duties as may from time to time be established by the Manager, including rights, powers and/or duties senior to existing classes and groups of Units and other equity interests in the Company), (ii) Convertible Securities or other obligations, evidences of indebtedness or other securities or interests convertible or exchangeable into other equity interests in the Company and (iii) Options or warrants, or other rights to purchase or otherwise acquire other equity interests in the Company.</w:t>
      </w:r>
    </w:p>
    <w:p>
      <w:pPr>
        <w:spacing w:after="0" w:line="143" w:lineRule="exact"/>
        <w:rPr>
          <w:sz w:val="20"/>
          <w:szCs w:val="20"/>
          <w:color w:val="auto"/>
        </w:rPr>
      </w:pPr>
    </w:p>
    <w:p>
      <w:pPr>
        <w:jc w:val="both"/>
        <w:ind w:right="20"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Withdrawal</w:t>
      </w:r>
      <w:r>
        <w:rPr>
          <w:rFonts w:ascii="Arial" w:cs="Arial" w:eastAsia="Arial" w:hAnsi="Arial"/>
          <w:sz w:val="21"/>
          <w:szCs w:val="21"/>
          <w:color w:val="auto"/>
        </w:rPr>
        <w:t>” means the death, retirement, resignation, expulsion, bankruptcy or dissolution of a Member or the occurrence of any other event that terminates the continued membership of a Member in the Company.</w:t>
      </w:r>
    </w:p>
    <w:p>
      <w:pPr>
        <w:spacing w:after="0" w:line="14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Exchange Act</w:t>
      </w:r>
      <w:r>
        <w:rPr>
          <w:rFonts w:ascii="Arial" w:cs="Arial" w:eastAsia="Arial" w:hAnsi="Arial"/>
          <w:sz w:val="21"/>
          <w:szCs w:val="21"/>
          <w:color w:val="auto"/>
        </w:rPr>
        <w:t>” means the Securities Exchange Act of 1934, as amended, and applicable rules and regulations thereunder, and any successor to such statute, rules or regulations. Any reference herein to a specific section, rule or regulation of the Exchange Act shall be deemed to include any corresponding provisions of future law.</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Exempt Transfer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9.1(b)</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Fair Market Value</w:t>
      </w:r>
      <w:r>
        <w:rPr>
          <w:rFonts w:ascii="Arial" w:cs="Arial" w:eastAsia="Arial" w:hAnsi="Arial"/>
          <w:sz w:val="21"/>
          <w:szCs w:val="21"/>
          <w:color w:val="auto"/>
        </w:rPr>
        <w:t xml:space="preserve">” means, with respect to any asset or equity interest, its fair market value determined according to </w:t>
      </w:r>
      <w:r>
        <w:rPr>
          <w:rFonts w:ascii="Arial" w:cs="Arial" w:eastAsia="Arial" w:hAnsi="Arial"/>
          <w:sz w:val="21"/>
          <w:szCs w:val="21"/>
          <w:u w:val="single" w:color="auto"/>
          <w:color w:val="auto"/>
        </w:rPr>
        <w:t>Article XIII</w:t>
      </w:r>
      <w:r>
        <w:rPr>
          <w:rFonts w:ascii="Arial" w:cs="Arial" w:eastAsia="Arial" w:hAnsi="Arial"/>
          <w:sz w:val="21"/>
          <w:szCs w:val="21"/>
          <w:color w:val="auto"/>
        </w:rPr>
        <w:t>.</w:t>
      </w:r>
    </w:p>
    <w:p>
      <w:pPr>
        <w:spacing w:after="0" w:line="14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Family Group</w:t>
      </w:r>
      <w:r>
        <w:rPr>
          <w:rFonts w:ascii="Arial" w:cs="Arial" w:eastAsia="Arial" w:hAnsi="Arial"/>
          <w:sz w:val="21"/>
          <w:szCs w:val="21"/>
          <w:color w:val="auto"/>
        </w:rPr>
        <w:t>” means a Member’s spouse, parents, siblings and descendants (whether by birth or adoption) and any trust or other estate planning vehicle established solely for the benefit of such Member and/or such Member’s spouse and/or such Member’s descendants (by birth or adoption), parents, siblings or dependents, or any charitable trust the grantor of which is such Member and/or member of such Member’s Family Group.</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Year</w:t>
      </w:r>
      <w:r>
        <w:rPr>
          <w:rFonts w:ascii="Arial" w:cs="Arial" w:eastAsia="Arial" w:hAnsi="Arial"/>
          <w:sz w:val="21"/>
          <w:szCs w:val="21"/>
          <w:color w:val="auto"/>
        </w:rPr>
        <w:t xml:space="preserve">” means the Company’s annual accounting period established pursuant to </w:t>
      </w:r>
      <w:r>
        <w:rPr>
          <w:rFonts w:ascii="Arial" w:cs="Arial" w:eastAsia="Arial" w:hAnsi="Arial"/>
          <w:sz w:val="21"/>
          <w:szCs w:val="21"/>
          <w:u w:val="single" w:color="auto"/>
          <w:color w:val="auto"/>
        </w:rPr>
        <w:t>Section 7.2</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Entity</w:t>
      </w:r>
      <w:r>
        <w:rPr>
          <w:rFonts w:ascii="Arial" w:cs="Arial" w:eastAsia="Arial" w:hAnsi="Arial"/>
          <w:sz w:val="20"/>
          <w:szCs w:val="20"/>
          <w:color w:val="auto"/>
        </w:rPr>
        <w:t>” means the United States of America or any other nation, any state or other political subdivision thereof, or any entity exercising executive, legislative, judicial, regulatory or administrative functions of government.</w:t>
      </w:r>
    </w:p>
    <w:p>
      <w:pPr>
        <w:spacing w:after="0" w:line="11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Holding Company Units</w:t>
      </w:r>
      <w:r>
        <w:rPr>
          <w:rFonts w:ascii="Arial" w:cs="Arial" w:eastAsia="Arial" w:hAnsi="Arial"/>
          <w:sz w:val="21"/>
          <w:szCs w:val="21"/>
          <w:color w:val="auto"/>
        </w:rPr>
        <w:t>” means units in any holding company through which Units are held.</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Imputed Underpayment Amount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4.5(d)</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Indemnified Person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6.4(a)</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Income Amount</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4.1(e)(i)</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Liquidity Event</w:t>
      </w:r>
      <w:r>
        <w:rPr>
          <w:rFonts w:ascii="Arial" w:cs="Arial" w:eastAsia="Arial" w:hAnsi="Arial"/>
          <w:sz w:val="21"/>
          <w:szCs w:val="21"/>
          <w:color w:val="auto"/>
        </w:rPr>
        <w:t>” means, whether occurring through one transaction or a series of related transactions, any liquidation, dissolution or winding up, voluntary or involuntary, of the Company.</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Managing Member</w:t>
      </w:r>
      <w:r>
        <w:rPr>
          <w:rFonts w:ascii="Arial" w:cs="Arial" w:eastAsia="Arial" w:hAnsi="Arial"/>
          <w:sz w:val="21"/>
          <w:szCs w:val="21"/>
          <w:color w:val="auto"/>
        </w:rPr>
        <w:t>” means Old PubCo or any successor Managing Member admitted to the Company in accordance with the terms of this Agreement, in its capacity as the managing member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240"/>
          </w:cols>
          <w:pgMar w:left="320" w:top="1371" w:right="339" w:bottom="1440" w:gutter="0" w:footer="0" w:header="0"/>
        </w:sectPr>
      </w:pPr>
    </w:p>
    <w:bookmarkStart w:id="178" w:name="page179"/>
    <w:bookmarkEnd w:id="178"/>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Member</w:t>
      </w:r>
      <w:r>
        <w:rPr>
          <w:rFonts w:ascii="Arial" w:cs="Arial" w:eastAsia="Arial" w:hAnsi="Arial"/>
          <w:sz w:val="21"/>
          <w:szCs w:val="21"/>
          <w:color w:val="auto"/>
        </w:rPr>
        <w:t>” means each of the Persons from time to time admitted to the Company as a member of the Company and listed as a Member in the books and records of the Company, each in its capacity as a member of the Company.</w:t>
      </w:r>
    </w:p>
    <w:p>
      <w:pPr>
        <w:spacing w:after="0" w:line="14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Member Nonrecourse Debt Minimum Gain”</w:t>
      </w:r>
      <w:r>
        <w:rPr>
          <w:rFonts w:ascii="Arial" w:cs="Arial" w:eastAsia="Arial" w:hAnsi="Arial"/>
          <w:sz w:val="21"/>
          <w:szCs w:val="21"/>
          <w:color w:val="auto"/>
        </w:rPr>
        <w:t xml:space="preserve"> means an amount with respect to each partner nonrecourse debt (as defined in Treasury Regulations Section 1.704-2(b)(4)) equal to the Company Minimum Gain that would result if such partner nonrecourse debt were treated as a nonrecourse liability (as defined in Treasury Regulations Section 1.752-1(a)(2)) determined in accordance with Treasury Regulations Section 1.704-2(i)(3).</w:t>
      </w:r>
    </w:p>
    <w:p>
      <w:pPr>
        <w:spacing w:after="0" w:line="150"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Member Nonrecourse Deductions”</w:t>
      </w:r>
      <w:r>
        <w:rPr>
          <w:rFonts w:ascii="Arial" w:cs="Arial" w:eastAsia="Arial" w:hAnsi="Arial"/>
          <w:sz w:val="21"/>
          <w:szCs w:val="21"/>
          <w:color w:val="auto"/>
        </w:rPr>
        <w:t xml:space="preserve"> has the meaning ascribed to the term “partner nonrecourse deductions” set forth in Treasury Regulations Section 1.704-2(i)(2).</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Member’s Required Tax Distribution</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4.1(e)(i)</w:t>
      </w:r>
      <w:r>
        <w:rPr>
          <w:rFonts w:ascii="Arial" w:cs="Arial" w:eastAsia="Arial" w:hAnsi="Arial"/>
          <w:sz w:val="21"/>
          <w:szCs w:val="21"/>
          <w:color w:val="auto"/>
        </w:rPr>
        <w:t>.</w:t>
      </w:r>
    </w:p>
    <w:p>
      <w:pPr>
        <w:spacing w:after="0" w:line="18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Loss</w:t>
      </w:r>
      <w:r>
        <w:rPr>
          <w:rFonts w:ascii="Arial" w:cs="Arial" w:eastAsia="Arial" w:hAnsi="Arial"/>
          <w:sz w:val="21"/>
          <w:szCs w:val="21"/>
          <w:color w:val="auto"/>
        </w:rPr>
        <w:t>” means, with respect to a Taxable Year, the excess, if any, of Losses for such Taxable Year over Profits for such Taxable Year (excluding Losses and Profits specially allocated pursuant to this Agreement).</w:t>
      </w:r>
    </w:p>
    <w:p>
      <w:pPr>
        <w:spacing w:after="0" w:line="143"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Profit</w:t>
      </w:r>
      <w:r>
        <w:rPr>
          <w:rFonts w:ascii="Arial" w:cs="Arial" w:eastAsia="Arial" w:hAnsi="Arial"/>
          <w:sz w:val="21"/>
          <w:szCs w:val="21"/>
          <w:color w:val="auto"/>
        </w:rPr>
        <w:t>” means, with respect to a Taxable Year, the excess, if any, of Profits for such Taxable Year over Losses for such Taxable Year (excluding Profits and Losses specially allocated pursuant to this Agreement).</w:t>
      </w:r>
    </w:p>
    <w:p>
      <w:pPr>
        <w:spacing w:after="0" w:line="143" w:lineRule="exact"/>
        <w:rPr>
          <w:sz w:val="20"/>
          <w:szCs w:val="20"/>
          <w:color w:val="auto"/>
        </w:rPr>
      </w:pPr>
    </w:p>
    <w:p>
      <w:pPr>
        <w:jc w:val="both"/>
        <w:ind w:firstLine="636"/>
        <w:spacing w:after="0" w:line="264" w:lineRule="auto"/>
        <w:rPr>
          <w:sz w:val="20"/>
          <w:szCs w:val="20"/>
          <w:color w:val="auto"/>
        </w:rPr>
      </w:pPr>
      <w:r>
        <w:rPr>
          <w:rFonts w:ascii="Arial" w:cs="Arial" w:eastAsia="Arial" w:hAnsi="Arial"/>
          <w:sz w:val="19"/>
          <w:szCs w:val="19"/>
          <w:b w:val="1"/>
          <w:bCs w:val="1"/>
          <w:color w:val="auto"/>
        </w:rPr>
        <w:t xml:space="preserve">“Nonrecourse Deductions” </w:t>
      </w:r>
      <w:r>
        <w:rPr>
          <w:rFonts w:ascii="Arial" w:cs="Arial" w:eastAsia="Arial" w:hAnsi="Arial"/>
          <w:sz w:val="19"/>
          <w:szCs w:val="19"/>
          <w:color w:val="auto"/>
        </w:rPr>
        <w:t>has the meaning set forth in Treasury Regulations Section 1.704-2(b)(1). The amount of</w:t>
      </w:r>
      <w:r>
        <w:rPr>
          <w:rFonts w:ascii="Arial" w:cs="Arial" w:eastAsia="Arial" w:hAnsi="Arial"/>
          <w:sz w:val="19"/>
          <w:szCs w:val="19"/>
          <w:b w:val="1"/>
          <w:bCs w:val="1"/>
          <w:color w:val="auto"/>
        </w:rPr>
        <w:t xml:space="preserve"> </w:t>
      </w:r>
      <w:r>
        <w:rPr>
          <w:rFonts w:ascii="Arial" w:cs="Arial" w:eastAsia="Arial" w:hAnsi="Arial"/>
          <w:sz w:val="19"/>
          <w:szCs w:val="19"/>
          <w:color w:val="auto"/>
        </w:rPr>
        <w:t>Nonrecourse Deductions of the Company for a Fiscal Year equals the net increase, if any, in the amount of Company Minimum Gain of the Company during that fiscal year, determined according to the provisions of Treasury Regulations Section 1.704-2(c).</w:t>
      </w:r>
    </w:p>
    <w:p>
      <w:pPr>
        <w:spacing w:after="0" w:line="12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 Agreement</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Merger Sub 2</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Parent Company</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PubCo</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NewCo Class A Common Stock</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Old PubCo</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Options</w:t>
      </w:r>
      <w:r>
        <w:rPr>
          <w:rFonts w:ascii="Arial" w:cs="Arial" w:eastAsia="Arial" w:hAnsi="Arial"/>
          <w:sz w:val="21"/>
          <w:szCs w:val="21"/>
          <w:color w:val="auto"/>
        </w:rPr>
        <w:t>” means any right, option or warrant to subscribe for, purchase or otherwise acquire any Units.</w:t>
      </w:r>
    </w:p>
    <w:p>
      <w:pPr>
        <w:spacing w:after="0" w:line="183"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Participate</w:t>
      </w:r>
      <w:r>
        <w:rPr>
          <w:rFonts w:ascii="Arial" w:cs="Arial" w:eastAsia="Arial" w:hAnsi="Arial"/>
          <w:sz w:val="21"/>
          <w:szCs w:val="21"/>
          <w:color w:val="auto"/>
        </w:rPr>
        <w:t>” (and the correlative terms “</w:t>
      </w:r>
      <w:r>
        <w:rPr>
          <w:rFonts w:ascii="Arial" w:cs="Arial" w:eastAsia="Arial" w:hAnsi="Arial"/>
          <w:sz w:val="21"/>
          <w:szCs w:val="21"/>
          <w:b w:val="1"/>
          <w:bCs w:val="1"/>
          <w:color w:val="auto"/>
        </w:rPr>
        <w:t>Participating</w:t>
      </w:r>
      <w:r>
        <w:rPr>
          <w:rFonts w:ascii="Arial" w:cs="Arial" w:eastAsia="Arial" w:hAnsi="Arial"/>
          <w:sz w:val="21"/>
          <w:szCs w:val="21"/>
          <w:color w:val="auto"/>
        </w:rPr>
        <w:t>” and “</w:t>
      </w:r>
      <w:r>
        <w:rPr>
          <w:rFonts w:ascii="Arial" w:cs="Arial" w:eastAsia="Arial" w:hAnsi="Arial"/>
          <w:sz w:val="21"/>
          <w:szCs w:val="21"/>
          <w:b w:val="1"/>
          <w:bCs w:val="1"/>
          <w:color w:val="auto"/>
        </w:rPr>
        <w:t>Participation</w:t>
      </w:r>
      <w:r>
        <w:rPr>
          <w:rFonts w:ascii="Arial" w:cs="Arial" w:eastAsia="Arial" w:hAnsi="Arial"/>
          <w:sz w:val="21"/>
          <w:szCs w:val="21"/>
          <w:color w:val="auto"/>
        </w:rPr>
        <w:t>”) includes any direct or indirect ownership interest in any enterprise or participation in the management of such enterprise, whether as an officer, director, employee, partner, sole proprietor, agent, representative, independent contractor, consultant, executive, franchisor, franchisee, creditor, owner or otherwise.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Participating Unit</w:t>
      </w:r>
      <w:r>
        <w:rPr>
          <w:rFonts w:ascii="Arial" w:cs="Arial" w:eastAsia="Arial" w:hAnsi="Arial"/>
          <w:sz w:val="19"/>
          <w:szCs w:val="19"/>
          <w:color w:val="auto"/>
        </w:rPr>
        <w:t xml:space="preserve">” means, with respect to any Distribution (or other allocation of proceeds)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or</w:t>
      </w:r>
    </w:p>
    <w:p>
      <w:pPr>
        <w:spacing w:after="0" w:line="18" w:lineRule="exact"/>
        <w:rPr>
          <w:sz w:val="20"/>
          <w:szCs w:val="20"/>
          <w:color w:val="auto"/>
        </w:rPr>
      </w:pPr>
    </w:p>
    <w:p>
      <w:pPr>
        <w:ind w:left="300" w:hanging="294"/>
        <w:spacing w:after="0"/>
        <w:tabs>
          <w:tab w:leader="none" w:pos="300" w:val="left"/>
        </w:tabs>
        <w:numPr>
          <w:ilvl w:val="0"/>
          <w:numId w:val="56"/>
        </w:numPr>
        <w:rPr>
          <w:rFonts w:ascii="Arial" w:cs="Arial" w:eastAsia="Arial" w:hAnsi="Arial"/>
          <w:sz w:val="21"/>
          <w:szCs w:val="21"/>
          <w:u w:val="single" w:color="auto"/>
          <w:color w:val="auto"/>
        </w:rPr>
      </w:pPr>
      <w:r>
        <w:rPr>
          <w:rFonts w:ascii="Arial" w:cs="Arial" w:eastAsia="Arial" w:hAnsi="Arial"/>
          <w:sz w:val="21"/>
          <w:szCs w:val="21"/>
          <w:color w:val="auto"/>
        </w:rPr>
        <w:t>hereof, any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40"/>
          </w:cols>
          <w:pgMar w:left="320" w:top="1371" w:right="339" w:bottom="1440" w:gutter="0" w:footer="0" w:header="0"/>
        </w:sectPr>
      </w:pPr>
    </w:p>
    <w:bookmarkStart w:id="179" w:name="page180"/>
    <w:bookmarkEnd w:id="179"/>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Partnership Representative</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8.3</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Permitted Transferee</w:t>
      </w:r>
      <w:r>
        <w:rPr>
          <w:rFonts w:ascii="Arial" w:cs="Arial" w:eastAsia="Arial" w:hAnsi="Arial"/>
          <w:sz w:val="20"/>
          <w:szCs w:val="20"/>
          <w:color w:val="auto"/>
        </w:rPr>
        <w:t>” means any transferee in an Exempt Transfer pursuant to clause (i) of the definition thereof.</w:t>
      </w:r>
    </w:p>
    <w:p>
      <w:pPr>
        <w:spacing w:after="0" w:line="194"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 individual or a corporation, partnership, limited liability company, trust, unincorporated organization, association or other entity.</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Prior Agreement</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Profits</w:t>
      </w:r>
      <w:r>
        <w:rPr>
          <w:rFonts w:ascii="Arial" w:cs="Arial" w:eastAsia="Arial" w:hAnsi="Arial"/>
          <w:sz w:val="21"/>
          <w:szCs w:val="21"/>
          <w:color w:val="auto"/>
        </w:rPr>
        <w:t>” or “</w:t>
      </w:r>
      <w:r>
        <w:rPr>
          <w:rFonts w:ascii="Arial" w:cs="Arial" w:eastAsia="Arial" w:hAnsi="Arial"/>
          <w:sz w:val="21"/>
          <w:szCs w:val="21"/>
          <w:b w:val="1"/>
          <w:bCs w:val="1"/>
          <w:color w:val="auto"/>
        </w:rPr>
        <w:t>Losses</w:t>
      </w:r>
      <w:r>
        <w:rPr>
          <w:rFonts w:ascii="Arial" w:cs="Arial" w:eastAsia="Arial" w:hAnsi="Arial"/>
          <w:sz w:val="21"/>
          <w:szCs w:val="21"/>
          <w:color w:val="auto"/>
        </w:rPr>
        <w:t xml:space="preserve">” means items of Company income and gain or loss and deduction for an applicable tax accounting period determined for purposes of maintaining the Capital Account of each Member under </w:t>
      </w:r>
      <w:r>
        <w:rPr>
          <w:rFonts w:ascii="Arial" w:cs="Arial" w:eastAsia="Arial" w:hAnsi="Arial"/>
          <w:sz w:val="21"/>
          <w:szCs w:val="21"/>
          <w:u w:val="single" w:color="auto"/>
          <w:color w:val="auto"/>
        </w:rPr>
        <w:t>Section 3.2</w:t>
      </w:r>
      <w:r>
        <w:rPr>
          <w:rFonts w:ascii="Arial" w:cs="Arial" w:eastAsia="Arial" w:hAnsi="Arial"/>
          <w:sz w:val="21"/>
          <w:szCs w:val="21"/>
          <w:color w:val="auto"/>
        </w:rPr>
        <w:t xml:space="preserve"> and in accordance with Section 704(b) of the Code and the Treasury Regulations promulgated thereunder.</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PubCo Board</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Reorganization Transactions</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jc w:val="both"/>
        <w:ind w:firstLine="636"/>
        <w:spacing w:after="0" w:line="23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Act</w:t>
      </w:r>
      <w:r>
        <w:rPr>
          <w:rFonts w:ascii="Arial" w:cs="Arial" w:eastAsia="Arial" w:hAnsi="Arial"/>
          <w:sz w:val="21"/>
          <w:szCs w:val="21"/>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48" w:lineRule="exact"/>
        <w:rPr>
          <w:sz w:val="20"/>
          <w:szCs w:val="20"/>
          <w:color w:val="auto"/>
        </w:rPr>
      </w:pPr>
    </w:p>
    <w:p>
      <w:pPr>
        <w:jc w:val="both"/>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Securities and Exchange Commission</w:t>
      </w:r>
      <w:r>
        <w:rPr>
          <w:rFonts w:ascii="Arial" w:cs="Arial" w:eastAsia="Arial" w:hAnsi="Arial"/>
          <w:sz w:val="21"/>
          <w:szCs w:val="21"/>
          <w:color w:val="auto"/>
        </w:rPr>
        <w:t>” means the United States Securities and Exchange Commission, including any governmental body or agency succeeding to the functions thereof.</w:t>
      </w:r>
    </w:p>
    <w:p>
      <w:pPr>
        <w:spacing w:after="0" w:line="14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Similar Law</w:t>
      </w:r>
      <w:r>
        <w:rPr>
          <w:rFonts w:ascii="Arial" w:cs="Arial" w:eastAsia="Arial" w:hAnsi="Arial"/>
          <w:sz w:val="21"/>
          <w:szCs w:val="21"/>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Section 4975 of the Code.</w:t>
      </w:r>
    </w:p>
    <w:p>
      <w:pPr>
        <w:spacing w:after="0" w:line="150" w:lineRule="exact"/>
        <w:rPr>
          <w:sz w:val="20"/>
          <w:szCs w:val="20"/>
          <w:color w:val="auto"/>
        </w:rPr>
      </w:pPr>
    </w:p>
    <w:p>
      <w:pPr>
        <w:jc w:val="both"/>
        <w:ind w:firstLine="636"/>
        <w:spacing w:after="0" w:line="22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any corporation, limited liability company, partnership, association or business entity of which (i)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(ii) if a limited liability company, partnership, association or other business entity (other than a corporation), a majority of partnership or other similar ownership interest thereof is at the time owned or controlled, directly or indirectly, by any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40"/>
          </w:cols>
          <w:pgMar w:left="320" w:top="1371" w:right="339" w:bottom="1440" w:gutter="0" w:footer="0" w:header="0"/>
        </w:sectPr>
      </w:pPr>
    </w:p>
    <w:bookmarkStart w:id="180" w:name="page181"/>
    <w:bookmarkEnd w:id="180"/>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Substituted Member</w:t>
      </w:r>
      <w:r>
        <w:rPr>
          <w:rFonts w:ascii="Arial" w:cs="Arial" w:eastAsia="Arial" w:hAnsi="Arial"/>
          <w:sz w:val="21"/>
          <w:szCs w:val="21"/>
          <w:color w:val="auto"/>
        </w:rPr>
        <w:t xml:space="preserve">” means a Person that is admitted as a Member to the Company pursuant to </w:t>
      </w:r>
      <w:r>
        <w:rPr>
          <w:rFonts w:ascii="Arial" w:cs="Arial" w:eastAsia="Arial" w:hAnsi="Arial"/>
          <w:sz w:val="21"/>
          <w:szCs w:val="21"/>
          <w:u w:val="single" w:color="auto"/>
          <w:color w:val="auto"/>
        </w:rPr>
        <w:t>Section 10.1</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Distributions</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4.1(e)</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Estimation Period</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4.1(e)(iii)</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Matters Member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8.3</w:t>
      </w:r>
      <w:r>
        <w:rPr>
          <w:rFonts w:ascii="Arial" w:cs="Arial" w:eastAsia="Arial" w:hAnsi="Arial"/>
          <w:sz w:val="21"/>
          <w:szCs w:val="21"/>
          <w:color w:val="auto"/>
        </w:rPr>
        <w:t>.</w:t>
      </w:r>
    </w:p>
    <w:p>
      <w:pPr>
        <w:spacing w:after="0" w:line="183"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Receivable Agreements</w:t>
      </w:r>
      <w:r>
        <w:rPr>
          <w:rFonts w:ascii="Arial" w:cs="Arial" w:eastAsia="Arial" w:hAnsi="Arial"/>
          <w:sz w:val="21"/>
          <w:szCs w:val="21"/>
          <w:color w:val="auto"/>
        </w:rPr>
        <w:t>” mean the Tax Receivable Agreements dated as of or about the date hereof among the Company, Old PubCo and the other parties from time to time party thereto, as amended from time to time.</w:t>
      </w:r>
    </w:p>
    <w:p>
      <w:pPr>
        <w:spacing w:after="0" w:line="143"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Sharing Agreement</w:t>
      </w:r>
      <w:r>
        <w:rPr>
          <w:rFonts w:ascii="Arial" w:cs="Arial" w:eastAsia="Arial" w:hAnsi="Arial"/>
          <w:sz w:val="21"/>
          <w:szCs w:val="21"/>
          <w:color w:val="auto"/>
        </w:rPr>
        <w:t>” means the Tax Sharing Agreement dated as of or about the date hereof among the Company and Old PubCo.</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Taxable Year</w:t>
      </w:r>
      <w:r>
        <w:rPr>
          <w:rFonts w:ascii="Arial" w:cs="Arial" w:eastAsia="Arial" w:hAnsi="Arial"/>
          <w:sz w:val="19"/>
          <w:szCs w:val="19"/>
          <w:color w:val="auto"/>
        </w:rPr>
        <w:t xml:space="preserve">” means the Company’s accounting period for federal income tax purposes determined pursuant to </w:t>
      </w:r>
      <w:r>
        <w:rPr>
          <w:rFonts w:ascii="Arial" w:cs="Arial" w:eastAsia="Arial" w:hAnsi="Arial"/>
          <w:sz w:val="19"/>
          <w:szCs w:val="19"/>
          <w:u w:val="single" w:color="auto"/>
          <w:color w:val="auto"/>
        </w:rPr>
        <w:t>Section</w:t>
      </w: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7.2</w:t>
      </w:r>
      <w:r>
        <w:rPr>
          <w:rFonts w:ascii="Arial" w:cs="Arial" w:eastAsia="Arial" w:hAnsi="Arial"/>
          <w:sz w:val="21"/>
          <w:szCs w:val="21"/>
          <w:color w:val="auto"/>
        </w:rPr>
        <w:t>.</w:t>
      </w:r>
    </w:p>
    <w:p>
      <w:pPr>
        <w:spacing w:after="0" w:line="159" w:lineRule="exact"/>
        <w:rPr>
          <w:sz w:val="20"/>
          <w:szCs w:val="20"/>
          <w:color w:val="auto"/>
        </w:rPr>
      </w:pPr>
    </w:p>
    <w:p>
      <w:pPr>
        <w:ind w:firstLine="63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Total Percentage Interest</w:t>
      </w:r>
      <w:r>
        <w:rPr>
          <w:rFonts w:ascii="Arial" w:cs="Arial" w:eastAsia="Arial" w:hAnsi="Arial"/>
          <w:sz w:val="19"/>
          <w:szCs w:val="19"/>
          <w:color w:val="auto"/>
        </w:rPr>
        <w:t>” means, with respect to any Member, the quotient obtained by dividing the number of Units (vested and unvested) then owned by such Member by the number of Units (vested and unvested) then owned by all Members.</w:t>
      </w:r>
    </w:p>
    <w:p>
      <w:pPr>
        <w:spacing w:after="0" w:line="9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9.1(a)</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Transferor’s Owner</w:t>
      </w:r>
      <w:r>
        <w:rPr>
          <w:rFonts w:ascii="Arial" w:cs="Arial" w:eastAsia="Arial" w:hAnsi="Arial"/>
          <w:sz w:val="21"/>
          <w:szCs w:val="21"/>
          <w:color w:val="auto"/>
        </w:rPr>
        <w:t xml:space="preserve">” has the meaning set forth in </w:t>
      </w:r>
      <w:r>
        <w:rPr>
          <w:rFonts w:ascii="Arial" w:cs="Arial" w:eastAsia="Arial" w:hAnsi="Arial"/>
          <w:sz w:val="21"/>
          <w:szCs w:val="21"/>
          <w:u w:val="single" w:color="auto"/>
          <w:color w:val="auto"/>
        </w:rPr>
        <w:t>Section 9.1(d)(i)</w:t>
      </w:r>
      <w:r>
        <w:rPr>
          <w:rFonts w:ascii="Arial" w:cs="Arial" w:eastAsia="Arial" w:hAnsi="Arial"/>
          <w:sz w:val="21"/>
          <w:szCs w:val="21"/>
          <w:color w:val="auto"/>
        </w:rPr>
        <w:t>.</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Treasury Regulations</w:t>
      </w:r>
      <w:r>
        <w:rPr>
          <w:rFonts w:ascii="Arial" w:cs="Arial" w:eastAsia="Arial" w:hAnsi="Arial"/>
          <w:sz w:val="21"/>
          <w:szCs w:val="21"/>
          <w:color w:val="auto"/>
        </w:rPr>
        <w:t>” means the income tax regulations promulgated under the Code, as amended.</w:t>
      </w:r>
    </w:p>
    <w:p>
      <w:pPr>
        <w:spacing w:after="0" w:line="183"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Unit</w:t>
      </w:r>
      <w:r>
        <w:rPr>
          <w:rFonts w:ascii="Arial" w:cs="Arial" w:eastAsia="Arial" w:hAnsi="Arial"/>
          <w:sz w:val="21"/>
          <w:szCs w:val="21"/>
          <w:color w:val="auto"/>
        </w:rPr>
        <w:t>” means, collectively, the Class A Common Units and such other units of the Company as may be authorized, designated or issued, as determined by the Manager from time to time after the date hereof.</w:t>
      </w:r>
    </w:p>
    <w:p>
      <w:pPr>
        <w:spacing w:after="0" w:line="143" w:lineRule="exact"/>
        <w:rPr>
          <w:sz w:val="20"/>
          <w:szCs w:val="20"/>
          <w:color w:val="auto"/>
        </w:rPr>
      </w:pPr>
    </w:p>
    <w:p>
      <w:pPr>
        <w:ind w:firstLine="63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ZoomInfo OpCo</w:t>
      </w:r>
      <w:r>
        <w:rPr>
          <w:rFonts w:ascii="Arial" w:cs="Arial" w:eastAsia="Arial" w:hAnsi="Arial"/>
          <w:sz w:val="21"/>
          <w:szCs w:val="21"/>
          <w:color w:val="auto"/>
        </w:rPr>
        <w:t>” means ZoomInfo Holdings LLC (formerly known as DiscoverOrg Holdings, LLC), a Delaware limited liability company, and its successors.</w:t>
      </w:r>
    </w:p>
    <w:p>
      <w:pPr>
        <w:spacing w:after="0" w:line="143" w:lineRule="exact"/>
        <w:rPr>
          <w:sz w:val="20"/>
          <w:szCs w:val="20"/>
          <w:color w:val="auto"/>
        </w:rPr>
      </w:pPr>
    </w:p>
    <w:p>
      <w:pPr>
        <w:jc w:val="center"/>
        <w:ind w:right="37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ZoomInfo OpCo Agreement</w:t>
      </w:r>
      <w:r>
        <w:rPr>
          <w:rFonts w:ascii="Arial" w:cs="Arial" w:eastAsia="Arial" w:hAnsi="Arial"/>
          <w:sz w:val="21"/>
          <w:szCs w:val="21"/>
          <w:color w:val="auto"/>
        </w:rPr>
        <w:t>” has the meaning set forth in the Recitals.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ORGANIZATIONAL MATTERS</w:t>
      </w:r>
    </w:p>
    <w:p>
      <w:pPr>
        <w:spacing w:after="0" w:line="1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2.1</w:t>
      </w:r>
      <w:r>
        <w:rPr>
          <w:sz w:val="20"/>
          <w:szCs w:val="20"/>
          <w:color w:val="auto"/>
        </w:rPr>
        <w:tab/>
      </w:r>
      <w:r>
        <w:rPr>
          <w:rFonts w:ascii="Arial" w:cs="Arial" w:eastAsia="Arial" w:hAnsi="Arial"/>
          <w:sz w:val="19"/>
          <w:szCs w:val="19"/>
          <w:u w:val="single" w:color="auto"/>
          <w:color w:val="auto"/>
        </w:rPr>
        <w:t>Formation of Company</w:t>
      </w:r>
      <w:r>
        <w:rPr>
          <w:rFonts w:ascii="Arial" w:cs="Arial" w:eastAsia="Arial" w:hAnsi="Arial"/>
          <w:sz w:val="19"/>
          <w:szCs w:val="19"/>
          <w:color w:val="auto"/>
        </w:rPr>
        <w:t>. The Company was formed on May 16, 2014 pursuant to the provisions of the Delaware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40"/>
          </w:cols>
          <w:pgMar w:left="320" w:top="1371" w:right="339" w:bottom="1440" w:gutter="0" w:footer="0" w:header="0"/>
        </w:sectPr>
      </w:pPr>
    </w:p>
    <w:bookmarkStart w:id="181" w:name="page182"/>
    <w:bookmarkEnd w:id="181"/>
    <w:p>
      <w:pPr>
        <w:jc w:val="both"/>
        <w:ind w:firstLine="636"/>
        <w:spacing w:after="0" w:line="238" w:lineRule="auto"/>
        <w:rPr>
          <w:sz w:val="20"/>
          <w:szCs w:val="20"/>
          <w:color w:val="auto"/>
        </w:rPr>
      </w:pPr>
      <w:r>
        <w:rPr>
          <w:rFonts w:ascii="Arial" w:cs="Arial" w:eastAsia="Arial" w:hAnsi="Arial"/>
          <w:sz w:val="19"/>
          <w:szCs w:val="19"/>
          <w:color w:val="010000"/>
        </w:rPr>
        <w:t xml:space="preserve">2.2 </w:t>
      </w:r>
      <w:r>
        <w:rPr>
          <w:rFonts w:ascii="Arial" w:cs="Arial" w:eastAsia="Arial" w:hAnsi="Arial"/>
          <w:sz w:val="19"/>
          <w:szCs w:val="19"/>
          <w:u w:val="single" w:color="auto"/>
          <w:color w:val="000000"/>
        </w:rPr>
        <w:t>Limited Liability Company Agreement</w:t>
      </w:r>
      <w:r>
        <w:rPr>
          <w:rFonts w:ascii="Arial" w:cs="Arial" w:eastAsia="Arial" w:hAnsi="Arial"/>
          <w:sz w:val="19"/>
          <w:szCs w:val="19"/>
          <w:color w:val="000000"/>
        </w:rPr>
        <w:t>. The Members hereby execute this Agreement for the purpose of establishing</w:t>
      </w:r>
      <w:r>
        <w:rPr>
          <w:rFonts w:ascii="Arial" w:cs="Arial" w:eastAsia="Arial" w:hAnsi="Arial"/>
          <w:sz w:val="19"/>
          <w:szCs w:val="19"/>
          <w:color w:val="010000"/>
        </w:rPr>
        <w:t xml:space="preserve"> </w:t>
      </w:r>
      <w:r>
        <w:rPr>
          <w:rFonts w:ascii="Arial" w:cs="Arial" w:eastAsia="Arial" w:hAnsi="Arial"/>
          <w:sz w:val="19"/>
          <w:szCs w:val="19"/>
          <w:color w:val="000000"/>
        </w:rPr>
        <w:t xml:space="preserve">the affairs of the Company and the conduct of its business in accordance with the provisions of the Delaware Act. This Agreement amends and restates the Prior Agreement in its entirety and shall constitute the “limited liability company agreement” (as that term is used in the Delaware Act) of the Company effective as of the Effective Time. The Members hereby agree that during the term of the Company set forth in </w:t>
      </w:r>
      <w:r>
        <w:rPr>
          <w:rFonts w:ascii="Arial" w:cs="Arial" w:eastAsia="Arial" w:hAnsi="Arial"/>
          <w:sz w:val="19"/>
          <w:szCs w:val="19"/>
          <w:u w:val="single" w:color="auto"/>
          <w:color w:val="000000"/>
        </w:rPr>
        <w:t>Section 2.6</w:t>
      </w:r>
      <w:r>
        <w:rPr>
          <w:rFonts w:ascii="Arial" w:cs="Arial" w:eastAsia="Arial" w:hAnsi="Arial"/>
          <w:sz w:val="19"/>
          <w:szCs w:val="19"/>
          <w:color w:val="000000"/>
        </w:rPr>
        <w:t xml:space="preserve"> the rights and obligations of the Members with respect to the Company will be determined in accordance with the terms and conditions of this Agreement and the Delaware Act. On any matter upon which this Agreement is silent, the Delaware Act shall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Arial" w:cs="Arial" w:eastAsia="Arial" w:hAnsi="Arial"/>
          <w:sz w:val="19"/>
          <w:szCs w:val="19"/>
          <w:i w:val="1"/>
          <w:iCs w:val="1"/>
          <w:color w:val="000000"/>
        </w:rPr>
        <w:t>provided further</w:t>
      </w:r>
      <w:r>
        <w:rPr>
          <w:rFonts w:ascii="Arial" w:cs="Arial" w:eastAsia="Arial" w:hAnsi="Arial"/>
          <w:sz w:val="19"/>
          <w:szCs w:val="19"/>
          <w:color w:val="000000"/>
        </w:rPr>
        <w:t>, that notwithstanding the foregoing, Section 18-210 of the Delaware Act shall not apply or be incorporated into this Agreement.</w:t>
      </w:r>
    </w:p>
    <w:p>
      <w:pPr>
        <w:spacing w:after="0" w:line="156"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010000"/>
        </w:rPr>
        <w:t xml:space="preserve">2.3 </w:t>
      </w:r>
      <w:r>
        <w:rPr>
          <w:rFonts w:ascii="Arial" w:cs="Arial" w:eastAsia="Arial" w:hAnsi="Arial"/>
          <w:sz w:val="21"/>
          <w:szCs w:val="21"/>
          <w:u w:val="single" w:color="auto"/>
          <w:color w:val="000000"/>
        </w:rPr>
        <w:t>Name</w:t>
      </w:r>
      <w:r>
        <w:rPr>
          <w:rFonts w:ascii="Arial" w:cs="Arial" w:eastAsia="Arial" w:hAnsi="Arial"/>
          <w:sz w:val="21"/>
          <w:szCs w:val="21"/>
          <w:color w:val="000000"/>
        </w:rPr>
        <w:t>. The name of the Company shall be “ZoomInfo Holdings LLC”. The Managing Member in its sole discretion</w:t>
      </w:r>
      <w:r>
        <w:rPr>
          <w:rFonts w:ascii="Arial" w:cs="Arial" w:eastAsia="Arial" w:hAnsi="Arial"/>
          <w:sz w:val="21"/>
          <w:szCs w:val="21"/>
          <w:color w:val="010000"/>
        </w:rPr>
        <w:t xml:space="preserve"> </w:t>
      </w:r>
      <w:r>
        <w:rPr>
          <w:rFonts w:ascii="Arial" w:cs="Arial" w:eastAsia="Arial" w:hAnsi="Arial"/>
          <w:sz w:val="21"/>
          <w:szCs w:val="21"/>
          <w:color w:val="000000"/>
        </w:rPr>
        <w:t>may change the name of the Company at any time and from time to time in accordance with the Delaware Act. Notification of any such change shall be given to all of the Members. The Company’s business may be conducted under its name and/or any other name or names deemed advisable by the Managing Member.</w:t>
      </w:r>
    </w:p>
    <w:p>
      <w:pPr>
        <w:spacing w:after="0" w:line="154" w:lineRule="exact"/>
        <w:rPr>
          <w:sz w:val="20"/>
          <w:szCs w:val="20"/>
          <w:color w:val="auto"/>
        </w:rPr>
      </w:pPr>
    </w:p>
    <w:p>
      <w:pPr>
        <w:jc w:val="both"/>
        <w:ind w:right="20" w:firstLine="636"/>
        <w:spacing w:after="0" w:line="239" w:lineRule="auto"/>
        <w:rPr>
          <w:sz w:val="20"/>
          <w:szCs w:val="20"/>
          <w:color w:val="auto"/>
        </w:rPr>
      </w:pPr>
      <w:r>
        <w:rPr>
          <w:rFonts w:ascii="Arial" w:cs="Arial" w:eastAsia="Arial" w:hAnsi="Arial"/>
          <w:sz w:val="21"/>
          <w:szCs w:val="21"/>
          <w:color w:val="010000"/>
        </w:rPr>
        <w:t xml:space="preserve">2.4 </w:t>
      </w:r>
      <w:r>
        <w:rPr>
          <w:rFonts w:ascii="Arial" w:cs="Arial" w:eastAsia="Arial" w:hAnsi="Arial"/>
          <w:sz w:val="21"/>
          <w:szCs w:val="21"/>
          <w:u w:val="single" w:color="auto"/>
          <w:color w:val="000000"/>
        </w:rPr>
        <w:t>Purpose</w:t>
      </w:r>
      <w:r>
        <w:rPr>
          <w:rFonts w:ascii="Arial" w:cs="Arial" w:eastAsia="Arial" w:hAnsi="Arial"/>
          <w:sz w:val="21"/>
          <w:szCs w:val="21"/>
          <w:color w:val="000000"/>
        </w:rPr>
        <w:t>. The purpose and business of the Company shall be any business which may lawfully be conducted by a</w:t>
      </w:r>
      <w:r>
        <w:rPr>
          <w:rFonts w:ascii="Arial" w:cs="Arial" w:eastAsia="Arial" w:hAnsi="Arial"/>
          <w:sz w:val="21"/>
          <w:szCs w:val="21"/>
          <w:color w:val="010000"/>
        </w:rPr>
        <w:t xml:space="preserve"> </w:t>
      </w:r>
      <w:r>
        <w:rPr>
          <w:rFonts w:ascii="Arial" w:cs="Arial" w:eastAsia="Arial" w:hAnsi="Arial"/>
          <w:sz w:val="21"/>
          <w:szCs w:val="21"/>
          <w:color w:val="000000"/>
        </w:rPr>
        <w:t>limited liability company formed pursuant to the Delaware Act.</w:t>
      </w:r>
    </w:p>
    <w:p>
      <w:pPr>
        <w:spacing w:after="0" w:line="155"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20"/>
          <w:szCs w:val="20"/>
          <w:color w:val="010000"/>
        </w:rPr>
        <w:t xml:space="preserve">2.5 </w:t>
      </w:r>
      <w:r>
        <w:rPr>
          <w:rFonts w:ascii="Arial" w:cs="Arial" w:eastAsia="Arial" w:hAnsi="Arial"/>
          <w:sz w:val="20"/>
          <w:szCs w:val="20"/>
          <w:u w:val="single" w:color="auto"/>
          <w:color w:val="000000"/>
        </w:rPr>
        <w:t>Principal Office; Registered Office</w:t>
      </w:r>
      <w:r>
        <w:rPr>
          <w:rFonts w:ascii="Arial" w:cs="Arial" w:eastAsia="Arial" w:hAnsi="Arial"/>
          <w:sz w:val="20"/>
          <w:szCs w:val="20"/>
          <w:color w:val="000000"/>
        </w:rPr>
        <w:t>. The principal office of the Company shall be at 805 Broadway Street, Suite 900,</w:t>
      </w:r>
      <w:r>
        <w:rPr>
          <w:rFonts w:ascii="Arial" w:cs="Arial" w:eastAsia="Arial" w:hAnsi="Arial"/>
          <w:sz w:val="20"/>
          <w:szCs w:val="20"/>
          <w:color w:val="010000"/>
        </w:rPr>
        <w:t xml:space="preserve"> </w:t>
      </w:r>
      <w:r>
        <w:rPr>
          <w:rFonts w:ascii="Arial" w:cs="Arial" w:eastAsia="Arial" w:hAnsi="Arial"/>
          <w:sz w:val="20"/>
          <w:szCs w:val="20"/>
          <w:color w:val="000000"/>
        </w:rPr>
        <w:t>Vancouver, WA 98660, or such other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Delaware shall be 1209 Orange Street, City of Wilmington, County of New Castle, Delaware 19801, and the registered agent for service of process on the Company in the State of Delaware at such registered office shall be The Corporation Trust Company.</w:t>
      </w:r>
    </w:p>
    <w:p>
      <w:pPr>
        <w:spacing w:after="0" w:line="156"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20"/>
          <w:szCs w:val="20"/>
          <w:color w:val="010000"/>
        </w:rPr>
        <w:t xml:space="preserve">2.6 </w:t>
      </w:r>
      <w:r>
        <w:rPr>
          <w:rFonts w:ascii="Arial" w:cs="Arial" w:eastAsia="Arial" w:hAnsi="Arial"/>
          <w:sz w:val="20"/>
          <w:szCs w:val="20"/>
          <w:u w:val="single" w:color="auto"/>
          <w:color w:val="000000"/>
        </w:rPr>
        <w:t>Term</w:t>
      </w:r>
      <w:r>
        <w:rPr>
          <w:rFonts w:ascii="Arial" w:cs="Arial" w:eastAsia="Arial" w:hAnsi="Arial"/>
          <w:sz w:val="20"/>
          <w:szCs w:val="20"/>
          <w:color w:val="000000"/>
        </w:rPr>
        <w:t>. The term of the Company commenced upon the filing of the Certificate in accordance with the Delaware Act</w:t>
      </w:r>
      <w:r>
        <w:rPr>
          <w:rFonts w:ascii="Arial" w:cs="Arial" w:eastAsia="Arial" w:hAnsi="Arial"/>
          <w:sz w:val="20"/>
          <w:szCs w:val="20"/>
          <w:color w:val="010000"/>
        </w:rPr>
        <w:t xml:space="preserve"> </w:t>
      </w:r>
      <w:r>
        <w:rPr>
          <w:rFonts w:ascii="Arial" w:cs="Arial" w:eastAsia="Arial" w:hAnsi="Arial"/>
          <w:sz w:val="20"/>
          <w:szCs w:val="20"/>
          <w:color w:val="000000"/>
        </w:rPr>
        <w:t xml:space="preserve">and shall continue in existence until dissolution thereof in accordance with the provisions of </w:t>
      </w:r>
      <w:r>
        <w:rPr>
          <w:rFonts w:ascii="Arial" w:cs="Arial" w:eastAsia="Arial" w:hAnsi="Arial"/>
          <w:sz w:val="20"/>
          <w:szCs w:val="20"/>
          <w:u w:val="single" w:color="auto"/>
          <w:color w:val="000000"/>
        </w:rPr>
        <w:t>Article XII</w:t>
      </w:r>
      <w:r>
        <w:rPr>
          <w:rFonts w:ascii="Arial" w:cs="Arial" w:eastAsia="Arial" w:hAnsi="Arial"/>
          <w:sz w:val="20"/>
          <w:szCs w:val="20"/>
          <w:color w:val="000000"/>
        </w:rPr>
        <w:t>. The existence of the Company as a separate legal entity shall continue until cancellation of the Certificate as provided in the Delaware Act.</w:t>
      </w:r>
    </w:p>
    <w:p>
      <w:pPr>
        <w:spacing w:after="0" w:line="152"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010000"/>
        </w:rPr>
        <w:t xml:space="preserve">2.7 </w:t>
      </w:r>
      <w:r>
        <w:rPr>
          <w:rFonts w:ascii="Arial" w:cs="Arial" w:eastAsia="Arial" w:hAnsi="Arial"/>
          <w:sz w:val="21"/>
          <w:szCs w:val="21"/>
          <w:u w:val="single" w:color="auto"/>
          <w:color w:val="000000"/>
        </w:rPr>
        <w:t>No State-Law Partnership</w:t>
      </w:r>
      <w:r>
        <w:rPr>
          <w:rFonts w:ascii="Arial" w:cs="Arial" w:eastAsia="Arial" w:hAnsi="Arial"/>
          <w:sz w:val="21"/>
          <w:szCs w:val="21"/>
          <w:color w:val="000000"/>
        </w:rPr>
        <w:t>. The Members intend that the Company not be a partnership (including, without</w:t>
      </w:r>
      <w:r>
        <w:rPr>
          <w:rFonts w:ascii="Arial" w:cs="Arial" w:eastAsia="Arial" w:hAnsi="Arial"/>
          <w:sz w:val="21"/>
          <w:szCs w:val="21"/>
          <w:color w:val="010000"/>
        </w:rPr>
        <w:t xml:space="preserve"> </w:t>
      </w:r>
      <w:r>
        <w:rPr>
          <w:rFonts w:ascii="Arial" w:cs="Arial" w:eastAsia="Arial" w:hAnsi="Arial"/>
          <w:sz w:val="21"/>
          <w:szCs w:val="21"/>
          <w:color w:val="000000"/>
        </w:rPr>
        <w:t>limitation, a limited partnership) or joint venture, and that no Member be a partner or joint venturer of any other Member by virtue of this Agreement, and neither this Agreement nor any other document entered into by the Company or any Member relating to the subject matter hereof shall be construed to suggest otherwise.</w:t>
      </w:r>
    </w:p>
    <w:p>
      <w:pPr>
        <w:spacing w:after="0" w:line="154" w:lineRule="exact"/>
        <w:rPr>
          <w:sz w:val="20"/>
          <w:szCs w:val="20"/>
          <w:color w:val="auto"/>
        </w:rPr>
      </w:pPr>
    </w:p>
    <w:p>
      <w:pPr>
        <w:jc w:val="both"/>
        <w:ind w:firstLine="636"/>
        <w:spacing w:after="0" w:line="261" w:lineRule="auto"/>
        <w:rPr>
          <w:sz w:val="20"/>
          <w:szCs w:val="20"/>
          <w:color w:val="auto"/>
        </w:rPr>
      </w:pPr>
      <w:r>
        <w:rPr>
          <w:rFonts w:ascii="Arial" w:cs="Arial" w:eastAsia="Arial" w:hAnsi="Arial"/>
          <w:sz w:val="19"/>
          <w:szCs w:val="19"/>
          <w:color w:val="010000"/>
        </w:rPr>
        <w:t xml:space="preserve">2.8 </w:t>
      </w:r>
      <w:r>
        <w:rPr>
          <w:rFonts w:ascii="Arial" w:cs="Arial" w:eastAsia="Arial" w:hAnsi="Arial"/>
          <w:sz w:val="19"/>
          <w:szCs w:val="19"/>
          <w:u w:val="single" w:color="auto"/>
          <w:color w:val="000000"/>
        </w:rPr>
        <w:t>Tax Treatment</w:t>
      </w:r>
      <w:r>
        <w:rPr>
          <w:rFonts w:ascii="Arial" w:cs="Arial" w:eastAsia="Arial" w:hAnsi="Arial"/>
          <w:sz w:val="19"/>
          <w:szCs w:val="19"/>
          <w:color w:val="000000"/>
        </w:rPr>
        <w:t>. The Members intend that the Company shall be treated as a partnership for U.S. federal and</w:t>
      </w:r>
      <w:r>
        <w:rPr>
          <w:rFonts w:ascii="Arial" w:cs="Arial" w:eastAsia="Arial" w:hAnsi="Arial"/>
          <w:sz w:val="19"/>
          <w:szCs w:val="19"/>
          <w:color w:val="010000"/>
        </w:rPr>
        <w:t xml:space="preserve"> </w:t>
      </w:r>
      <w:r>
        <w:rPr>
          <w:rFonts w:ascii="Arial" w:cs="Arial" w:eastAsia="Arial" w:hAnsi="Arial"/>
          <w:sz w:val="19"/>
          <w:szCs w:val="19"/>
          <w:color w:val="000000"/>
        </w:rPr>
        <w:t>applicable state or local income tax purposes, and that each Member and the Company shall file all tax returns and shall otherwise take all tax and financial reporting positions in a manner consistent with and actions necessary to obtain such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40"/>
          </w:cols>
          <w:pgMar w:left="320" w:top="1377" w:right="339" w:bottom="1440" w:gutter="0" w:footer="0" w:header="0"/>
        </w:sectPr>
      </w:pPr>
    </w:p>
    <w:bookmarkStart w:id="182" w:name="page183"/>
    <w:bookmarkEnd w:id="182"/>
    <w:p>
      <w:pPr>
        <w:ind w:firstLine="636"/>
        <w:spacing w:after="0" w:line="263" w:lineRule="auto"/>
        <w:rPr>
          <w:sz w:val="20"/>
          <w:szCs w:val="20"/>
          <w:color w:val="auto"/>
        </w:rPr>
      </w:pPr>
      <w:r>
        <w:rPr>
          <w:rFonts w:ascii="Arial" w:cs="Arial" w:eastAsia="Arial" w:hAnsi="Arial"/>
          <w:sz w:val="20"/>
          <w:szCs w:val="20"/>
          <w:color w:val="010000"/>
        </w:rPr>
        <w:t xml:space="preserve">2.9 </w:t>
      </w:r>
      <w:r>
        <w:rPr>
          <w:rFonts w:ascii="Arial" w:cs="Arial" w:eastAsia="Arial" w:hAnsi="Arial"/>
          <w:sz w:val="20"/>
          <w:szCs w:val="20"/>
          <w:u w:val="single" w:color="auto"/>
          <w:color w:val="000000"/>
        </w:rPr>
        <w:t>Prior Agreements</w:t>
      </w:r>
      <w:r>
        <w:rPr>
          <w:rFonts w:ascii="Arial" w:cs="Arial" w:eastAsia="Arial" w:hAnsi="Arial"/>
          <w:sz w:val="20"/>
          <w:szCs w:val="20"/>
          <w:color w:val="000000"/>
        </w:rPr>
        <w:t>. For the avoidance of doubt, all prior limited liability company agreements amongst the Company</w:t>
      </w:r>
      <w:r>
        <w:rPr>
          <w:rFonts w:ascii="Arial" w:cs="Arial" w:eastAsia="Arial" w:hAnsi="Arial"/>
          <w:sz w:val="20"/>
          <w:szCs w:val="20"/>
          <w:color w:val="010000"/>
        </w:rPr>
        <w:t xml:space="preserve"> </w:t>
      </w:r>
      <w:r>
        <w:rPr>
          <w:rFonts w:ascii="Arial" w:cs="Arial" w:eastAsia="Arial" w:hAnsi="Arial"/>
          <w:sz w:val="20"/>
          <w:szCs w:val="20"/>
          <w:color w:val="000000"/>
        </w:rPr>
        <w:t>and its members, including all amendments thereto, shall govern and control for all periods prior to the date 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CAPITALIZATION; CAPITAL CONTRIBUTIONS</w:t>
      </w:r>
    </w:p>
    <w:p>
      <w:pPr>
        <w:spacing w:after="0" w:line="1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3.1</w:t>
      </w:r>
      <w:r>
        <w:rPr>
          <w:sz w:val="20"/>
          <w:szCs w:val="20"/>
          <w:color w:val="auto"/>
        </w:rPr>
        <w:tab/>
      </w:r>
      <w:r>
        <w:rPr>
          <w:rFonts w:ascii="Arial" w:cs="Arial" w:eastAsia="Arial" w:hAnsi="Arial"/>
          <w:sz w:val="19"/>
          <w:szCs w:val="19"/>
          <w:u w:val="single" w:color="auto"/>
          <w:color w:val="auto"/>
        </w:rPr>
        <w:t>Capitalization</w:t>
      </w:r>
      <w:r>
        <w:rPr>
          <w:rFonts w:ascii="Arial" w:cs="Arial" w:eastAsia="Arial" w:hAnsi="Arial"/>
          <w:sz w:val="19"/>
          <w:szCs w:val="19"/>
          <w:color w:val="auto"/>
        </w:rPr>
        <w:t>.</w:t>
      </w:r>
    </w:p>
    <w:p>
      <w:pPr>
        <w:spacing w:after="0" w:line="183" w:lineRule="exact"/>
        <w:rPr>
          <w:sz w:val="20"/>
          <w:szCs w:val="20"/>
          <w:color w:val="auto"/>
        </w:rPr>
      </w:pPr>
    </w:p>
    <w:p>
      <w:pPr>
        <w:jc w:val="both"/>
        <w:ind w:left="320" w:firstLine="1276"/>
        <w:spacing w:after="0" w:line="231" w:lineRule="auto"/>
        <w:tabs>
          <w:tab w:leader="none" w:pos="2081" w:val="left"/>
        </w:tabs>
        <w:numPr>
          <w:ilvl w:val="0"/>
          <w:numId w:val="57"/>
        </w:numPr>
        <w:rPr>
          <w:rFonts w:ascii="Arial" w:cs="Arial" w:eastAsia="Arial" w:hAnsi="Arial"/>
          <w:sz w:val="20"/>
          <w:szCs w:val="20"/>
          <w:color w:val="auto"/>
        </w:rPr>
      </w:pPr>
      <w:r>
        <w:rPr>
          <w:rFonts w:ascii="Arial" w:cs="Arial" w:eastAsia="Arial" w:hAnsi="Arial"/>
          <w:sz w:val="20"/>
          <w:szCs w:val="20"/>
          <w:color w:val="auto"/>
        </w:rPr>
        <w:t>Each Member shall hold Units, and the relative rights, privileges, preferences and obligations with respect to each Member’s Units shall be determined under this Agreement and the Delaware Act based upon the number and the class of Units held by such Member. The number and the class of Units held by each Member shall be set forth in the books and records of the Company. The class of Units as of the Effective Time is as follows: “Class A Common Units.” The Members shall have no right to vote on any matter, except as may be set forth in this Agreement or required under the Delaware Act. Any such vote shall be at a meeting of the Members entitled to vote or in writing as provided herein.</w:t>
      </w:r>
    </w:p>
    <w:p>
      <w:pPr>
        <w:spacing w:after="0" w:line="155" w:lineRule="exact"/>
        <w:rPr>
          <w:rFonts w:ascii="Arial" w:cs="Arial" w:eastAsia="Arial" w:hAnsi="Arial"/>
          <w:sz w:val="20"/>
          <w:szCs w:val="20"/>
          <w:color w:val="auto"/>
        </w:rPr>
      </w:pPr>
    </w:p>
    <w:p>
      <w:pPr>
        <w:jc w:val="both"/>
        <w:ind w:left="640" w:firstLine="1274"/>
        <w:spacing w:after="0" w:line="261" w:lineRule="auto"/>
        <w:tabs>
          <w:tab w:leader="none" w:pos="2536" w:val="left"/>
        </w:tabs>
        <w:numPr>
          <w:ilvl w:val="1"/>
          <w:numId w:val="57"/>
        </w:numPr>
        <w:rPr>
          <w:rFonts w:ascii="Arial" w:cs="Arial" w:eastAsia="Arial" w:hAnsi="Arial"/>
          <w:sz w:val="19"/>
          <w:szCs w:val="19"/>
          <w:color w:val="010000"/>
        </w:rPr>
      </w:pPr>
      <w:r>
        <w:rPr>
          <w:rFonts w:ascii="Arial" w:cs="Arial" w:eastAsia="Arial" w:hAnsi="Arial"/>
          <w:sz w:val="19"/>
          <w:szCs w:val="19"/>
          <w:u w:val="single" w:color="auto"/>
          <w:color w:val="auto"/>
        </w:rPr>
        <w:t>Class A Common Units</w:t>
      </w:r>
      <w:r>
        <w:rPr>
          <w:rFonts w:ascii="Arial" w:cs="Arial" w:eastAsia="Arial" w:hAnsi="Arial"/>
          <w:sz w:val="19"/>
          <w:szCs w:val="19"/>
          <w:color w:val="auto"/>
        </w:rPr>
        <w:t>. The Class A Common Units shall have all the rights, privileges and obligations as are specifically provided for in this Agreement for Class A Common Units, and as may otherwise be generally applicable to all classes of Units, unless such application is specifically limited to one or more other classes of Units.</w:t>
      </w:r>
    </w:p>
    <w:p>
      <w:pPr>
        <w:spacing w:after="0" w:line="135" w:lineRule="exact"/>
        <w:rPr>
          <w:rFonts w:ascii="Arial" w:cs="Arial" w:eastAsia="Arial" w:hAnsi="Arial"/>
          <w:sz w:val="19"/>
          <w:szCs w:val="19"/>
          <w:color w:val="010000"/>
        </w:rPr>
      </w:pPr>
    </w:p>
    <w:p>
      <w:pPr>
        <w:jc w:val="both"/>
        <w:ind w:left="320" w:right="20" w:firstLine="1276"/>
        <w:spacing w:after="0" w:line="242" w:lineRule="auto"/>
        <w:tabs>
          <w:tab w:leader="none" w:pos="2063" w:val="left"/>
        </w:tabs>
        <w:numPr>
          <w:ilvl w:val="0"/>
          <w:numId w:val="57"/>
        </w:numPr>
        <w:rPr>
          <w:rFonts w:ascii="Arial" w:cs="Arial" w:eastAsia="Arial" w:hAnsi="Arial"/>
          <w:sz w:val="20"/>
          <w:szCs w:val="20"/>
          <w:color w:val="auto"/>
        </w:rPr>
      </w:pPr>
      <w:r>
        <w:rPr>
          <w:rFonts w:ascii="Arial" w:cs="Arial" w:eastAsia="Arial" w:hAnsi="Arial"/>
          <w:sz w:val="20"/>
          <w:szCs w:val="20"/>
          <w:color w:val="auto"/>
        </w:rPr>
        <w:t>As of the Effective Time, in connection with the Merger, all issued and outstanding membership interest of Merger Sub were automatically converted into and became the number of validly issued Class A Common Units equal to the aggregate number of shares of NewCo Class A Common Stock issued in connection with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240"/>
          </w:cols>
          <w:pgMar w:left="320" w:top="1377" w:right="339" w:bottom="1440" w:gutter="0" w:footer="0" w:header="0"/>
        </w:sectPr>
      </w:pPr>
    </w:p>
    <w:bookmarkStart w:id="183" w:name="page184"/>
    <w:bookmarkEnd w:id="183"/>
    <w:p>
      <w:pPr>
        <w:jc w:val="both"/>
        <w:ind w:firstLine="1276"/>
        <w:spacing w:after="0"/>
        <w:tabs>
          <w:tab w:leader="none" w:pos="1741"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Managing Member in its sole discretion may establish and issue, from time to time in accordance with such procedures as the Managing Member shall determine from time to time, additional Units, in one or more classes or series of Units, or other Company securities, at such price, and with such designations, preferences and relative, participating, optional or other special rights, powers and duties (which may be senior to existing Units, classes and series of Units or other Company securities), as shall be determined by the Managing Member without the approval of any Member or any other Person who may acquire an interest in any of the Units, including (i) the right of such Units to share in Profits and Losses or items thereof; (ii) the right of such Units to share in Company distributions; (iii) the rights of such Units upon dissolution and winding up of the Company; (iv) whether, and the terms and conditions upon which, the Company may or shall be required to redeem such Units (including sinking fund provisions); (v) whether such Units are issued with the privilege of conversion or exchange and, if so, the terms and conditions of such conversion or exchange; (vi) the terms and conditions upon which such Units will be issued, evidenced by certificates and assigned or transferred; (vii) the method for determining the Total Percentage Interest as to such Units; (viii) the terms and conditions of the issuance of such Units (including, without limitation, the amount and form of consideration, if any, to be received by the Company in respect thereof, the Managing Member being expressly authorized, in its sole discretion, to cause the Company to issue such Units for less than fair market value); and (ix) the right, if any, of the holder of such Units to vote on Company matters, including matters relating to the relative designations, preferences, rights, powers and duties of such Units. Notwithstanding any other provision of this Agreement, the Managing Member in its sole discretion, without the approval of any Member or any other Person, is authorized (i) to issue Units or other Company securities of any newly established class or any existing class to Members or other Persons who may acquire an interest in the Company; (ii) to amend this Agreement to reflect the creation of any such new class, the issuance of Units or other Company securities of such class, and the admission of any Person as a Member which has received Units or other Company securities; and (iii)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 Except as expressly provided in this Agreement to the contrary, any reference to “Units” shall include the Class A Common Units and Units of any other class or series that may be established in accordance with this Agreement. All Units of a particular class shall have identical rights in all respects as all other Units of such class, except in each case as otherwise specified in this Agreement.</w:t>
      </w:r>
    </w:p>
    <w:p>
      <w:pPr>
        <w:spacing w:after="0" w:line="255" w:lineRule="exact"/>
        <w:rPr>
          <w:rFonts w:ascii="Arial" w:cs="Arial" w:eastAsia="Arial" w:hAnsi="Arial"/>
          <w:sz w:val="19"/>
          <w:szCs w:val="19"/>
          <w:color w:val="auto"/>
        </w:rPr>
      </w:pPr>
    </w:p>
    <w:p>
      <w:pPr>
        <w:ind w:left="1720" w:hanging="444"/>
        <w:spacing w:after="0"/>
        <w:tabs>
          <w:tab w:leader="none" w:pos="17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All Units issued hereunder shall be uncertificated unless otherwise determined by the Managing Member.</w:t>
      </w:r>
    </w:p>
    <w:p>
      <w:pPr>
        <w:spacing w:after="0" w:line="205" w:lineRule="exact"/>
        <w:rPr>
          <w:rFonts w:ascii="Arial" w:cs="Arial" w:eastAsia="Arial" w:hAnsi="Arial"/>
          <w:sz w:val="19"/>
          <w:szCs w:val="19"/>
          <w:color w:val="auto"/>
        </w:rPr>
      </w:pPr>
    </w:p>
    <w:p>
      <w:pPr>
        <w:jc w:val="both"/>
        <w:ind w:firstLine="1276"/>
        <w:spacing w:after="0" w:line="252" w:lineRule="auto"/>
        <w:tabs>
          <w:tab w:leader="none" w:pos="1816" w:val="left"/>
        </w:tabs>
        <w:numPr>
          <w:ilvl w:val="0"/>
          <w:numId w:val="58"/>
        </w:numPr>
        <w:rPr>
          <w:rFonts w:ascii="Arial" w:cs="Arial" w:eastAsia="Arial" w:hAnsi="Arial"/>
          <w:sz w:val="19"/>
          <w:szCs w:val="19"/>
          <w:color w:val="auto"/>
        </w:rPr>
      </w:pPr>
      <w:r>
        <w:rPr>
          <w:rFonts w:ascii="Arial" w:cs="Arial" w:eastAsia="Arial" w:hAnsi="Arial"/>
          <w:sz w:val="19"/>
          <w:szCs w:val="19"/>
          <w:color w:val="auto"/>
        </w:rPr>
        <w:t>To the extent information is required to be disclosed to any Member pursuant to this Agreement or the Delaware Act, pursuant to Section 18-305(g) of the Delaware Act, each Member acknowledges and agrees that portions of this agreement may be redacted by the Managing Member or information herein may otherwise be aggregated by the Managing Member to prevent disclosure of confidential information with respect to individual allocations of Employee Incentive Units.</w:t>
      </w:r>
    </w:p>
    <w:p>
      <w:pPr>
        <w:spacing w:after="0" w:line="142" w:lineRule="exact"/>
        <w:rPr>
          <w:rFonts w:ascii="Arial" w:cs="Arial" w:eastAsia="Arial" w:hAnsi="Arial"/>
          <w:sz w:val="19"/>
          <w:szCs w:val="19"/>
          <w:color w:val="auto"/>
        </w:rPr>
      </w:pPr>
    </w:p>
    <w:p>
      <w:pPr>
        <w:jc w:val="both"/>
        <w:ind w:firstLine="1276"/>
        <w:spacing w:after="0" w:line="230" w:lineRule="auto"/>
        <w:tabs>
          <w:tab w:leader="none" w:pos="1796" w:val="left"/>
        </w:tabs>
        <w:numPr>
          <w:ilvl w:val="0"/>
          <w:numId w:val="58"/>
        </w:numPr>
        <w:rPr>
          <w:rFonts w:ascii="Arial" w:cs="Arial" w:eastAsia="Arial" w:hAnsi="Arial"/>
          <w:sz w:val="21"/>
          <w:szCs w:val="21"/>
          <w:color w:val="auto"/>
        </w:rPr>
      </w:pPr>
      <w:r>
        <w:rPr>
          <w:rFonts w:ascii="Arial" w:cs="Arial" w:eastAsia="Arial" w:hAnsi="Arial"/>
          <w:sz w:val="21"/>
          <w:szCs w:val="21"/>
          <w:color w:val="auto"/>
        </w:rPr>
        <w:t>Each Member who is issued Units by the Company pursuant to the authority of the Managing Member pursuant to Section 5.1 shall make the Capital Contributions to the Company determined by the Managing Member pursuant to the authority of the Managing Member pursuant to Section 5.1 in exchange for such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11</w:t>
      </w:r>
    </w:p>
    <w:p>
      <w:pPr>
        <w:sectPr>
          <w:pgSz w:w="11900" w:h="16838" w:orient="portrait"/>
          <w:cols w:equalWidth="0" w:num="1">
            <w:col w:w="10920"/>
          </w:cols>
          <w:pgMar w:left="640" w:top="1377" w:right="339" w:bottom="1440" w:gutter="0" w:footer="0" w:header="0"/>
        </w:sectPr>
      </w:pPr>
    </w:p>
    <w:bookmarkStart w:id="184" w:name="page185"/>
    <w:bookmarkEnd w:id="184"/>
    <w:p>
      <w:pPr>
        <w:jc w:val="both"/>
        <w:ind w:left="320" w:firstLine="1276"/>
        <w:spacing w:after="0" w:line="230" w:lineRule="auto"/>
        <w:tabs>
          <w:tab w:leader="none" w:pos="2188" w:val="left"/>
        </w:tabs>
        <w:numPr>
          <w:ilvl w:val="0"/>
          <w:numId w:val="59"/>
        </w:numPr>
        <w:rPr>
          <w:rFonts w:ascii="Arial" w:cs="Arial" w:eastAsia="Arial" w:hAnsi="Arial"/>
          <w:sz w:val="21"/>
          <w:szCs w:val="21"/>
          <w:color w:val="auto"/>
        </w:rPr>
      </w:pPr>
      <w:r>
        <w:rPr>
          <w:rFonts w:ascii="Arial" w:cs="Arial" w:eastAsia="Arial" w:hAnsi="Arial"/>
          <w:sz w:val="21"/>
          <w:szCs w:val="21"/>
          <w:color w:val="auto"/>
        </w:rPr>
        <w:t>Each Member, to the extent having the right to consent thereto, by executing this Agreement, hereby confirms, ratifies and approves the transactions contemplated by this Agreement and the other agreements and transactions referred to herein.</w:t>
      </w:r>
    </w:p>
    <w:p>
      <w:pPr>
        <w:spacing w:after="0" w:line="148" w:lineRule="exact"/>
        <w:rPr>
          <w:sz w:val="20"/>
          <w:szCs w:val="20"/>
          <w:color w:val="auto"/>
        </w:rPr>
      </w:pPr>
    </w:p>
    <w:p>
      <w:pPr>
        <w:jc w:val="both"/>
        <w:ind w:firstLine="636"/>
        <w:spacing w:after="0" w:line="236" w:lineRule="auto"/>
        <w:rPr>
          <w:sz w:val="20"/>
          <w:szCs w:val="20"/>
          <w:color w:val="auto"/>
        </w:rPr>
      </w:pPr>
      <w:r>
        <w:rPr>
          <w:rFonts w:ascii="Arial" w:cs="Arial" w:eastAsia="Arial" w:hAnsi="Arial"/>
          <w:sz w:val="19"/>
          <w:szCs w:val="19"/>
          <w:color w:val="010000"/>
        </w:rPr>
        <w:t xml:space="preserve">3.2 </w:t>
      </w:r>
      <w:r>
        <w:rPr>
          <w:rFonts w:ascii="Arial" w:cs="Arial" w:eastAsia="Arial" w:hAnsi="Arial"/>
          <w:sz w:val="19"/>
          <w:szCs w:val="19"/>
          <w:u w:val="single" w:color="auto"/>
          <w:color w:val="000000"/>
        </w:rPr>
        <w:t>Capital Accounts</w:t>
      </w:r>
      <w:r>
        <w:rPr>
          <w:rFonts w:ascii="Arial" w:cs="Arial" w:eastAsia="Arial" w:hAnsi="Arial"/>
          <w:sz w:val="19"/>
          <w:szCs w:val="19"/>
          <w:color w:val="000000"/>
        </w:rPr>
        <w:t>. A separate capital account (each, a “</w:t>
      </w:r>
      <w:r>
        <w:rPr>
          <w:rFonts w:ascii="Arial" w:cs="Arial" w:eastAsia="Arial" w:hAnsi="Arial"/>
          <w:sz w:val="19"/>
          <w:szCs w:val="19"/>
          <w:b w:val="1"/>
          <w:bCs w:val="1"/>
          <w:color w:val="000000"/>
        </w:rPr>
        <w:t>Capital Account</w:t>
      </w:r>
      <w:r>
        <w:rPr>
          <w:rFonts w:ascii="Arial" w:cs="Arial" w:eastAsia="Arial" w:hAnsi="Arial"/>
          <w:sz w:val="19"/>
          <w:szCs w:val="19"/>
          <w:color w:val="000000"/>
        </w:rPr>
        <w:t>”) shall be established for each Member and</w:t>
      </w:r>
      <w:r>
        <w:rPr>
          <w:rFonts w:ascii="Arial" w:cs="Arial" w:eastAsia="Arial" w:hAnsi="Arial"/>
          <w:sz w:val="19"/>
          <w:szCs w:val="19"/>
          <w:color w:val="010000"/>
        </w:rPr>
        <w:t xml:space="preserve"> </w:t>
      </w:r>
      <w:r>
        <w:rPr>
          <w:rFonts w:ascii="Arial" w:cs="Arial" w:eastAsia="Arial" w:hAnsi="Arial"/>
          <w:sz w:val="19"/>
          <w:szCs w:val="19"/>
          <w:color w:val="000000"/>
        </w:rPr>
        <w:t xml:space="preserve">shall be maintained in accordance with Treasury Regulations Section 1.704-1(b)(2)(iv) and this </w:t>
      </w:r>
      <w:r>
        <w:rPr>
          <w:rFonts w:ascii="Arial" w:cs="Arial" w:eastAsia="Arial" w:hAnsi="Arial"/>
          <w:sz w:val="19"/>
          <w:szCs w:val="19"/>
          <w:u w:val="single" w:color="auto"/>
          <w:color w:val="000000"/>
        </w:rPr>
        <w:t>Section 3.2</w:t>
      </w:r>
      <w:r>
        <w:rPr>
          <w:rFonts w:ascii="Arial" w:cs="Arial" w:eastAsia="Arial" w:hAnsi="Arial"/>
          <w:sz w:val="19"/>
          <w:szCs w:val="19"/>
          <w:color w:val="000000"/>
        </w:rPr>
        <w:t xml:space="preserve"> shall be interpreted and applied in a manner consistent with such regulations. In accordance with Treasury Regulations Section 1.704-1(b)(2)(iv)(f), the Company may adjust the Capital Accounts of its Members to reflect revaluations (including any unrealized income, gain or loss) of the Company’s property (including intangible assets such as goodwill), whenever it issues additional interests in the Company (including any interests issued with a zero initial Capital Account), or whenever the adjustments would otherwise be permitted under such Treasury Regulations. The Company may adjust the Capital Accounts of its Members to reflect revaluations of the property of any Subsidiary of the Company that is treated as a partnership (or entity disregarded from a partnership) for U.S. federal income tax purposes. In the event that the Capital Accounts of the Members are so adjusted, (i) the Capital Accounts of the Members shall be adjusted in accordance with Treasury Regulations Section 1.704-1(b)(2)(iv)(g) for allocations of depreciation, depletion, amortization and gain or loss, as computed for book purposes, with respect to such property and (ii) the Members’ distributive shares of depreciation, depletion, amortization and gain or loss, as computed for tax purposes, with respect to such property shall be determined so as to take account of the variation between the adjusted tax basis and Book Value of such property in the same manner as under Section 704(c) of the Code. In the event that Code Section 704(c) applies to property of the Company, the Capital Accounts of the Members shall be adjusted in accordance with Treasury Regulations Section 1.704-1(b)(2)(iv)(g) for allocations of depreciation, depletion, amortization, and gain and loss, as computed for book purposes with respect to such property. In connection with the transactions contemplated by this Agreement, the Capital Accounts of the Members shall be adjusted in accordance with Treasury Regulations Section 1.704-1(b)(2)(iv)(f) and determined as of the date hereof and the Capital Account of each Member shall be reflected in the books and records of the Company.</w:t>
      </w:r>
    </w:p>
    <w:p>
      <w:pPr>
        <w:spacing w:after="0" w:line="16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3.3 </w:t>
      </w:r>
      <w:r>
        <w:rPr>
          <w:rFonts w:ascii="Arial" w:cs="Arial" w:eastAsia="Arial" w:hAnsi="Arial"/>
          <w:sz w:val="21"/>
          <w:szCs w:val="21"/>
          <w:u w:val="single" w:color="auto"/>
          <w:color w:val="000000"/>
        </w:rPr>
        <w:t>Negative Capital Accounts</w:t>
      </w:r>
      <w:r>
        <w:rPr>
          <w:rFonts w:ascii="Arial" w:cs="Arial" w:eastAsia="Arial" w:hAnsi="Arial"/>
          <w:sz w:val="21"/>
          <w:szCs w:val="21"/>
          <w:color w:val="000000"/>
        </w:rPr>
        <w:t>. No Member shall be required to pay to any other Member or the Company any deficit or</w:t>
      </w:r>
      <w:r>
        <w:rPr>
          <w:rFonts w:ascii="Arial" w:cs="Arial" w:eastAsia="Arial" w:hAnsi="Arial"/>
          <w:sz w:val="21"/>
          <w:szCs w:val="21"/>
          <w:color w:val="010000"/>
        </w:rPr>
        <w:t xml:space="preserve"> </w:t>
      </w:r>
      <w:r>
        <w:rPr>
          <w:rFonts w:ascii="Arial" w:cs="Arial" w:eastAsia="Arial" w:hAnsi="Arial"/>
          <w:sz w:val="21"/>
          <w:szCs w:val="21"/>
          <w:color w:val="000000"/>
        </w:rPr>
        <w:t>negative balance which may exist from time to time in such Member’s Capital Account (including upon and after dissolution of the Company).</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010000"/>
        </w:rPr>
        <w:t xml:space="preserve">3.4 </w:t>
      </w:r>
      <w:r>
        <w:rPr>
          <w:rFonts w:ascii="Arial" w:cs="Arial" w:eastAsia="Arial" w:hAnsi="Arial"/>
          <w:sz w:val="21"/>
          <w:szCs w:val="21"/>
          <w:u w:val="single" w:color="auto"/>
          <w:color w:val="000000"/>
        </w:rPr>
        <w:t>No Withdrawal</w:t>
      </w:r>
      <w:r>
        <w:rPr>
          <w:rFonts w:ascii="Arial" w:cs="Arial" w:eastAsia="Arial" w:hAnsi="Arial"/>
          <w:sz w:val="21"/>
          <w:szCs w:val="21"/>
          <w:color w:val="000000"/>
        </w:rPr>
        <w:t>. No Person shall be entitled to withdraw any part of such Person’s Capital Contribution or Capital</w:t>
      </w:r>
      <w:r>
        <w:rPr>
          <w:rFonts w:ascii="Arial" w:cs="Arial" w:eastAsia="Arial" w:hAnsi="Arial"/>
          <w:sz w:val="21"/>
          <w:szCs w:val="21"/>
          <w:color w:val="010000"/>
        </w:rPr>
        <w:t xml:space="preserve"> </w:t>
      </w:r>
      <w:r>
        <w:rPr>
          <w:rFonts w:ascii="Arial" w:cs="Arial" w:eastAsia="Arial" w:hAnsi="Arial"/>
          <w:sz w:val="21"/>
          <w:szCs w:val="21"/>
          <w:color w:val="000000"/>
        </w:rPr>
        <w:t>Account or to receive any Distribution from the Company, except as expressly provided herein.</w:t>
      </w:r>
    </w:p>
    <w:p>
      <w:pPr>
        <w:spacing w:after="0" w:line="155"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010000"/>
        </w:rPr>
        <w:t xml:space="preserve">3.5 </w:t>
      </w:r>
      <w:r>
        <w:rPr>
          <w:rFonts w:ascii="Arial" w:cs="Arial" w:eastAsia="Arial" w:hAnsi="Arial"/>
          <w:sz w:val="20"/>
          <w:szCs w:val="20"/>
          <w:u w:val="single" w:color="auto"/>
          <w:color w:val="000000"/>
        </w:rPr>
        <w:t>Loans From Members</w:t>
      </w:r>
      <w:r>
        <w:rPr>
          <w:rFonts w:ascii="Arial" w:cs="Arial" w:eastAsia="Arial" w:hAnsi="Arial"/>
          <w:sz w:val="20"/>
          <w:szCs w:val="20"/>
          <w:color w:val="000000"/>
        </w:rPr>
        <w:t>. Loans by Members to the Company shall not be considered Capital Contributions. If any</w:t>
      </w:r>
      <w:r>
        <w:rPr>
          <w:rFonts w:ascii="Arial" w:cs="Arial" w:eastAsia="Arial" w:hAnsi="Arial"/>
          <w:sz w:val="20"/>
          <w:szCs w:val="20"/>
          <w:color w:val="010000"/>
        </w:rPr>
        <w:t xml:space="preserve"> </w:t>
      </w:r>
      <w:r>
        <w:rPr>
          <w:rFonts w:ascii="Arial" w:cs="Arial" w:eastAsia="Arial" w:hAnsi="Arial"/>
          <w:sz w:val="20"/>
          <w:szCs w:val="20"/>
          <w:color w:val="000000"/>
        </w:rPr>
        <w:t>Member shall advance funds to the Company in excess of the amounts required hereunder to be contributed by such Member to the capital of the Company, the making of such advances shall not result in any increase in the amount of the Capital Account of such Member. The amount of any such advances shall be a debt of the Company to such Member and shall be payable or collectible in accordance with the terms and conditions upon which such advances are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ectPr>
          <w:pgSz w:w="11900" w:h="16838" w:orient="portrait"/>
          <w:cols w:equalWidth="0" w:num="1">
            <w:col w:w="11240"/>
          </w:cols>
          <w:pgMar w:left="320" w:top="1377" w:right="339" w:bottom="1440" w:gutter="0" w:footer="0" w:header="0"/>
        </w:sectPr>
      </w:pPr>
    </w:p>
    <w:bookmarkStart w:id="185" w:name="page186"/>
    <w:bookmarkEnd w:id="185"/>
    <w:p>
      <w:pPr>
        <w:jc w:val="center"/>
        <w:ind w:right="320"/>
        <w:spacing w:after="0"/>
        <w:rPr>
          <w:sz w:val="20"/>
          <w:szCs w:val="20"/>
          <w:color w:val="auto"/>
        </w:rPr>
      </w:pPr>
      <w:r>
        <w:rPr>
          <w:rFonts w:ascii="Arial" w:cs="Arial" w:eastAsia="Arial" w:hAnsi="Arial"/>
          <w:sz w:val="21"/>
          <w:szCs w:val="21"/>
          <w:b w:val="1"/>
          <w:bCs w:val="1"/>
          <w:color w:val="auto"/>
        </w:rPr>
        <w:t>ARTICLE IV</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DISTRIBUTIONS AND ALLOCATIONS</w:t>
      </w:r>
    </w:p>
    <w:p>
      <w:pPr>
        <w:spacing w:after="0" w:line="189"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4.1</w:t>
      </w:r>
      <w:r>
        <w:rPr>
          <w:sz w:val="20"/>
          <w:szCs w:val="20"/>
          <w:color w:val="auto"/>
        </w:rPr>
        <w:tab/>
      </w:r>
      <w:r>
        <w:rPr>
          <w:rFonts w:ascii="Arial" w:cs="Arial" w:eastAsia="Arial" w:hAnsi="Arial"/>
          <w:sz w:val="20"/>
          <w:szCs w:val="20"/>
          <w:u w:val="single" w:color="auto"/>
          <w:color w:val="auto"/>
        </w:rPr>
        <w:t>Distributions</w:t>
      </w:r>
      <w:r>
        <w:rPr>
          <w:rFonts w:ascii="Arial" w:cs="Arial" w:eastAsia="Arial" w:hAnsi="Arial"/>
          <w:sz w:val="20"/>
          <w:szCs w:val="20"/>
          <w:color w:val="auto"/>
        </w:rPr>
        <w:t>.</w:t>
      </w:r>
    </w:p>
    <w:p>
      <w:pPr>
        <w:spacing w:after="0" w:line="183" w:lineRule="exact"/>
        <w:rPr>
          <w:sz w:val="20"/>
          <w:szCs w:val="20"/>
          <w:color w:val="auto"/>
        </w:rPr>
      </w:pPr>
    </w:p>
    <w:p>
      <w:pPr>
        <w:jc w:val="both"/>
        <w:ind w:firstLine="1276"/>
        <w:spacing w:after="0" w:line="231" w:lineRule="auto"/>
        <w:tabs>
          <w:tab w:leader="none" w:pos="1905"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Distributions Generally</w:t>
      </w:r>
      <w:r>
        <w:rPr>
          <w:rFonts w:ascii="Arial" w:cs="Arial" w:eastAsia="Arial" w:hAnsi="Arial"/>
          <w:sz w:val="20"/>
          <w:szCs w:val="20"/>
          <w:color w:val="auto"/>
        </w:rPr>
        <w:t>.The Managing Member may, subject to (i) any restrictions contained in the financing agreements to which the Company or any its Subsidiaries is a party, (ii) having available cash (after setting aside appropriate reserves), and (iii) any other restrictions set forth in this Agreement, make Distributions at any time and from time to time. Notwithstanding any other provision of this Agreement to the contrary, no Distribution, Tax Distribution or other payment in respect of Units shall be required to be made to any Member if, and to the extent that, such Distribution, Tax Distribution or other payment in respect of Units would not be permitted under the Delaware Act or other applicable law.</w:t>
      </w:r>
    </w:p>
    <w:p>
      <w:pPr>
        <w:spacing w:after="0" w:line="155" w:lineRule="exact"/>
        <w:rPr>
          <w:rFonts w:ascii="Arial" w:cs="Arial" w:eastAsia="Arial" w:hAnsi="Arial"/>
          <w:sz w:val="20"/>
          <w:szCs w:val="20"/>
          <w:color w:val="auto"/>
        </w:rPr>
      </w:pPr>
    </w:p>
    <w:p>
      <w:pPr>
        <w:jc w:val="both"/>
        <w:ind w:firstLine="1276"/>
        <w:spacing w:after="0" w:line="242" w:lineRule="auto"/>
        <w:tabs>
          <w:tab w:leader="none" w:pos="1758"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Operating Distributions</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4.1(e)</w:t>
      </w:r>
      <w:r>
        <w:rPr>
          <w:rFonts w:ascii="Arial" w:cs="Arial" w:eastAsia="Arial" w:hAnsi="Arial"/>
          <w:sz w:val="20"/>
          <w:szCs w:val="20"/>
          <w:color w:val="auto"/>
        </w:rPr>
        <w:t xml:space="preserve"> with respect to Tax Distribution, all Distributions by the Company other than those made in connection with a Liquidity Event pursuant to </w:t>
      </w:r>
      <w:r>
        <w:rPr>
          <w:rFonts w:ascii="Arial" w:cs="Arial" w:eastAsia="Arial" w:hAnsi="Arial"/>
          <w:sz w:val="20"/>
          <w:szCs w:val="20"/>
          <w:u w:val="single" w:color="auto"/>
          <w:color w:val="auto"/>
        </w:rPr>
        <w:t>Section 4.1(c)</w:t>
      </w:r>
      <w:r>
        <w:rPr>
          <w:rFonts w:ascii="Arial" w:cs="Arial" w:eastAsia="Arial" w:hAnsi="Arial"/>
          <w:sz w:val="20"/>
          <w:szCs w:val="20"/>
          <w:color w:val="auto"/>
        </w:rPr>
        <w:t>, shall be made or allocated to holders of Participating Units pro rata based on the number of Participating Units held by each such holder.</w:t>
      </w:r>
    </w:p>
    <w:p>
      <w:pPr>
        <w:spacing w:after="0" w:line="152" w:lineRule="exact"/>
        <w:rPr>
          <w:rFonts w:ascii="Arial" w:cs="Arial" w:eastAsia="Arial" w:hAnsi="Arial"/>
          <w:sz w:val="20"/>
          <w:szCs w:val="20"/>
          <w:color w:val="auto"/>
        </w:rPr>
      </w:pPr>
    </w:p>
    <w:p>
      <w:pPr>
        <w:jc w:val="both"/>
        <w:ind w:firstLine="1276"/>
        <w:spacing w:after="0" w:line="225" w:lineRule="auto"/>
        <w:tabs>
          <w:tab w:leader="none" w:pos="1931"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Distributions in Connection with a Liquidity Event</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4.1(e)</w:t>
      </w:r>
      <w:r>
        <w:rPr>
          <w:rFonts w:ascii="Arial" w:cs="Arial" w:eastAsia="Arial" w:hAnsi="Arial"/>
          <w:sz w:val="21"/>
          <w:szCs w:val="21"/>
          <w:color w:val="auto"/>
        </w:rPr>
        <w:t xml:space="preserve"> with respect to Tax Distribution, all Distributions by the Company, and all proceeds (whether received by the Company or directly by the Members) in connection with any Liquidity Event, shall be made or allocated among the holders of Participating Units pro rata based on the number of Participating Units held by each such holder.</w:t>
      </w:r>
    </w:p>
    <w:p>
      <w:pPr>
        <w:spacing w:after="0" w:line="154" w:lineRule="exact"/>
        <w:rPr>
          <w:rFonts w:ascii="Arial" w:cs="Arial" w:eastAsia="Arial" w:hAnsi="Arial"/>
          <w:sz w:val="21"/>
          <w:szCs w:val="21"/>
          <w:color w:val="auto"/>
        </w:rPr>
      </w:pPr>
    </w:p>
    <w:p>
      <w:pPr>
        <w:ind w:firstLine="1276"/>
        <w:spacing w:after="0" w:line="239" w:lineRule="auto"/>
        <w:tabs>
          <w:tab w:leader="none" w:pos="1824" w:val="left"/>
        </w:tabs>
        <w:numPr>
          <w:ilvl w:val="0"/>
          <w:numId w:val="60"/>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Distributions are permitted to pay the expenses properly incurred by the Managing Member in accordance with </w:t>
      </w:r>
      <w:r>
        <w:rPr>
          <w:rFonts w:ascii="Arial" w:cs="Arial" w:eastAsia="Arial" w:hAnsi="Arial"/>
          <w:sz w:val="21"/>
          <w:szCs w:val="21"/>
          <w:u w:val="single" w:color="auto"/>
          <w:color w:val="auto"/>
        </w:rPr>
        <w:t>Section 5.3(b)</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13</w:t>
      </w:r>
    </w:p>
    <w:p>
      <w:pPr>
        <w:sectPr>
          <w:pgSz w:w="11900" w:h="16838" w:orient="portrait"/>
          <w:cols w:equalWidth="0" w:num="1">
            <w:col w:w="10920"/>
          </w:cols>
          <w:pgMar w:left="640" w:top="1371" w:right="339" w:bottom="1440" w:gutter="0" w:footer="0" w:header="0"/>
        </w:sectPr>
      </w:pPr>
    </w:p>
    <w:bookmarkStart w:id="186" w:name="page187"/>
    <w:bookmarkEnd w:id="186"/>
    <w:p>
      <w:pPr>
        <w:ind w:left="1400" w:hanging="444"/>
        <w:spacing w:after="0"/>
        <w:tabs>
          <w:tab w:leader="none" w:pos="1400"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Tax Distributions</w:t>
      </w:r>
      <w:r>
        <w:rPr>
          <w:rFonts w:ascii="Arial" w:cs="Arial" w:eastAsia="Arial" w:hAnsi="Arial"/>
          <w:sz w:val="21"/>
          <w:szCs w:val="21"/>
          <w:color w:val="auto"/>
        </w:rPr>
        <w:t>.</w:t>
      </w:r>
    </w:p>
    <w:p>
      <w:pPr>
        <w:spacing w:after="0" w:line="182" w:lineRule="exact"/>
        <w:rPr>
          <w:rFonts w:ascii="Arial" w:cs="Arial" w:eastAsia="Arial" w:hAnsi="Arial"/>
          <w:sz w:val="21"/>
          <w:szCs w:val="21"/>
          <w:color w:val="auto"/>
        </w:rPr>
      </w:pPr>
    </w:p>
    <w:p>
      <w:pPr>
        <w:jc w:val="both"/>
        <w:ind w:firstLine="1274"/>
        <w:spacing w:after="0" w:line="239" w:lineRule="auto"/>
        <w:tabs>
          <w:tab w:leader="none" w:pos="1896" w:val="left"/>
        </w:tabs>
        <w:numPr>
          <w:ilvl w:val="2"/>
          <w:numId w:val="61"/>
        </w:numPr>
        <w:rPr>
          <w:rFonts w:ascii="Arial" w:cs="Arial" w:eastAsia="Arial" w:hAnsi="Arial"/>
          <w:sz w:val="19"/>
          <w:szCs w:val="19"/>
          <w:color w:val="010000"/>
        </w:rPr>
      </w:pPr>
      <w:r>
        <w:rPr>
          <w:rFonts w:ascii="Arial" w:cs="Arial" w:eastAsia="Arial" w:hAnsi="Arial"/>
          <w:sz w:val="19"/>
          <w:szCs w:val="19"/>
          <w:color w:val="auto"/>
        </w:rPr>
        <w:t>With respect to each Member the Company shall calculate the excess of (x)(A) the Income Amount allocated or allocable to such Member for the Tax Estimation Period in question and for all preceding Tax Estimation Periods, if any, within the Taxable Year containing such Tax Estimation Period multiplied by (B) the Assumed Tax Rate over</w:t>
      </w:r>
    </w:p>
    <w:p>
      <w:pPr>
        <w:spacing w:after="0" w:line="1" w:lineRule="exact"/>
        <w:rPr>
          <w:rFonts w:ascii="Arial" w:cs="Arial" w:eastAsia="Arial" w:hAnsi="Arial"/>
          <w:sz w:val="19"/>
          <w:szCs w:val="19"/>
          <w:color w:val="010000"/>
        </w:rPr>
      </w:pPr>
    </w:p>
    <w:p>
      <w:pPr>
        <w:jc w:val="both"/>
        <w:ind w:firstLine="2"/>
        <w:spacing w:after="0" w:line="232" w:lineRule="auto"/>
        <w:tabs>
          <w:tab w:leader="none" w:pos="311"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aggregate amount of all prior Tax Distributions in respect of such Taxable Year and any Distributions made to such Member pursuant to </w:t>
      </w:r>
      <w:r>
        <w:rPr>
          <w:rFonts w:ascii="Arial" w:cs="Arial" w:eastAsia="Arial" w:hAnsi="Arial"/>
          <w:sz w:val="19"/>
          <w:szCs w:val="19"/>
          <w:u w:val="single" w:color="auto"/>
          <w:color w:val="auto"/>
        </w:rPr>
        <w:t>Section 4.1(b)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4.1(c)</w:t>
      </w:r>
      <w:r>
        <w:rPr>
          <w:rFonts w:ascii="Arial" w:cs="Arial" w:eastAsia="Arial" w:hAnsi="Arial"/>
          <w:sz w:val="19"/>
          <w:szCs w:val="19"/>
          <w:color w:val="auto"/>
        </w:rPr>
        <w:t>, with respect to the Tax Estimation Period in question and any previous Tax Estimation Period falling in the Taxable Year containing the applicable Tax Estimation Period referred to in (x)</w:t>
      </w:r>
    </w:p>
    <w:p>
      <w:pPr>
        <w:spacing w:after="0" w:line="2" w:lineRule="exact"/>
        <w:rPr>
          <w:rFonts w:ascii="Arial" w:cs="Arial" w:eastAsia="Arial" w:hAnsi="Arial"/>
          <w:sz w:val="19"/>
          <w:szCs w:val="19"/>
          <w:color w:val="auto"/>
        </w:rPr>
      </w:pPr>
    </w:p>
    <w:p>
      <w:pPr>
        <w:jc w:val="both"/>
        <w:spacing w:after="0" w:line="234" w:lineRule="auto"/>
        <w:rPr>
          <w:rFonts w:ascii="Arial" w:cs="Arial" w:eastAsia="Arial" w:hAnsi="Arial"/>
          <w:sz w:val="19"/>
          <w:szCs w:val="19"/>
          <w:color w:val="auto"/>
        </w:rPr>
      </w:pPr>
      <w:r>
        <w:rPr>
          <w:rFonts w:ascii="Arial" w:cs="Arial" w:eastAsia="Arial" w:hAnsi="Arial"/>
          <w:sz w:val="19"/>
          <w:szCs w:val="19"/>
          <w:color w:val="auto"/>
        </w:rPr>
        <w:t>(A) (the amount so calculated pursuant to this sentence is herein referred to as a “</w:t>
      </w:r>
      <w:r>
        <w:rPr>
          <w:rFonts w:ascii="Arial" w:cs="Arial" w:eastAsia="Arial" w:hAnsi="Arial"/>
          <w:sz w:val="19"/>
          <w:szCs w:val="19"/>
          <w:b w:val="1"/>
          <w:bCs w:val="1"/>
          <w:color w:val="auto"/>
        </w:rPr>
        <w:t>Member’s Required Tax Distribution</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Managing Member may make adjustments in its reasonable discretion to reflect transactions</w:t>
      </w:r>
      <w:r>
        <w:rPr>
          <w:rFonts w:ascii="Arial" w:cs="Arial" w:eastAsia="Arial" w:hAnsi="Arial"/>
          <w:sz w:val="19"/>
          <w:szCs w:val="19"/>
          <w:i w:val="1"/>
          <w:iCs w:val="1"/>
          <w:color w:val="auto"/>
        </w:rPr>
        <w:t xml:space="preserve"> </w:t>
      </w:r>
      <w:r>
        <w:rPr>
          <w:rFonts w:ascii="Arial" w:cs="Arial" w:eastAsia="Arial" w:hAnsi="Arial"/>
          <w:sz w:val="19"/>
          <w:szCs w:val="19"/>
          <w:color w:val="auto"/>
        </w:rPr>
        <w:t>occurring during the Taxable Year. For purposes of this Agreement, the “</w:t>
      </w:r>
      <w:r>
        <w:rPr>
          <w:rFonts w:ascii="Arial" w:cs="Arial" w:eastAsia="Arial" w:hAnsi="Arial"/>
          <w:sz w:val="19"/>
          <w:szCs w:val="19"/>
          <w:b w:val="1"/>
          <w:bCs w:val="1"/>
          <w:color w:val="auto"/>
        </w:rPr>
        <w:t>Income Amount</w:t>
      </w:r>
      <w:r>
        <w:rPr>
          <w:rFonts w:ascii="Arial" w:cs="Arial" w:eastAsia="Arial" w:hAnsi="Arial"/>
          <w:sz w:val="19"/>
          <w:szCs w:val="19"/>
          <w:color w:val="auto"/>
        </w:rPr>
        <w:t xml:space="preserve">” for a Tax Estimation Period shall equal, with respect to any Member, the net taxable income of the Company allocated or allocable to such Member for such Tax Estimation Period (excluding any compensation paid to a Member outside of this Agreement). For the purpose of calculating the Income Amount for a Member in any Tax Estimation Period, (x) any allocation to the TA Members of loss or deduction attributable to depreciation of any asset deemed contributed to the Company by the TA Members pursuant to the deemed asset acquisition pursuant to the Original Purchase Agreement and the provisions related thereto in the Original Purchase Agreement, (y) any allocation of loss or deduction to the TA Members as a result of the use of the “remedial method” of allocations within the meaning of Treasury Regulations Section 1.704-3(d) as contemplated by the Original Purchase Agreement and pursuant to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and (z) any income or gain of the Company or Members prior to, or arising in connection with, the formation of the Company as a partnership for income tax purposes, in each case, shall not be taken into account but, for the avoidance of doubt, any allocation of income or gain to Members other than TA Members as a result of the use of the “remedial method” of allocations within the meaning of Treasury Section 1.704-3(d) as contemplated by the Original Purchase Agreement and pursuant to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shall be taken into account. In addition, any applicable adjustment to the basis of partnership property required to be made (x) in connection with the 2018 Purchase Agreement under Section 743 of the Code, including as a result of an election by the Company under Section 754 of the Code, with respect to the Carlyle Members, or (y) with respect to Intermediate Holdings under Section 743(b) of the Code in connection with an Exchange or with any transaction undertaken in connection with the IPO, in the case of clause (y) to the extent permitted by any obligations in respect of indebtedness for borrowed money of the Company or its Subsidiaries, shall not be taken into account. Except as provided in the preceding sentence, the Income Amount with respect to each Member shall otherwise be determined in accordance with </w:t>
      </w:r>
      <w:r>
        <w:rPr>
          <w:rFonts w:ascii="Arial" w:cs="Arial" w:eastAsia="Arial" w:hAnsi="Arial"/>
          <w:sz w:val="19"/>
          <w:szCs w:val="19"/>
          <w:u w:val="single" w:color="auto"/>
          <w:color w:val="auto"/>
        </w:rPr>
        <w:t>Section 4.4</w:t>
      </w:r>
      <w:r>
        <w:rPr>
          <w:rFonts w:ascii="Arial" w:cs="Arial" w:eastAsia="Arial" w:hAnsi="Arial"/>
          <w:sz w:val="19"/>
          <w:szCs w:val="19"/>
          <w:color w:val="auto"/>
        </w:rPr>
        <w:t xml:space="preserve"> hereof. Within fifteen (15) days following the end of each Tax Estimation Period, the Company shall distribute to the Members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upon the number of Units held by each such other Member, an aggregate amount of cash sufficient to provide each such other Member with a distribution at least equal to such other Member’s Required Tax Distribution (with amounts distributed pursuant to this </w:t>
      </w:r>
      <w:r>
        <w:rPr>
          <w:rFonts w:ascii="Arial" w:cs="Arial" w:eastAsia="Arial" w:hAnsi="Arial"/>
          <w:sz w:val="19"/>
          <w:szCs w:val="19"/>
          <w:u w:val="single" w:color="auto"/>
          <w:color w:val="auto"/>
        </w:rPr>
        <w:t>Section 4.1(e)</w:t>
      </w:r>
      <w:r>
        <w:rPr>
          <w:rFonts w:ascii="Arial" w:cs="Arial" w:eastAsia="Arial" w:hAnsi="Arial"/>
          <w:sz w:val="19"/>
          <w:szCs w:val="19"/>
          <w:color w:val="auto"/>
        </w:rPr>
        <w:t>, “</w:t>
      </w:r>
      <w:r>
        <w:rPr>
          <w:rFonts w:ascii="Arial" w:cs="Arial" w:eastAsia="Arial" w:hAnsi="Arial"/>
          <w:sz w:val="19"/>
          <w:szCs w:val="19"/>
          <w:b w:val="1"/>
          <w:bCs w:val="1"/>
          <w:color w:val="auto"/>
        </w:rPr>
        <w:t>Tax</w:t>
      </w:r>
      <w:r>
        <w:rPr>
          <w:rFonts w:ascii="Arial" w:cs="Arial" w:eastAsia="Arial" w:hAnsi="Arial"/>
          <w:sz w:val="19"/>
          <w:szCs w:val="19"/>
          <w:color w:val="auto"/>
        </w:rPr>
        <w:t xml:space="preserve"> </w:t>
      </w:r>
      <w:r>
        <w:rPr>
          <w:rFonts w:ascii="Arial" w:cs="Arial" w:eastAsia="Arial" w:hAnsi="Arial"/>
          <w:sz w:val="19"/>
          <w:szCs w:val="19"/>
          <w:b w:val="1"/>
          <w:bCs w:val="1"/>
          <w:color w:val="auto"/>
        </w:rPr>
        <w:t>Distributions</w:t>
      </w:r>
      <w:r>
        <w:rPr>
          <w:rFonts w:ascii="Arial" w:cs="Arial" w:eastAsia="Arial" w:hAnsi="Arial"/>
          <w:sz w:val="19"/>
          <w:szCs w:val="19"/>
          <w:color w:val="auto"/>
        </w:rPr>
        <w:t>”). Any Tax Distributions shall be treated in all respects as advances against future distributions pursuant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4.1(a)</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8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600"/>
          </w:cols>
          <w:pgMar w:left="960" w:top="1377" w:right="339" w:bottom="1440" w:gutter="0" w:footer="0" w:header="0"/>
        </w:sectPr>
      </w:pPr>
    </w:p>
    <w:bookmarkStart w:id="187" w:name="page188"/>
    <w:bookmarkEnd w:id="187"/>
    <w:p>
      <w:pPr>
        <w:jc w:val="both"/>
        <w:ind w:left="640" w:firstLine="1274"/>
        <w:spacing w:after="0" w:line="225" w:lineRule="auto"/>
        <w:tabs>
          <w:tab w:leader="none" w:pos="2542" w:val="left"/>
        </w:tabs>
        <w:numPr>
          <w:ilvl w:val="1"/>
          <w:numId w:val="63"/>
        </w:numPr>
        <w:rPr>
          <w:rFonts w:ascii="Arial" w:cs="Arial" w:eastAsia="Arial" w:hAnsi="Arial"/>
          <w:sz w:val="21"/>
          <w:szCs w:val="21"/>
          <w:color w:val="010000"/>
        </w:rPr>
      </w:pPr>
      <w:r>
        <w:rPr>
          <w:rFonts w:ascii="Arial" w:cs="Arial" w:eastAsia="Arial" w:hAnsi="Arial"/>
          <w:sz w:val="21"/>
          <w:szCs w:val="21"/>
          <w:color w:val="auto"/>
        </w:rPr>
        <w:t xml:space="preserve">If the amount of any Tax Distribution is reduced as a result of any prior Distribution taken into account under clause (y) of the first sentence of </w:t>
      </w:r>
      <w:r>
        <w:rPr>
          <w:rFonts w:ascii="Arial" w:cs="Arial" w:eastAsia="Arial" w:hAnsi="Arial"/>
          <w:sz w:val="21"/>
          <w:szCs w:val="21"/>
          <w:u w:val="single" w:color="auto"/>
          <w:color w:val="auto"/>
        </w:rPr>
        <w:t>Section 4.1(e)(i)</w:t>
      </w:r>
      <w:r>
        <w:rPr>
          <w:rFonts w:ascii="Arial" w:cs="Arial" w:eastAsia="Arial" w:hAnsi="Arial"/>
          <w:sz w:val="21"/>
          <w:szCs w:val="21"/>
          <w:color w:val="auto"/>
        </w:rPr>
        <w:t xml:space="preserve">, the amount of such prior Distribution resulting in such reduction shall be treated as a Tax Distribution for purposes of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and not a Distribution under </w:t>
      </w:r>
      <w:r>
        <w:rPr>
          <w:rFonts w:ascii="Arial" w:cs="Arial" w:eastAsia="Arial" w:hAnsi="Arial"/>
          <w:sz w:val="21"/>
          <w:szCs w:val="21"/>
          <w:u w:val="single" w:color="auto"/>
          <w:color w:val="auto"/>
        </w:rPr>
        <w:t>Section 4.1(b)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4.1(c)</w:t>
      </w:r>
      <w:r>
        <w:rPr>
          <w:rFonts w:ascii="Arial" w:cs="Arial" w:eastAsia="Arial" w:hAnsi="Arial"/>
          <w:sz w:val="21"/>
          <w:szCs w:val="21"/>
          <w:color w:val="auto"/>
        </w:rPr>
        <w:t xml:space="preserve"> regardless of whether such Distribution was labeled as such.</w:t>
      </w:r>
    </w:p>
    <w:p>
      <w:pPr>
        <w:spacing w:after="0" w:line="148" w:lineRule="exact"/>
        <w:rPr>
          <w:rFonts w:ascii="Arial" w:cs="Arial" w:eastAsia="Arial" w:hAnsi="Arial"/>
          <w:sz w:val="21"/>
          <w:szCs w:val="21"/>
          <w:color w:val="010000"/>
        </w:rPr>
      </w:pPr>
    </w:p>
    <w:p>
      <w:pPr>
        <w:jc w:val="both"/>
        <w:ind w:left="640" w:firstLine="1274"/>
        <w:spacing w:after="0" w:line="243" w:lineRule="auto"/>
        <w:tabs>
          <w:tab w:leader="none" w:pos="2548" w:val="left"/>
        </w:tabs>
        <w:numPr>
          <w:ilvl w:val="1"/>
          <w:numId w:val="63"/>
        </w:numPr>
        <w:rPr>
          <w:rFonts w:ascii="Arial" w:cs="Arial" w:eastAsia="Arial" w:hAnsi="Arial"/>
          <w:sz w:val="19"/>
          <w:szCs w:val="19"/>
          <w:color w:val="010000"/>
        </w:rPr>
      </w:pPr>
      <w:r>
        <w:rPr>
          <w:rFonts w:ascii="Arial" w:cs="Arial" w:eastAsia="Arial" w:hAnsi="Arial"/>
          <w:sz w:val="19"/>
          <w:szCs w:val="19"/>
          <w:color w:val="auto"/>
        </w:rPr>
        <w:t>For purposes of this Agreement, the “</w:t>
      </w:r>
      <w:r>
        <w:rPr>
          <w:rFonts w:ascii="Arial" w:cs="Arial" w:eastAsia="Arial" w:hAnsi="Arial"/>
          <w:sz w:val="19"/>
          <w:szCs w:val="19"/>
          <w:b w:val="1"/>
          <w:bCs w:val="1"/>
          <w:color w:val="auto"/>
        </w:rPr>
        <w:t>Assumed Tax Rate</w:t>
      </w:r>
      <w:r>
        <w:rPr>
          <w:rFonts w:ascii="Arial" w:cs="Arial" w:eastAsia="Arial" w:hAnsi="Arial"/>
          <w:sz w:val="19"/>
          <w:szCs w:val="19"/>
          <w:color w:val="auto"/>
        </w:rPr>
        <w:t>” for a Tax Estimation Period shall initially be 40%. The Managing Member shall have the authority, in its reasonable discretion, to make appropriate adjustments to the Assumed Tax Rates, which shall in any event reflect at a minimum the highest marginal combined federal and state tax rate applicable to any Member holding Class A Common Units (on a look-through basis to the ultimate owner of such Units for so long as any Member holding such Units is a pass-through entity for income tax purposes) or Class P Units. For purposes of this Agreement, “</w:t>
      </w:r>
      <w:r>
        <w:rPr>
          <w:rFonts w:ascii="Arial" w:cs="Arial" w:eastAsia="Arial" w:hAnsi="Arial"/>
          <w:sz w:val="19"/>
          <w:szCs w:val="19"/>
          <w:b w:val="1"/>
          <w:bCs w:val="1"/>
          <w:color w:val="auto"/>
        </w:rPr>
        <w:t>Tax Estimation Period</w:t>
      </w:r>
      <w:r>
        <w:rPr>
          <w:rFonts w:ascii="Arial" w:cs="Arial" w:eastAsia="Arial" w:hAnsi="Arial"/>
          <w:sz w:val="19"/>
          <w:szCs w:val="19"/>
          <w:color w:val="auto"/>
        </w:rPr>
        <w:t>” shall mean each period from January 1 through March 31, from April 1 through May 31, from June 1 through August 31, and from September 1 through December 31 of each Taxable Year.</w:t>
      </w:r>
    </w:p>
    <w:p>
      <w:pPr>
        <w:spacing w:after="0" w:line="153" w:lineRule="exact"/>
        <w:rPr>
          <w:rFonts w:ascii="Arial" w:cs="Arial" w:eastAsia="Arial" w:hAnsi="Arial"/>
          <w:sz w:val="19"/>
          <w:szCs w:val="19"/>
          <w:color w:val="010000"/>
        </w:rPr>
      </w:pPr>
    </w:p>
    <w:p>
      <w:pPr>
        <w:jc w:val="both"/>
        <w:ind w:left="640" w:firstLine="1274"/>
        <w:spacing w:after="0" w:line="225" w:lineRule="auto"/>
        <w:tabs>
          <w:tab w:leader="none" w:pos="2536" w:val="left"/>
        </w:tabs>
        <w:numPr>
          <w:ilvl w:val="1"/>
          <w:numId w:val="63"/>
        </w:numPr>
        <w:rPr>
          <w:rFonts w:ascii="Arial" w:cs="Arial" w:eastAsia="Arial" w:hAnsi="Arial"/>
          <w:sz w:val="21"/>
          <w:szCs w:val="21"/>
          <w:color w:val="010000"/>
        </w:rPr>
      </w:pPr>
      <w:r>
        <w:rPr>
          <w:rFonts w:ascii="Arial" w:cs="Arial" w:eastAsia="Arial" w:hAnsi="Arial"/>
          <w:sz w:val="21"/>
          <w:szCs w:val="21"/>
          <w:color w:val="auto"/>
        </w:rPr>
        <w:t xml:space="preserve">Notwithstanding anything to the contrary herein, no Tax Distributions will be required to be made with respect to items arising with respect to any Covered Transaction, although any unpaid Tax Distributions with respect to any Tax Estimation Period, or portion thereof, ending before a Covered Transaction shall continue to be required to be paid prior to any Distributions being made under </w:t>
      </w:r>
      <w:r>
        <w:rPr>
          <w:rFonts w:ascii="Arial" w:cs="Arial" w:eastAsia="Arial" w:hAnsi="Arial"/>
          <w:sz w:val="21"/>
          <w:szCs w:val="21"/>
          <w:u w:val="single" w:color="auto"/>
          <w:color w:val="auto"/>
        </w:rPr>
        <w:t>Section 4.1(b)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w:t>
      </w:r>
    </w:p>
    <w:p>
      <w:pPr>
        <w:spacing w:after="0" w:line="154" w:lineRule="exact"/>
        <w:rPr>
          <w:rFonts w:ascii="Arial" w:cs="Arial" w:eastAsia="Arial" w:hAnsi="Arial"/>
          <w:sz w:val="21"/>
          <w:szCs w:val="21"/>
          <w:color w:val="010000"/>
        </w:rPr>
      </w:pPr>
    </w:p>
    <w:p>
      <w:pPr>
        <w:ind w:left="320" w:right="460" w:firstLine="1276"/>
        <w:spacing w:after="0" w:line="239" w:lineRule="auto"/>
        <w:tabs>
          <w:tab w:leader="none" w:pos="2016"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Notwithstanding the provisions of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Distributions are permitted to pay the expenses properly incurred by the Managing Member in accordance with </w:t>
      </w:r>
      <w:r>
        <w:rPr>
          <w:rFonts w:ascii="Arial" w:cs="Arial" w:eastAsia="Arial" w:hAnsi="Arial"/>
          <w:sz w:val="21"/>
          <w:szCs w:val="21"/>
          <w:u w:val="single" w:color="auto"/>
          <w:color w:val="auto"/>
        </w:rPr>
        <w:t>Section 5.3(b)</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jc w:val="both"/>
        <w:ind w:left="320" w:firstLine="1276"/>
        <w:spacing w:after="0" w:line="220" w:lineRule="auto"/>
        <w:tabs>
          <w:tab w:leader="none" w:pos="2091"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Each Distribution pursuant to </w:t>
      </w:r>
      <w:r>
        <w:rPr>
          <w:rFonts w:ascii="Arial" w:cs="Arial" w:eastAsia="Arial" w:hAnsi="Arial"/>
          <w:sz w:val="21"/>
          <w:szCs w:val="21"/>
          <w:u w:val="single" w:color="auto"/>
          <w:color w:val="auto"/>
        </w:rPr>
        <w:t>Section 4.1(b)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each Distribution pursuant to </w:t>
      </w:r>
      <w:r>
        <w:rPr>
          <w:rFonts w:ascii="Arial" w:cs="Arial" w:eastAsia="Arial" w:hAnsi="Arial"/>
          <w:sz w:val="21"/>
          <w:szCs w:val="21"/>
          <w:u w:val="single" w:color="auto"/>
          <w:color w:val="auto"/>
        </w:rPr>
        <w:t>Section 4.1(e)</w:t>
      </w:r>
      <w:r>
        <w:rPr>
          <w:rFonts w:ascii="Arial" w:cs="Arial" w:eastAsia="Arial" w:hAnsi="Arial"/>
          <w:sz w:val="21"/>
          <w:szCs w:val="21"/>
          <w:color w:val="auto"/>
        </w:rPr>
        <w:t xml:space="preserve"> shall be made to the Persons shown on the Company’s books and records as Members as of the date of such Distribution;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any transferor and transferee of Units may mutually agree as to which of them should receive payment of any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Distribution under </w:t>
      </w:r>
      <w:r>
        <w:rPr>
          <w:rFonts w:ascii="Arial" w:cs="Arial" w:eastAsia="Arial" w:hAnsi="Arial"/>
          <w:sz w:val="21"/>
          <w:szCs w:val="21"/>
          <w:u w:val="single" w:color="auto"/>
          <w:color w:val="auto"/>
        </w:rPr>
        <w:t>Section 4.1(e)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xml:space="preserve">, that the Managing Member may in its reasonable discretion make a Distribution under </w:t>
      </w:r>
      <w:r>
        <w:rPr>
          <w:rFonts w:ascii="Arial" w:cs="Arial" w:eastAsia="Arial" w:hAnsi="Arial"/>
          <w:sz w:val="21"/>
          <w:szCs w:val="21"/>
          <w:u w:val="single" w:color="auto"/>
          <w:color w:val="auto"/>
        </w:rPr>
        <w:t>Section 4.1(e)</w:t>
      </w:r>
      <w:r>
        <w:rPr>
          <w:rFonts w:ascii="Arial" w:cs="Arial" w:eastAsia="Arial" w:hAnsi="Arial"/>
          <w:sz w:val="21"/>
          <w:szCs w:val="21"/>
          <w:color w:val="auto"/>
        </w:rPr>
        <w:t xml:space="preserve"> to a former Member in respect of a Taxable Year (or the portion thereof) in which such former Member was a Member.</w:t>
      </w:r>
    </w:p>
    <w:p>
      <w:pPr>
        <w:spacing w:after="0" w:line="155" w:lineRule="exact"/>
        <w:rPr>
          <w:rFonts w:ascii="Arial" w:cs="Arial" w:eastAsia="Arial" w:hAnsi="Arial"/>
          <w:sz w:val="21"/>
          <w:szCs w:val="21"/>
          <w:color w:val="auto"/>
        </w:rPr>
      </w:pPr>
    </w:p>
    <w:p>
      <w:pPr>
        <w:ind w:left="320" w:firstLine="1276"/>
        <w:spacing w:after="0" w:line="239" w:lineRule="auto"/>
        <w:tabs>
          <w:tab w:leader="none" w:pos="2064"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any non-cash Company assets distributed in kind to any Members shall be valued at their Fair Market Value in accordance with </w:t>
      </w:r>
      <w:r>
        <w:rPr>
          <w:rFonts w:ascii="Arial" w:cs="Arial" w:eastAsia="Arial" w:hAnsi="Arial"/>
          <w:sz w:val="21"/>
          <w:szCs w:val="21"/>
          <w:u w:val="single" w:color="auto"/>
          <w:color w:val="auto"/>
        </w:rPr>
        <w:t>Article XIII</w:t>
      </w:r>
      <w:r>
        <w:rPr>
          <w:rFonts w:ascii="Arial" w:cs="Arial" w:eastAsia="Arial" w:hAnsi="Arial"/>
          <w:sz w:val="21"/>
          <w:szCs w:val="21"/>
          <w:color w:val="auto"/>
        </w:rPr>
        <w:t>.</w:t>
      </w:r>
    </w:p>
    <w:p>
      <w:pPr>
        <w:spacing w:after="0" w:line="155"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Allocations of Net Profit and Net Loss</w:t>
      </w:r>
      <w:r>
        <w:rPr>
          <w:rFonts w:ascii="Arial" w:cs="Arial" w:eastAsia="Arial" w:hAnsi="Arial"/>
          <w:sz w:val="19"/>
          <w:szCs w:val="19"/>
          <w:color w:val="000000"/>
        </w:rPr>
        <w:t>. Except as otherwise provided in this Agreement, including</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Section 4.3</w:t>
      </w:r>
      <w:r>
        <w:rPr>
          <w:rFonts w:ascii="Arial" w:cs="Arial" w:eastAsia="Arial" w:hAnsi="Arial"/>
          <w:sz w:val="19"/>
          <w:szCs w:val="19"/>
          <w:color w:val="000000"/>
        </w:rPr>
        <w:t>, Net</w:t>
      </w:r>
      <w:r>
        <w:rPr>
          <w:rFonts w:ascii="Arial" w:cs="Arial" w:eastAsia="Arial" w:hAnsi="Arial"/>
          <w:sz w:val="19"/>
          <w:szCs w:val="19"/>
          <w:color w:val="010000"/>
        </w:rPr>
        <w:t xml:space="preserve"> </w:t>
      </w:r>
      <w:r>
        <w:rPr>
          <w:rFonts w:ascii="Arial" w:cs="Arial" w:eastAsia="Arial" w:hAnsi="Arial"/>
          <w:sz w:val="19"/>
          <w:szCs w:val="19"/>
          <w:color w:val="000000"/>
        </w:rPr>
        <w:t xml:space="preserve">Profits and Net Losses (and, to the extent necessary, individual items of income, gain or loss or deduction of the Company) shall be allocated among the Capital Accounts of the Members in a manner such that, after such allocations have been made, the balance of each Member’s Capital Account (which may be a positive, negative or zero balance) will equal the amount that would be distributed to such Member, determined as if the Company were to sell all of its assets for the Book Value thereof and distribute the proceeds thereof pursuant to </w:t>
      </w:r>
      <w:r>
        <w:rPr>
          <w:rFonts w:ascii="Arial" w:cs="Arial" w:eastAsia="Arial" w:hAnsi="Arial"/>
          <w:sz w:val="19"/>
          <w:szCs w:val="19"/>
          <w:u w:val="single" w:color="auto"/>
          <w:color w:val="000000"/>
        </w:rPr>
        <w:t>Section 12.2</w:t>
      </w:r>
      <w:r>
        <w:rPr>
          <w:rFonts w:ascii="Arial" w:cs="Arial" w:eastAsia="Arial" w:hAnsi="Arial"/>
          <w:sz w:val="19"/>
          <w:szCs w:val="19"/>
          <w:color w:val="000000"/>
        </w:rPr>
        <w:t xml:space="preserve"> and the other relevant provisions of this Agreement. Notwithstanding the foregoing, the Managing Member in its sole discretion shall make allocations for tax purposes as may be needed to ensure that allocations are in accordance with the interests of the Members within the meaning of the Code and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240"/>
          </w:cols>
          <w:pgMar w:left="320" w:top="1377" w:right="339" w:bottom="1440" w:gutter="0" w:footer="0" w:header="0"/>
        </w:sectPr>
      </w:pPr>
    </w:p>
    <w:bookmarkStart w:id="188" w:name="page189"/>
    <w:bookmarkEnd w:id="188"/>
    <w:p>
      <w:pPr>
        <w:ind w:left="320"/>
        <w:spacing w:after="0"/>
        <w:tabs>
          <w:tab w:leader="none" w:pos="940" w:val="left"/>
        </w:tabs>
        <w:rPr>
          <w:sz w:val="20"/>
          <w:szCs w:val="20"/>
          <w:color w:val="auto"/>
        </w:rPr>
      </w:pPr>
      <w:r>
        <w:rPr>
          <w:rFonts w:ascii="Arial" w:cs="Arial" w:eastAsia="Arial" w:hAnsi="Arial"/>
          <w:sz w:val="21"/>
          <w:szCs w:val="21"/>
          <w:color w:val="010000"/>
        </w:rPr>
        <w:t>4.3</w:t>
      </w:r>
      <w:r>
        <w:rPr>
          <w:sz w:val="20"/>
          <w:szCs w:val="20"/>
          <w:color w:val="auto"/>
        </w:rPr>
        <w:tab/>
      </w:r>
      <w:r>
        <w:rPr>
          <w:rFonts w:ascii="Arial" w:cs="Arial" w:eastAsia="Arial" w:hAnsi="Arial"/>
          <w:sz w:val="19"/>
          <w:szCs w:val="19"/>
          <w:u w:val="single" w:color="auto"/>
          <w:color w:val="auto"/>
        </w:rPr>
        <w:t>Special Allocation</w:t>
      </w:r>
      <w:r>
        <w:rPr>
          <w:rFonts w:ascii="Arial" w:cs="Arial" w:eastAsia="Arial" w:hAnsi="Arial"/>
          <w:sz w:val="19"/>
          <w:szCs w:val="19"/>
          <w:color w:val="auto"/>
        </w:rPr>
        <w:t>. Notwithstanding any other provision in this</w:t>
      </w:r>
      <w:r>
        <w:rPr>
          <w:rFonts w:ascii="Arial" w:cs="Arial" w:eastAsia="Arial" w:hAnsi="Arial"/>
          <w:sz w:val="19"/>
          <w:szCs w:val="19"/>
          <w:u w:val="single" w:color="auto"/>
          <w:color w:val="auto"/>
        </w:rPr>
        <w:t xml:space="preserve"> Article IV</w:t>
      </w:r>
      <w:r>
        <w:rPr>
          <w:rFonts w:ascii="Arial" w:cs="Arial" w:eastAsia="Arial" w:hAnsi="Arial"/>
          <w:sz w:val="19"/>
          <w:szCs w:val="19"/>
          <w:color w:val="auto"/>
        </w:rPr>
        <w:t>:</w:t>
      </w:r>
    </w:p>
    <w:p>
      <w:pPr>
        <w:spacing w:after="0" w:line="183" w:lineRule="exact"/>
        <w:rPr>
          <w:sz w:val="20"/>
          <w:szCs w:val="20"/>
          <w:color w:val="auto"/>
        </w:rPr>
      </w:pPr>
    </w:p>
    <w:p>
      <w:pPr>
        <w:jc w:val="both"/>
        <w:ind w:firstLine="1276"/>
        <w:spacing w:after="0" w:line="217" w:lineRule="auto"/>
        <w:tabs>
          <w:tab w:leader="none" w:pos="173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Minimum Gain Chargeback</w:t>
      </w:r>
      <w:r>
        <w:rPr>
          <w:rFonts w:ascii="Arial" w:cs="Arial" w:eastAsia="Arial" w:hAnsi="Arial"/>
          <w:sz w:val="21"/>
          <w:szCs w:val="21"/>
          <w:color w:val="auto"/>
        </w:rPr>
        <w:t xml:space="preserve">. If there is a net decrease in Company Minimum Gain or Member Nonrecourse Debt Minimum Gain (determined in accordance with the principles of Treasury Regulations Sections 1.704-2(d) and 1.704-2(i)) during any Company taxable year, the Members shall be specially allocated items of Company income and gain for such year (and, if necessary, subsequent years) in an amount equal to their respective shares of such net decrease during such year, determined pursuant to Treasury Regulations Sections 1.704-2(g) and 1.704-2(i)(5). The items to be so allocated shall be determined in accordance with Treasury Regulations Section 1.704-2(f). This </w:t>
      </w:r>
      <w:r>
        <w:rPr>
          <w:rFonts w:ascii="Arial" w:cs="Arial" w:eastAsia="Arial" w:hAnsi="Arial"/>
          <w:sz w:val="21"/>
          <w:szCs w:val="21"/>
          <w:u w:val="single" w:color="auto"/>
          <w:color w:val="auto"/>
        </w:rPr>
        <w:t>Section 4.3(a)</w:t>
      </w:r>
      <w:r>
        <w:rPr>
          <w:rFonts w:ascii="Arial" w:cs="Arial" w:eastAsia="Arial" w:hAnsi="Arial"/>
          <w:sz w:val="21"/>
          <w:szCs w:val="21"/>
          <w:color w:val="auto"/>
        </w:rPr>
        <w:t xml:space="preserve"> is intended to comply with the minimum gain chargeback requirements in such Treasury Regulations Sections and shall be interpreted consistently therewith; including that no chargeback shall be required to the extent of the exceptions provided in Treasury Regulations Sections 1.704-2(f) and 1.704-2(i)(4).</w:t>
      </w:r>
    </w:p>
    <w:p>
      <w:pPr>
        <w:spacing w:after="0" w:line="154" w:lineRule="exact"/>
        <w:rPr>
          <w:rFonts w:ascii="Arial" w:cs="Arial" w:eastAsia="Arial" w:hAnsi="Arial"/>
          <w:sz w:val="21"/>
          <w:szCs w:val="21"/>
          <w:color w:val="auto"/>
        </w:rPr>
      </w:pPr>
    </w:p>
    <w:p>
      <w:pPr>
        <w:jc w:val="both"/>
        <w:ind w:firstLine="1276"/>
        <w:spacing w:after="0" w:line="228" w:lineRule="auto"/>
        <w:tabs>
          <w:tab w:leader="none" w:pos="2009" w:val="left"/>
        </w:tabs>
        <w:numPr>
          <w:ilvl w:val="0"/>
          <w:numId w:val="65"/>
        </w:numPr>
        <w:rPr>
          <w:rFonts w:ascii="Arial" w:cs="Arial" w:eastAsia="Arial" w:hAnsi="Arial"/>
          <w:sz w:val="20"/>
          <w:szCs w:val="20"/>
          <w:color w:val="auto"/>
        </w:rPr>
      </w:pPr>
      <w:r>
        <w:rPr>
          <w:rFonts w:ascii="Arial" w:cs="Arial" w:eastAsia="Arial" w:hAnsi="Arial"/>
          <w:sz w:val="20"/>
          <w:szCs w:val="20"/>
          <w:u w:val="single" w:color="auto"/>
          <w:color w:val="auto"/>
        </w:rPr>
        <w:t>Qualified Income Offset</w:t>
      </w:r>
      <w:r>
        <w:rPr>
          <w:rFonts w:ascii="Arial" w:cs="Arial" w:eastAsia="Arial" w:hAnsi="Arial"/>
          <w:sz w:val="20"/>
          <w:szCs w:val="20"/>
          <w:color w:val="auto"/>
        </w:rPr>
        <w:t xml:space="preserve">. If any Member unexpectedly receives any adjustments, allocations, or distributions described in Treasury Regulations Section 1.704-1(b)(2)(ii)(d)(4), (5) or (6), items of Company income and gain shall be specially allocated to such Member in an amount and manner sufficient to eliminate the deficit balance in such Member’s Adjusted Capital Account Balance created by such adjustments, allocations or distributions as promptly as possible; </w:t>
      </w:r>
      <w:r>
        <w:rPr>
          <w:rFonts w:ascii="Arial" w:cs="Arial" w:eastAsia="Arial" w:hAnsi="Arial"/>
          <w:sz w:val="20"/>
          <w:szCs w:val="20"/>
          <w:i w:val="1"/>
          <w:iCs w:val="1"/>
          <w:color w:val="auto"/>
        </w:rPr>
        <w:t xml:space="preserve">provided </w:t>
      </w:r>
      <w:r>
        <w:rPr>
          <w:rFonts w:ascii="Arial" w:cs="Arial" w:eastAsia="Arial" w:hAnsi="Arial"/>
          <w:sz w:val="20"/>
          <w:szCs w:val="20"/>
          <w:color w:val="auto"/>
        </w:rPr>
        <w:t>that an allocation pursuant to this</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4.3(b)</w:t>
      </w:r>
      <w:r>
        <w:rPr>
          <w:rFonts w:ascii="Arial" w:cs="Arial" w:eastAsia="Arial" w:hAnsi="Arial"/>
          <w:sz w:val="20"/>
          <w:szCs w:val="20"/>
          <w:i w:val="1"/>
          <w:iCs w:val="1"/>
          <w:color w:val="auto"/>
        </w:rPr>
        <w:t xml:space="preserve"> </w:t>
      </w:r>
      <w:r>
        <w:rPr>
          <w:rFonts w:ascii="Arial" w:cs="Arial" w:eastAsia="Arial" w:hAnsi="Arial"/>
          <w:sz w:val="20"/>
          <w:szCs w:val="20"/>
          <w:color w:val="auto"/>
        </w:rPr>
        <w:t>shall be made only to the extent that a Member would have a deficit</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Adjusted Capital Account Balance in excess of such sum after all other allocations provided for in this Article IV have been tentatively made as if this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were not in this Agreement. This </w:t>
      </w:r>
      <w:r>
        <w:rPr>
          <w:rFonts w:ascii="Arial" w:cs="Arial" w:eastAsia="Arial" w:hAnsi="Arial"/>
          <w:sz w:val="20"/>
          <w:szCs w:val="20"/>
          <w:u w:val="single" w:color="auto"/>
          <w:color w:val="auto"/>
        </w:rPr>
        <w:t>Section 4.3(b)</w:t>
      </w:r>
      <w:r>
        <w:rPr>
          <w:rFonts w:ascii="Arial" w:cs="Arial" w:eastAsia="Arial" w:hAnsi="Arial"/>
          <w:sz w:val="20"/>
          <w:szCs w:val="20"/>
          <w:color w:val="auto"/>
        </w:rPr>
        <w:t xml:space="preserve"> is intended to comply with the “qualified income offset” requirement of the Code and shall be interpreted consistently therewith.</w:t>
      </w:r>
    </w:p>
    <w:p>
      <w:pPr>
        <w:spacing w:after="0" w:line="160" w:lineRule="exact"/>
        <w:rPr>
          <w:rFonts w:ascii="Arial" w:cs="Arial" w:eastAsia="Arial" w:hAnsi="Arial"/>
          <w:sz w:val="20"/>
          <w:szCs w:val="20"/>
          <w:color w:val="auto"/>
        </w:rPr>
      </w:pPr>
    </w:p>
    <w:p>
      <w:pPr>
        <w:jc w:val="both"/>
        <w:ind w:firstLine="1276"/>
        <w:spacing w:after="0" w:line="218" w:lineRule="auto"/>
        <w:tabs>
          <w:tab w:leader="none" w:pos="171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Gross Income Allocation</w:t>
      </w:r>
      <w:r>
        <w:rPr>
          <w:rFonts w:ascii="Arial" w:cs="Arial" w:eastAsia="Arial" w:hAnsi="Arial"/>
          <w:sz w:val="21"/>
          <w:szCs w:val="21"/>
          <w:color w:val="auto"/>
        </w:rPr>
        <w:t xml:space="preserve">. If any Member has a deficit Capital Account at the end of any taxable year which is in excess of the sum of (i) the amount such Member is obligated to restore, if any, pursuant to any provision of this Agreement, and (ii) the amount such Member is deemed to be obligated to restore pursuant to the penultimate sentences of Treasury Regulations Section 1.704-2(g)(1) and 1.704-2(i)(5), each such Member shall be specially allocated items of Company income and gain in the amount of such excess as quickly as possible;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 allocation pursuant to this </w:t>
      </w:r>
      <w:r>
        <w:rPr>
          <w:rFonts w:ascii="Arial" w:cs="Arial" w:eastAsia="Arial" w:hAnsi="Arial"/>
          <w:sz w:val="21"/>
          <w:szCs w:val="21"/>
          <w:u w:val="single" w:color="auto"/>
          <w:color w:val="auto"/>
        </w:rPr>
        <w:t>Section 4.3(c)</w:t>
      </w:r>
      <w:r>
        <w:rPr>
          <w:rFonts w:ascii="Arial" w:cs="Arial" w:eastAsia="Arial" w:hAnsi="Arial"/>
          <w:sz w:val="21"/>
          <w:szCs w:val="21"/>
          <w:color w:val="auto"/>
        </w:rPr>
        <w:t xml:space="preserve"> shall be made only if and to the extent that a Member would have a deficit Capital Account in excess of such sum after all other allocations provided for in this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have been tentatively made as if </w:t>
      </w:r>
      <w:r>
        <w:rPr>
          <w:rFonts w:ascii="Arial" w:cs="Arial" w:eastAsia="Arial" w:hAnsi="Arial"/>
          <w:sz w:val="21"/>
          <w:szCs w:val="21"/>
          <w:u w:val="single" w:color="auto"/>
          <w:color w:val="auto"/>
        </w:rPr>
        <w:t>Section 4.3(b)</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4.3(c)</w:t>
      </w:r>
      <w:r>
        <w:rPr>
          <w:rFonts w:ascii="Arial" w:cs="Arial" w:eastAsia="Arial" w:hAnsi="Arial"/>
          <w:sz w:val="21"/>
          <w:szCs w:val="21"/>
          <w:color w:val="auto"/>
        </w:rPr>
        <w:t xml:space="preserve"> were not in this Agreement.</w:t>
      </w:r>
    </w:p>
    <w:p>
      <w:pPr>
        <w:spacing w:after="0" w:line="153" w:lineRule="exact"/>
        <w:rPr>
          <w:rFonts w:ascii="Arial" w:cs="Arial" w:eastAsia="Arial" w:hAnsi="Arial"/>
          <w:sz w:val="21"/>
          <w:szCs w:val="21"/>
          <w:color w:val="auto"/>
        </w:rPr>
      </w:pPr>
    </w:p>
    <w:p>
      <w:pPr>
        <w:ind w:firstLine="1276"/>
        <w:spacing w:after="0" w:line="239" w:lineRule="auto"/>
        <w:tabs>
          <w:tab w:leader="none" w:pos="1864"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Nonrecourse Deductions</w:t>
      </w:r>
      <w:r>
        <w:rPr>
          <w:rFonts w:ascii="Arial" w:cs="Arial" w:eastAsia="Arial" w:hAnsi="Arial"/>
          <w:sz w:val="21"/>
          <w:szCs w:val="21"/>
          <w:color w:val="auto"/>
        </w:rPr>
        <w:t>. Nonrecourse Deductions shall be allocated to the Members holding Class A Common Units in accordance with their respective Class A Percentage Interest.</w:t>
      </w:r>
    </w:p>
    <w:p>
      <w:pPr>
        <w:spacing w:after="0" w:line="155" w:lineRule="exact"/>
        <w:rPr>
          <w:rFonts w:ascii="Arial" w:cs="Arial" w:eastAsia="Arial" w:hAnsi="Arial"/>
          <w:sz w:val="21"/>
          <w:szCs w:val="21"/>
          <w:color w:val="auto"/>
        </w:rPr>
      </w:pPr>
    </w:p>
    <w:p>
      <w:pPr>
        <w:jc w:val="both"/>
        <w:ind w:firstLine="1276"/>
        <w:spacing w:after="0" w:line="230" w:lineRule="auto"/>
        <w:tabs>
          <w:tab w:leader="none" w:pos="190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Member Nonrecourse Deductions</w:t>
      </w:r>
      <w:r>
        <w:rPr>
          <w:rFonts w:ascii="Arial" w:cs="Arial" w:eastAsia="Arial" w:hAnsi="Arial"/>
          <w:sz w:val="21"/>
          <w:szCs w:val="21"/>
          <w:color w:val="auto"/>
        </w:rPr>
        <w:t>. Member Nonrecourse Deductions for any taxable period shall be allocated to the Member who bears the economic risk of loss with respect to the liability to which such Member Nonrecourse Deductions are attributable in accordance with Treasury Regulations Section 1.704-2(j).</w:t>
      </w:r>
    </w:p>
    <w:p>
      <w:pPr>
        <w:spacing w:after="0" w:line="153" w:lineRule="exact"/>
        <w:rPr>
          <w:rFonts w:ascii="Arial" w:cs="Arial" w:eastAsia="Arial" w:hAnsi="Arial"/>
          <w:sz w:val="21"/>
          <w:szCs w:val="21"/>
          <w:color w:val="auto"/>
        </w:rPr>
      </w:pPr>
    </w:p>
    <w:p>
      <w:pPr>
        <w:jc w:val="both"/>
        <w:ind w:firstLine="1276"/>
        <w:spacing w:after="0" w:line="222" w:lineRule="auto"/>
        <w:tabs>
          <w:tab w:leader="none" w:pos="1762"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Ameliorative Allocations</w:t>
      </w:r>
      <w:r>
        <w:rPr>
          <w:rFonts w:ascii="Arial" w:cs="Arial" w:eastAsia="Arial" w:hAnsi="Arial"/>
          <w:sz w:val="21"/>
          <w:szCs w:val="21"/>
          <w:color w:val="auto"/>
        </w:rPr>
        <w:t xml:space="preserve">. Any special allocations of income or gain pursuant to </w:t>
      </w:r>
      <w:r>
        <w:rPr>
          <w:rFonts w:ascii="Arial" w:cs="Arial" w:eastAsia="Arial" w:hAnsi="Arial"/>
          <w:sz w:val="21"/>
          <w:szCs w:val="21"/>
          <w:u w:val="single" w:color="auto"/>
          <w:color w:val="auto"/>
        </w:rPr>
        <w:t>Sections 4.3(a)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4.3(c)</w:t>
      </w:r>
      <w:r>
        <w:rPr>
          <w:rFonts w:ascii="Arial" w:cs="Arial" w:eastAsia="Arial" w:hAnsi="Arial"/>
          <w:sz w:val="21"/>
          <w:szCs w:val="21"/>
          <w:color w:val="auto"/>
        </w:rPr>
        <w:t xml:space="preserve"> hereof shall be taken into account in computing subsequent allocations pursuant to </w:t>
      </w:r>
      <w:r>
        <w:rPr>
          <w:rFonts w:ascii="Arial" w:cs="Arial" w:eastAsia="Arial" w:hAnsi="Arial"/>
          <w:sz w:val="21"/>
          <w:szCs w:val="21"/>
          <w:u w:val="single" w:color="auto"/>
          <w:color w:val="auto"/>
        </w:rPr>
        <w:t>Section 4.2</w:t>
      </w:r>
      <w:r>
        <w:rPr>
          <w:rFonts w:ascii="Arial" w:cs="Arial" w:eastAsia="Arial" w:hAnsi="Arial"/>
          <w:sz w:val="21"/>
          <w:szCs w:val="21"/>
          <w:color w:val="auto"/>
        </w:rPr>
        <w:t xml:space="preserve"> and this </w:t>
      </w:r>
      <w:r>
        <w:rPr>
          <w:rFonts w:ascii="Arial" w:cs="Arial" w:eastAsia="Arial" w:hAnsi="Arial"/>
          <w:sz w:val="21"/>
          <w:szCs w:val="21"/>
          <w:u w:val="single" w:color="auto"/>
          <w:color w:val="auto"/>
        </w:rPr>
        <w:t>Section 4.3(f)</w:t>
      </w:r>
      <w:r>
        <w:rPr>
          <w:rFonts w:ascii="Arial" w:cs="Arial" w:eastAsia="Arial" w:hAnsi="Arial"/>
          <w:sz w:val="21"/>
          <w:szCs w:val="21"/>
          <w:color w:val="auto"/>
        </w:rPr>
        <w:t xml:space="preserve">, so that the net amount of any items so allocated and all other items allocated to each Member shall, to the extent possible, be equal to the net amount that would have been allocated to each Member if such allocations pursuant to </w:t>
      </w:r>
      <w:r>
        <w:rPr>
          <w:rFonts w:ascii="Arial" w:cs="Arial" w:eastAsia="Arial" w:hAnsi="Arial"/>
          <w:sz w:val="21"/>
          <w:szCs w:val="21"/>
          <w:u w:val="single" w:color="auto"/>
          <w:color w:val="auto"/>
        </w:rPr>
        <w:t>Sections 4.3(a)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4.3(c)</w:t>
      </w:r>
      <w:r>
        <w:rPr>
          <w:rFonts w:ascii="Arial" w:cs="Arial" w:eastAsia="Arial" w:hAnsi="Arial"/>
          <w:sz w:val="21"/>
          <w:szCs w:val="21"/>
          <w:color w:val="auto"/>
        </w:rPr>
        <w:t xml:space="preserve"> had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6330950</wp:posOffset>
            </wp:positionH>
            <wp:positionV relativeFrom="paragraph">
              <wp:posOffset>-3261360</wp:posOffset>
            </wp:positionV>
            <wp:extent cx="4191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5">
                      <a:extLst>
                        <a:ext uri="{28A0092B-C50C-407E-A947-70E740481C1C}"/>
                      </a:extLst>
                    </a:blip>
                    <a:srcRect/>
                    <a:stretch>
                      <a:fillRect/>
                    </a:stretch>
                  </pic:blipFill>
                  <pic:spPr bwMode="auto">
                    <a:xfrm>
                      <a:off x="0" y="0"/>
                      <a:ext cx="41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16</w:t>
      </w:r>
    </w:p>
    <w:p>
      <w:pPr>
        <w:sectPr>
          <w:pgSz w:w="11900" w:h="16838" w:orient="portrait"/>
          <w:cols w:equalWidth="0" w:num="1">
            <w:col w:w="10920"/>
          </w:cols>
          <w:pgMar w:left="640" w:top="1377" w:right="339" w:bottom="1440" w:gutter="0" w:footer="0" w:header="0"/>
        </w:sectPr>
      </w:pPr>
    </w:p>
    <w:bookmarkStart w:id="189" w:name="page190"/>
    <w:bookmarkEnd w:id="189"/>
    <w:p>
      <w:pPr>
        <w:jc w:val="both"/>
        <w:ind w:firstLine="1276"/>
        <w:spacing w:after="0" w:line="225" w:lineRule="auto"/>
        <w:tabs>
          <w:tab w:leader="none" w:pos="1731" w:val="left"/>
        </w:tabs>
        <w:numPr>
          <w:ilvl w:val="0"/>
          <w:numId w:val="66"/>
        </w:numPr>
        <w:rPr>
          <w:rFonts w:ascii="Arial" w:cs="Arial" w:eastAsia="Arial" w:hAnsi="Arial"/>
          <w:sz w:val="20"/>
          <w:szCs w:val="20"/>
          <w:color w:val="auto"/>
        </w:rPr>
      </w:pPr>
      <w:r>
        <w:rPr>
          <w:rFonts w:ascii="Arial" w:cs="Arial" w:eastAsia="Arial" w:hAnsi="Arial"/>
          <w:sz w:val="20"/>
          <w:szCs w:val="20"/>
          <w:u w:val="single" w:color="auto"/>
          <w:color w:val="auto"/>
        </w:rPr>
        <w:t>Compensation Deduction</w:t>
      </w:r>
      <w:r>
        <w:rPr>
          <w:rFonts w:ascii="Arial" w:cs="Arial" w:eastAsia="Arial" w:hAnsi="Arial"/>
          <w:sz w:val="20"/>
          <w:szCs w:val="20"/>
          <w:color w:val="auto"/>
        </w:rPr>
        <w:t xml:space="preserve">. If the Company is entitled to a deduction for compensation to a person providing services to the Company or its subsidiaries the economic cost of which is borne by a Member (and not the Company or its subsidiaries), whether paid in cash, Class A Common Units or other property, the Member who bore such economic cost shall be treated as having contributed to the Company such cash, Class A Common Units or other property, and the Company shall allocate the deduction attributable to such payment to such Member;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if the Company is entitled to a deduction for compensation to a person providing services to the Company or its subsidiaries the economic cost of which is borne by the Holding Company, HSKB or HSKB II (and not the Company or its subsidiaries), the entity who bore such economic cost shall be treated as having contributed to the Company such cash or other property, and the Company shall allocate the deduction attributable to such payment among such Members as determined in the reasonable discretion of the Company and the Holding Company. If any income or gain is recognized by the Company by reason of such transfer of property to the person providing services to the Company or its subsidiaries, such income or gain will be allocated to the Member who transferred such property; </w:t>
      </w:r>
      <w:r>
        <w:rPr>
          <w:rFonts w:ascii="Arial" w:cs="Arial" w:eastAsia="Arial" w:hAnsi="Arial"/>
          <w:sz w:val="20"/>
          <w:szCs w:val="20"/>
          <w:i w:val="1"/>
          <w:iCs w:val="1"/>
          <w:color w:val="auto"/>
        </w:rPr>
        <w:t>provided</w:t>
      </w:r>
      <w:r>
        <w:rPr>
          <w:rFonts w:ascii="Arial" w:cs="Arial" w:eastAsia="Arial" w:hAnsi="Arial"/>
          <w:sz w:val="20"/>
          <w:szCs w:val="20"/>
          <w:color w:val="auto"/>
        </w:rPr>
        <w:t>, if any income or gain is recognized by the Company by reason of such transfer of property by the Holding Company,</w:t>
      </w:r>
      <w:r>
        <w:rPr>
          <w:rFonts w:ascii="Arial" w:cs="Arial" w:eastAsia="Arial" w:hAnsi="Arial"/>
          <w:sz w:val="20"/>
          <w:szCs w:val="20"/>
          <w:i w:val="1"/>
          <w:iCs w:val="1"/>
          <w:color w:val="auto"/>
        </w:rPr>
        <w:t xml:space="preserve"> </w:t>
      </w:r>
      <w:r>
        <w:rPr>
          <w:rFonts w:ascii="Arial" w:cs="Arial" w:eastAsia="Arial" w:hAnsi="Arial"/>
          <w:sz w:val="20"/>
          <w:szCs w:val="20"/>
          <w:color w:val="auto"/>
        </w:rPr>
        <w:t>HSKB or HSKB II to the person providing services to the Company or its subsidiaries, such income or gain will be allocated to the Member who transferred such property as determined in the reasonable discretion of the Company and the Holding Company.</w:t>
      </w:r>
    </w:p>
    <w:p>
      <w:pPr>
        <w:spacing w:after="0" w:line="157" w:lineRule="exact"/>
        <w:rPr>
          <w:rFonts w:ascii="Arial" w:cs="Arial" w:eastAsia="Arial" w:hAnsi="Arial"/>
          <w:sz w:val="20"/>
          <w:szCs w:val="20"/>
          <w:color w:val="auto"/>
        </w:rPr>
      </w:pPr>
    </w:p>
    <w:p>
      <w:pPr>
        <w:ind w:firstLine="1276"/>
        <w:spacing w:after="0" w:line="239" w:lineRule="auto"/>
        <w:tabs>
          <w:tab w:leader="none" w:pos="1797"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Forfeiture Allocation</w:t>
      </w:r>
      <w:r>
        <w:rPr>
          <w:rFonts w:ascii="Arial" w:cs="Arial" w:eastAsia="Arial" w:hAnsi="Arial"/>
          <w:sz w:val="21"/>
          <w:szCs w:val="21"/>
          <w:color w:val="auto"/>
        </w:rPr>
        <w:t>. In the event that the Units of any Member are forfeited, then for the fiscal year of such forfeiture or other period (as determined by the Managing Member):</w:t>
      </w:r>
    </w:p>
    <w:p>
      <w:pPr>
        <w:spacing w:after="0" w:line="155" w:lineRule="exact"/>
        <w:rPr>
          <w:rFonts w:ascii="Arial" w:cs="Arial" w:eastAsia="Arial" w:hAnsi="Arial"/>
          <w:sz w:val="21"/>
          <w:szCs w:val="21"/>
          <w:color w:val="auto"/>
        </w:rPr>
      </w:pPr>
    </w:p>
    <w:p>
      <w:pPr>
        <w:jc w:val="both"/>
        <w:ind w:left="320" w:firstLine="1274"/>
        <w:spacing w:after="0" w:line="225" w:lineRule="auto"/>
        <w:tabs>
          <w:tab w:leader="none" w:pos="2216" w:val="left"/>
        </w:tabs>
        <w:numPr>
          <w:ilvl w:val="1"/>
          <w:numId w:val="66"/>
        </w:numPr>
        <w:rPr>
          <w:rFonts w:ascii="Arial" w:cs="Arial" w:eastAsia="Arial" w:hAnsi="Arial"/>
          <w:sz w:val="21"/>
          <w:szCs w:val="21"/>
          <w:color w:val="010000"/>
        </w:rPr>
      </w:pPr>
      <w:r>
        <w:rPr>
          <w:rFonts w:ascii="Arial" w:cs="Arial" w:eastAsia="Arial" w:hAnsi="Arial"/>
          <w:sz w:val="21"/>
          <w:szCs w:val="21"/>
          <w:color w:val="auto"/>
        </w:rPr>
        <w:t xml:space="preserve">items of income, gain, loss, and deduction shall be excluded from the calculation of Profits and Losses and shall be specially allocated to the Member whose Units have been forfeited so as to cause such Member’s Capital Account to equal such Member’s distribution entitlements under </w:t>
      </w:r>
      <w:r>
        <w:rPr>
          <w:rFonts w:ascii="Arial" w:cs="Arial" w:eastAsia="Arial" w:hAnsi="Arial"/>
          <w:sz w:val="21"/>
          <w:szCs w:val="21"/>
          <w:u w:val="single" w:color="auto"/>
          <w:color w:val="auto"/>
        </w:rPr>
        <w:t>Section 4.1</w:t>
      </w:r>
      <w:r>
        <w:rPr>
          <w:rFonts w:ascii="Arial" w:cs="Arial" w:eastAsia="Arial" w:hAnsi="Arial"/>
          <w:sz w:val="21"/>
          <w:szCs w:val="21"/>
          <w:color w:val="auto"/>
        </w:rPr>
        <w:t xml:space="preserve"> after giving effect to the adjustment in the Member’s Class A Percentage Interest resulting from the applicable forfeiture;</w:t>
      </w:r>
    </w:p>
    <w:p>
      <w:pPr>
        <w:spacing w:after="0" w:line="154" w:lineRule="exact"/>
        <w:rPr>
          <w:rFonts w:ascii="Arial" w:cs="Arial" w:eastAsia="Arial" w:hAnsi="Arial"/>
          <w:sz w:val="21"/>
          <w:szCs w:val="21"/>
          <w:color w:val="010000"/>
        </w:rPr>
      </w:pPr>
    </w:p>
    <w:p>
      <w:pPr>
        <w:ind w:left="320" w:firstLine="1274"/>
        <w:spacing w:after="0" w:line="239" w:lineRule="auto"/>
        <w:tabs>
          <w:tab w:leader="none" w:pos="2222" w:val="left"/>
        </w:tabs>
        <w:numPr>
          <w:ilvl w:val="1"/>
          <w:numId w:val="66"/>
        </w:numPr>
        <w:rPr>
          <w:rFonts w:ascii="Arial" w:cs="Arial" w:eastAsia="Arial" w:hAnsi="Arial"/>
          <w:sz w:val="21"/>
          <w:szCs w:val="21"/>
          <w:color w:val="010000"/>
        </w:rPr>
      </w:pPr>
      <w:r>
        <w:rPr>
          <w:rFonts w:ascii="Arial" w:cs="Arial" w:eastAsia="Arial" w:hAnsi="Arial"/>
          <w:sz w:val="21"/>
          <w:szCs w:val="21"/>
          <w:color w:val="auto"/>
        </w:rPr>
        <w:t xml:space="preserve">the Managing Member may elect to apply another allocation or Capital Account adjustment method to a Unit forfeiture as they deem appropriate in lieu of the method set forth in this </w:t>
      </w:r>
      <w:r>
        <w:rPr>
          <w:rFonts w:ascii="Arial" w:cs="Arial" w:eastAsia="Arial" w:hAnsi="Arial"/>
          <w:sz w:val="21"/>
          <w:szCs w:val="21"/>
          <w:u w:val="single" w:color="auto"/>
          <w:color w:val="auto"/>
        </w:rPr>
        <w:t>Section 4.3(h)</w:t>
      </w:r>
      <w:r>
        <w:rPr>
          <w:rFonts w:ascii="Arial" w:cs="Arial" w:eastAsia="Arial" w:hAnsi="Arial"/>
          <w:sz w:val="21"/>
          <w:szCs w:val="21"/>
          <w:color w:val="auto"/>
        </w:rPr>
        <w:t>.</w:t>
      </w:r>
    </w:p>
    <w:p>
      <w:pPr>
        <w:spacing w:after="0" w:line="15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4.4</w:t>
      </w:r>
      <w:r>
        <w:rPr>
          <w:sz w:val="20"/>
          <w:szCs w:val="20"/>
          <w:color w:val="auto"/>
        </w:rPr>
        <w:tab/>
      </w:r>
      <w:r>
        <w:rPr>
          <w:rFonts w:ascii="Arial" w:cs="Arial" w:eastAsia="Arial" w:hAnsi="Arial"/>
          <w:sz w:val="19"/>
          <w:szCs w:val="19"/>
          <w:u w:val="single" w:color="auto"/>
          <w:color w:val="auto"/>
        </w:rPr>
        <w:t>Tax Allocations</w:t>
      </w:r>
      <w:r>
        <w:rPr>
          <w:rFonts w:ascii="Arial" w:cs="Arial" w:eastAsia="Arial" w:hAnsi="Arial"/>
          <w:sz w:val="19"/>
          <w:szCs w:val="19"/>
          <w:color w:val="auto"/>
        </w:rPr>
        <w:t>.</w:t>
      </w:r>
    </w:p>
    <w:p>
      <w:pPr>
        <w:spacing w:after="0" w:line="183" w:lineRule="exact"/>
        <w:rPr>
          <w:sz w:val="20"/>
          <w:szCs w:val="20"/>
          <w:color w:val="auto"/>
        </w:rPr>
      </w:pPr>
    </w:p>
    <w:p>
      <w:pPr>
        <w:jc w:val="both"/>
        <w:ind w:firstLine="1276"/>
        <w:spacing w:after="0" w:line="225" w:lineRule="auto"/>
        <w:tabs>
          <w:tab w:leader="none" w:pos="1739"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Sections 4.4(b)</w:t>
      </w:r>
      <w:r>
        <w:rPr>
          <w:rFonts w:ascii="Arial" w:cs="Arial" w:eastAsia="Arial" w:hAnsi="Arial"/>
          <w:sz w:val="21"/>
          <w:szCs w:val="21"/>
          <w:color w:val="auto"/>
        </w:rPr>
        <w:t xml:space="preserve">, </w:t>
      </w:r>
      <w:r>
        <w:rPr>
          <w:rFonts w:ascii="Arial" w:cs="Arial" w:eastAsia="Arial" w:hAnsi="Arial"/>
          <w:sz w:val="21"/>
          <w:szCs w:val="21"/>
          <w:u w:val="single" w:color="auto"/>
          <w:color w:val="auto"/>
        </w:rPr>
        <w:t>(c)</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(d)</w:t>
      </w:r>
      <w:r>
        <w:rPr>
          <w:rFonts w:ascii="Arial" w:cs="Arial" w:eastAsia="Arial" w:hAnsi="Arial"/>
          <w:sz w:val="21"/>
          <w:szCs w:val="21"/>
          <w:color w:val="auto"/>
        </w:rPr>
        <w:t>, Net Profits and Net Losses (and, to the extent necessary, individual items of income, gains, losses, deductions and credits) of the Company will be allocated, for federal, state and local income tax purposes, among the holders of Units in accordance with the allocation of such income, gains, losses, deductions and credits among the holders of Units for book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17</w:t>
      </w:r>
    </w:p>
    <w:p>
      <w:pPr>
        <w:sectPr>
          <w:pgSz w:w="11900" w:h="16838" w:orient="portrait"/>
          <w:cols w:equalWidth="0" w:num="1">
            <w:col w:w="10920"/>
          </w:cols>
          <w:pgMar w:left="640" w:top="1377" w:right="339" w:bottom="1440" w:gutter="0" w:footer="0" w:header="0"/>
        </w:sectPr>
      </w:pPr>
    </w:p>
    <w:bookmarkStart w:id="190" w:name="page191"/>
    <w:bookmarkEnd w:id="190"/>
    <w:p>
      <w:pPr>
        <w:jc w:val="both"/>
        <w:ind w:firstLine="1276"/>
        <w:spacing w:after="0" w:line="235" w:lineRule="auto"/>
        <w:tabs>
          <w:tab w:leader="none" w:pos="1755"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Items of Company taxable income, gain, loss and deduction with respect to any property contributed to the capital of the Company shall be allocated among the holders of Units in accordance with Code Section 704(c) so as to take account of any variation between the adjusted basis of such property to the Company for federal income tax purposes and its Book Value;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notwithstanding anything herein to the contrary, (i) other than with respect of revaluations of such property, the Company shall elect to use the “remedial method” of allocations within the meaning of Treasury Regulations Section 1.704-3(d) in respect of property deemed contributed to the Company by the Holding Company pursuant to </w:t>
      </w:r>
      <w:r>
        <w:rPr>
          <w:rFonts w:ascii="Arial" w:cs="Arial" w:eastAsia="Arial" w:hAnsi="Arial"/>
          <w:sz w:val="19"/>
          <w:szCs w:val="19"/>
          <w:u w:val="single" w:color="auto"/>
          <w:color w:val="auto"/>
        </w:rPr>
        <w:t>Section 3.2(d)</w:t>
      </w:r>
      <w:r>
        <w:rPr>
          <w:rFonts w:ascii="Arial" w:cs="Arial" w:eastAsia="Arial" w:hAnsi="Arial"/>
          <w:sz w:val="19"/>
          <w:szCs w:val="19"/>
          <w:color w:val="auto"/>
        </w:rPr>
        <w:t xml:space="preserve"> of the Limited Liability Company Agreement of the Company dated May 29, 2014 and the provisions related thereto in the Original Purchase Agreement, and the Holding Company shall provide the Company any information, records or assistance reasonably requested to allow the Company to make such allocations under the “remedial method”, (ii) the Company shall elect to use the “traditional method with curative allocations” within the meaning of Treasury Regulations Section 1.704-3(c) in respect of section 197 intangibles (as defined in Section 197(d) of the Code) that are subject to reverse Section 704(c) allocations as a result of a contribution of cash by Intermediate Holdings at the time of the Initial Public Offering, and in respect of revaluations of such property following the Initial Public Offering, with such curative allocations limited to gain from the sale of such section 197 intangibles as described in Treasury Regulations Section 1.704-3(c)(3)(iii)(B) and (iii) the Company shall elect to use the “traditional method” of allocations within the meaning of Treasury Regulations Section 1.704-3(b) in respect of all other property (other than the property described in clause (i) or clause (ii) of this sentence) contributed or deemed contributed to the Company prior to the time of the Initial Public Offering. For any Company asset not described in the foregoing sentence the Book Value of which differs from the adjusted basis of such property to the Company for federal income tax purposes, income, gain, loss and deduction with respect to such property shall be allocated solely for income tax purposes in accordance with the principles of Sections 704(b) and (c) of the Code in any manner determined by the Managing Member and permitted by the Code and Treasury Regulations so as to take account of the difference between Book Value and adjusted basis of such property. In making allocations pursuant to this </w:t>
      </w:r>
      <w:r>
        <w:rPr>
          <w:rFonts w:ascii="Arial" w:cs="Arial" w:eastAsia="Arial" w:hAnsi="Arial"/>
          <w:sz w:val="19"/>
          <w:szCs w:val="19"/>
          <w:u w:val="single" w:color="auto"/>
          <w:color w:val="auto"/>
        </w:rPr>
        <w:t>Section 4.4(b)</w:t>
      </w:r>
      <w:r>
        <w:rPr>
          <w:rFonts w:ascii="Arial" w:cs="Arial" w:eastAsia="Arial" w:hAnsi="Arial"/>
          <w:sz w:val="19"/>
          <w:szCs w:val="19"/>
          <w:color w:val="auto"/>
        </w:rPr>
        <w:t xml:space="preserve">, the Managing Member shall take into account the methodologies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Notwithstanding the foregoing, such allocations may be adjusted as reasonably deemed necessary by the Managing Member, acting in good faith, to give economic effect to the provisions of this Agreement.</w:t>
      </w:r>
    </w:p>
    <w:p>
      <w:pPr>
        <w:spacing w:after="0" w:line="165" w:lineRule="exact"/>
        <w:rPr>
          <w:rFonts w:ascii="Arial" w:cs="Arial" w:eastAsia="Arial" w:hAnsi="Arial"/>
          <w:sz w:val="19"/>
          <w:szCs w:val="19"/>
          <w:color w:val="auto"/>
        </w:rPr>
      </w:pPr>
    </w:p>
    <w:p>
      <w:pPr>
        <w:jc w:val="both"/>
        <w:ind w:firstLine="1276"/>
        <w:spacing w:after="0" w:line="261" w:lineRule="auto"/>
        <w:tabs>
          <w:tab w:leader="none" w:pos="1726"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If the Book Value of any Company asset is adjusted pursuant to </w:t>
      </w:r>
      <w:r>
        <w:rPr>
          <w:rFonts w:ascii="Arial" w:cs="Arial" w:eastAsia="Arial" w:hAnsi="Arial"/>
          <w:sz w:val="19"/>
          <w:szCs w:val="19"/>
          <w:u w:val="single" w:color="auto"/>
          <w:color w:val="auto"/>
        </w:rPr>
        <w:t>Section 3.2</w:t>
      </w:r>
      <w:r>
        <w:rPr>
          <w:rFonts w:ascii="Arial" w:cs="Arial" w:eastAsia="Arial" w:hAnsi="Arial"/>
          <w:sz w:val="19"/>
          <w:szCs w:val="19"/>
          <w:color w:val="auto"/>
        </w:rPr>
        <w:t>, subsequent allocations of items of taxable income, gain, loss and deduction with respect to such asset shall take account of any variation between the adjusted basis of such asset for federal income tax purposes and its Book Value in the same manner as under Code Section 704(c).</w:t>
      </w:r>
    </w:p>
    <w:p>
      <w:pPr>
        <w:spacing w:after="0" w:line="135" w:lineRule="exact"/>
        <w:rPr>
          <w:rFonts w:ascii="Arial" w:cs="Arial" w:eastAsia="Arial" w:hAnsi="Arial"/>
          <w:sz w:val="19"/>
          <w:szCs w:val="19"/>
          <w:color w:val="auto"/>
        </w:rPr>
      </w:pPr>
    </w:p>
    <w:p>
      <w:pPr>
        <w:jc w:val="both"/>
        <w:ind w:firstLine="1276"/>
        <w:spacing w:after="0" w:line="230" w:lineRule="auto"/>
        <w:tabs>
          <w:tab w:leader="none" w:pos="1725" w:val="left"/>
        </w:tabs>
        <w:numPr>
          <w:ilvl w:val="0"/>
          <w:numId w:val="68"/>
        </w:numPr>
        <w:rPr>
          <w:rFonts w:ascii="Arial" w:cs="Arial" w:eastAsia="Arial" w:hAnsi="Arial"/>
          <w:sz w:val="21"/>
          <w:szCs w:val="21"/>
          <w:color w:val="auto"/>
        </w:rPr>
      </w:pPr>
      <w:r>
        <w:rPr>
          <w:rFonts w:ascii="Arial" w:cs="Arial" w:eastAsia="Arial" w:hAnsi="Arial"/>
          <w:sz w:val="21"/>
          <w:szCs w:val="21"/>
          <w:color w:val="auto"/>
        </w:rPr>
        <w:t>Allocations of tax credits, tax credit recapture, and any items related thereto shall be allocated to the holders of Units according to their interests in such items as determined by the Managing Member taking into account the principles of Treasury Regulation Section 1.704-1(b)(4)(ii).</w:t>
      </w:r>
    </w:p>
    <w:p>
      <w:pPr>
        <w:spacing w:after="0" w:line="153" w:lineRule="exact"/>
        <w:rPr>
          <w:rFonts w:ascii="Arial" w:cs="Arial" w:eastAsia="Arial" w:hAnsi="Arial"/>
          <w:sz w:val="21"/>
          <w:szCs w:val="21"/>
          <w:color w:val="auto"/>
        </w:rPr>
      </w:pPr>
    </w:p>
    <w:p>
      <w:pPr>
        <w:jc w:val="both"/>
        <w:ind w:firstLine="1276"/>
        <w:spacing w:after="0" w:line="230" w:lineRule="auto"/>
        <w:tabs>
          <w:tab w:leader="none" w:pos="1721"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Allocations pursuant to this </w:t>
      </w:r>
      <w:r>
        <w:rPr>
          <w:rFonts w:ascii="Arial" w:cs="Arial" w:eastAsia="Arial" w:hAnsi="Arial"/>
          <w:sz w:val="21"/>
          <w:szCs w:val="21"/>
          <w:u w:val="single" w:color="auto"/>
          <w:color w:val="auto"/>
        </w:rPr>
        <w:t>Section 4.4</w:t>
      </w:r>
      <w:r>
        <w:rPr>
          <w:rFonts w:ascii="Arial" w:cs="Arial" w:eastAsia="Arial" w:hAnsi="Arial"/>
          <w:sz w:val="21"/>
          <w:szCs w:val="21"/>
          <w:color w:val="auto"/>
        </w:rPr>
        <w:t xml:space="preserve"> are solely for purposes of federal, state and local taxes and shall not affect, or in any way be taken into account in computing, any holder’s Capital Account or share of book income, gain, loss or deduction, Distributions or other Company items pursuant to any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18</w:t>
      </w:r>
    </w:p>
    <w:p>
      <w:pPr>
        <w:sectPr>
          <w:pgSz w:w="11900" w:h="16838" w:orient="portrait"/>
          <w:cols w:equalWidth="0" w:num="1">
            <w:col w:w="10920"/>
          </w:cols>
          <w:pgMar w:left="640" w:top="1377" w:right="339" w:bottom="1440" w:gutter="0" w:footer="0" w:header="0"/>
        </w:sectPr>
      </w:pPr>
    </w:p>
    <w:bookmarkStart w:id="191" w:name="page192"/>
    <w:bookmarkEnd w:id="191"/>
    <w:p>
      <w:pPr>
        <w:ind w:left="320"/>
        <w:spacing w:after="0"/>
        <w:tabs>
          <w:tab w:leader="none" w:pos="940" w:val="left"/>
        </w:tabs>
        <w:rPr>
          <w:sz w:val="20"/>
          <w:szCs w:val="20"/>
          <w:color w:val="auto"/>
        </w:rPr>
      </w:pPr>
      <w:r>
        <w:rPr>
          <w:rFonts w:ascii="Arial" w:cs="Arial" w:eastAsia="Arial" w:hAnsi="Arial"/>
          <w:sz w:val="21"/>
          <w:szCs w:val="21"/>
          <w:color w:val="010000"/>
        </w:rPr>
        <w:t>4.5</w:t>
      </w:r>
      <w:r>
        <w:rPr>
          <w:sz w:val="20"/>
          <w:szCs w:val="20"/>
          <w:color w:val="auto"/>
        </w:rPr>
        <w:tab/>
      </w:r>
      <w:r>
        <w:rPr>
          <w:rFonts w:ascii="Arial" w:cs="Arial" w:eastAsia="Arial" w:hAnsi="Arial"/>
          <w:sz w:val="19"/>
          <w:szCs w:val="19"/>
          <w:color w:val="auto"/>
        </w:rPr>
        <w:t>Withholding Taxes.</w:t>
      </w:r>
    </w:p>
    <w:p>
      <w:pPr>
        <w:spacing w:after="0" w:line="183" w:lineRule="exact"/>
        <w:rPr>
          <w:sz w:val="20"/>
          <w:szCs w:val="20"/>
          <w:color w:val="auto"/>
        </w:rPr>
      </w:pPr>
    </w:p>
    <w:p>
      <w:pPr>
        <w:jc w:val="both"/>
        <w:ind w:firstLine="1276"/>
        <w:spacing w:after="0" w:line="218" w:lineRule="auto"/>
        <w:tabs>
          <w:tab w:leader="none" w:pos="1738"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The Company shall withhold taxes from distributions to, and allocations among, the Members to the extent required by law. Except as otherwise provided in this </w:t>
      </w:r>
      <w:r>
        <w:rPr>
          <w:rFonts w:ascii="Arial" w:cs="Arial" w:eastAsia="Arial" w:hAnsi="Arial"/>
          <w:sz w:val="21"/>
          <w:szCs w:val="21"/>
          <w:u w:val="single" w:color="auto"/>
          <w:color w:val="auto"/>
        </w:rPr>
        <w:t>Section 4.5</w:t>
      </w:r>
      <w:r>
        <w:rPr>
          <w:rFonts w:ascii="Arial" w:cs="Arial" w:eastAsia="Arial" w:hAnsi="Arial"/>
          <w:sz w:val="21"/>
          <w:szCs w:val="21"/>
          <w:color w:val="auto"/>
        </w:rPr>
        <w:t xml:space="preserve">, any amount so withheld by the Company with regard to a Member shall be treated for purposes of this Agreement as an amount actually distributed to such Member pursuant to </w:t>
      </w:r>
      <w:r>
        <w:rPr>
          <w:rFonts w:ascii="Arial" w:cs="Arial" w:eastAsia="Arial" w:hAnsi="Arial"/>
          <w:sz w:val="21"/>
          <w:szCs w:val="21"/>
          <w:u w:val="single" w:color="auto"/>
          <w:color w:val="auto"/>
        </w:rPr>
        <w:t>Section 4.1(b)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4.1(c)</w:t>
      </w:r>
      <w:r>
        <w:rPr>
          <w:rFonts w:ascii="Arial" w:cs="Arial" w:eastAsia="Arial" w:hAnsi="Arial"/>
          <w:sz w:val="21"/>
          <w:szCs w:val="21"/>
          <w:color w:val="auto"/>
        </w:rPr>
        <w:t>, as appropriate (a “</w:t>
      </w:r>
      <w:r>
        <w:rPr>
          <w:rFonts w:ascii="Arial" w:cs="Arial" w:eastAsia="Arial" w:hAnsi="Arial"/>
          <w:sz w:val="21"/>
          <w:szCs w:val="21"/>
          <w:b w:val="1"/>
          <w:bCs w:val="1"/>
          <w:color w:val="auto"/>
        </w:rPr>
        <w:t>Withholding Payment</w:t>
      </w:r>
      <w:r>
        <w:rPr>
          <w:rFonts w:ascii="Arial" w:cs="Arial" w:eastAsia="Arial" w:hAnsi="Arial"/>
          <w:sz w:val="21"/>
          <w:szCs w:val="21"/>
          <w:color w:val="auto"/>
        </w:rPr>
        <w:t xml:space="preserve">”). An amount shall be considered withheld by the Company if, and at the time, remitted to a Governmental Entity without regard to whether such remittance occurs at the same time as the distribution or allocation to which it relates;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an amount actually withheld from a specific distribution or designated by the Managing Member as withheld from a specific allocation shall be treated as if distributed at the time such distribution or allocation occurs.</w:t>
      </w:r>
    </w:p>
    <w:p>
      <w:pPr>
        <w:spacing w:after="0" w:line="153" w:lineRule="exact"/>
        <w:rPr>
          <w:rFonts w:ascii="Arial" w:cs="Arial" w:eastAsia="Arial" w:hAnsi="Arial"/>
          <w:sz w:val="21"/>
          <w:szCs w:val="21"/>
          <w:color w:val="auto"/>
        </w:rPr>
      </w:pPr>
    </w:p>
    <w:p>
      <w:pPr>
        <w:jc w:val="both"/>
        <w:ind w:firstLine="1276"/>
        <w:spacing w:after="0" w:line="222" w:lineRule="auto"/>
        <w:tabs>
          <w:tab w:leader="none" w:pos="1774"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Each Member hereby agrees to indemnify the Company and the other Members for any liability they may incur for failure to properly withhold taxes in respect of such Member. Moreover, each Member hereby agrees that neither the Company nor any other Member shall be liable to such Member for any excess taxes withheld in respect of such Member’s Interest and that, in the event of overwithholding, a Member’s sole recourse shall be to apply for a refund from the appropriate governmental authority.</w:t>
      </w:r>
    </w:p>
    <w:p>
      <w:pPr>
        <w:spacing w:after="0" w:line="155" w:lineRule="exact"/>
        <w:rPr>
          <w:rFonts w:ascii="Arial" w:cs="Arial" w:eastAsia="Arial" w:hAnsi="Arial"/>
          <w:sz w:val="21"/>
          <w:szCs w:val="21"/>
          <w:color w:val="auto"/>
        </w:rPr>
      </w:pPr>
    </w:p>
    <w:p>
      <w:pPr>
        <w:ind w:right="20" w:firstLine="1276"/>
        <w:spacing w:after="0" w:line="235" w:lineRule="auto"/>
        <w:tabs>
          <w:tab w:leader="none" w:pos="1719"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If it is anticipated that at the due date of the Company’s withholding obligation the Member’s share of cash distributions or other amounts due is less than the amount of the Withholding Payment, the Member with respect to which the withholding obligation applies shall pay to the Company the amount of such shortfall within thirty (30) days after notice by the Company. If a Member fails to make the required payment when due hereunder, and the Company nevertheless pays the withholding, in addition to the Company’s remedies for breach of this Agreement, the amount paid shall be deemed a recourse loan from the Company to such Member bearing interest at an interest rate per annum equal to the Base Rate plus 3.0%, and the Company shall apply all distributions or payments that would otherwise be made to such Member toward payment of the loan and interest, which payments or distributions shall be applied first to interest and then to principal until the loan is repaid in full. In the event that the distributions or proceeds to the Company or any Subsidiary of the Company are reduced on account of taxes withheld at the source or any taxes are otherwise required to be paid by the Company and such taxes are imposed on or with respect to one or more, but not all of the Members in the Company, or all of the Members in the Company at different tax rates, the amount of the reduction shall be borne by the relevant Members and treated as if it were paid by the Company as a Withholding Payment with respect to such Members pursuant to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Taxes imposed on the Company where the rate of tax varies depending on characteristics of the Members shall be treated as taxes imposed on or with respect to the Members for purposes of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In addition, if the Company is obligated to pay any taxes (including penalties, interest and any addition to tax) to any Governmental Entity that is specifically attributable to a Member or a former Member, including, without limitation, on account of Sections 864 or 1446 of the Code, then (x) such Member or former Member shall indemnify the Company in full for the entire amount paid or payable, (y) the Managing Member may offset future distributions from such Member or former Member pursuant to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to which such Person is otherwise entitled under this Agreement against such Member or former Member’s obligation to indemnify the Company under this </w:t>
      </w:r>
      <w:r>
        <w:rPr>
          <w:rFonts w:ascii="Arial" w:cs="Arial" w:eastAsia="Arial" w:hAnsi="Arial"/>
          <w:sz w:val="19"/>
          <w:szCs w:val="19"/>
          <w:u w:val="single" w:color="auto"/>
          <w:color w:val="auto"/>
        </w:rPr>
        <w:t>Section 4.5(c)</w:t>
      </w:r>
      <w:r>
        <w:rPr>
          <w:rFonts w:ascii="Arial" w:cs="Arial" w:eastAsia="Arial" w:hAnsi="Arial"/>
          <w:sz w:val="19"/>
          <w:szCs w:val="19"/>
          <w:color w:val="auto"/>
        </w:rPr>
        <w:t xml:space="preserve"> and (z) such amounts shall be treated as a Withholding Payment pursuant to </w:t>
      </w:r>
      <w:r>
        <w:rPr>
          <w:rFonts w:ascii="Arial" w:cs="Arial" w:eastAsia="Arial" w:hAnsi="Arial"/>
          <w:sz w:val="19"/>
          <w:szCs w:val="19"/>
          <w:u w:val="single" w:color="auto"/>
          <w:color w:val="auto"/>
        </w:rPr>
        <w:t>Section 4.5(a)</w:t>
      </w:r>
      <w:r>
        <w:rPr>
          <w:rFonts w:ascii="Arial" w:cs="Arial" w:eastAsia="Arial" w:hAnsi="Arial"/>
          <w:sz w:val="19"/>
          <w:szCs w:val="19"/>
          <w:color w:val="auto"/>
        </w:rPr>
        <w:t xml:space="preserve"> with respect to such Member or former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0920"/>
          </w:cols>
          <w:pgMar w:left="640" w:top="1377" w:right="339" w:bottom="1440" w:gutter="0" w:footer="0" w:header="0"/>
        </w:sectPr>
      </w:pPr>
    </w:p>
    <w:bookmarkStart w:id="192" w:name="page193"/>
    <w:bookmarkEnd w:id="192"/>
    <w:p>
      <w:pPr>
        <w:jc w:val="both"/>
        <w:ind w:left="320" w:firstLine="1276"/>
        <w:spacing w:after="0" w:line="224" w:lineRule="auto"/>
        <w:tabs>
          <w:tab w:leader="none" w:pos="2091" w:val="left"/>
        </w:tabs>
        <w:numPr>
          <w:ilvl w:val="0"/>
          <w:numId w:val="70"/>
        </w:numPr>
        <w:rPr>
          <w:rFonts w:ascii="Arial" w:cs="Arial" w:eastAsia="Arial" w:hAnsi="Arial"/>
          <w:sz w:val="20"/>
          <w:szCs w:val="20"/>
          <w:color w:val="auto"/>
        </w:rPr>
      </w:pPr>
      <w:r>
        <w:rPr>
          <w:rFonts w:ascii="Arial" w:cs="Arial" w:eastAsia="Arial" w:hAnsi="Arial"/>
          <w:sz w:val="20"/>
          <w:szCs w:val="20"/>
          <w:color w:val="auto"/>
        </w:rPr>
        <w:t xml:space="preserve">If the Company incurs an Imputed Underpayment Amount, the Partnership Representative shall determine in its discretion the portion of such Imputed Underpayment Amount attributable to each Member or former Member and such attributable amount shall be treated as a Withholding Payment pursuant to </w:t>
      </w:r>
      <w:r>
        <w:rPr>
          <w:rFonts w:ascii="Arial" w:cs="Arial" w:eastAsia="Arial" w:hAnsi="Arial"/>
          <w:sz w:val="20"/>
          <w:szCs w:val="20"/>
          <w:u w:val="single" w:color="auto"/>
          <w:color w:val="auto"/>
        </w:rPr>
        <w:t>Section 4.5(a)</w:t>
      </w:r>
      <w:r>
        <w:rPr>
          <w:rFonts w:ascii="Arial" w:cs="Arial" w:eastAsia="Arial" w:hAnsi="Arial"/>
          <w:sz w:val="20"/>
          <w:szCs w:val="20"/>
          <w:color w:val="auto"/>
        </w:rPr>
        <w:t xml:space="preserve">. The portion of any Imputed Underpayment Amount attributed to a former Member shall be treated as a Withholding Payment pursuant to </w:t>
      </w:r>
      <w:r>
        <w:rPr>
          <w:rFonts w:ascii="Arial" w:cs="Arial" w:eastAsia="Arial" w:hAnsi="Arial"/>
          <w:sz w:val="20"/>
          <w:szCs w:val="20"/>
          <w:u w:val="single" w:color="auto"/>
          <w:color w:val="auto"/>
        </w:rPr>
        <w:t>Section 4.5(a)</w:t>
      </w:r>
      <w:r>
        <w:rPr>
          <w:rFonts w:ascii="Arial" w:cs="Arial" w:eastAsia="Arial" w:hAnsi="Arial"/>
          <w:sz w:val="20"/>
          <w:szCs w:val="20"/>
          <w:color w:val="auto"/>
        </w:rPr>
        <w:t xml:space="preserve"> with respect to such former Member. The Partnership Representative shall use commercially reasonable efforts to secure any reduction in any Imputed Underpayment Amount that is available by reason of the status of any Member (or its beneficial owners), including by means of any procedures provided pursuant to Code Section 6225(c)(3), and to allocate the benefit of any such reduction to such Member. Each Member agrees to indemnify and hold harmless the Company, Managing Member and the Partnership Representative from and against any and all liability with respect to any Imputed Underpayment Amounts required on behalf of, or with respect to, such Member or any former Member whose former interest in the Company is held by such Member. A Member’s obligation to so indemnify shall survive the dissolution and winding up of the Company and the transfer, assignment or liquidation of such Member’s interest in the Company. For purposes hereof, “</w:t>
      </w:r>
      <w:r>
        <w:rPr>
          <w:rFonts w:ascii="Arial" w:cs="Arial" w:eastAsia="Arial" w:hAnsi="Arial"/>
          <w:sz w:val="20"/>
          <w:szCs w:val="20"/>
          <w:b w:val="1"/>
          <w:bCs w:val="1"/>
          <w:color w:val="auto"/>
        </w:rPr>
        <w:t>Imputed Underpayment Amount</w:t>
      </w:r>
      <w:r>
        <w:rPr>
          <w:rFonts w:ascii="Arial" w:cs="Arial" w:eastAsia="Arial" w:hAnsi="Arial"/>
          <w:sz w:val="20"/>
          <w:szCs w:val="20"/>
          <w:color w:val="auto"/>
        </w:rPr>
        <w:t>” shall mean any “imputed underpayment” within the meaning of Section 6225 of the Code (or any corresponding or similar provision of state, local or foreign law) paid (or payable) by the Company as a result of an adjustment with respect to any Company item, including any interest or penalties with respect to any such adjustment. Imputed Underpayment Amounts shall also include any imputed underpayment amounts within the meaning of Code Section 6225 (or any corresponding or similar provision of state, local or foreign law) which are paid (or payable) by any entity treated as a partnership for U.S. federal income tax purposes in which the Company holds (or has held) a direct or indirect interest (other than through entities treated as corporations for U.S. federal income tax purposes) to the extent that the Company bears the economic burden of such amounts, whether by law or agreement.</w:t>
      </w:r>
    </w:p>
    <w:p>
      <w:pPr>
        <w:spacing w:after="0" w:line="159" w:lineRule="exact"/>
        <w:rPr>
          <w:rFonts w:ascii="Arial" w:cs="Arial" w:eastAsia="Arial" w:hAnsi="Arial"/>
          <w:sz w:val="20"/>
          <w:szCs w:val="20"/>
          <w:color w:val="auto"/>
        </w:rPr>
      </w:pPr>
    </w:p>
    <w:p>
      <w:pPr>
        <w:ind w:left="320" w:firstLine="1276"/>
        <w:spacing w:after="0" w:line="239" w:lineRule="auto"/>
        <w:tabs>
          <w:tab w:leader="none" w:pos="2163"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A Member’s obligations under this </w:t>
      </w:r>
      <w:r>
        <w:rPr>
          <w:rFonts w:ascii="Arial" w:cs="Arial" w:eastAsia="Arial" w:hAnsi="Arial"/>
          <w:sz w:val="21"/>
          <w:szCs w:val="21"/>
          <w:u w:val="single" w:color="auto"/>
          <w:color w:val="auto"/>
        </w:rPr>
        <w:t>Section 4.1(g)</w:t>
      </w:r>
      <w:r>
        <w:rPr>
          <w:rFonts w:ascii="Arial" w:cs="Arial" w:eastAsia="Arial" w:hAnsi="Arial"/>
          <w:sz w:val="21"/>
          <w:szCs w:val="21"/>
          <w:color w:val="auto"/>
        </w:rPr>
        <w:t xml:space="preserve"> shall survive the dissolution and winding up of the Company and any transfer, assignment or liquidation of such Member’s interest in the Company.</w:t>
      </w:r>
    </w:p>
    <w:p>
      <w:pPr>
        <w:spacing w:after="0" w:line="155" w:lineRule="exact"/>
        <w:rPr>
          <w:sz w:val="20"/>
          <w:szCs w:val="20"/>
          <w:color w:val="auto"/>
        </w:rPr>
      </w:pPr>
    </w:p>
    <w:p>
      <w:pPr>
        <w:ind w:right="100" w:firstLine="636"/>
        <w:spacing w:after="0" w:line="222" w:lineRule="auto"/>
        <w:rPr>
          <w:sz w:val="20"/>
          <w:szCs w:val="20"/>
          <w:color w:val="auto"/>
        </w:rPr>
      </w:pPr>
      <w:r>
        <w:rPr>
          <w:rFonts w:ascii="Arial" w:cs="Arial" w:eastAsia="Arial" w:hAnsi="Arial"/>
          <w:sz w:val="21"/>
          <w:szCs w:val="21"/>
          <w:color w:val="010000"/>
        </w:rPr>
        <w:t xml:space="preserve">4.6 </w:t>
      </w:r>
      <w:r>
        <w:rPr>
          <w:rFonts w:ascii="Arial" w:cs="Arial" w:eastAsia="Arial" w:hAnsi="Arial"/>
          <w:sz w:val="21"/>
          <w:szCs w:val="21"/>
          <w:color w:val="000000"/>
        </w:rPr>
        <w:t>Allocations Upon Final Liquidation. With respect to the fiscal year in which the final liquidation of the Company</w:t>
      </w:r>
      <w:r>
        <w:rPr>
          <w:rFonts w:ascii="Arial" w:cs="Arial" w:eastAsia="Arial" w:hAnsi="Arial"/>
          <w:sz w:val="21"/>
          <w:szCs w:val="21"/>
          <w:color w:val="010000"/>
        </w:rPr>
        <w:t xml:space="preserve"> </w:t>
      </w:r>
      <w:r>
        <w:rPr>
          <w:rFonts w:ascii="Arial" w:cs="Arial" w:eastAsia="Arial" w:hAnsi="Arial"/>
          <w:sz w:val="21"/>
          <w:szCs w:val="21"/>
          <w:color w:val="000000"/>
        </w:rPr>
        <w:t xml:space="preserve">occurs in accordance with </w:t>
      </w:r>
      <w:r>
        <w:rPr>
          <w:rFonts w:ascii="Arial" w:cs="Arial" w:eastAsia="Arial" w:hAnsi="Arial"/>
          <w:sz w:val="21"/>
          <w:szCs w:val="21"/>
          <w:u w:val="single" w:color="auto"/>
          <w:color w:val="000000"/>
        </w:rPr>
        <w:t>Section 12.2</w:t>
      </w:r>
      <w:r>
        <w:rPr>
          <w:rFonts w:ascii="Arial" w:cs="Arial" w:eastAsia="Arial" w:hAnsi="Arial"/>
          <w:sz w:val="21"/>
          <w:szCs w:val="21"/>
          <w:color w:val="000000"/>
        </w:rPr>
        <w:t xml:space="preserve"> of the Agreement, and notwithstanding any other provision of </w:t>
      </w:r>
      <w:r>
        <w:rPr>
          <w:rFonts w:ascii="Arial" w:cs="Arial" w:eastAsia="Arial" w:hAnsi="Arial"/>
          <w:sz w:val="21"/>
          <w:szCs w:val="21"/>
          <w:u w:val="single" w:color="auto"/>
          <w:color w:val="000000"/>
        </w:rPr>
        <w:t>Sections 4.2</w:t>
      </w:r>
      <w:r>
        <w:rPr>
          <w:rFonts w:ascii="Arial" w:cs="Arial" w:eastAsia="Arial" w:hAnsi="Arial"/>
          <w:sz w:val="21"/>
          <w:szCs w:val="21"/>
          <w:color w:val="000000"/>
        </w:rPr>
        <w:t xml:space="preserve">, </w:t>
      </w:r>
      <w:r>
        <w:rPr>
          <w:rFonts w:ascii="Arial" w:cs="Arial" w:eastAsia="Arial" w:hAnsi="Arial"/>
          <w:sz w:val="21"/>
          <w:szCs w:val="21"/>
          <w:u w:val="single" w:color="auto"/>
          <w:color w:val="000000"/>
        </w:rPr>
        <w:t>4.3</w:t>
      </w:r>
      <w:r>
        <w:rPr>
          <w:rFonts w:ascii="Arial" w:cs="Arial" w:eastAsia="Arial" w:hAnsi="Arial"/>
          <w:sz w:val="21"/>
          <w:szCs w:val="21"/>
          <w:color w:val="000000"/>
        </w:rPr>
        <w:t xml:space="preserve"> or </w:t>
      </w:r>
      <w:r>
        <w:rPr>
          <w:rFonts w:ascii="Arial" w:cs="Arial" w:eastAsia="Arial" w:hAnsi="Arial"/>
          <w:sz w:val="21"/>
          <w:szCs w:val="21"/>
          <w:u w:val="single" w:color="auto"/>
          <w:color w:val="000000"/>
        </w:rPr>
        <w:t>4.4</w:t>
      </w:r>
      <w:r>
        <w:rPr>
          <w:rFonts w:ascii="Arial" w:cs="Arial" w:eastAsia="Arial" w:hAnsi="Arial"/>
          <w:sz w:val="21"/>
          <w:szCs w:val="21"/>
          <w:color w:val="000000"/>
        </w:rPr>
        <w:t xml:space="preserve"> hereof, items of Company income, gain, loss and deduction shall be specially allocated to the Members in such amounts and priorities as are necessary so that the positive Capital Accounts of the Members shall, as closely as possible, equal the amounts that will be distributed to the Members pursuant to </w:t>
      </w:r>
      <w:r>
        <w:rPr>
          <w:rFonts w:ascii="Arial" w:cs="Arial" w:eastAsia="Arial" w:hAnsi="Arial"/>
          <w:sz w:val="21"/>
          <w:szCs w:val="21"/>
          <w:u w:val="single" w:color="auto"/>
          <w:color w:val="000000"/>
        </w:rPr>
        <w:t>Section 12.2</w:t>
      </w:r>
      <w:r>
        <w:rPr>
          <w:rFonts w:ascii="Arial" w:cs="Arial" w:eastAsia="Arial" w:hAnsi="Arial"/>
          <w:sz w:val="21"/>
          <w:szCs w:val="2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ectPr>
          <w:pgSz w:w="11900" w:h="16838" w:orient="portrait"/>
          <w:cols w:equalWidth="0" w:num="1">
            <w:col w:w="11240"/>
          </w:cols>
          <w:pgMar w:left="320" w:top="1377" w:right="3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21"/>
          <w:szCs w:val="21"/>
          <w:b w:val="1"/>
          <w:bCs w:val="1"/>
          <w:color w:val="auto"/>
        </w:rPr>
        <w:t>ARTICLE V</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MANAGEMENT</w:t>
      </w:r>
    </w:p>
    <w:p>
      <w:pPr>
        <w:spacing w:after="0" w:line="189" w:lineRule="exact"/>
        <w:rPr>
          <w:sz w:val="20"/>
          <w:szCs w:val="20"/>
          <w:color w:val="auto"/>
        </w:rPr>
      </w:pPr>
    </w:p>
    <w:p>
      <w:pPr>
        <w:jc w:val="both"/>
        <w:ind w:firstLine="636"/>
        <w:spacing w:after="0" w:line="234" w:lineRule="auto"/>
        <w:rPr>
          <w:sz w:val="20"/>
          <w:szCs w:val="20"/>
          <w:color w:val="auto"/>
        </w:rPr>
      </w:pPr>
      <w:r>
        <w:rPr>
          <w:rFonts w:ascii="Arial" w:cs="Arial" w:eastAsia="Arial" w:hAnsi="Arial"/>
          <w:sz w:val="19"/>
          <w:szCs w:val="19"/>
          <w:color w:val="010000"/>
        </w:rPr>
        <w:t xml:space="preserve">5.1 </w:t>
      </w:r>
      <w:r>
        <w:rPr>
          <w:rFonts w:ascii="Arial" w:cs="Arial" w:eastAsia="Arial" w:hAnsi="Arial"/>
          <w:sz w:val="19"/>
          <w:szCs w:val="19"/>
          <w:u w:val="single" w:color="auto"/>
          <w:color w:val="000000"/>
        </w:rPr>
        <w:t>Authority of the Managing Member</w:t>
      </w:r>
      <w:r>
        <w:rPr>
          <w:rFonts w:ascii="Arial" w:cs="Arial" w:eastAsia="Arial" w:hAnsi="Arial"/>
          <w:sz w:val="19"/>
          <w:szCs w:val="19"/>
          <w:color w:val="000000"/>
        </w:rPr>
        <w:t>. Except for situations in which the approval of one or more of the Members is</w:t>
      </w:r>
      <w:r>
        <w:rPr>
          <w:rFonts w:ascii="Arial" w:cs="Arial" w:eastAsia="Arial" w:hAnsi="Arial"/>
          <w:sz w:val="19"/>
          <w:szCs w:val="19"/>
          <w:color w:val="010000"/>
        </w:rPr>
        <w:t xml:space="preserve"> </w:t>
      </w:r>
      <w:r>
        <w:rPr>
          <w:rFonts w:ascii="Arial" w:cs="Arial" w:eastAsia="Arial" w:hAnsi="Arial"/>
          <w:sz w:val="19"/>
          <w:szCs w:val="19"/>
          <w:color w:val="000000"/>
        </w:rPr>
        <w:t xml:space="preserve">specifically required by the express terms of this Agreement, and subject to the provisions of this </w:t>
      </w:r>
      <w:r>
        <w:rPr>
          <w:rFonts w:ascii="Arial" w:cs="Arial" w:eastAsia="Arial" w:hAnsi="Arial"/>
          <w:sz w:val="19"/>
          <w:szCs w:val="19"/>
          <w:u w:val="single" w:color="auto"/>
          <w:color w:val="000000"/>
        </w:rPr>
        <w:t>Article V</w:t>
      </w:r>
      <w:r>
        <w:rPr>
          <w:rFonts w:ascii="Arial" w:cs="Arial" w:eastAsia="Arial" w:hAnsi="Arial"/>
          <w:sz w:val="19"/>
          <w:szCs w:val="19"/>
          <w:color w:val="000000"/>
        </w:rPr>
        <w:t>, (i) all management powers over the business and affairs of the Company shall be exclusively vested in the Managing Member, (ii) the Managing Member shall conduct, direct and exercise full control over all activities of the Company, and (iii) the Managing Member shall have the sole power to bind or take any action on behalf of the Company, or to exercise any rights and powers (including, without limitation,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Without limiting the generality of the foregoing, but subject to any situations in which the approval of the Members is specifically required by this Agreement, (x) the Managing Member shall have discretion in determining whether to issue Equity Securities, the number of Equity Securities to be issued at any particular time, the purchase price for any Equity Securities issued, and all other terms and conditions governing the issuance of Equity Securities and</w:t>
      </w:r>
    </w:p>
    <w:p>
      <w:pPr>
        <w:spacing w:after="0" w:line="7" w:lineRule="exact"/>
        <w:rPr>
          <w:sz w:val="20"/>
          <w:szCs w:val="20"/>
          <w:color w:val="auto"/>
        </w:rPr>
      </w:pPr>
    </w:p>
    <w:p>
      <w:pPr>
        <w:jc w:val="both"/>
        <w:ind w:firstLine="6"/>
        <w:spacing w:after="0" w:line="234" w:lineRule="auto"/>
        <w:tabs>
          <w:tab w:leader="none" w:pos="342"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Managing Member may enter into, approve, and consummate any Liquidity Event or other extraordinary or business combination or divestiture transaction, and execute and deliver on behalf of the Company or the Members any agreement, document and instrument in connection therewith (including amendments, if any, to this Agreement or adoptions of new constituent documents) without the approval or consent of any Member. The Managing Member shall operate the Company and its Subsidiaries in accordance in all material respects with an annual budget, business plan and financial forecasts for the Company and its Subsidiaries for each fiscal year. The Managing Member shall be the “manager” of the Company for the purposes of the Delaware Act. The Managing Member is hereby designated as authorized person, within the meaning of the Delaware Act, to execute, deliver and file the certificate of formation of the Company and all other certificates (and any amendments and/or restatements hereof) required or permitted by the Delaware Act to be filed in the Office of the Secretary of State of the State of Delaware. The Managing Member and Members hereby approve and ratify the filing of the following documents with the Secretary of State of the State of Delaware: (i) the Certificate of Formation of the Company by Henry Schuck, as authorized person, (ii) the Certificate of Amendment to the Certificate of Formation of the Company by Anthony Stark, as authorized person, and (iii) the Certificate of Merger of the Company by Anthony Stark, as authorized person. The Managing Member is hereby authorized to execute, deliver and file any other certificates (and any amendments and/or restatements thereof) necessary for the Company to qualify to do business in a jurisdiction in which the Company may wish to conduct business. Notwithstanding any other provision of this Agreement to the contrary, without the consent of any Member or other Person being required, the Company is hereby authorized to execute, deliver and perform, and the Managing Member or any officer on behalf of the Company, is hereby authorized to execute and deliver (a) the Merger Agreement; (b) any other document, certificate or contract relating to or contemplated by the Corporate Conversion; and (c) any amendment and any agreement, document or other instrument contemplated thereby or related thereto. The Managing Member or any officer is hereby authorized to enter into the documents described in the preceding sentence on behalf of the Company, but such authorization shall not be deemed a restriction on the power of the Managing Member or any officer to enter into other documents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ectPr>
          <w:pgSz w:w="11900" w:h="16838" w:orient="portrait"/>
          <w:cols w:equalWidth="0" w:num="1">
            <w:col w:w="11240"/>
          </w:cols>
          <w:pgMar w:left="320" w:top="1371" w:right="339" w:bottom="1440" w:gutter="0" w:footer="0" w:header="0"/>
        </w:sectPr>
      </w:pPr>
    </w:p>
    <w:bookmarkStart w:id="194" w:name="page195"/>
    <w:bookmarkEnd w:id="194"/>
    <w:p>
      <w:pPr>
        <w:jc w:val="both"/>
        <w:ind w:firstLine="636"/>
        <w:spacing w:after="0" w:line="220" w:lineRule="auto"/>
        <w:rPr>
          <w:sz w:val="20"/>
          <w:szCs w:val="20"/>
          <w:color w:val="auto"/>
        </w:rPr>
      </w:pPr>
      <w:r>
        <w:rPr>
          <w:rFonts w:ascii="Arial" w:cs="Arial" w:eastAsia="Arial" w:hAnsi="Arial"/>
          <w:sz w:val="21"/>
          <w:szCs w:val="21"/>
          <w:color w:val="010000"/>
        </w:rPr>
        <w:t xml:space="preserve">5.2 </w:t>
      </w:r>
      <w:r>
        <w:rPr>
          <w:rFonts w:ascii="Arial" w:cs="Arial" w:eastAsia="Arial" w:hAnsi="Arial"/>
          <w:sz w:val="21"/>
          <w:szCs w:val="21"/>
          <w:u w:val="single" w:color="auto"/>
          <w:color w:val="000000"/>
        </w:rPr>
        <w:t>Actions of the Managing Member</w:t>
      </w:r>
      <w:r>
        <w:rPr>
          <w:rFonts w:ascii="Arial" w:cs="Arial" w:eastAsia="Arial" w:hAnsi="Arial"/>
          <w:sz w:val="21"/>
          <w:szCs w:val="21"/>
          <w:color w:val="000000"/>
        </w:rPr>
        <w:t>. Unless otherwise provided in this Agreement, any decision, action, approval or</w:t>
      </w:r>
      <w:r>
        <w:rPr>
          <w:rFonts w:ascii="Arial" w:cs="Arial" w:eastAsia="Arial" w:hAnsi="Arial"/>
          <w:sz w:val="21"/>
          <w:szCs w:val="21"/>
          <w:color w:val="010000"/>
        </w:rPr>
        <w:t xml:space="preserve"> </w:t>
      </w:r>
      <w:r>
        <w:rPr>
          <w:rFonts w:ascii="Arial" w:cs="Arial" w:eastAsia="Arial" w:hAnsi="Arial"/>
          <w:sz w:val="21"/>
          <w:szCs w:val="21"/>
          <w:color w:val="000000"/>
        </w:rPr>
        <w:t xml:space="preserve">consent required or permitted to be taken by the Managing Member may be taken by the Managing Member through any Person or Persons to whom authority and duties have been delegated pursuant to </w:t>
      </w:r>
      <w:r>
        <w:rPr>
          <w:rFonts w:ascii="Arial" w:cs="Arial" w:eastAsia="Arial" w:hAnsi="Arial"/>
          <w:sz w:val="21"/>
          <w:szCs w:val="21"/>
          <w:u w:val="single" w:color="auto"/>
          <w:color w:val="000000"/>
        </w:rPr>
        <w:t>Section 5.4(a)</w:t>
      </w:r>
      <w:r>
        <w:rPr>
          <w:rFonts w:ascii="Arial" w:cs="Arial" w:eastAsia="Arial" w:hAnsi="Arial"/>
          <w:sz w:val="21"/>
          <w:szCs w:val="21"/>
          <w:color w:val="000000"/>
        </w:rPr>
        <w:t>. The Managing Member shall not cease to be a Managing Member of the Company as a result of the delegation of any duties hereunder. No officer or agent of the Company, in its capacity as such, shall be considered a Managing Member of the Company by agreement, as a result of the performance of its duties hereunder or otherwise.</w:t>
      </w:r>
    </w:p>
    <w:p>
      <w:pPr>
        <w:spacing w:after="0" w:line="15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5.3</w:t>
      </w:r>
      <w:r>
        <w:rPr>
          <w:sz w:val="20"/>
          <w:szCs w:val="20"/>
          <w:color w:val="auto"/>
        </w:rPr>
        <w:tab/>
      </w:r>
      <w:r>
        <w:rPr>
          <w:rFonts w:ascii="Arial" w:cs="Arial" w:eastAsia="Arial" w:hAnsi="Arial"/>
          <w:sz w:val="18"/>
          <w:szCs w:val="18"/>
          <w:u w:val="single" w:color="auto"/>
          <w:color w:val="auto"/>
        </w:rPr>
        <w:t>Compensation; Expenses</w:t>
      </w:r>
      <w:r>
        <w:rPr>
          <w:rFonts w:ascii="Arial" w:cs="Arial" w:eastAsia="Arial" w:hAnsi="Arial"/>
          <w:sz w:val="18"/>
          <w:szCs w:val="18"/>
          <w:color w:val="auto"/>
        </w:rPr>
        <w:t>.</w:t>
      </w:r>
    </w:p>
    <w:p>
      <w:pPr>
        <w:spacing w:after="0" w:line="183" w:lineRule="exact"/>
        <w:rPr>
          <w:sz w:val="20"/>
          <w:szCs w:val="20"/>
          <w:color w:val="auto"/>
        </w:rPr>
      </w:pPr>
    </w:p>
    <w:p>
      <w:pPr>
        <w:ind w:left="320" w:firstLine="1276"/>
        <w:spacing w:after="0" w:line="239" w:lineRule="auto"/>
        <w:tabs>
          <w:tab w:leader="none" w:pos="2075"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Managing Member shall not be entitled to any compensation for services rendered to the Company in its capacity as Managing Member.</w:t>
      </w:r>
    </w:p>
    <w:p>
      <w:pPr>
        <w:spacing w:after="0" w:line="155" w:lineRule="exact"/>
        <w:rPr>
          <w:rFonts w:ascii="Arial" w:cs="Arial" w:eastAsia="Arial" w:hAnsi="Arial"/>
          <w:sz w:val="21"/>
          <w:szCs w:val="21"/>
          <w:color w:val="auto"/>
        </w:rPr>
      </w:pPr>
    </w:p>
    <w:p>
      <w:pPr>
        <w:jc w:val="both"/>
        <w:ind w:left="320" w:firstLine="1276"/>
        <w:spacing w:after="0" w:line="223" w:lineRule="auto"/>
        <w:tabs>
          <w:tab w:leader="none" w:pos="2103" w:val="left"/>
        </w:tabs>
        <w:numPr>
          <w:ilvl w:val="0"/>
          <w:numId w:val="72"/>
        </w:numPr>
        <w:rPr>
          <w:rFonts w:ascii="Arial" w:cs="Arial" w:eastAsia="Arial" w:hAnsi="Arial"/>
          <w:sz w:val="20"/>
          <w:szCs w:val="20"/>
          <w:color w:val="auto"/>
        </w:rPr>
      </w:pPr>
      <w:r>
        <w:rPr>
          <w:rFonts w:ascii="Arial" w:cs="Arial" w:eastAsia="Arial" w:hAnsi="Arial"/>
          <w:sz w:val="20"/>
          <w:szCs w:val="20"/>
          <w:color w:val="auto"/>
        </w:rPr>
        <w:t xml:space="preserve">The Company shall pay, or cause to be paid, all costs, fees, operating expenses and other expenses of the Company (including the costs, fees and expenses of attorneys, accountants or other professionals) incurred in pursuing and conducting, or otherwise related to, the activities of the Company. The Company shall also, in the sole discretion of the Managing Member, bear and/or reimburse Old PubCo or the Managing Member for (i) any costs, fees or expenses incurred by the Managing Member in connection with serving as Managing Member, (ii) operating, administrative and other similar costs incurred by the Managing Member, to the extent the proceeds are used or will be used by the Managing Member to pay expenses described in this clause (ii) and payments pursuant to any legal, tax, accounting and other professional fees and expenses (but, for the avoidance of doubt, excluding any tax liabilities of the Managing Member), (iii) any judgments, settlements, penalties, fines or other costs and expenses in respect of any claims against, or any litigation or proceedings involving, the Managing Member, (iv) other fees and expenses in connection with the maintenance of the existence of the Managing Member, (v) fees and expenses related to any securities offering, investment or acquisition transaction (whether or not successful) authorized by Old PubCo, as the managing member of the Managing Member, and (vi) all other expenses allocable to the Company or otherwise incurred by Old PubCo or the Managing Member in connection with operating the Company’s business (including expenses allocated to Old PubCo or the Managing Member by their Affiliates and expenses incurred by Old PubCo in its capacity as managing member of the Managing Member). For the avoidance of doubt, distributions made under </w:t>
      </w:r>
      <w:r>
        <w:rPr>
          <w:rFonts w:ascii="Arial" w:cs="Arial" w:eastAsia="Arial" w:hAnsi="Arial"/>
          <w:sz w:val="20"/>
          <w:szCs w:val="20"/>
          <w:u w:val="single" w:color="auto"/>
          <w:color w:val="auto"/>
        </w:rPr>
        <w:t>Section 4.1(d)</w:t>
      </w:r>
      <w:r>
        <w:rPr>
          <w:rFonts w:ascii="Arial" w:cs="Arial" w:eastAsia="Arial" w:hAnsi="Arial"/>
          <w:sz w:val="20"/>
          <w:szCs w:val="20"/>
          <w:color w:val="auto"/>
        </w:rPr>
        <w:t xml:space="preserve"> may not be used to pay or facilitate dividends or distributions on the common stock of Old PubCo and must be used solely for one of the express purposes set forth under clauses (i) through (v) of the immediately preceding sentence. To the extent that the Managing Member determines in its sole discretion that such expenses are related to the business and affairs of Old PubCo or the Managing Member that are conducted through the Company and/or its Subsidiaries (including expenses that relate to the business and affairs of the Company and/or its Subsidiaries and that also relate to other activities of Old PubCo or the Managing Member), the Managing Member may cause the Company to pay or bear all expenses of Old PubCo or the Managing Member, including, without limitation, compensation and meeting costs of any board of directors or similar body of Old PubCo or the Managing Member, any salary, bonus, incentive compensation and other amounts paid to any Person including Affiliates of Old PubCo or the Managing Member to perform services for the Company, litigation costs and damages arising from litigation, accounting and legal costs and franchise taxes, except to the extent such franchise taxes are based on or measured with respect to net income or profits; provided that the Company shall not pay or bear any income tax obligations of Old PubCo or the Managing Member or any obligations of Old PubCo or the Managing Member under the Tax Receivable Agreements. To the extent practicable, expenses incurred by Old PubCo or the Managing Member on behalf of or for the benefit of the Company shall be billed directly to and paid by the Company and, if and to the extent any reimbursements to Old PubCo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ectPr>
          <w:pgSz w:w="11900" w:h="16838" w:orient="portrait"/>
          <w:cols w:equalWidth="0" w:num="1">
            <w:col w:w="11240"/>
          </w:cols>
          <w:pgMar w:left="320" w:top="1377" w:right="339" w:bottom="1440" w:gutter="0" w:footer="0" w:header="0"/>
        </w:sectPr>
      </w:pPr>
    </w:p>
    <w:bookmarkStart w:id="195" w:name="page196"/>
    <w:bookmarkEnd w:id="195"/>
    <w:p>
      <w:pPr>
        <w:jc w:val="both"/>
        <w:spacing w:after="0" w:line="247" w:lineRule="auto"/>
        <w:rPr>
          <w:sz w:val="20"/>
          <w:szCs w:val="20"/>
          <w:color w:val="auto"/>
        </w:rPr>
      </w:pPr>
      <w:r>
        <w:rPr>
          <w:rFonts w:ascii="Arial" w:cs="Arial" w:eastAsia="Arial" w:hAnsi="Arial"/>
          <w:sz w:val="19"/>
          <w:szCs w:val="19"/>
          <w:color w:val="auto"/>
        </w:rPr>
        <w:t xml:space="preserve">the Managing Member or any of their Affiliates by the Company pursuant to this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constitute gross income to such Person (as opposed to the repayment of advances made by such Person on behalf of the Company), such amounts shall be treated as “guaranteed payments” within the meaning of Section 707(c) of the Code and shall not be treated as distributions for purposes of computing the Members’ Capital Account. Reimbursements pursuant to this </w:t>
      </w:r>
      <w:r>
        <w:rPr>
          <w:rFonts w:ascii="Arial" w:cs="Arial" w:eastAsia="Arial" w:hAnsi="Arial"/>
          <w:sz w:val="19"/>
          <w:szCs w:val="19"/>
          <w:u w:val="single" w:color="auto"/>
          <w:color w:val="auto"/>
        </w:rPr>
        <w:t>Section 5.3(b)</w:t>
      </w:r>
      <w:r>
        <w:rPr>
          <w:rFonts w:ascii="Arial" w:cs="Arial" w:eastAsia="Arial" w:hAnsi="Arial"/>
          <w:sz w:val="19"/>
          <w:szCs w:val="19"/>
          <w:color w:val="auto"/>
        </w:rPr>
        <w:t xml:space="preserve"> shall be in addition to any reimbursement to Old PubCo or the Managing Member as a result of indemnification pursuant to </w:t>
      </w:r>
      <w:r>
        <w:rPr>
          <w:rFonts w:ascii="Arial" w:cs="Arial" w:eastAsia="Arial" w:hAnsi="Arial"/>
          <w:sz w:val="19"/>
          <w:szCs w:val="19"/>
          <w:u w:val="single" w:color="auto"/>
          <w:color w:val="auto"/>
        </w:rPr>
        <w:t>Section 6.4</w:t>
      </w:r>
      <w:r>
        <w:rPr>
          <w:rFonts w:ascii="Arial" w:cs="Arial" w:eastAsia="Arial" w:hAnsi="Arial"/>
          <w:sz w:val="19"/>
          <w:szCs w:val="19"/>
          <w:color w:val="auto"/>
        </w:rPr>
        <w:t>.</w:t>
      </w:r>
    </w:p>
    <w:p>
      <w:pPr>
        <w:spacing w:after="0" w:line="148"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5.4</w:t>
      </w:r>
      <w:r>
        <w:rPr>
          <w:sz w:val="20"/>
          <w:szCs w:val="20"/>
          <w:color w:val="auto"/>
        </w:rPr>
        <w:tab/>
      </w:r>
      <w:r>
        <w:rPr>
          <w:rFonts w:ascii="Arial" w:cs="Arial" w:eastAsia="Arial" w:hAnsi="Arial"/>
          <w:sz w:val="20"/>
          <w:szCs w:val="20"/>
          <w:u w:val="single" w:color="auto"/>
          <w:color w:val="auto"/>
        </w:rPr>
        <w:t>Delegation of Authority</w:t>
      </w:r>
      <w:r>
        <w:rPr>
          <w:rFonts w:ascii="Arial" w:cs="Arial" w:eastAsia="Arial" w:hAnsi="Arial"/>
          <w:sz w:val="20"/>
          <w:szCs w:val="20"/>
          <w:color w:val="auto"/>
        </w:rPr>
        <w:t>.</w:t>
      </w:r>
    </w:p>
    <w:p>
      <w:pPr>
        <w:spacing w:after="0" w:line="183" w:lineRule="exact"/>
        <w:rPr>
          <w:sz w:val="20"/>
          <w:szCs w:val="20"/>
          <w:color w:val="auto"/>
        </w:rPr>
      </w:pPr>
    </w:p>
    <w:p>
      <w:pPr>
        <w:jc w:val="both"/>
        <w:ind w:firstLine="1276"/>
        <w:spacing w:after="0" w:line="225" w:lineRule="auto"/>
        <w:tabs>
          <w:tab w:leader="none" w:pos="1761"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Managing Member may, from time to time, delegate to one or more Persons (including any officer of the Company or other Person) such authority and duties as the Managing Member may deem advisable;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Person shall exercise such authority subject to the same duties and obligations to which the Managing Member would have otherwise been subject pursuant to the terms of this Agreement.</w:t>
      </w:r>
    </w:p>
    <w:p>
      <w:pPr>
        <w:spacing w:after="0" w:line="154" w:lineRule="exact"/>
        <w:rPr>
          <w:rFonts w:ascii="Arial" w:cs="Arial" w:eastAsia="Arial" w:hAnsi="Arial"/>
          <w:sz w:val="21"/>
          <w:szCs w:val="21"/>
          <w:color w:val="auto"/>
        </w:rPr>
      </w:pPr>
    </w:p>
    <w:p>
      <w:pPr>
        <w:jc w:val="both"/>
        <w:ind w:firstLine="1276"/>
        <w:spacing w:after="0" w:line="220" w:lineRule="auto"/>
        <w:tabs>
          <w:tab w:leader="none" w:pos="1749"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Managing Member may assign titles (including, without limitation, executive chairman, non-executive chairman, chief executive officer, president, vice president, secretary, assistant secretary, treasurer or assistant treasurer) and delegate certain authority and duties to such Persons. Any number of titles may be held by the same officer of the Company or other individual. The salaries or other compensation, if any, of the officers and agents of the Company shall be fixed from time to time by the Managing Member. Any delegation pursuant to this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may be revoked at any time by the Managing Member.</w:t>
      </w:r>
    </w:p>
    <w:p>
      <w:pPr>
        <w:spacing w:after="0" w:line="156"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5.5</w:t>
      </w:r>
      <w:r>
        <w:rPr>
          <w:sz w:val="20"/>
          <w:szCs w:val="20"/>
          <w:color w:val="auto"/>
        </w:rPr>
        <w:tab/>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w:t>
      </w:r>
    </w:p>
    <w:p>
      <w:pPr>
        <w:spacing w:after="0" w:line="183" w:lineRule="exact"/>
        <w:rPr>
          <w:sz w:val="20"/>
          <w:szCs w:val="20"/>
          <w:color w:val="auto"/>
        </w:rPr>
      </w:pPr>
    </w:p>
    <w:p>
      <w:pPr>
        <w:jc w:val="both"/>
        <w:ind w:firstLine="1276"/>
        <w:spacing w:after="0" w:line="237" w:lineRule="auto"/>
        <w:tabs>
          <w:tab w:leader="none" w:pos="1760"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Except as otherwise provided herein, in an agreement entered into by such Person and the Company or by applicable law, none of the Managing Member or any manager, officer, director, principal, member, employee, agent or Affiliate of the Managing Member shall be liable to the Company or to any Member for any act or omission performed or omitted by the Managing Member in its capacity as the Managing Member pursuant to authority granted to such Person by this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except as otherwise provided herein, such limitation of liability shall not apply to the extent the act or omission</w:t>
      </w:r>
      <w:r>
        <w:rPr>
          <w:rFonts w:ascii="Arial" w:cs="Arial" w:eastAsia="Arial" w:hAnsi="Arial"/>
          <w:sz w:val="19"/>
          <w:szCs w:val="19"/>
          <w:i w:val="1"/>
          <w:iCs w:val="1"/>
          <w:color w:val="auto"/>
        </w:rPr>
        <w:t xml:space="preserve"> </w:t>
      </w:r>
      <w:r>
        <w:rPr>
          <w:rFonts w:ascii="Arial" w:cs="Arial" w:eastAsia="Arial" w:hAnsi="Arial"/>
          <w:sz w:val="19"/>
          <w:szCs w:val="19"/>
          <w:color w:val="auto"/>
        </w:rPr>
        <w:t>was attributable to such Person’s gross negligence, willful misconduct or knowing violation of law, for any present or future breaches of any representations, warranties or covenants by such Person or its Affiliates contained herein with respect to any rights of the Company under any other agreements between the Managing Member and the Company. The Managing Member may exercise any of the powers granted to it by this Agreement and perform any of the duties imposed upon it hereunder either directly or by or through its agents, and none of the Managing Member or any manager, officer, director, principal, member, employee, agent or Affiliate of the Managing Member shall be responsible for any misconduct or negligence on the part of any such agent appointed by the Managing Member (so long as such agent was selected in good faith and with reasonable care).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to liability to the Company or any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23</w:t>
      </w:r>
    </w:p>
    <w:p>
      <w:pPr>
        <w:sectPr>
          <w:pgSz w:w="11900" w:h="16838" w:orient="portrait"/>
          <w:cols w:equalWidth="0" w:num="1">
            <w:col w:w="10920"/>
          </w:cols>
          <w:pgMar w:left="640" w:top="1377" w:right="339" w:bottom="1440" w:gutter="0" w:footer="0" w:header="0"/>
        </w:sectPr>
      </w:pPr>
    </w:p>
    <w:bookmarkStart w:id="196" w:name="page197"/>
    <w:bookmarkEnd w:id="196"/>
    <w:p>
      <w:pPr>
        <w:jc w:val="both"/>
        <w:ind w:firstLine="1276"/>
        <w:spacing w:after="0" w:line="218" w:lineRule="auto"/>
        <w:tabs>
          <w:tab w:leader="none" w:pos="1797" w:val="left"/>
        </w:tabs>
        <w:numPr>
          <w:ilvl w:val="0"/>
          <w:numId w:val="75"/>
        </w:numPr>
        <w:rPr>
          <w:rFonts w:ascii="Arial" w:cs="Arial" w:eastAsia="Arial" w:hAnsi="Arial"/>
          <w:sz w:val="21"/>
          <w:szCs w:val="21"/>
          <w:color w:val="auto"/>
        </w:rPr>
      </w:pPr>
      <w:r>
        <w:rPr>
          <w:rFonts w:ascii="Arial" w:cs="Arial" w:eastAsia="Arial" w:hAnsi="Arial"/>
          <w:sz w:val="21"/>
          <w:szCs w:val="21"/>
          <w:color w:val="auto"/>
        </w:rPr>
        <w:t>Except as provided in this Agreement or in the Delaware Act, the debts, obligations and liabilities of the Company, whether arising in contract, tort or otherwise, shall be solely the debts, obligations and liabilities of the Company and no Managing Member shall be obligated personally for any such debts, obligations or liabilities solely by reason of acting as the Managing Member of the Company. The Managing Member shall not be personally liable for the Company’s obligations, liabilities and Losses.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Managing Member for liabilities of the Company.</w:t>
      </w:r>
    </w:p>
    <w:p>
      <w:pPr>
        <w:spacing w:after="0" w:line="359"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ARTICLE VI</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RIGHTS AND OBLIGATIONS OF MEMBERS</w:t>
      </w:r>
    </w:p>
    <w:p>
      <w:pPr>
        <w:spacing w:after="0" w:line="189"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6.1</w:t>
      </w:r>
      <w:r>
        <w:rPr>
          <w:sz w:val="20"/>
          <w:szCs w:val="20"/>
          <w:color w:val="auto"/>
        </w:rPr>
        <w:tab/>
      </w:r>
      <w:r>
        <w:rPr>
          <w:rFonts w:ascii="Arial" w:cs="Arial" w:eastAsia="Arial" w:hAnsi="Arial"/>
          <w:sz w:val="21"/>
          <w:szCs w:val="21"/>
          <w:u w:val="single" w:color="auto"/>
          <w:color w:val="auto"/>
        </w:rPr>
        <w:t>Limitation of Liability</w:t>
      </w:r>
      <w:r>
        <w:rPr>
          <w:rFonts w:ascii="Arial" w:cs="Arial" w:eastAsia="Arial" w:hAnsi="Arial"/>
          <w:sz w:val="21"/>
          <w:szCs w:val="21"/>
          <w:color w:val="auto"/>
        </w:rPr>
        <w:t>.</w:t>
      </w:r>
    </w:p>
    <w:p>
      <w:pPr>
        <w:spacing w:after="0" w:line="183" w:lineRule="exact"/>
        <w:rPr>
          <w:sz w:val="20"/>
          <w:szCs w:val="20"/>
          <w:color w:val="auto"/>
        </w:rPr>
      </w:pPr>
    </w:p>
    <w:p>
      <w:pPr>
        <w:jc w:val="both"/>
        <w:ind w:firstLine="1276"/>
        <w:spacing w:after="0" w:line="228" w:lineRule="auto"/>
        <w:tabs>
          <w:tab w:leader="none" w:pos="1787"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Except as provided in this Agreement or in the Delaware Act, the debts, obligations and liabilities of the Company, whether arising in contract, tort or otherwise, shall be solely the debts, obligations and liabilities of the Company and no Member shall be obligated personally for any such debts, obligations or liabilities solely by reason of being a member of the Company. Except as otherwise provided in this Agreement or the Delaware Act, a Member’s liability (in its capacity as such) for Company obligations, liabilities and Losses shall be limited to the Company’s assets;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a Member shall be required to return to the Company any Distribution made to it after the execution of this Agreement in clear and manifest accounting or similar error. The immediately preceding sentence shall constitute a compromise to which all Members have consented within the meaning of the Delaware Act.</w:t>
      </w:r>
    </w:p>
    <w:p>
      <w:pPr>
        <w:spacing w:after="0" w:line="160" w:lineRule="exact"/>
        <w:rPr>
          <w:rFonts w:ascii="Arial" w:cs="Arial" w:eastAsia="Arial" w:hAnsi="Arial"/>
          <w:sz w:val="20"/>
          <w:szCs w:val="20"/>
          <w:color w:val="auto"/>
        </w:rPr>
      </w:pPr>
    </w:p>
    <w:p>
      <w:pPr>
        <w:jc w:val="both"/>
        <w:ind w:firstLine="1276"/>
        <w:spacing w:after="0" w:line="242" w:lineRule="auto"/>
        <w:tabs>
          <w:tab w:leader="none" w:pos="176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This Agreement is not intended to, and does not, create or impose any duty (including any fiduciary duty) on any of the Members (including without limitation, the Managing Member) hereto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each Member and the Managing Member shall have the duty to act in accordance with the implied contractual covenant of good faith and fair dealing.</w:t>
      </w:r>
    </w:p>
    <w:p>
      <w:pPr>
        <w:spacing w:after="0" w:line="153" w:lineRule="exact"/>
        <w:rPr>
          <w:rFonts w:ascii="Arial" w:cs="Arial" w:eastAsia="Arial" w:hAnsi="Arial"/>
          <w:sz w:val="19"/>
          <w:szCs w:val="19"/>
          <w:color w:val="auto"/>
        </w:rPr>
      </w:pPr>
    </w:p>
    <w:p>
      <w:pPr>
        <w:jc w:val="both"/>
        <w:ind w:firstLine="1276"/>
        <w:spacing w:after="0" w:line="217" w:lineRule="auto"/>
        <w:tabs>
          <w:tab w:leader="none" w:pos="1771" w:val="left"/>
        </w:tabs>
        <w:numPr>
          <w:ilvl w:val="0"/>
          <w:numId w:val="76"/>
        </w:numPr>
        <w:rPr>
          <w:rFonts w:ascii="Arial" w:cs="Arial" w:eastAsia="Arial" w:hAnsi="Arial"/>
          <w:sz w:val="21"/>
          <w:szCs w:val="21"/>
          <w:color w:val="auto"/>
        </w:rPr>
      </w:pPr>
      <w:r>
        <w:rPr>
          <w:rFonts w:ascii="Arial" w:cs="Arial" w:eastAsia="Arial" w:hAnsi="Arial"/>
          <w:sz w:val="21"/>
          <w:szCs w:val="21"/>
          <w:color w:val="auto"/>
        </w:rPr>
        <w:t>To the extent that, at law or in equity, any Member (including without limitation, the Managing Member) has duties (including fiduciary duties) and liabilities relating thereto to the Company, to another Member or to another Person who is a party to or is otherwise bound by this Agreement, the Members (including without limitation, the Managing Member)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without limitation, the Managing Member) otherwise existing at law or in equity, are agreed by the Members to replace to that extent such other duties and liabilities of the Members relating thereto (including without limitation, the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24</w:t>
      </w:r>
    </w:p>
    <w:p>
      <w:pPr>
        <w:sectPr>
          <w:pgSz w:w="11900" w:h="16838" w:orient="portrait"/>
          <w:cols w:equalWidth="0" w:num="1">
            <w:col w:w="10920"/>
          </w:cols>
          <w:pgMar w:left="640" w:top="1377" w:right="339" w:bottom="1440" w:gutter="0" w:footer="0" w:header="0"/>
        </w:sectPr>
      </w:pPr>
    </w:p>
    <w:bookmarkStart w:id="197" w:name="page198"/>
    <w:bookmarkEnd w:id="197"/>
    <w:p>
      <w:pPr>
        <w:jc w:val="both"/>
        <w:ind w:firstLine="636"/>
        <w:spacing w:after="0" w:line="236" w:lineRule="auto"/>
        <w:rPr>
          <w:sz w:val="20"/>
          <w:szCs w:val="20"/>
          <w:color w:val="auto"/>
        </w:rPr>
      </w:pPr>
      <w:r>
        <w:rPr>
          <w:rFonts w:ascii="Arial" w:cs="Arial" w:eastAsia="Arial" w:hAnsi="Arial"/>
          <w:sz w:val="20"/>
          <w:szCs w:val="20"/>
          <w:color w:val="010000"/>
        </w:rPr>
        <w:t xml:space="preserve">6.2 </w:t>
      </w:r>
      <w:r>
        <w:rPr>
          <w:rFonts w:ascii="Arial" w:cs="Arial" w:eastAsia="Arial" w:hAnsi="Arial"/>
          <w:sz w:val="20"/>
          <w:szCs w:val="20"/>
          <w:u w:val="single" w:color="auto"/>
          <w:color w:val="000000"/>
        </w:rPr>
        <w:t>Lack of Authority</w:t>
      </w:r>
      <w:r>
        <w:rPr>
          <w:rFonts w:ascii="Arial" w:cs="Arial" w:eastAsia="Arial" w:hAnsi="Arial"/>
          <w:sz w:val="20"/>
          <w:szCs w:val="20"/>
          <w:color w:val="000000"/>
        </w:rPr>
        <w:t>. No Member (other than the Managing Member) in its capacity as such (other than in its capacity</w:t>
      </w:r>
      <w:r>
        <w:rPr>
          <w:rFonts w:ascii="Arial" w:cs="Arial" w:eastAsia="Arial" w:hAnsi="Arial"/>
          <w:sz w:val="20"/>
          <w:szCs w:val="20"/>
          <w:color w:val="010000"/>
        </w:rPr>
        <w:t xml:space="preserve"> </w:t>
      </w:r>
      <w:r>
        <w:rPr>
          <w:rFonts w:ascii="Arial" w:cs="Arial" w:eastAsia="Arial" w:hAnsi="Arial"/>
          <w:sz w:val="20"/>
          <w:szCs w:val="20"/>
          <w:color w:val="000000"/>
        </w:rPr>
        <w:t xml:space="preserve">as a Person delegated authority pursuant to </w:t>
      </w:r>
      <w:r>
        <w:rPr>
          <w:rFonts w:ascii="Arial" w:cs="Arial" w:eastAsia="Arial" w:hAnsi="Arial"/>
          <w:sz w:val="20"/>
          <w:szCs w:val="20"/>
          <w:u w:val="single" w:color="auto"/>
          <w:color w:val="000000"/>
        </w:rPr>
        <w:t>Section 5.4</w:t>
      </w:r>
      <w:r>
        <w:rPr>
          <w:rFonts w:ascii="Arial" w:cs="Arial" w:eastAsia="Arial" w:hAnsi="Arial"/>
          <w:sz w:val="20"/>
          <w:szCs w:val="20"/>
          <w:color w:val="000000"/>
        </w:rPr>
        <w:t>) has the authority or power to act for or on behalf of the Company, to do any act that would be binding on the Company or to make any expenditures on behalf of the Company. The Members hereby consent to the exercise by the Managing Member of the powers conferred on it by law and this Agreement.</w:t>
      </w:r>
    </w:p>
    <w:p>
      <w:pPr>
        <w:spacing w:after="0" w:line="155"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010000"/>
        </w:rPr>
        <w:t xml:space="preserve">6.3 </w:t>
      </w:r>
      <w:r>
        <w:rPr>
          <w:rFonts w:ascii="Arial" w:cs="Arial" w:eastAsia="Arial" w:hAnsi="Arial"/>
          <w:sz w:val="21"/>
          <w:szCs w:val="21"/>
          <w:u w:val="single" w:color="auto"/>
          <w:color w:val="000000"/>
        </w:rPr>
        <w:t>No Right of Partition</w:t>
      </w:r>
      <w:r>
        <w:rPr>
          <w:rFonts w:ascii="Arial" w:cs="Arial" w:eastAsia="Arial" w:hAnsi="Arial"/>
          <w:sz w:val="21"/>
          <w:szCs w:val="21"/>
          <w:color w:val="000000"/>
        </w:rPr>
        <w:t>. No Member shall have the right to seek or obtain partition by court decree or operation of law</w:t>
      </w:r>
      <w:r>
        <w:rPr>
          <w:rFonts w:ascii="Arial" w:cs="Arial" w:eastAsia="Arial" w:hAnsi="Arial"/>
          <w:sz w:val="21"/>
          <w:szCs w:val="21"/>
          <w:color w:val="010000"/>
        </w:rPr>
        <w:t xml:space="preserve"> </w:t>
      </w:r>
      <w:r>
        <w:rPr>
          <w:rFonts w:ascii="Arial" w:cs="Arial" w:eastAsia="Arial" w:hAnsi="Arial"/>
          <w:sz w:val="21"/>
          <w:szCs w:val="21"/>
          <w:color w:val="000000"/>
        </w:rPr>
        <w:t>of any Company property, or the right to own or use particular or individual assets of the Company.</w:t>
      </w:r>
    </w:p>
    <w:p>
      <w:pPr>
        <w:spacing w:after="0" w:line="155"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6.4</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83" w:lineRule="exact"/>
        <w:rPr>
          <w:sz w:val="20"/>
          <w:szCs w:val="20"/>
          <w:color w:val="auto"/>
        </w:rPr>
      </w:pPr>
    </w:p>
    <w:p>
      <w:pPr>
        <w:jc w:val="both"/>
        <w:ind w:left="320" w:firstLine="1276"/>
        <w:spacing w:after="0" w:line="224" w:lineRule="auto"/>
        <w:tabs>
          <w:tab w:leader="none" w:pos="2110" w:val="left"/>
        </w:tabs>
        <w:numPr>
          <w:ilvl w:val="0"/>
          <w:numId w:val="77"/>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4.5</w:t>
      </w:r>
      <w:r>
        <w:rPr>
          <w:rFonts w:ascii="Arial" w:cs="Arial" w:eastAsia="Arial" w:hAnsi="Arial"/>
          <w:sz w:val="20"/>
          <w:szCs w:val="20"/>
          <w:color w:val="auto"/>
        </w:rPr>
        <w:t>, the Company hereby agrees to indemnify and hold harmless any Person (each an “</w:t>
      </w:r>
      <w:r>
        <w:rPr>
          <w:rFonts w:ascii="Arial" w:cs="Arial" w:eastAsia="Arial" w:hAnsi="Arial"/>
          <w:sz w:val="20"/>
          <w:szCs w:val="20"/>
          <w:b w:val="1"/>
          <w:bCs w:val="1"/>
          <w:color w:val="auto"/>
        </w:rPr>
        <w:t>Indemnified Person</w:t>
      </w:r>
      <w:r>
        <w:rPr>
          <w:rFonts w:ascii="Arial" w:cs="Arial" w:eastAsia="Arial" w:hAnsi="Arial"/>
          <w:sz w:val="20"/>
          <w:szCs w:val="20"/>
          <w:color w:val="auto"/>
        </w:rPr>
        <w:t xml:space="preserve">”) to the fullest extent permitted under the Delaware Act,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substitution or replacement), against all expenses, liabilities and losses (including attorneys’ fees, judgments, fines, excise taxes or penalties, as reasonably required) reasonably incurred or suffered by such Person (or one or more of such Person’s Affiliates) by reason of the fact that such Person is or was a Member (or Affiliate of a Member) or is or was serving as the Managing Member, any additional or substitute Managing Member, a Manager or a committee member pursuant to the Fourth A&amp;R LLCA, officer, employee or other agent of the Company or is or was serving at the request of the Company as a manager, officer, director, principal, member, employee or agent of another corporation, partnership, joint venture, limited liability company, trust or other enterprise (including any manager, officer, director, principal, member, employee or agent of the Managing Member or any additional or substitute Managing Member);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(unless the Managing Member otherwise consents) no Indemnified Person shall be indemnified for any expenses, liabilities and losses suffered that are attributable to such Indemnified Person’s or its Affiliates’ gross negligence, willful misconduct or knowing violation of law. Expenses, including reasonable attorneys’ fees, incurred by any such Indemnified Person in defending a proceeding related to any such indemnifiable matter shall be paid by the Company in advance of the final disposition of such proceeding, including any appeal therefrom, upon receipt of an undertaking by or on behalf of such Indemnified Person to repay such amounts if it shall ultimately be determined that such Indemnified Person is not entitled to be indemnified by the Company.</w:t>
      </w:r>
    </w:p>
    <w:p>
      <w:pPr>
        <w:spacing w:after="0" w:line="161" w:lineRule="exact"/>
        <w:rPr>
          <w:rFonts w:ascii="Arial" w:cs="Arial" w:eastAsia="Arial" w:hAnsi="Arial"/>
          <w:sz w:val="20"/>
          <w:szCs w:val="20"/>
          <w:color w:val="auto"/>
        </w:rPr>
      </w:pPr>
    </w:p>
    <w:p>
      <w:pPr>
        <w:jc w:val="both"/>
        <w:ind w:left="320" w:firstLine="1276"/>
        <w:spacing w:after="0" w:line="230" w:lineRule="auto"/>
        <w:tabs>
          <w:tab w:leader="none" w:pos="2130"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The right to indemnification and the advancement of expenses conferred in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shall not be exclusive of any other right which any Person may have or hereafter acquire under any statute, agreement, by-law, determination of the Managing Member or otherwise.</w:t>
      </w:r>
    </w:p>
    <w:p>
      <w:pPr>
        <w:spacing w:after="0" w:line="153" w:lineRule="exact"/>
        <w:rPr>
          <w:rFonts w:ascii="Arial" w:cs="Arial" w:eastAsia="Arial" w:hAnsi="Arial"/>
          <w:sz w:val="21"/>
          <w:szCs w:val="21"/>
          <w:color w:val="auto"/>
        </w:rPr>
      </w:pPr>
    </w:p>
    <w:p>
      <w:pPr>
        <w:jc w:val="both"/>
        <w:ind w:left="320" w:firstLine="1276"/>
        <w:spacing w:after="0" w:line="230" w:lineRule="auto"/>
        <w:tabs>
          <w:tab w:leader="none" w:pos="2065" w:val="left"/>
        </w:tabs>
        <w:numPr>
          <w:ilvl w:val="0"/>
          <w:numId w:val="77"/>
        </w:numPr>
        <w:rPr>
          <w:rFonts w:ascii="Arial" w:cs="Arial" w:eastAsia="Arial" w:hAnsi="Arial"/>
          <w:sz w:val="21"/>
          <w:szCs w:val="21"/>
          <w:color w:val="auto"/>
        </w:rPr>
      </w:pPr>
      <w:r>
        <w:rPr>
          <w:rFonts w:ascii="Arial" w:cs="Arial" w:eastAsia="Arial" w:hAnsi="Arial"/>
          <w:sz w:val="21"/>
          <w:szCs w:val="21"/>
          <w:color w:val="auto"/>
        </w:rPr>
        <w:t xml:space="preserve">The Company will maintain directors’ and officers’ liability insurance, at its expense, for the benefit of the Managing Member, the officers of the Company and any other Persons to whom the Managing Member has delegated its authority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240"/>
          </w:cols>
          <w:pgMar w:left="320" w:top="1377" w:right="339" w:bottom="1440" w:gutter="0" w:footer="0" w:header="0"/>
        </w:sectPr>
      </w:pPr>
    </w:p>
    <w:bookmarkStart w:id="198" w:name="page199"/>
    <w:bookmarkEnd w:id="198"/>
    <w:p>
      <w:pPr>
        <w:jc w:val="both"/>
        <w:ind w:left="320" w:firstLine="1276"/>
        <w:spacing w:after="0" w:line="247" w:lineRule="auto"/>
        <w:tabs>
          <w:tab w:leader="none" w:pos="2063"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herein to the contrary (including in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any indemnity by the Company relating to the matters covered in this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shall be provided out of and to the extent of Company assets only and no Member (unless such Member otherwise agrees in writing or is found in a final decision by a court of competent jurisdiction to have personal liability on account thereof) shall have personal liability on account thereof or shall be required to make additional capital contributions or otherwise provide funding to help satisfy such indemnity of the Company.</w:t>
      </w:r>
    </w:p>
    <w:p>
      <w:pPr>
        <w:spacing w:after="0" w:line="147" w:lineRule="exact"/>
        <w:rPr>
          <w:rFonts w:ascii="Arial" w:cs="Arial" w:eastAsia="Arial" w:hAnsi="Arial"/>
          <w:sz w:val="19"/>
          <w:szCs w:val="19"/>
          <w:color w:val="auto"/>
        </w:rPr>
      </w:pPr>
    </w:p>
    <w:p>
      <w:pPr>
        <w:jc w:val="both"/>
        <w:ind w:left="320" w:firstLine="1276"/>
        <w:spacing w:after="0" w:line="225" w:lineRule="auto"/>
        <w:tabs>
          <w:tab w:leader="none" w:pos="2145"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If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6.4</w:t>
      </w:r>
      <w:r>
        <w:rPr>
          <w:rFonts w:ascii="Arial" w:cs="Arial" w:eastAsia="Arial" w:hAnsi="Arial"/>
          <w:sz w:val="21"/>
          <w:szCs w:val="21"/>
          <w:color w:val="auto"/>
        </w:rPr>
        <w:t xml:space="preserve"> to the fullest extent permitted by any applicable portion of this </w:t>
      </w:r>
      <w:r>
        <w:rPr>
          <w:rFonts w:ascii="Arial" w:cs="Arial" w:eastAsia="Arial" w:hAnsi="Arial"/>
          <w:sz w:val="21"/>
          <w:szCs w:val="21"/>
          <w:u w:val="single" w:color="auto"/>
          <w:color w:val="auto"/>
        </w:rPr>
        <w:t>Section 6.4</w:t>
      </w:r>
      <w:r>
        <w:rPr>
          <w:rFonts w:ascii="Arial" w:cs="Arial" w:eastAsia="Arial" w:hAnsi="Arial"/>
          <w:sz w:val="21"/>
          <w:szCs w:val="21"/>
          <w:color w:val="auto"/>
        </w:rPr>
        <w:t xml:space="preserve"> that shall not have been invalidated and to the fullest extent permitted by applicable law.</w:t>
      </w:r>
    </w:p>
    <w:p>
      <w:pPr>
        <w:spacing w:after="0" w:line="15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6.5 </w:t>
      </w:r>
      <w:r>
        <w:rPr>
          <w:rFonts w:ascii="Arial" w:cs="Arial" w:eastAsia="Arial" w:hAnsi="Arial"/>
          <w:sz w:val="21"/>
          <w:szCs w:val="21"/>
          <w:u w:val="single" w:color="auto"/>
          <w:color w:val="000000"/>
        </w:rPr>
        <w:t>Members Right to Act</w:t>
      </w:r>
      <w:r>
        <w:rPr>
          <w:rFonts w:ascii="Arial" w:cs="Arial" w:eastAsia="Arial" w:hAnsi="Arial"/>
          <w:sz w:val="21"/>
          <w:szCs w:val="21"/>
          <w:color w:val="000000"/>
        </w:rPr>
        <w:t>. For matters that require the approval of the Members generally (rather than the approval of</w:t>
      </w:r>
      <w:r>
        <w:rPr>
          <w:rFonts w:ascii="Arial" w:cs="Arial" w:eastAsia="Arial" w:hAnsi="Arial"/>
          <w:sz w:val="21"/>
          <w:szCs w:val="21"/>
          <w:color w:val="010000"/>
        </w:rPr>
        <w:t xml:space="preserve"> </w:t>
      </w:r>
      <w:r>
        <w:rPr>
          <w:rFonts w:ascii="Arial" w:cs="Arial" w:eastAsia="Arial" w:hAnsi="Arial"/>
          <w:sz w:val="21"/>
          <w:szCs w:val="21"/>
          <w:color w:val="000000"/>
        </w:rPr>
        <w:t>the Managing Member on behalf of the Members or the approval of a particular group of Members), the Members shall act through meetings and written consents as described in paragraphs (a) and (b) below:</w:t>
      </w:r>
    </w:p>
    <w:p>
      <w:pPr>
        <w:spacing w:after="0" w:line="154" w:lineRule="exact"/>
        <w:rPr>
          <w:sz w:val="20"/>
          <w:szCs w:val="20"/>
          <w:color w:val="auto"/>
        </w:rPr>
      </w:pPr>
    </w:p>
    <w:p>
      <w:pPr>
        <w:jc w:val="both"/>
        <w:ind w:left="320" w:firstLine="1276"/>
        <w:spacing w:after="0" w:line="237" w:lineRule="auto"/>
        <w:tabs>
          <w:tab w:leader="none" w:pos="2075" w:val="left"/>
        </w:tabs>
        <w:numPr>
          <w:ilvl w:val="0"/>
          <w:numId w:val="79"/>
        </w:numPr>
        <w:rPr>
          <w:rFonts w:ascii="Arial" w:cs="Arial" w:eastAsia="Arial" w:hAnsi="Arial"/>
          <w:sz w:val="19"/>
          <w:szCs w:val="19"/>
          <w:color w:val="auto"/>
        </w:rPr>
      </w:pPr>
      <w:r>
        <w:rPr>
          <w:rFonts w:ascii="Arial" w:cs="Arial" w:eastAsia="Arial" w:hAnsi="Arial"/>
          <w:sz w:val="19"/>
          <w:szCs w:val="19"/>
          <w:color w:val="auto"/>
        </w:rPr>
        <w:t xml:space="preserve">Except as otherwise expressly provided by this Agreement or as required by the Delaware Act, acts by the Members holding a majority of the Units voting together as a single class shall be the act of the Members. Any Member entitled to vote at a meeting of Members or to express consent or dissent to Company action in writing without a meeting may authorize another person or persons to act for it by proxy. A telegram, email or similar transmission by the Member, or a photographic, photostatic, facsimile or similar reproduction of a writing executed by the Member shall (if stated thereon) be treated as a proxy executed in writing for purposes of this </w:t>
      </w:r>
      <w:r>
        <w:rPr>
          <w:rFonts w:ascii="Arial" w:cs="Arial" w:eastAsia="Arial" w:hAnsi="Arial"/>
          <w:sz w:val="19"/>
          <w:szCs w:val="19"/>
          <w:u w:val="single" w:color="auto"/>
          <w:color w:val="auto"/>
        </w:rPr>
        <w:t>Section 6.5(a)</w:t>
      </w:r>
      <w:r>
        <w:rPr>
          <w:rFonts w:ascii="Arial" w:cs="Arial" w:eastAsia="Arial" w:hAnsi="Arial"/>
          <w:sz w:val="19"/>
          <w:szCs w:val="19"/>
          <w:color w:val="auto"/>
        </w:rPr>
        <w:t>. No proxy shall be voted or acted upon after eleven months from the date thereof, unless the proxy provides for a longer period. A proxy shall be revocable unless the proxy form conspicuously states that the proxy is irrevocable and that the proxy is coupled with an interest. Should a proxy designate two or more Persons to act as proxies, unless that instrument shall provide to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the Company shall not be required to recognize such proxy with respect to such issue if such proxy does not specify how the votes that are the subject of such proxy are to be voted with respect to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240"/>
          </w:cols>
          <w:pgMar w:left="320" w:top="1377" w:right="339" w:bottom="1440" w:gutter="0" w:footer="0" w:header="0"/>
        </w:sectPr>
      </w:pPr>
    </w:p>
    <w:bookmarkStart w:id="199" w:name="page200"/>
    <w:bookmarkEnd w:id="199"/>
    <w:p>
      <w:pPr>
        <w:jc w:val="both"/>
        <w:ind w:left="320" w:firstLine="1276"/>
        <w:spacing w:after="0" w:line="237" w:lineRule="auto"/>
        <w:tabs>
          <w:tab w:leader="none" w:pos="2185"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The actions by the Members permitted hereunder may be taken at a meeting called by the Managing Member or by Members holding a majority of the Units on at least twenty-four hours’ prior written notice to the other Members entitled to vote, which notice shall state the purpose or purposes for which such meeting is being called. The actions taken by the Members entitled to vote or consent at any meeting (as opposed to by written consent), however called and noticed, shall be as valid as though taken at a meeting duly held after regular call and notice if (but not until), either before, at or after the meeting, the Members entitled to vote or consent as to whom it was improperly held signs a written waiver of notice or a consent to the holding of such meeting or an approval of the minutes thereof. The actions by the Members entitled to vote or consent may be taken by vote of the Members entitled to vote or consent at a meeting or by written consent (without a meeting, without notice and without a vote) so long as such consent is signed by the Members having not less than the minimum number of Units that would be necessary to authorize or take such action at a meeting at which all Members entitled to vote thereon were present and voted. Prompt notice of the action so taken without a meeting shall be given to those Members entitled to vote or consent who have not consented in writing. Any action taken pursuant to such written consent of the Members shall have the same force and effect as if taken by the Members at a meeting thereof.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BOOKS, RECORDS, ACCOUNTING AND REPORTS</w:t>
      </w:r>
    </w:p>
    <w:p>
      <w:pPr>
        <w:spacing w:after="0" w:line="189"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010000"/>
        </w:rPr>
        <w:t xml:space="preserve">7.1 </w:t>
      </w:r>
      <w:r>
        <w:rPr>
          <w:rFonts w:ascii="Arial" w:cs="Arial" w:eastAsia="Arial" w:hAnsi="Arial"/>
          <w:sz w:val="21"/>
          <w:szCs w:val="21"/>
          <w:u w:val="single" w:color="auto"/>
          <w:color w:val="000000"/>
        </w:rPr>
        <w:t>Records and Accounting</w:t>
      </w:r>
      <w:r>
        <w:rPr>
          <w:rFonts w:ascii="Arial" w:cs="Arial" w:eastAsia="Arial" w:hAnsi="Arial"/>
          <w:sz w:val="21"/>
          <w:szCs w:val="21"/>
          <w:color w:val="000000"/>
        </w:rPr>
        <w:t>. The Company shall keep, or cause to be kept, appropriate books and records with respect</w:t>
      </w:r>
      <w:r>
        <w:rPr>
          <w:rFonts w:ascii="Arial" w:cs="Arial" w:eastAsia="Arial" w:hAnsi="Arial"/>
          <w:sz w:val="21"/>
          <w:szCs w:val="21"/>
          <w:color w:val="010000"/>
        </w:rPr>
        <w:t xml:space="preserve"> </w:t>
      </w:r>
      <w:r>
        <w:rPr>
          <w:rFonts w:ascii="Arial" w:cs="Arial" w:eastAsia="Arial" w:hAnsi="Arial"/>
          <w:sz w:val="21"/>
          <w:szCs w:val="21"/>
          <w:color w:val="000000"/>
        </w:rPr>
        <w:t xml:space="preserve">to the Company’s business, including all books and records necessary to provide any information, lists and copies of documents required to be provided pursuant to </w:t>
      </w:r>
      <w:r>
        <w:rPr>
          <w:rFonts w:ascii="Arial" w:cs="Arial" w:eastAsia="Arial" w:hAnsi="Arial"/>
          <w:sz w:val="21"/>
          <w:szCs w:val="21"/>
          <w:u w:val="single" w:color="auto"/>
          <w:color w:val="000000"/>
        </w:rPr>
        <w:t>Section 7.3</w:t>
      </w:r>
      <w:r>
        <w:rPr>
          <w:rFonts w:ascii="Arial" w:cs="Arial" w:eastAsia="Arial" w:hAnsi="Arial"/>
          <w:sz w:val="21"/>
          <w:szCs w:val="21"/>
          <w:color w:val="000000"/>
        </w:rPr>
        <w:t xml:space="preserve"> or pursuant to applicable laws. All matters concerning (i) the determination of the relative amount of allocations and distributions among the Members pursuant to </w:t>
      </w:r>
      <w:r>
        <w:rPr>
          <w:rFonts w:ascii="Arial" w:cs="Arial" w:eastAsia="Arial" w:hAnsi="Arial"/>
          <w:sz w:val="21"/>
          <w:szCs w:val="21"/>
          <w:u w:val="single" w:color="auto"/>
          <w:color w:val="000000"/>
        </w:rPr>
        <w:t>Article III</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Article IV</w:t>
      </w:r>
      <w:r>
        <w:rPr>
          <w:rFonts w:ascii="Arial" w:cs="Arial" w:eastAsia="Arial" w:hAnsi="Arial"/>
          <w:sz w:val="21"/>
          <w:szCs w:val="21"/>
          <w:color w:val="000000"/>
        </w:rPr>
        <w:t xml:space="preserve"> and (ii) accounting procedures and determinations, and other determinations not specifically and expressly provided for by the terms of this Agreement, shall be determined by the Managing Member, whose determination shall be final and conclusive as to all of the Members absent manifest clerical error.</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010000"/>
        </w:rPr>
        <w:t xml:space="preserve">7.2 </w:t>
      </w:r>
      <w:r>
        <w:rPr>
          <w:rFonts w:ascii="Arial" w:cs="Arial" w:eastAsia="Arial" w:hAnsi="Arial"/>
          <w:sz w:val="21"/>
          <w:szCs w:val="21"/>
          <w:u w:val="single" w:color="auto"/>
          <w:color w:val="000000"/>
        </w:rPr>
        <w:t>Fiscal Year</w:t>
      </w:r>
      <w:r>
        <w:rPr>
          <w:rFonts w:ascii="Arial" w:cs="Arial" w:eastAsia="Arial" w:hAnsi="Arial"/>
          <w:sz w:val="21"/>
          <w:szCs w:val="21"/>
          <w:color w:val="000000"/>
        </w:rPr>
        <w:t>. The Fiscal Year of the Company shall be such annual accounting period as is established by the</w:t>
      </w:r>
      <w:r>
        <w:rPr>
          <w:rFonts w:ascii="Arial" w:cs="Arial" w:eastAsia="Arial" w:hAnsi="Arial"/>
          <w:sz w:val="21"/>
          <w:szCs w:val="21"/>
          <w:color w:val="010000"/>
        </w:rPr>
        <w:t xml:space="preserve"> </w:t>
      </w:r>
      <w:r>
        <w:rPr>
          <w:rFonts w:ascii="Arial" w:cs="Arial" w:eastAsia="Arial" w:hAnsi="Arial"/>
          <w:sz w:val="21"/>
          <w:szCs w:val="21"/>
          <w:color w:val="000000"/>
        </w:rPr>
        <w:t>Managing Member from time to time.</w:t>
      </w:r>
    </w:p>
    <w:p>
      <w:pPr>
        <w:spacing w:after="0" w:line="155" w:lineRule="exact"/>
        <w:rPr>
          <w:sz w:val="20"/>
          <w:szCs w:val="20"/>
          <w:color w:val="auto"/>
        </w:rPr>
      </w:pPr>
    </w:p>
    <w:p>
      <w:pPr>
        <w:jc w:val="both"/>
        <w:ind w:firstLine="636"/>
        <w:spacing w:after="0" w:line="219" w:lineRule="auto"/>
        <w:rPr>
          <w:sz w:val="20"/>
          <w:szCs w:val="20"/>
          <w:color w:val="auto"/>
        </w:rPr>
      </w:pPr>
      <w:r>
        <w:rPr>
          <w:rFonts w:ascii="Arial" w:cs="Arial" w:eastAsia="Arial" w:hAnsi="Arial"/>
          <w:sz w:val="21"/>
          <w:szCs w:val="21"/>
          <w:color w:val="010000"/>
        </w:rPr>
        <w:t xml:space="preserve">7.3 </w:t>
      </w:r>
      <w:r>
        <w:rPr>
          <w:rFonts w:ascii="Arial" w:cs="Arial" w:eastAsia="Arial" w:hAnsi="Arial"/>
          <w:sz w:val="21"/>
          <w:szCs w:val="21"/>
          <w:u w:val="single" w:color="auto"/>
          <w:color w:val="000000"/>
        </w:rPr>
        <w:t>Reports</w:t>
      </w:r>
      <w:r>
        <w:rPr>
          <w:rFonts w:ascii="Arial" w:cs="Arial" w:eastAsia="Arial" w:hAnsi="Arial"/>
          <w:sz w:val="21"/>
          <w:szCs w:val="21"/>
          <w:color w:val="000000"/>
        </w:rPr>
        <w:t>. The Company shall use commercially reasonable efforts to deliver or cause to be delivered, as soon as</w:t>
      </w:r>
      <w:r>
        <w:rPr>
          <w:rFonts w:ascii="Arial" w:cs="Arial" w:eastAsia="Arial" w:hAnsi="Arial"/>
          <w:sz w:val="21"/>
          <w:szCs w:val="21"/>
          <w:color w:val="010000"/>
        </w:rPr>
        <w:t xml:space="preserve"> </w:t>
      </w:r>
      <w:r>
        <w:rPr>
          <w:rFonts w:ascii="Arial" w:cs="Arial" w:eastAsia="Arial" w:hAnsi="Arial"/>
          <w:sz w:val="21"/>
          <w:szCs w:val="21"/>
          <w:color w:val="000000"/>
        </w:rPr>
        <w:t>practicable following the completion of each Taxable Year, but in all events within ninety (90) days after the end of each Taxable Year, to each Person who was a holder of Units at any time during such Taxable Year all information from the Company necessary for the preparation of such Person’s United States federal and state income tax returns. Except as set forth in the immediately preceding sentence or any separate written agreement between the Company and any Member, pursuant to Section 18-305(g) of the Delaware Act, no Member shall have the right to any other information from the Company, except as may be required by any non-waivable provision of law.</w:t>
      </w:r>
    </w:p>
    <w:p>
      <w:pPr>
        <w:spacing w:after="0" w:line="15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7.4 </w:t>
      </w:r>
      <w:r>
        <w:rPr>
          <w:rFonts w:ascii="Arial" w:cs="Arial" w:eastAsia="Arial" w:hAnsi="Arial"/>
          <w:sz w:val="21"/>
          <w:szCs w:val="21"/>
          <w:u w:val="single" w:color="auto"/>
          <w:color w:val="000000"/>
        </w:rPr>
        <w:t>Transmission of Communications</w:t>
      </w:r>
      <w:r>
        <w:rPr>
          <w:rFonts w:ascii="Arial" w:cs="Arial" w:eastAsia="Arial" w:hAnsi="Arial"/>
          <w:sz w:val="21"/>
          <w:szCs w:val="21"/>
          <w:color w:val="000000"/>
        </w:rPr>
        <w:t>. Each Person that owns or controls Units on behalf of, or for the benefit of, another</w:t>
      </w:r>
      <w:r>
        <w:rPr>
          <w:rFonts w:ascii="Arial" w:cs="Arial" w:eastAsia="Arial" w:hAnsi="Arial"/>
          <w:sz w:val="21"/>
          <w:szCs w:val="21"/>
          <w:color w:val="010000"/>
        </w:rPr>
        <w:t xml:space="preserve"> </w:t>
      </w:r>
      <w:r>
        <w:rPr>
          <w:rFonts w:ascii="Arial" w:cs="Arial" w:eastAsia="Arial" w:hAnsi="Arial"/>
          <w:sz w:val="21"/>
          <w:szCs w:val="21"/>
          <w:color w:val="000000"/>
        </w:rPr>
        <w:t>Person or Persons shall be responsible for conveying any report, notice or other communication received from the Company to such other Person or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ectPr>
          <w:pgSz w:w="11900" w:h="16838" w:orient="portrait"/>
          <w:cols w:equalWidth="0" w:num="1">
            <w:col w:w="11240"/>
          </w:cols>
          <w:pgMar w:left="320" w:top="1377" w:right="339" w:bottom="1440" w:gutter="0" w:footer="0" w:header="0"/>
        </w:sectPr>
      </w:pPr>
    </w:p>
    <w:bookmarkStart w:id="200" w:name="page201"/>
    <w:bookmarkEnd w:id="200"/>
    <w:p>
      <w:pPr>
        <w:ind w:left="320"/>
        <w:spacing w:after="0"/>
        <w:tabs>
          <w:tab w:leader="none" w:pos="940" w:val="left"/>
        </w:tabs>
        <w:rPr>
          <w:sz w:val="20"/>
          <w:szCs w:val="20"/>
          <w:color w:val="auto"/>
        </w:rPr>
      </w:pPr>
      <w:r>
        <w:rPr>
          <w:rFonts w:ascii="Arial" w:cs="Arial" w:eastAsia="Arial" w:hAnsi="Arial"/>
          <w:sz w:val="21"/>
          <w:szCs w:val="21"/>
          <w:color w:val="010000"/>
        </w:rPr>
        <w:t>7.5</w:t>
      </w:r>
      <w:r>
        <w:rPr>
          <w:sz w:val="20"/>
          <w:szCs w:val="20"/>
          <w:color w:val="auto"/>
        </w:rPr>
        <w:tab/>
      </w:r>
      <w:r>
        <w:rPr>
          <w:rFonts w:ascii="Arial" w:cs="Arial" w:eastAsia="Arial" w:hAnsi="Arial"/>
          <w:sz w:val="20"/>
          <w:szCs w:val="20"/>
          <w:u w:val="single" w:color="auto"/>
          <w:color w:val="auto"/>
        </w:rPr>
        <w:t>Confidentiality</w:t>
      </w:r>
      <w:r>
        <w:rPr>
          <w:rFonts w:ascii="Arial" w:cs="Arial" w:eastAsia="Arial" w:hAnsi="Arial"/>
          <w:sz w:val="20"/>
          <w:szCs w:val="20"/>
          <w:color w:val="auto"/>
        </w:rPr>
        <w:t>.</w:t>
      </w:r>
    </w:p>
    <w:p>
      <w:pPr>
        <w:spacing w:after="0" w:line="183" w:lineRule="exact"/>
        <w:rPr>
          <w:sz w:val="20"/>
          <w:szCs w:val="20"/>
          <w:color w:val="auto"/>
        </w:rPr>
      </w:pPr>
    </w:p>
    <w:p>
      <w:pPr>
        <w:jc w:val="both"/>
        <w:ind w:firstLine="1276"/>
        <w:spacing w:after="0" w:line="217" w:lineRule="auto"/>
        <w:tabs>
          <w:tab w:leader="none" w:pos="1737" w:val="left"/>
        </w:tabs>
        <w:numPr>
          <w:ilvl w:val="1"/>
          <w:numId w:val="81"/>
        </w:numPr>
        <w:rPr>
          <w:rFonts w:ascii="Arial" w:cs="Arial" w:eastAsia="Arial" w:hAnsi="Arial"/>
          <w:sz w:val="21"/>
          <w:szCs w:val="21"/>
          <w:color w:val="auto"/>
        </w:rPr>
      </w:pPr>
      <w:r>
        <w:rPr>
          <w:rFonts w:ascii="Arial" w:cs="Arial" w:eastAsia="Arial" w:hAnsi="Arial"/>
          <w:sz w:val="21"/>
          <w:szCs w:val="21"/>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without limitation, information as to the Units held by any other Member. With respect to any schedules, annexes or exhibits to this Agreement, to the fullest extent permitted by law, each Member (other than the Managing Member) shall only be entitled to receive and review any such schedules, annexes and exhibits relating to such Member and shall not be entitled to receive or review any schedules, annexes or exhibits relating to any other Member (other than the Managing Member).</w:t>
      </w:r>
    </w:p>
    <w:p>
      <w:pPr>
        <w:spacing w:after="0" w:line="154" w:lineRule="exact"/>
        <w:rPr>
          <w:rFonts w:ascii="Arial" w:cs="Arial" w:eastAsia="Arial" w:hAnsi="Arial"/>
          <w:sz w:val="21"/>
          <w:szCs w:val="21"/>
          <w:color w:val="auto"/>
        </w:rPr>
      </w:pPr>
    </w:p>
    <w:p>
      <w:pPr>
        <w:jc w:val="both"/>
        <w:ind w:firstLine="1276"/>
        <w:spacing w:after="0" w:line="239" w:lineRule="auto"/>
        <w:tabs>
          <w:tab w:leader="none" w:pos="1863" w:val="left"/>
        </w:tabs>
        <w:numPr>
          <w:ilvl w:val="1"/>
          <w:numId w:val="81"/>
        </w:numPr>
        <w:rPr>
          <w:rFonts w:ascii="Arial" w:cs="Arial" w:eastAsia="Arial" w:hAnsi="Arial"/>
          <w:sz w:val="19"/>
          <w:szCs w:val="19"/>
          <w:color w:val="auto"/>
        </w:rPr>
      </w:pPr>
      <w:r>
        <w:rPr>
          <w:rFonts w:ascii="Arial" w:cs="Arial" w:eastAsia="Arial" w:hAnsi="Arial"/>
          <w:sz w:val="19"/>
          <w:szCs w:val="19"/>
          <w:color w:val="auto"/>
        </w:rPr>
        <w:t>Each Member agrees, for so long as such Member owns any Units and for a period of two (2) years following the date upon which such Member ceases to own any Units, to keep confidential, any non-public information provided to such Member by the Company; provided, however, that nothing herein will limit the disclosure of any information</w:t>
      </w:r>
    </w:p>
    <w:p>
      <w:pPr>
        <w:spacing w:after="0" w:line="1" w:lineRule="exact"/>
        <w:rPr>
          <w:rFonts w:ascii="Arial" w:cs="Arial" w:eastAsia="Arial" w:hAnsi="Arial"/>
          <w:sz w:val="19"/>
          <w:szCs w:val="19"/>
          <w:color w:val="auto"/>
        </w:rPr>
      </w:pPr>
    </w:p>
    <w:p>
      <w:pPr>
        <w:jc w:val="both"/>
        <w:ind w:firstLine="4"/>
        <w:spacing w:after="0" w:line="225" w:lineRule="auto"/>
        <w:tabs>
          <w:tab w:leader="none" w:pos="306" w:val="left"/>
        </w:tabs>
        <w:numPr>
          <w:ilvl w:val="0"/>
          <w:numId w:val="82"/>
        </w:numPr>
        <w:rPr>
          <w:rFonts w:ascii="Arial" w:cs="Arial" w:eastAsia="Arial" w:hAnsi="Arial"/>
          <w:sz w:val="20"/>
          <w:szCs w:val="20"/>
          <w:color w:val="auto"/>
        </w:rPr>
      </w:pPr>
      <w:r>
        <w:rPr>
          <w:rFonts w:ascii="Arial" w:cs="Arial" w:eastAsia="Arial" w:hAnsi="Arial"/>
          <w:sz w:val="20"/>
          <w:szCs w:val="20"/>
          <w:color w:val="auto"/>
        </w:rPr>
        <w:t>to the extent required by law, statute, rule, regulation, judicial process, subpoena or court order or required by any governmental agency or other regulatory authority; (ii) that is in the public domain or becomes generally available to the public, in each case, other than as a result of the disclosure by the parties in violation of this Agreement; or (iii) to a Member’s Permitted Transferees, advisors, representatives and Affiliates; provided that such advisors, representatives and Affiliates shall have been advised of this agreement and shall have expressly agreed to be bound by the confidentiality provisions hereof, or shall otherwise be bound by comparable obligations of confidentiality, and the applicable Member shall be responsible for any breach of or failure to comply with this agreement by any of its Affiliates and such Member agrees, at its sole expense, to take reasonable measures (including but not limited to court proceedings) to restrain its advisors, representatives and Affiliates from prohibited or unauthorized disclosure or use of any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28</w:t>
      </w:r>
    </w:p>
    <w:p>
      <w:pPr>
        <w:sectPr>
          <w:pgSz w:w="11900" w:h="16838" w:orient="portrait"/>
          <w:cols w:equalWidth="0" w:num="1">
            <w:col w:w="10920"/>
          </w:cols>
          <w:pgMar w:left="640" w:top="1377" w:right="339" w:bottom="1440" w:gutter="0" w:footer="0" w:header="0"/>
        </w:sectPr>
      </w:pPr>
    </w:p>
    <w:bookmarkStart w:id="201" w:name="page202"/>
    <w:bookmarkEnd w:id="201"/>
    <w:p>
      <w:pPr>
        <w:ind w:left="4920"/>
        <w:spacing w:after="0"/>
        <w:rPr>
          <w:sz w:val="20"/>
          <w:szCs w:val="20"/>
          <w:color w:val="auto"/>
        </w:rPr>
      </w:pPr>
      <w:r>
        <w:rPr>
          <w:rFonts w:ascii="Arial" w:cs="Arial" w:eastAsia="Arial" w:hAnsi="Arial"/>
          <w:sz w:val="21"/>
          <w:szCs w:val="21"/>
          <w:b w:val="1"/>
          <w:bCs w:val="1"/>
          <w:color w:val="auto"/>
        </w:rPr>
        <w:t>ARTICLE VIII</w:t>
      </w:r>
    </w:p>
    <w:p>
      <w:pPr>
        <w:spacing w:after="0" w:line="183"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TAX MATTERS</w:t>
      </w:r>
    </w:p>
    <w:p>
      <w:pPr>
        <w:spacing w:after="0" w:line="18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0"/>
          <w:szCs w:val="20"/>
          <w:color w:val="010000"/>
        </w:rPr>
        <w:t xml:space="preserve">8.1 </w:t>
      </w:r>
      <w:r>
        <w:rPr>
          <w:rFonts w:ascii="Arial" w:cs="Arial" w:eastAsia="Arial" w:hAnsi="Arial"/>
          <w:sz w:val="20"/>
          <w:szCs w:val="20"/>
          <w:u w:val="single" w:color="auto"/>
          <w:color w:val="000000"/>
        </w:rPr>
        <w:t>Preparation of Tax Returns</w:t>
      </w:r>
      <w:r>
        <w:rPr>
          <w:rFonts w:ascii="Arial" w:cs="Arial" w:eastAsia="Arial" w:hAnsi="Arial"/>
          <w:sz w:val="20"/>
          <w:szCs w:val="20"/>
          <w:color w:val="000000"/>
        </w:rPr>
        <w:t>. The Company shall arrange for the preparation and timely filing of all tax returns</w:t>
      </w:r>
      <w:r>
        <w:rPr>
          <w:rFonts w:ascii="Arial" w:cs="Arial" w:eastAsia="Arial" w:hAnsi="Arial"/>
          <w:sz w:val="20"/>
          <w:szCs w:val="20"/>
          <w:color w:val="010000"/>
        </w:rPr>
        <w:t xml:space="preserve"> </w:t>
      </w:r>
      <w:r>
        <w:rPr>
          <w:rFonts w:ascii="Arial" w:cs="Arial" w:eastAsia="Arial" w:hAnsi="Arial"/>
          <w:sz w:val="20"/>
          <w:szCs w:val="20"/>
          <w:color w:val="000000"/>
        </w:rPr>
        <w:t>required to be filed by the Company. The Managing Member shall determine the accounting methods and conventions under the tax laws of the United States, the several states and other relevant jurisdictions as to the treatment of items of income, gain, deduction, loss and credit or any other method or procedure related to the preparation of such tax returns. Each Member will, upon request, supply to the Company all reasonably accessible, pertinent information in its possession relating to the operations of the Company necessary to enable the Company’s tax returns to be prepared and filed. Each Member agrees in respect of any year in which such Member had an investment in the Company that, unless otherwise agreed by the Managing Member or as required by law, such Member shall not: (i) treat, on its individual tax returns, any item of income, gain, loss, deduction or credit relating to such investment in a manner inconsistent with the treatment of such item by the Company, as reflected on the Schedule K-1 or other information statement furnished by the Company to such Member; or (ii) file any claim for refund relating to any such item based on, or which would result in, any such inconsistent treatment. The Company shall operate in a manner such that (a) no Member (or its indirect owners) will be required to file a tax return in a jurisdiction outside of the United States by reason of the Company’s investment or activities in such jurisdiction and (b) no income of any Member (or its indirect owners) that is unrelated to the Company will be subject to tax in a jurisdiction outside the United States by reason of the Company’s income or activities in such jurisdiction.</w:t>
      </w:r>
    </w:p>
    <w:p>
      <w:pPr>
        <w:spacing w:after="0" w:line="15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8.2</w:t>
      </w:r>
      <w:r>
        <w:rPr>
          <w:sz w:val="20"/>
          <w:szCs w:val="20"/>
          <w:color w:val="auto"/>
        </w:rPr>
        <w:tab/>
      </w:r>
      <w:r>
        <w:rPr>
          <w:rFonts w:ascii="Arial" w:cs="Arial" w:eastAsia="Arial" w:hAnsi="Arial"/>
          <w:sz w:val="19"/>
          <w:szCs w:val="19"/>
          <w:u w:val="single" w:color="auto"/>
          <w:color w:val="auto"/>
        </w:rPr>
        <w:t>Tax Elections.</w:t>
      </w:r>
    </w:p>
    <w:p>
      <w:pPr>
        <w:spacing w:after="0" w:line="183" w:lineRule="exact"/>
        <w:rPr>
          <w:sz w:val="20"/>
          <w:szCs w:val="20"/>
          <w:color w:val="auto"/>
        </w:rPr>
      </w:pPr>
    </w:p>
    <w:p>
      <w:pPr>
        <w:jc w:val="both"/>
        <w:ind w:firstLine="636"/>
        <w:spacing w:after="0" w:line="242" w:lineRule="auto"/>
        <w:rPr>
          <w:sz w:val="20"/>
          <w:szCs w:val="20"/>
          <w:color w:val="auto"/>
        </w:rPr>
      </w:pPr>
      <w:r>
        <w:rPr>
          <w:rFonts w:ascii="Arial" w:cs="Arial" w:eastAsia="Arial" w:hAnsi="Arial"/>
          <w:sz w:val="19"/>
          <w:szCs w:val="19"/>
          <w:color w:val="auto"/>
        </w:rPr>
        <w:t>The Taxable Year of the Company shall be the calendar year unless otherwise required by the Code or applicable tax laws. The Managing Member shall cause the Company to have in effect (and to cause each direct or indirect subsidiary that is treated as a partnership for U.S. federal income tax purposes to have in effect) an election pursuant to Section 754 of the Code, to adjust the tax basis of Company properties, for the taxable year that includes the date of the initial public offering of shares of Class A Common Stock and for each taxable year in which an Exchange occurs. The Managing Member shall determine whether to make or revoke any other available election or decision relating to tax matters, including controversy in Section 8.3 pursuant to the Code. Each Member will upon request supply any information necessary to give proper effect to any such election.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ectPr>
          <w:pgSz w:w="11900" w:h="16838" w:orient="portrait"/>
          <w:cols w:equalWidth="0" w:num="1">
            <w:col w:w="11240"/>
          </w:cols>
          <w:pgMar w:left="320" w:top="1371" w:right="339" w:bottom="1440" w:gutter="0" w:footer="0" w:header="0"/>
        </w:sectPr>
      </w:pPr>
    </w:p>
    <w:bookmarkStart w:id="202" w:name="page203"/>
    <w:bookmarkEnd w:id="202"/>
    <w:p>
      <w:pPr>
        <w:ind w:left="640"/>
        <w:spacing w:after="0"/>
        <w:tabs>
          <w:tab w:leader="none" w:pos="1260" w:val="left"/>
        </w:tabs>
        <w:rPr>
          <w:sz w:val="20"/>
          <w:szCs w:val="20"/>
          <w:color w:val="auto"/>
        </w:rPr>
      </w:pPr>
      <w:r>
        <w:rPr>
          <w:rFonts w:ascii="Arial" w:cs="Arial" w:eastAsia="Arial" w:hAnsi="Arial"/>
          <w:sz w:val="21"/>
          <w:szCs w:val="21"/>
          <w:color w:val="010000"/>
        </w:rPr>
        <w:t>8.3</w:t>
      </w:r>
      <w:r>
        <w:rPr>
          <w:sz w:val="20"/>
          <w:szCs w:val="20"/>
          <w:color w:val="auto"/>
        </w:rPr>
        <w:tab/>
      </w:r>
      <w:r>
        <w:rPr>
          <w:rFonts w:ascii="Arial" w:cs="Arial" w:eastAsia="Arial" w:hAnsi="Arial"/>
          <w:sz w:val="19"/>
          <w:szCs w:val="19"/>
          <w:u w:val="single" w:color="auto"/>
          <w:color w:val="auto"/>
        </w:rPr>
        <w:t>Tax Controversies.</w:t>
      </w:r>
    </w:p>
    <w:p>
      <w:pPr>
        <w:spacing w:after="0" w:line="183"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19"/>
          <w:szCs w:val="19"/>
          <w:color w:val="auto"/>
        </w:rPr>
        <w:t>With respect to tax periods ending after December 31, 2017, the Managing Member (or its permitted designee) is hereby designated the “partnership representative” of the Company for purposes of, and in accordance with, Section 6223 of the Code (the “</w:t>
      </w:r>
      <w:r>
        <w:rPr>
          <w:rFonts w:ascii="Arial" w:cs="Arial" w:eastAsia="Arial" w:hAnsi="Arial"/>
          <w:sz w:val="19"/>
          <w:szCs w:val="19"/>
          <w:b w:val="1"/>
          <w:bCs w:val="1"/>
          <w:color w:val="auto"/>
        </w:rPr>
        <w:t>Partnership Representative</w:t>
      </w:r>
      <w:r>
        <w:rPr>
          <w:rFonts w:ascii="Arial" w:cs="Arial" w:eastAsia="Arial" w:hAnsi="Arial"/>
          <w:sz w:val="19"/>
          <w:szCs w:val="19"/>
          <w:color w:val="auto"/>
        </w:rPr>
        <w:t>”). With respect to tax periods ending on or prior to December 31, 2017, the Managing Member (or its permitted designee) shall act as the “tax matters partner” within the meaning of Section 6231(a)(7) of the Code (as in effect during such tax period) (the “</w:t>
      </w:r>
      <w:r>
        <w:rPr>
          <w:rFonts w:ascii="Arial" w:cs="Arial" w:eastAsia="Arial" w:hAnsi="Arial"/>
          <w:sz w:val="19"/>
          <w:szCs w:val="19"/>
          <w:b w:val="1"/>
          <w:bCs w:val="1"/>
          <w:color w:val="auto"/>
        </w:rPr>
        <w:t>Tax Matters Member</w:t>
      </w:r>
      <w:r>
        <w:rPr>
          <w:rFonts w:ascii="Arial" w:cs="Arial" w:eastAsia="Arial" w:hAnsi="Arial"/>
          <w:sz w:val="19"/>
          <w:szCs w:val="19"/>
          <w:color w:val="auto"/>
        </w:rPr>
        <w:t xml:space="preserve">”). The Partnership Representative or the Tax Matters Member, as applicable, is authorized and required to represent the Company (at the Company’s expense) in connection with all </w:t>
      </w:r>
      <w:r>
        <w:rPr>
          <w:rFonts w:ascii="Arial" w:cs="Arial" w:eastAsia="Arial" w:hAnsi="Arial"/>
          <w:sz w:val="17"/>
          <w:szCs w:val="17"/>
          <w:color w:val="auto"/>
        </w:rPr>
        <w:t>tax audits, litigations, contests,</w:t>
      </w:r>
      <w:r>
        <w:rPr>
          <w:rFonts w:ascii="Arial" w:cs="Arial" w:eastAsia="Arial" w:hAnsi="Arial"/>
          <w:sz w:val="19"/>
          <w:szCs w:val="19"/>
          <w:color w:val="auto"/>
        </w:rPr>
        <w:t xml:space="preserve"> </w:t>
      </w:r>
      <w:r>
        <w:rPr>
          <w:rFonts w:ascii="Arial" w:cs="Arial" w:eastAsia="Arial" w:hAnsi="Arial"/>
          <w:sz w:val="17"/>
          <w:szCs w:val="17"/>
          <w:color w:val="auto"/>
        </w:rPr>
        <w:t xml:space="preserve">examinations, controversies and other similar proceedings </w:t>
      </w:r>
      <w:r>
        <w:rPr>
          <w:rFonts w:ascii="Arial" w:cs="Arial" w:eastAsia="Arial" w:hAnsi="Arial"/>
          <w:sz w:val="19"/>
          <w:szCs w:val="19"/>
          <w:color w:val="auto"/>
        </w:rPr>
        <w:t>of the Company’s affairs by tax authorities, including resulting administrative</w:t>
      </w:r>
      <w:r>
        <w:rPr>
          <w:rFonts w:ascii="Arial" w:cs="Arial" w:eastAsia="Arial" w:hAnsi="Arial"/>
          <w:sz w:val="17"/>
          <w:szCs w:val="17"/>
          <w:color w:val="auto"/>
        </w:rPr>
        <w:t xml:space="preserve"> </w:t>
      </w:r>
      <w:r>
        <w:rPr>
          <w:rFonts w:ascii="Arial" w:cs="Arial" w:eastAsia="Arial" w:hAnsi="Arial"/>
          <w:sz w:val="19"/>
          <w:szCs w:val="19"/>
          <w:color w:val="auto"/>
        </w:rPr>
        <w:t>and judicial proceedings, and to expend Company funds for professional services reasonably incurred in connection therewith. Each holder of Units agrees to cooperate with the Company and to do or refrain from doing any or all things reasonably requested by the Company with respect to the conduct of such proceedings. The Partnership Representative or Tax Matters Member, as applicable, shall keep the Managing Member fully informed of the progress of any examinations, audits or other proceedings, it being agreed that no holder of Units (other than the Managing Member (or its permitted designee), in its capacity as Partnership Representative or Tax Matters Member) shall have any right to participate in any such examinations, audits or other proceedings. Each Member hereby agrees to (i) take such actions as may be required to effect the designation of the Managing Member (or its designee) as the Partnership Representative or Tax Matters Member, (ii) to cooperate to provide any information or take such other actions as may be reasonably requested by the Partnership Representative in order to determine whether any Imputed Underpayment Amount may be modified pursuant to Section 6225(c) of the Code, and (iii) to, upon the request of the Partnership Representative, file any amended U.S. federal income tax return and pay any tax due in connection with such tax return in accordance with Section 6225(c)</w:t>
      </w:r>
    </w:p>
    <w:p>
      <w:pPr>
        <w:spacing w:after="0" w:line="16" w:lineRule="exact"/>
        <w:rPr>
          <w:sz w:val="20"/>
          <w:szCs w:val="20"/>
          <w:color w:val="auto"/>
        </w:rPr>
      </w:pPr>
    </w:p>
    <w:p>
      <w:pPr>
        <w:jc w:val="both"/>
        <w:ind w:firstLine="6"/>
        <w:spacing w:after="0" w:line="218" w:lineRule="auto"/>
        <w:tabs>
          <w:tab w:leader="none" w:pos="307" w:val="left"/>
        </w:tabs>
        <w:numPr>
          <w:ilvl w:val="0"/>
          <w:numId w:val="83"/>
        </w:numPr>
        <w:rPr>
          <w:rFonts w:ascii="Arial" w:cs="Arial" w:eastAsia="Arial" w:hAnsi="Arial"/>
          <w:sz w:val="21"/>
          <w:szCs w:val="21"/>
          <w:color w:val="auto"/>
        </w:rPr>
      </w:pPr>
      <w:r>
        <w:rPr>
          <w:rFonts w:ascii="Arial" w:cs="Arial" w:eastAsia="Arial" w:hAnsi="Arial"/>
          <w:sz w:val="21"/>
          <w:szCs w:val="21"/>
          <w:color w:val="auto"/>
        </w:rPr>
        <w:t>of the Code. Notwithstanding the foregoing, the Partnership Representative and the Tax Matters Member shall be subject to the control of the Managing Member pursuant to Section 8.2 and shall not settle or otherwise compromise any issue in any such examination, audit or other proceeding without first obtaining approval of the Managing Member and shall make an election under Section 6226 of the Code with respect to any partnership income tax audit for taxable years beginning after December 31, 2017, unless the Managing Member determines not to make such an election.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RESTRICTIONS ON TRANSFER OF UNITS</w:t>
      </w:r>
    </w:p>
    <w:p>
      <w:pPr>
        <w:spacing w:after="0" w:line="18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9.1</w:t>
      </w:r>
      <w:r>
        <w:rPr>
          <w:sz w:val="20"/>
          <w:szCs w:val="20"/>
          <w:color w:val="auto"/>
        </w:rPr>
        <w:tab/>
      </w:r>
      <w:r>
        <w:rPr>
          <w:rFonts w:ascii="Arial" w:cs="Arial" w:eastAsia="Arial" w:hAnsi="Arial"/>
          <w:sz w:val="19"/>
          <w:szCs w:val="19"/>
          <w:u w:val="single" w:color="auto"/>
          <w:color w:val="auto"/>
        </w:rPr>
        <w:t>Transfers of Units</w:t>
      </w:r>
      <w:r>
        <w:rPr>
          <w:rFonts w:ascii="Arial" w:cs="Arial" w:eastAsia="Arial" w:hAnsi="Arial"/>
          <w:sz w:val="19"/>
          <w:szCs w:val="19"/>
          <w:color w:val="auto"/>
        </w:rPr>
        <w:t>.</w:t>
      </w:r>
    </w:p>
    <w:p>
      <w:pPr>
        <w:spacing w:after="0" w:line="183" w:lineRule="exact"/>
        <w:rPr>
          <w:sz w:val="20"/>
          <w:szCs w:val="20"/>
          <w:color w:val="auto"/>
        </w:rPr>
      </w:pPr>
    </w:p>
    <w:p>
      <w:pPr>
        <w:jc w:val="both"/>
        <w:ind w:left="320" w:firstLine="1276"/>
        <w:spacing w:after="0" w:line="222" w:lineRule="auto"/>
        <w:tabs>
          <w:tab w:leader="none" w:pos="2154" w:val="left"/>
        </w:tabs>
        <w:numPr>
          <w:ilvl w:val="0"/>
          <w:numId w:val="84"/>
        </w:numPr>
        <w:rPr>
          <w:rFonts w:ascii="Arial" w:cs="Arial" w:eastAsia="Arial" w:hAnsi="Arial"/>
          <w:sz w:val="21"/>
          <w:szCs w:val="21"/>
          <w:color w:val="auto"/>
        </w:rPr>
      </w:pPr>
      <w:r>
        <w:rPr>
          <w:rFonts w:ascii="Arial" w:cs="Arial" w:eastAsia="Arial" w:hAnsi="Arial"/>
          <w:sz w:val="21"/>
          <w:szCs w:val="21"/>
          <w:color w:val="auto"/>
        </w:rPr>
        <w:t>No holder of Units or Holding Company Units may sell, transfer, assign, pledge, encumber, distribute, contribute or otherwise dispose of (whether directly or indirectly (including, for the avoidance of doubt, by Transfer or issuance of any Capital Stock of any Member that is not a natural person), whether with or without consideration and whether voluntarily or involuntarily or by operation of law) any interest (legal or beneficial) in any Units or Holding Company Units (a “</w:t>
      </w:r>
      <w:r>
        <w:rPr>
          <w:rFonts w:ascii="Arial" w:cs="Arial" w:eastAsia="Arial" w:hAnsi="Arial"/>
          <w:sz w:val="21"/>
          <w:szCs w:val="21"/>
          <w:b w:val="1"/>
          <w:bCs w:val="1"/>
          <w:color w:val="auto"/>
        </w:rPr>
        <w:t>Transfer</w:t>
      </w:r>
      <w:r>
        <w:rPr>
          <w:rFonts w:ascii="Arial" w:cs="Arial" w:eastAsia="Arial" w:hAnsi="Arial"/>
          <w:sz w:val="21"/>
          <w:szCs w:val="21"/>
          <w:color w:val="auto"/>
        </w:rPr>
        <w:t xml:space="preserve">”), except Transfers pursuant to and in accordance with </w:t>
      </w:r>
      <w:r>
        <w:rPr>
          <w:rFonts w:ascii="Arial" w:cs="Arial" w:eastAsia="Arial" w:hAnsi="Arial"/>
          <w:sz w:val="21"/>
          <w:szCs w:val="21"/>
          <w:u w:val="single" w:color="auto"/>
          <w:color w:val="auto"/>
        </w:rPr>
        <w:t>Sections 9.1(b)</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ectPr>
          <w:pgSz w:w="11900" w:h="16838" w:orient="portrait"/>
          <w:cols w:equalWidth="0" w:num="1">
            <w:col w:w="11240"/>
          </w:cols>
          <w:pgMar w:left="320" w:top="1377" w:right="339" w:bottom="1440" w:gutter="0" w:footer="0" w:header="0"/>
        </w:sectPr>
      </w:pPr>
    </w:p>
    <w:bookmarkStart w:id="203" w:name="page204"/>
    <w:bookmarkEnd w:id="203"/>
    <w:p>
      <w:pPr>
        <w:jc w:val="both"/>
        <w:ind w:firstLine="1276"/>
        <w:spacing w:after="0" w:line="225" w:lineRule="auto"/>
        <w:tabs>
          <w:tab w:leader="none" w:pos="1760" w:val="left"/>
        </w:tabs>
        <w:numPr>
          <w:ilvl w:val="0"/>
          <w:numId w:val="85"/>
        </w:numPr>
        <w:rPr>
          <w:rFonts w:ascii="Arial" w:cs="Arial" w:eastAsia="Arial" w:hAnsi="Arial"/>
          <w:sz w:val="20"/>
          <w:szCs w:val="20"/>
          <w:color w:val="auto"/>
        </w:rPr>
      </w:pPr>
      <w:r>
        <w:rPr>
          <w:rFonts w:ascii="Arial" w:cs="Arial" w:eastAsia="Arial" w:hAnsi="Arial"/>
          <w:sz w:val="20"/>
          <w:szCs w:val="20"/>
          <w:color w:val="auto"/>
        </w:rPr>
        <w:t xml:space="preserve">The restrictions contained in </w:t>
      </w:r>
      <w:r>
        <w:rPr>
          <w:rFonts w:ascii="Arial" w:cs="Arial" w:eastAsia="Arial" w:hAnsi="Arial"/>
          <w:sz w:val="20"/>
          <w:szCs w:val="20"/>
          <w:u w:val="single" w:color="auto"/>
          <w:color w:val="auto"/>
        </w:rPr>
        <w:t>Section 9.1(a)</w:t>
      </w:r>
      <w:r>
        <w:rPr>
          <w:rFonts w:ascii="Arial" w:cs="Arial" w:eastAsia="Arial" w:hAnsi="Arial"/>
          <w:sz w:val="20"/>
          <w:szCs w:val="20"/>
          <w:color w:val="auto"/>
        </w:rPr>
        <w:t xml:space="preserve"> shall not apply, subject to </w:t>
      </w:r>
      <w:r>
        <w:rPr>
          <w:rFonts w:ascii="Arial" w:cs="Arial" w:eastAsia="Arial" w:hAnsi="Arial"/>
          <w:sz w:val="20"/>
          <w:szCs w:val="20"/>
          <w:u w:val="single" w:color="auto"/>
          <w:color w:val="auto"/>
        </w:rPr>
        <w:t>Section 9.6</w:t>
      </w:r>
      <w:r>
        <w:rPr>
          <w:rFonts w:ascii="Arial" w:cs="Arial" w:eastAsia="Arial" w:hAnsi="Arial"/>
          <w:sz w:val="20"/>
          <w:szCs w:val="20"/>
          <w:color w:val="auto"/>
        </w:rPr>
        <w:t>, to any Transfer of Units or Holding Company Units by any Member or holder of Holding Company Units (i) to its Affiliates, (ii) by any Member or holder of Holding Company Units to a trust solely for the benefit of such Person and such Person’s Family Group (or a re-Transfer of such Units by such trust back to such Member upon the revocation of any such trust) or pursuant to the applicable laws of descent or distribution among such Person’s Family Group, or (iii) approved in writing by the Managing Member (each of clauses (i)-(iii), an “</w:t>
      </w:r>
      <w:r>
        <w:rPr>
          <w:rFonts w:ascii="Arial" w:cs="Arial" w:eastAsia="Arial" w:hAnsi="Arial"/>
          <w:sz w:val="20"/>
          <w:szCs w:val="20"/>
          <w:b w:val="1"/>
          <w:bCs w:val="1"/>
          <w:color w:val="auto"/>
        </w:rPr>
        <w:t>Exempt Transfer</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restrictions contained in this Agreement will continue to apply to the Units and Holding Company Units after any Transfer pursuant to clause (i), (ii) or (iii) above and each transferee of Units or Holding Company Units shall agree in writing, prior to and as a condition precedent to the effectiveness of such Transfer, to be bound by the provisions of this Agreement, without modification or condition, subject only to the consummation of such Transfer. Upon the Transfer of Units or Holding Company Units pursuant to clause (i), (ii) or (iii) of the first sentence of this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the transferor will deliver written notice to the Company, which notice will disclose in reasonable detail the identity of such transferee(s) and shall include original counterparts of this Agreement in a form acceptable to the Company. Notwithstanding the foregoing, no party hereto shall avoid the provisions of this Agreement by making one or more Transfers to one or more transferees permitted under clause (i) or (ii) of the first sentence of this </w:t>
      </w:r>
      <w:r>
        <w:rPr>
          <w:rFonts w:ascii="Arial" w:cs="Arial" w:eastAsia="Arial" w:hAnsi="Arial"/>
          <w:sz w:val="20"/>
          <w:szCs w:val="20"/>
          <w:u w:val="single" w:color="auto"/>
          <w:color w:val="auto"/>
        </w:rPr>
        <w:t>Section 9.1(b)</w:t>
      </w:r>
      <w:r>
        <w:rPr>
          <w:rFonts w:ascii="Arial" w:cs="Arial" w:eastAsia="Arial" w:hAnsi="Arial"/>
          <w:sz w:val="20"/>
          <w:szCs w:val="20"/>
          <w:color w:val="auto"/>
        </w:rPr>
        <w:t xml:space="preserve"> and then disposing of all or any portion of such party’s interest in such transferee if such disposition would result in such transferee ceasing to be a Permitted Transferee.</w:t>
      </w:r>
    </w:p>
    <w:p>
      <w:pPr>
        <w:spacing w:after="0" w:line="154" w:lineRule="exact"/>
        <w:rPr>
          <w:rFonts w:ascii="Arial" w:cs="Arial" w:eastAsia="Arial" w:hAnsi="Arial"/>
          <w:sz w:val="20"/>
          <w:szCs w:val="20"/>
          <w:color w:val="auto"/>
        </w:rPr>
      </w:pPr>
    </w:p>
    <w:p>
      <w:pPr>
        <w:ind w:firstLine="1276"/>
        <w:spacing w:after="0" w:line="239" w:lineRule="auto"/>
        <w:tabs>
          <w:tab w:leader="none" w:pos="1854"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No holder of Holding Company Units shall agree to facilitate or otherwise permit the transfer of any Holding Company Units, other than in compliance with </w:t>
      </w:r>
      <w:r>
        <w:rPr>
          <w:rFonts w:ascii="Arial" w:cs="Arial" w:eastAsia="Arial" w:hAnsi="Arial"/>
          <w:sz w:val="21"/>
          <w:szCs w:val="21"/>
          <w:u w:val="single" w:color="auto"/>
          <w:color w:val="auto"/>
        </w:rPr>
        <w:t>Section 9.1</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740" w:hanging="464"/>
        <w:spacing w:after="0"/>
        <w:tabs>
          <w:tab w:leader="none" w:pos="1740" w:val="left"/>
        </w:tabs>
        <w:numPr>
          <w:ilvl w:val="0"/>
          <w:numId w:val="85"/>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as a condition to any Transfer:</w:t>
      </w:r>
    </w:p>
    <w:p>
      <w:pPr>
        <w:spacing w:after="0" w:line="182" w:lineRule="exact"/>
        <w:rPr>
          <w:rFonts w:ascii="Arial" w:cs="Arial" w:eastAsia="Arial" w:hAnsi="Arial"/>
          <w:sz w:val="21"/>
          <w:szCs w:val="21"/>
          <w:color w:val="auto"/>
        </w:rPr>
      </w:pPr>
    </w:p>
    <w:p>
      <w:pPr>
        <w:jc w:val="both"/>
        <w:ind w:left="320" w:firstLine="1274"/>
        <w:spacing w:after="0" w:line="217" w:lineRule="auto"/>
        <w:tabs>
          <w:tab w:leader="none" w:pos="2216" w:val="left"/>
        </w:tabs>
        <w:numPr>
          <w:ilvl w:val="1"/>
          <w:numId w:val="85"/>
        </w:numPr>
        <w:rPr>
          <w:rFonts w:ascii="Arial" w:cs="Arial" w:eastAsia="Arial" w:hAnsi="Arial"/>
          <w:sz w:val="21"/>
          <w:szCs w:val="21"/>
          <w:color w:val="010000"/>
        </w:rPr>
      </w:pPr>
      <w:r>
        <w:rPr>
          <w:rFonts w:ascii="Arial" w:cs="Arial" w:eastAsia="Arial" w:hAnsi="Arial"/>
          <w:sz w:val="21"/>
          <w:szCs w:val="21"/>
          <w:color w:val="auto"/>
        </w:rPr>
        <w:t>if the transferor of Units who proposes to transfer such Units (or if such transferor is a disregarded entity for U.S. federal income tax purposes, the first direct or indirect beneficial owner of such transferor that is not a disregarded entity (the “</w:t>
      </w:r>
      <w:r>
        <w:rPr>
          <w:rFonts w:ascii="Arial" w:cs="Arial" w:eastAsia="Arial" w:hAnsi="Arial"/>
          <w:sz w:val="21"/>
          <w:szCs w:val="21"/>
          <w:b w:val="1"/>
          <w:bCs w:val="1"/>
          <w:color w:val="auto"/>
        </w:rPr>
        <w:t>Transferor’s Owner</w:t>
      </w:r>
      <w:r>
        <w:rPr>
          <w:rFonts w:ascii="Arial" w:cs="Arial" w:eastAsia="Arial" w:hAnsi="Arial"/>
          <w:sz w:val="21"/>
          <w:szCs w:val="21"/>
          <w:color w:val="auto"/>
        </w:rPr>
        <w:t>”)) is a “United States person” as defined in Section 7701(a)(30) of the Code, then such transferor (or Transferor’s Owner, if applicable) shall complete and provide to both of the transferee and the Company, a duly executed affidavit in the form provided to such transferor by the Company, certifying, under penalty of perjury, that the transferor (or Transferor’s Owner, if applicable) is not a foreign person, nonresident alien, foreign corporation, foreign partnership, foreign trust, or foreign estate (as such terms are defined under the Code and applicable United States Treasury Regulations) and the transferor’s (or Transferor’s Owner’s, if applicable) United States taxpayer identification number, or</w:t>
      </w:r>
    </w:p>
    <w:p>
      <w:pPr>
        <w:spacing w:after="0" w:line="154" w:lineRule="exact"/>
        <w:rPr>
          <w:rFonts w:ascii="Arial" w:cs="Arial" w:eastAsia="Arial" w:hAnsi="Arial"/>
          <w:sz w:val="21"/>
          <w:szCs w:val="21"/>
          <w:color w:val="010000"/>
        </w:rPr>
      </w:pPr>
    </w:p>
    <w:p>
      <w:pPr>
        <w:jc w:val="both"/>
        <w:ind w:left="320" w:firstLine="1274"/>
        <w:spacing w:after="0" w:line="247" w:lineRule="auto"/>
        <w:tabs>
          <w:tab w:leader="none" w:pos="2222" w:val="left"/>
        </w:tabs>
        <w:numPr>
          <w:ilvl w:val="1"/>
          <w:numId w:val="85"/>
        </w:numPr>
        <w:rPr>
          <w:rFonts w:ascii="Arial" w:cs="Arial" w:eastAsia="Arial" w:hAnsi="Arial"/>
          <w:sz w:val="19"/>
          <w:szCs w:val="19"/>
          <w:color w:val="010000"/>
        </w:rPr>
      </w:pPr>
      <w:r>
        <w:rPr>
          <w:rFonts w:ascii="Arial" w:cs="Arial" w:eastAsia="Arial" w:hAnsi="Arial"/>
          <w:sz w:val="19"/>
          <w:szCs w:val="19"/>
          <w:color w:val="auto"/>
        </w:rPr>
        <w:t>if the transferor of Units who proposes to transfer such Units (or if such transferor is a disregarded entity for U.S. federal income tax purposes, the Transferor’s Owner) is not a “United States person” as defined in Section 7701(a)(30) of the Code, then such transferor and transferee shall jointly provide to the Company written proof reasonably satisfactory to the Managing Member that any applicable withholding tax that may be imposed on such transfer and any related tax returns or forms that are required to be filed, have been, or will be, timely paid and filed,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31</w:t>
      </w:r>
    </w:p>
    <w:p>
      <w:pPr>
        <w:sectPr>
          <w:pgSz w:w="11900" w:h="16838" w:orient="portrait"/>
          <w:cols w:equalWidth="0" w:num="1">
            <w:col w:w="10920"/>
          </w:cols>
          <w:pgMar w:left="640" w:top="1377" w:right="339" w:bottom="1440" w:gutter="0" w:footer="0" w:header="0"/>
        </w:sectPr>
      </w:pPr>
    </w:p>
    <w:bookmarkStart w:id="204" w:name="page205"/>
    <w:bookmarkEnd w:id="204"/>
    <w:p>
      <w:pPr>
        <w:ind w:left="640"/>
        <w:spacing w:after="0"/>
        <w:tabs>
          <w:tab w:leader="none" w:pos="1260" w:val="left"/>
        </w:tabs>
        <w:rPr>
          <w:sz w:val="20"/>
          <w:szCs w:val="20"/>
          <w:color w:val="auto"/>
        </w:rPr>
      </w:pPr>
      <w:r>
        <w:rPr>
          <w:rFonts w:ascii="Arial" w:cs="Arial" w:eastAsia="Arial" w:hAnsi="Arial"/>
          <w:sz w:val="21"/>
          <w:szCs w:val="21"/>
          <w:color w:val="010000"/>
        </w:rPr>
        <w:t>9.2</w:t>
      </w:r>
      <w:r>
        <w:rPr>
          <w:sz w:val="20"/>
          <w:szCs w:val="20"/>
          <w:color w:val="auto"/>
        </w:rPr>
        <w:tab/>
      </w:r>
      <w:r>
        <w:rPr>
          <w:rFonts w:ascii="Arial" w:cs="Arial" w:eastAsia="Arial" w:hAnsi="Arial"/>
          <w:sz w:val="19"/>
          <w:szCs w:val="19"/>
          <w:u w:val="single" w:color="auto"/>
          <w:color w:val="auto"/>
        </w:rPr>
        <w:t>Restricted Units Legend</w:t>
      </w:r>
      <w:r>
        <w:rPr>
          <w:rFonts w:ascii="Arial" w:cs="Arial" w:eastAsia="Arial" w:hAnsi="Arial"/>
          <w:sz w:val="19"/>
          <w:szCs w:val="19"/>
          <w:color w:val="auto"/>
        </w:rPr>
        <w:t>.</w:t>
      </w:r>
    </w:p>
    <w:p>
      <w:pPr>
        <w:spacing w:after="0" w:line="183" w:lineRule="exact"/>
        <w:rPr>
          <w:sz w:val="20"/>
          <w:szCs w:val="20"/>
          <w:color w:val="auto"/>
        </w:rPr>
      </w:pPr>
    </w:p>
    <w:p>
      <w:pPr>
        <w:jc w:val="both"/>
        <w:ind w:left="320" w:firstLine="1276"/>
        <w:spacing w:after="0" w:line="247" w:lineRule="auto"/>
        <w:tabs>
          <w:tab w:leader="none" w:pos="2210"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Units have not been registered under the Securities Act and, therefore, in addition to the other restrictions on Transfer contained in this Agreement, cannot be sold unless subsequently registered under the Securities Act or an exemption from such registration is then available. To the extent such Units have been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148" w:lineRule="exact"/>
        <w:rPr>
          <w:sz w:val="20"/>
          <w:szCs w:val="20"/>
          <w:color w:val="auto"/>
        </w:rPr>
      </w:pPr>
    </w:p>
    <w:p>
      <w:pPr>
        <w:jc w:val="both"/>
        <w:ind w:left="640" w:right="640"/>
        <w:spacing w:after="0" w:line="230" w:lineRule="auto"/>
        <w:rPr>
          <w:sz w:val="20"/>
          <w:szCs w:val="20"/>
          <w:color w:val="auto"/>
        </w:rPr>
      </w:pPr>
      <w:r>
        <w:rPr>
          <w:rFonts w:ascii="Arial" w:cs="Arial" w:eastAsia="Arial" w:hAnsi="Arial"/>
          <w:sz w:val="20"/>
          <w:szCs w:val="20"/>
          <w:color w:val="auto"/>
        </w:rPr>
        <w:t>“THE SECURITIES REPRESENTED HEREBY HAVE NOT BEEN REGISTERED UNDER THE SECURITIES ACT OF 1933, AS AMENDED (THE “ACT”), OR ANY STATE SECURITIES OR BLUE SKY LAWS AND MAY NOT BE OFFERED, SOLD, TRANSFERRED, HYPOTHECATED OR OTHERWISE ASSIGNED EXCEPT (1) PURSUANT TO A REGISTRATION STATEMENT WITH RESPECT TO SUCH SECURITIES WHICH IS EFFECTIVE UNDER THE ACT OR (2) PURSUANT TO AN AVAILABLE EXEMPTION FROM REGISTRATION UNDER THE ACT RELATING TO THE DISPOSITION OF SECURITIES AND (3) IN ACCORDANCE WITH APPLICABLE STATE SECURITIES AND BLUE SKY LAWS.</w:t>
      </w:r>
    </w:p>
    <w:p>
      <w:pPr>
        <w:spacing w:after="0" w:line="153" w:lineRule="exact"/>
        <w:rPr>
          <w:sz w:val="20"/>
          <w:szCs w:val="20"/>
          <w:color w:val="auto"/>
        </w:rPr>
      </w:pPr>
    </w:p>
    <w:p>
      <w:pPr>
        <w:jc w:val="both"/>
        <w:ind w:left="640" w:right="640"/>
        <w:spacing w:after="0" w:line="218" w:lineRule="auto"/>
        <w:rPr>
          <w:sz w:val="20"/>
          <w:szCs w:val="20"/>
          <w:color w:val="auto"/>
        </w:rPr>
      </w:pPr>
      <w:r>
        <w:rPr>
          <w:rFonts w:ascii="Arial" w:cs="Arial" w:eastAsia="Arial" w:hAnsi="Arial"/>
          <w:sz w:val="21"/>
          <w:szCs w:val="21"/>
          <w:color w:val="auto"/>
        </w:rPr>
        <w:t>THE SECURITIES REPRESENTED BY THIS CERTIFICATE ARE ALSO SUBJECT TO ADDITIONAL RESTRICTIONS ON TRANSFER SPECIFIED IN THE SIXTH AMENDED AND RESTATED LIMITED LIABILITY COMPANY AGREEMENT OF THE ISSUER OF SUCH SECURITIES, AS SUCH AGREEMENT MAY BE AMENDED, MODIFIED OR RESTATED FROM TIME TO TIME, AND THE ISSUER RESERVES THE RIGHT TO REFUSE THE TRANSFER OF SUCH SECURITIES UNTIL SUCH TRANSFER RESTRICTIONS HAVE BEEN FULFILLED. A COPY OF SUCH SIXTH AMENDED AND RESTATED LIMITED LIABILITY COMPANY AGREEMENT SHALL BE FURNISHED BY THE ISSUER TO THE HOLDER HEREOF UPON WRITTEN REQUEST AND WITHOUT CHARGE.”</w:t>
      </w:r>
    </w:p>
    <w:p>
      <w:pPr>
        <w:spacing w:after="0" w:line="153" w:lineRule="exact"/>
        <w:rPr>
          <w:sz w:val="20"/>
          <w:szCs w:val="20"/>
          <w:color w:val="auto"/>
        </w:rPr>
      </w:pPr>
    </w:p>
    <w:p>
      <w:pPr>
        <w:ind w:firstLine="636"/>
        <w:spacing w:after="0" w:line="263" w:lineRule="auto"/>
        <w:rPr>
          <w:sz w:val="20"/>
          <w:szCs w:val="20"/>
          <w:color w:val="auto"/>
        </w:rPr>
      </w:pPr>
      <w:r>
        <w:rPr>
          <w:rFonts w:ascii="Arial" w:cs="Arial" w:eastAsia="Arial" w:hAnsi="Arial"/>
          <w:sz w:val="20"/>
          <w:szCs w:val="20"/>
          <w:color w:val="auto"/>
        </w:rPr>
        <w:t>The Company will imprint such legend on certificates (if any) evidencing Units. The legend set forth above will be removed from the certificates (if any) evidencing any units which cease to be Units in accordance with the definition thereof.</w:t>
      </w:r>
    </w:p>
    <w:p>
      <w:pPr>
        <w:spacing w:after="0" w:line="132" w:lineRule="exact"/>
        <w:rPr>
          <w:sz w:val="20"/>
          <w:szCs w:val="20"/>
          <w:color w:val="auto"/>
        </w:rPr>
      </w:pPr>
    </w:p>
    <w:p>
      <w:pPr>
        <w:jc w:val="both"/>
        <w:ind w:left="320" w:firstLine="1276"/>
        <w:spacing w:after="0" w:line="237" w:lineRule="auto"/>
        <w:tabs>
          <w:tab w:leader="none" w:pos="2066" w:val="left"/>
        </w:tabs>
        <w:numPr>
          <w:ilvl w:val="1"/>
          <w:numId w:val="87"/>
        </w:numPr>
        <w:rPr>
          <w:rFonts w:ascii="Arial" w:cs="Arial" w:eastAsia="Arial" w:hAnsi="Arial"/>
          <w:sz w:val="19"/>
          <w:szCs w:val="19"/>
          <w:color w:val="auto"/>
        </w:rPr>
      </w:pPr>
      <w:r>
        <w:rPr>
          <w:rFonts w:ascii="Arial" w:cs="Arial" w:eastAsia="Arial" w:hAnsi="Arial"/>
          <w:sz w:val="19"/>
          <w:szCs w:val="19"/>
          <w:color w:val="auto"/>
        </w:rPr>
        <w:t>In connection with the Transfer of any Units, the holder thereof shall deliver written notice to the Company describing in reasonable detail the Transfer or proposed Transfer, which shall, if so requested by the Managing Member, be accompanied by (i) an opinion of counsel which (to the Company’s reasonable satisfaction) is knowledgeable in securities law matters to the effect that such Transfer of Units may be effected without registration of such Units under the Securities Act or</w:t>
      </w:r>
    </w:p>
    <w:p>
      <w:pPr>
        <w:spacing w:after="0" w:line="2" w:lineRule="exact"/>
        <w:rPr>
          <w:rFonts w:ascii="Arial" w:cs="Arial" w:eastAsia="Arial" w:hAnsi="Arial"/>
          <w:sz w:val="19"/>
          <w:szCs w:val="19"/>
          <w:color w:val="auto"/>
        </w:rPr>
      </w:pPr>
    </w:p>
    <w:p>
      <w:pPr>
        <w:jc w:val="both"/>
        <w:ind w:left="320" w:firstLine="4"/>
        <w:spacing w:after="0" w:line="215" w:lineRule="auto"/>
        <w:tabs>
          <w:tab w:leader="none" w:pos="666"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such other evidence reasonably satisfactory to the Managing Member to the effect that such Transfer of Units may be effected without registration of such Units under the Securities Act. In addition, if the holder of the Units delivers to the Company an opinion of such counsel that no subsequent Transfer of such Units shall require registration under the Securities Act, the Company shall promptly upon such contemplated Transfer deliver new certificates for such securities (if then certificated) which do not bear the Securities Act legend set forth in </w:t>
      </w:r>
      <w:r>
        <w:rPr>
          <w:rFonts w:ascii="Arial" w:cs="Arial" w:eastAsia="Arial" w:hAnsi="Arial"/>
          <w:sz w:val="21"/>
          <w:szCs w:val="21"/>
          <w:u w:val="single" w:color="auto"/>
          <w:color w:val="auto"/>
        </w:rPr>
        <w:t>Section 9.2(a)</w:t>
      </w:r>
      <w:r>
        <w:rPr>
          <w:rFonts w:ascii="Arial" w:cs="Arial" w:eastAsia="Arial" w:hAnsi="Arial"/>
          <w:sz w:val="21"/>
          <w:szCs w:val="21"/>
          <w:color w:val="auto"/>
        </w:rPr>
        <w:t>. If the Company is not required to deliver new certificates for such Units not bearing such legend, the holder thereof shall not effect any Transfer of the same until the prospective transferee has confirmed to the Company in writing its agreement to be bound by the conditions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ectPr>
          <w:pgSz w:w="11900" w:h="16838" w:orient="portrait"/>
          <w:cols w:equalWidth="0" w:num="1">
            <w:col w:w="11240"/>
          </w:cols>
          <w:pgMar w:left="320" w:top="1377" w:right="339" w:bottom="1440" w:gutter="0" w:footer="0" w:header="0"/>
        </w:sectPr>
      </w:pPr>
    </w:p>
    <w:bookmarkStart w:id="205" w:name="page206"/>
    <w:bookmarkEnd w:id="205"/>
    <w:p>
      <w:pPr>
        <w:jc w:val="both"/>
        <w:ind w:left="320" w:firstLine="1276"/>
        <w:spacing w:after="0" w:line="230" w:lineRule="auto"/>
        <w:tabs>
          <w:tab w:leader="none" w:pos="2113" w:val="left"/>
        </w:tabs>
        <w:numPr>
          <w:ilvl w:val="0"/>
          <w:numId w:val="89"/>
        </w:numPr>
        <w:rPr>
          <w:rFonts w:ascii="Arial" w:cs="Arial" w:eastAsia="Arial" w:hAnsi="Arial"/>
          <w:sz w:val="21"/>
          <w:szCs w:val="21"/>
          <w:color w:val="auto"/>
        </w:rPr>
      </w:pPr>
      <w:r>
        <w:rPr>
          <w:rFonts w:ascii="Arial" w:cs="Arial" w:eastAsia="Arial" w:hAnsi="Arial"/>
          <w:sz w:val="21"/>
          <w:szCs w:val="21"/>
          <w:color w:val="auto"/>
        </w:rPr>
        <w:t>Upon the request of any Member, the Company will promptly supply to such Member or its prospective transferees all information regarding the Company required to be delivered in connection with a Transfer pursuant to Rule 144 of the Securities and Exchange Commission.</w:t>
      </w:r>
    </w:p>
    <w:p>
      <w:pPr>
        <w:spacing w:after="0" w:line="153" w:lineRule="exact"/>
        <w:rPr>
          <w:rFonts w:ascii="Arial" w:cs="Arial" w:eastAsia="Arial" w:hAnsi="Arial"/>
          <w:sz w:val="21"/>
          <w:szCs w:val="21"/>
          <w:color w:val="auto"/>
        </w:rPr>
      </w:pPr>
    </w:p>
    <w:p>
      <w:pPr>
        <w:jc w:val="both"/>
        <w:ind w:left="320" w:firstLine="1276"/>
        <w:spacing w:after="0" w:line="225" w:lineRule="auto"/>
        <w:tabs>
          <w:tab w:leader="none" w:pos="2094" w:val="left"/>
        </w:tabs>
        <w:numPr>
          <w:ilvl w:val="0"/>
          <w:numId w:val="89"/>
        </w:numPr>
        <w:rPr>
          <w:rFonts w:ascii="Arial" w:cs="Arial" w:eastAsia="Arial" w:hAnsi="Arial"/>
          <w:sz w:val="21"/>
          <w:szCs w:val="21"/>
          <w:color w:val="auto"/>
        </w:rPr>
      </w:pPr>
      <w:r>
        <w:rPr>
          <w:rFonts w:ascii="Arial" w:cs="Arial" w:eastAsia="Arial" w:hAnsi="Arial"/>
          <w:sz w:val="21"/>
          <w:szCs w:val="21"/>
          <w:color w:val="auto"/>
        </w:rPr>
        <w:t xml:space="preserve">If any Units become eligible for sale pursuant to Rule 144 of the Securities and Exchange Commission or no longer constitute “restricted securities” (as defined under Rule 144(a) of the Securities and Exchange Commission), the Company shall, upon the request of the holder of such Units, remove the Securities Act legend set forth in </w:t>
      </w:r>
      <w:r>
        <w:rPr>
          <w:rFonts w:ascii="Arial" w:cs="Arial" w:eastAsia="Arial" w:hAnsi="Arial"/>
          <w:sz w:val="21"/>
          <w:szCs w:val="21"/>
          <w:u w:val="single" w:color="auto"/>
          <w:color w:val="auto"/>
        </w:rPr>
        <w:t>Section 9.2(a)</w:t>
      </w:r>
      <w:r>
        <w:rPr>
          <w:rFonts w:ascii="Arial" w:cs="Arial" w:eastAsia="Arial" w:hAnsi="Arial"/>
          <w:sz w:val="21"/>
          <w:szCs w:val="21"/>
          <w:color w:val="auto"/>
        </w:rPr>
        <w:t xml:space="preserve"> above from the certificates (if any) for such securities.</w:t>
      </w:r>
    </w:p>
    <w:p>
      <w:pPr>
        <w:spacing w:after="0" w:line="15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9.3</w:t>
      </w:r>
      <w:r>
        <w:rPr>
          <w:sz w:val="20"/>
          <w:szCs w:val="20"/>
          <w:color w:val="auto"/>
        </w:rPr>
        <w:tab/>
      </w:r>
      <w:r>
        <w:rPr>
          <w:rFonts w:ascii="Arial" w:cs="Arial" w:eastAsia="Arial" w:hAnsi="Arial"/>
          <w:sz w:val="19"/>
          <w:szCs w:val="19"/>
          <w:u w:val="single" w:color="auto"/>
          <w:color w:val="auto"/>
        </w:rPr>
        <w:t>Assignee’s Rights</w:t>
      </w:r>
      <w:r>
        <w:rPr>
          <w:rFonts w:ascii="Arial" w:cs="Arial" w:eastAsia="Arial" w:hAnsi="Arial"/>
          <w:sz w:val="19"/>
          <w:szCs w:val="19"/>
          <w:color w:val="auto"/>
        </w:rPr>
        <w:t>.</w:t>
      </w:r>
    </w:p>
    <w:p>
      <w:pPr>
        <w:spacing w:after="0" w:line="183" w:lineRule="exact"/>
        <w:rPr>
          <w:sz w:val="20"/>
          <w:szCs w:val="20"/>
          <w:color w:val="auto"/>
        </w:rPr>
      </w:pPr>
    </w:p>
    <w:p>
      <w:pPr>
        <w:ind w:left="320" w:right="100" w:firstLine="1276"/>
        <w:spacing w:after="0" w:line="247" w:lineRule="auto"/>
        <w:tabs>
          <w:tab w:leader="none" w:pos="2039"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9.6(b)</w:t>
      </w:r>
      <w:r>
        <w:rPr>
          <w:rFonts w:ascii="Arial" w:cs="Arial" w:eastAsia="Arial" w:hAnsi="Arial"/>
          <w:sz w:val="19"/>
          <w:szCs w:val="19"/>
          <w:color w:val="auto"/>
        </w:rPr>
        <w:t>, a Transfer of Units in a manner in accordance with this Agreement shall be effective as of the date of assignment and compliance with the conditions to such Transfer and such Transfer shall be shown on the books and records of the Company. Income, loss and other Company items shall be allocated between the transferor and the Assignee according to Code Section 706 as determined by the Managing Member. Distributions made before the effective date of such Transfer shall be paid to the transferor, and Distributions made after such date shall be paid to the Assignee.</w:t>
      </w:r>
    </w:p>
    <w:p>
      <w:pPr>
        <w:spacing w:after="0" w:line="147" w:lineRule="exact"/>
        <w:rPr>
          <w:rFonts w:ascii="Arial" w:cs="Arial" w:eastAsia="Arial" w:hAnsi="Arial"/>
          <w:sz w:val="19"/>
          <w:szCs w:val="19"/>
          <w:color w:val="auto"/>
        </w:rPr>
      </w:pPr>
    </w:p>
    <w:p>
      <w:pPr>
        <w:jc w:val="both"/>
        <w:ind w:left="320" w:firstLine="1276"/>
        <w:spacing w:after="0" w:line="220" w:lineRule="auto"/>
        <w:tabs>
          <w:tab w:leader="none" w:pos="2055" w:val="left"/>
        </w:tabs>
        <w:numPr>
          <w:ilvl w:val="0"/>
          <w:numId w:val="90"/>
        </w:numPr>
        <w:rPr>
          <w:rFonts w:ascii="Arial" w:cs="Arial" w:eastAsia="Arial" w:hAnsi="Arial"/>
          <w:sz w:val="21"/>
          <w:szCs w:val="21"/>
          <w:color w:val="auto"/>
        </w:rPr>
      </w:pPr>
      <w:r>
        <w:rPr>
          <w:rFonts w:ascii="Arial" w:cs="Arial" w:eastAsia="Arial" w:hAnsi="Arial"/>
          <w:sz w:val="21"/>
          <w:szCs w:val="21"/>
          <w:color w:val="auto"/>
        </w:rPr>
        <w:t xml:space="preserve">Unless and until an Assignee becomes a Member pursuant to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without relieving the transferring Member from any such limitations or obligations as more fully described in </w:t>
      </w:r>
      <w:r>
        <w:rPr>
          <w:rFonts w:ascii="Arial" w:cs="Arial" w:eastAsia="Arial" w:hAnsi="Arial"/>
          <w:sz w:val="21"/>
          <w:szCs w:val="21"/>
          <w:u w:val="single" w:color="auto"/>
          <w:color w:val="auto"/>
        </w:rPr>
        <w:t>Section 9.4</w:t>
      </w:r>
      <w:r>
        <w:rPr>
          <w:rFonts w:ascii="Arial" w:cs="Arial" w:eastAsia="Arial" w:hAnsi="Arial"/>
          <w:sz w:val="21"/>
          <w:szCs w:val="21"/>
          <w:color w:val="auto"/>
        </w:rPr>
        <w:t>, such Assignee shall be bound by any limitations and obligations of a Member contained herein that a Member would be bound on account of such Units (including the obligation to make Capital Contributions on account of such Units).</w:t>
      </w:r>
    </w:p>
    <w:p>
      <w:pPr>
        <w:spacing w:after="0" w:line="156"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010000"/>
        </w:rPr>
        <w:t xml:space="preserve">9.4 </w:t>
      </w:r>
      <w:r>
        <w:rPr>
          <w:rFonts w:ascii="Arial" w:cs="Arial" w:eastAsia="Arial" w:hAnsi="Arial"/>
          <w:sz w:val="19"/>
          <w:szCs w:val="19"/>
          <w:u w:val="single" w:color="auto"/>
          <w:color w:val="000000"/>
        </w:rPr>
        <w:t>Assignor’s Rights and Obligations</w:t>
      </w:r>
      <w:r>
        <w:rPr>
          <w:rFonts w:ascii="Arial" w:cs="Arial" w:eastAsia="Arial" w:hAnsi="Arial"/>
          <w:sz w:val="19"/>
          <w:szCs w:val="19"/>
          <w:color w:val="000000"/>
        </w:rPr>
        <w:t>. Any Member who shall Transfer any Units in a manner in accordance with this</w:t>
      </w:r>
      <w:r>
        <w:rPr>
          <w:rFonts w:ascii="Arial" w:cs="Arial" w:eastAsia="Arial" w:hAnsi="Arial"/>
          <w:sz w:val="19"/>
          <w:szCs w:val="19"/>
          <w:color w:val="010000"/>
        </w:rPr>
        <w:t xml:space="preserve"> </w:t>
      </w:r>
      <w:r>
        <w:rPr>
          <w:rFonts w:ascii="Arial" w:cs="Arial" w:eastAsia="Arial" w:hAnsi="Arial"/>
          <w:sz w:val="19"/>
          <w:szCs w:val="19"/>
          <w:color w:val="000000"/>
        </w:rPr>
        <w:t xml:space="preserve">Agreement shall cease to be a Member with respect to such Units or such other interest and shall no longer have any rights or privileges, or, except as set forth in this </w:t>
      </w:r>
      <w:r>
        <w:rPr>
          <w:rFonts w:ascii="Arial" w:cs="Arial" w:eastAsia="Arial" w:hAnsi="Arial"/>
          <w:sz w:val="19"/>
          <w:szCs w:val="19"/>
          <w:u w:val="single" w:color="auto"/>
          <w:color w:val="000000"/>
        </w:rPr>
        <w:t>Section 9.4</w:t>
      </w:r>
      <w:r>
        <w:rPr>
          <w:rFonts w:ascii="Arial" w:cs="Arial" w:eastAsia="Arial" w:hAnsi="Arial"/>
          <w:sz w:val="19"/>
          <w:szCs w:val="19"/>
          <w:color w:val="000000"/>
        </w:rPr>
        <w:t xml:space="preserve">, duties, liabilities or obligations, of a Member with respect to such Units or such other interest (it being understood, however, that the applicable provisions of </w:t>
      </w:r>
      <w:r>
        <w:rPr>
          <w:rFonts w:ascii="Arial" w:cs="Arial" w:eastAsia="Arial" w:hAnsi="Arial"/>
          <w:sz w:val="19"/>
          <w:szCs w:val="19"/>
          <w:u w:val="single" w:color="auto"/>
          <w:color w:val="000000"/>
        </w:rPr>
        <w:t>Sections 5.5</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6.4</w:t>
      </w:r>
      <w:r>
        <w:rPr>
          <w:rFonts w:ascii="Arial" w:cs="Arial" w:eastAsia="Arial" w:hAnsi="Arial"/>
          <w:sz w:val="19"/>
          <w:szCs w:val="19"/>
          <w:color w:val="000000"/>
        </w:rPr>
        <w:t xml:space="preserve"> shall continue to inure to such Person’s benefit), except that unless and until the Assignee is admitted as a substituted Member in accordance with the provisions of </w:t>
      </w:r>
      <w:r>
        <w:rPr>
          <w:rFonts w:ascii="Arial" w:cs="Arial" w:eastAsia="Arial" w:hAnsi="Arial"/>
          <w:sz w:val="19"/>
          <w:szCs w:val="19"/>
          <w:u w:val="single" w:color="auto"/>
          <w:color w:val="000000"/>
        </w:rPr>
        <w:t>Article X</w:t>
      </w:r>
      <w:r>
        <w:rPr>
          <w:rFonts w:ascii="Arial" w:cs="Arial" w:eastAsia="Arial" w:hAnsi="Arial"/>
          <w:sz w:val="19"/>
          <w:szCs w:val="19"/>
          <w:color w:val="000000"/>
        </w:rPr>
        <w:t xml:space="preserve"> (the “</w:t>
      </w:r>
      <w:r>
        <w:rPr>
          <w:rFonts w:ascii="Arial" w:cs="Arial" w:eastAsia="Arial" w:hAnsi="Arial"/>
          <w:sz w:val="19"/>
          <w:szCs w:val="19"/>
          <w:b w:val="1"/>
          <w:bCs w:val="1"/>
          <w:color w:val="000000"/>
        </w:rPr>
        <w:t>Admission Date</w:t>
      </w:r>
      <w:r>
        <w:rPr>
          <w:rFonts w:ascii="Arial" w:cs="Arial" w:eastAsia="Arial" w:hAnsi="Arial"/>
          <w:sz w:val="19"/>
          <w:szCs w:val="19"/>
          <w:color w:val="000000"/>
        </w:rPr>
        <w:t xml:space="preserve">”), (i) such assigning Member shall retain all of the duties, liabilities and obligations of a Member with respect to such Units or other interest, including, without limitation, the obligation (together with its Assignee pursuant to </w:t>
      </w:r>
      <w:r>
        <w:rPr>
          <w:rFonts w:ascii="Arial" w:cs="Arial" w:eastAsia="Arial" w:hAnsi="Arial"/>
          <w:sz w:val="19"/>
          <w:szCs w:val="19"/>
          <w:u w:val="single" w:color="auto"/>
          <w:color w:val="000000"/>
        </w:rPr>
        <w:t>Section 9.3(b)</w:t>
      </w:r>
      <w:r>
        <w:rPr>
          <w:rFonts w:ascii="Arial" w:cs="Arial" w:eastAsia="Arial" w:hAnsi="Arial"/>
          <w:sz w:val="19"/>
          <w:szCs w:val="19"/>
          <w:color w:val="000000"/>
        </w:rPr>
        <w:t>) to make and return Capital Contributions on account of such Units or other interest pursuant to the terms of this Agreement and (ii) the Managing Member may reinstate all or any portion of the rights and privileges of such Member with respect to such Units or other interest for any period of time prior to the Admission Date. Nothing contained herein shall relieve any Member who Transfers any Units or other interest in the Company from any liability of such Member to the Company with respect to such Units that may exist on the Admission Date or that is otherwise specified in the Delaware Act and incorporated into this Agreement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33</w:t>
      </w:r>
    </w:p>
    <w:p>
      <w:pPr>
        <w:sectPr>
          <w:pgSz w:w="11900" w:h="16838" w:orient="portrait"/>
          <w:cols w:equalWidth="0" w:num="1">
            <w:col w:w="11240"/>
          </w:cols>
          <w:pgMar w:left="320" w:top="1377" w:right="339" w:bottom="1440" w:gutter="0" w:footer="0" w:header="0"/>
        </w:sectPr>
      </w:pPr>
    </w:p>
    <w:bookmarkStart w:id="206" w:name="page207"/>
    <w:bookmarkEnd w:id="206"/>
    <w:p>
      <w:pPr>
        <w:jc w:val="both"/>
        <w:ind w:firstLine="636"/>
        <w:spacing w:after="0" w:line="231" w:lineRule="auto"/>
        <w:rPr>
          <w:sz w:val="20"/>
          <w:szCs w:val="20"/>
          <w:color w:val="auto"/>
        </w:rPr>
      </w:pPr>
      <w:r>
        <w:rPr>
          <w:rFonts w:ascii="Arial" w:cs="Arial" w:eastAsia="Arial" w:hAnsi="Arial"/>
          <w:sz w:val="20"/>
          <w:szCs w:val="20"/>
          <w:color w:val="010000"/>
        </w:rPr>
        <w:t xml:space="preserve">9.5 </w:t>
      </w:r>
      <w:r>
        <w:rPr>
          <w:rFonts w:ascii="Arial" w:cs="Arial" w:eastAsia="Arial" w:hAnsi="Arial"/>
          <w:sz w:val="20"/>
          <w:szCs w:val="20"/>
          <w:u w:val="single" w:color="auto"/>
          <w:color w:val="000000"/>
        </w:rPr>
        <w:t>Encumbrances</w:t>
      </w:r>
      <w:r>
        <w:rPr>
          <w:rFonts w:ascii="Arial" w:cs="Arial" w:eastAsia="Arial" w:hAnsi="Arial"/>
          <w:sz w:val="20"/>
          <w:szCs w:val="20"/>
          <w:color w:val="000000"/>
        </w:rPr>
        <w:t>. No Member or Assignee may create an Encumbrance with respect to all or any portion of its Units</w:t>
      </w:r>
      <w:r>
        <w:rPr>
          <w:rFonts w:ascii="Arial" w:cs="Arial" w:eastAsia="Arial" w:hAnsi="Arial"/>
          <w:sz w:val="20"/>
          <w:szCs w:val="20"/>
          <w:color w:val="010000"/>
        </w:rPr>
        <w:t xml:space="preserve"> </w:t>
      </w:r>
      <w:r>
        <w:rPr>
          <w:rFonts w:ascii="Arial" w:cs="Arial" w:eastAsia="Arial" w:hAnsi="Arial"/>
          <w:sz w:val="20"/>
          <w:szCs w:val="20"/>
          <w:color w:val="000000"/>
        </w:rPr>
        <w:t>(or any beneficial interest therein) other than Encumbrances that run in favor of the Member unless the Managing Member consents in writing thereto, which consent may be given or withheld, or made subject to such conditions as are determined by the Managing Member, in the Managing Member’s sole discretion. Consent of the Managing Member shall be withheld until the holder of the Encumbrance acknowledges the terms and conditions of this Agreement. Any purported Encumbrance that is not in accordance with this Agreement shall be, to the fullest extent permitted by law, null and void.</w:t>
      </w:r>
    </w:p>
    <w:p>
      <w:pPr>
        <w:spacing w:after="0" w:line="15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21"/>
          <w:szCs w:val="21"/>
          <w:color w:val="010000"/>
        </w:rPr>
        <w:t>9.6</w:t>
      </w:r>
      <w:r>
        <w:rPr>
          <w:sz w:val="20"/>
          <w:szCs w:val="20"/>
          <w:color w:val="auto"/>
        </w:rPr>
        <w:tab/>
      </w:r>
      <w:r>
        <w:rPr>
          <w:rFonts w:ascii="Arial" w:cs="Arial" w:eastAsia="Arial" w:hAnsi="Arial"/>
          <w:sz w:val="19"/>
          <w:szCs w:val="19"/>
          <w:u w:val="single" w:color="auto"/>
          <w:color w:val="auto"/>
        </w:rPr>
        <w:t>Further Restrictions</w:t>
      </w:r>
      <w:r>
        <w:rPr>
          <w:rFonts w:ascii="Arial" w:cs="Arial" w:eastAsia="Arial" w:hAnsi="Arial"/>
          <w:sz w:val="19"/>
          <w:szCs w:val="19"/>
          <w:color w:val="auto"/>
        </w:rPr>
        <w:t>.</w:t>
      </w:r>
    </w:p>
    <w:p>
      <w:pPr>
        <w:spacing w:after="0" w:line="183" w:lineRule="exact"/>
        <w:rPr>
          <w:sz w:val="20"/>
          <w:szCs w:val="20"/>
          <w:color w:val="auto"/>
        </w:rPr>
      </w:pPr>
    </w:p>
    <w:p>
      <w:pPr>
        <w:jc w:val="both"/>
        <w:ind w:left="320" w:firstLine="1276"/>
        <w:spacing w:after="0" w:line="230" w:lineRule="auto"/>
        <w:tabs>
          <w:tab w:leader="none" w:pos="2039"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Notwithstanding any contrary provision in this Agreement, the Managing Member may impose such vesting requirements, forfeiture provisions, Transfer restrictions, minimum retained ownership requirements or other similar provisions with respect to any Units that are outstanding as of the date of this Agreement or are created thereafter, with the written consent of the holder of such Units. Such requirements, provisions and restrictions need not be uniform and may be waived or released by the Managing Member in its sole discretion with respect to all or a portion of the Units owned by any one or more Members at any time and from time to time, and shall not, to the fullest extent permitted by law, constitute the breach of any duty hereunder or otherwise existing at law, in equity or otherwise.</w:t>
      </w:r>
    </w:p>
    <w:p>
      <w:pPr>
        <w:spacing w:after="0" w:line="153" w:lineRule="exact"/>
        <w:rPr>
          <w:rFonts w:ascii="Arial" w:cs="Arial" w:eastAsia="Arial" w:hAnsi="Arial"/>
          <w:sz w:val="20"/>
          <w:szCs w:val="20"/>
          <w:color w:val="auto"/>
        </w:rPr>
      </w:pPr>
    </w:p>
    <w:p>
      <w:pPr>
        <w:ind w:left="320" w:firstLine="1276"/>
        <w:spacing w:after="0" w:line="239" w:lineRule="auto"/>
        <w:tabs>
          <w:tab w:leader="none" w:pos="2064" w:val="left"/>
        </w:tabs>
        <w:numPr>
          <w:ilvl w:val="0"/>
          <w:numId w:val="91"/>
        </w:numPr>
        <w:rPr>
          <w:rFonts w:ascii="Arial" w:cs="Arial" w:eastAsia="Arial" w:hAnsi="Arial"/>
          <w:sz w:val="21"/>
          <w:szCs w:val="21"/>
          <w:color w:val="auto"/>
        </w:rPr>
      </w:pPr>
      <w:r>
        <w:rPr>
          <w:rFonts w:ascii="Arial" w:cs="Arial" w:eastAsia="Arial" w:hAnsi="Arial"/>
          <w:sz w:val="21"/>
          <w:szCs w:val="21"/>
          <w:color w:val="auto"/>
        </w:rPr>
        <w:t>Notwithstanding any contrary provision in this Agreement, in no event may any Transfer of a Unit be made by any Member or Assignee if the Managing Member determines that:</w:t>
      </w:r>
    </w:p>
    <w:p>
      <w:pPr>
        <w:spacing w:after="0" w:line="155" w:lineRule="exact"/>
        <w:rPr>
          <w:rFonts w:ascii="Arial" w:cs="Arial" w:eastAsia="Arial" w:hAnsi="Arial"/>
          <w:sz w:val="21"/>
          <w:szCs w:val="21"/>
          <w:color w:val="auto"/>
        </w:rPr>
      </w:pPr>
    </w:p>
    <w:p>
      <w:pPr>
        <w:ind w:left="2540" w:hanging="626"/>
        <w:spacing w:after="0"/>
        <w:tabs>
          <w:tab w:leader="none" w:pos="2540" w:val="left"/>
        </w:tabs>
        <w:numPr>
          <w:ilvl w:val="1"/>
          <w:numId w:val="91"/>
        </w:numPr>
        <w:rPr>
          <w:rFonts w:ascii="Arial" w:cs="Arial" w:eastAsia="Arial" w:hAnsi="Arial"/>
          <w:sz w:val="19"/>
          <w:szCs w:val="19"/>
          <w:color w:val="010000"/>
        </w:rPr>
      </w:pPr>
      <w:r>
        <w:rPr>
          <w:rFonts w:ascii="Arial" w:cs="Arial" w:eastAsia="Arial" w:hAnsi="Arial"/>
          <w:sz w:val="19"/>
          <w:szCs w:val="19"/>
          <w:color w:val="auto"/>
        </w:rPr>
        <w:t>such Transfer is made to any Person who lacks the legal right, power or capacity to own such Unit;</w:t>
      </w:r>
    </w:p>
    <w:p>
      <w:pPr>
        <w:spacing w:after="0" w:line="205" w:lineRule="exact"/>
        <w:rPr>
          <w:rFonts w:ascii="Arial" w:cs="Arial" w:eastAsia="Arial" w:hAnsi="Arial"/>
          <w:sz w:val="19"/>
          <w:szCs w:val="19"/>
          <w:color w:val="010000"/>
        </w:rPr>
      </w:pPr>
    </w:p>
    <w:p>
      <w:pPr>
        <w:jc w:val="both"/>
        <w:ind w:left="640" w:firstLine="1274"/>
        <w:spacing w:after="0" w:line="225" w:lineRule="auto"/>
        <w:tabs>
          <w:tab w:leader="none" w:pos="2542" w:val="left"/>
        </w:tabs>
        <w:numPr>
          <w:ilvl w:val="1"/>
          <w:numId w:val="91"/>
        </w:numPr>
        <w:rPr>
          <w:rFonts w:ascii="Arial" w:cs="Arial" w:eastAsia="Arial" w:hAnsi="Arial"/>
          <w:sz w:val="21"/>
          <w:szCs w:val="21"/>
          <w:color w:val="010000"/>
        </w:rPr>
      </w:pPr>
      <w:r>
        <w:rPr>
          <w:rFonts w:ascii="Arial" w:cs="Arial" w:eastAsia="Arial" w:hAnsi="Arial"/>
          <w:sz w:val="21"/>
          <w:szCs w:val="21"/>
          <w:color w:val="auto"/>
        </w:rPr>
        <w:t>such Transfer would require the registration of such transferred Unit or of any class of Unit pursuant to any applicable U.S. federal or state securities laws (including, without limitation, the Securities Act or the Exchange Act) or other non-U.S. securities laws (including Canadian provincial or territorial securities laws) or would constitute a non-exempt distribution pursuant to applicable provincial or state securities laws;</w:t>
      </w:r>
    </w:p>
    <w:p>
      <w:pPr>
        <w:spacing w:after="0" w:line="154" w:lineRule="exact"/>
        <w:rPr>
          <w:rFonts w:ascii="Arial" w:cs="Arial" w:eastAsia="Arial" w:hAnsi="Arial"/>
          <w:sz w:val="21"/>
          <w:szCs w:val="21"/>
          <w:color w:val="010000"/>
        </w:rPr>
      </w:pPr>
    </w:p>
    <w:p>
      <w:pPr>
        <w:jc w:val="both"/>
        <w:ind w:left="640" w:firstLine="1274"/>
        <w:spacing w:after="0" w:line="222" w:lineRule="auto"/>
        <w:tabs>
          <w:tab w:leader="none" w:pos="2548" w:val="left"/>
        </w:tabs>
        <w:numPr>
          <w:ilvl w:val="1"/>
          <w:numId w:val="91"/>
        </w:numPr>
        <w:rPr>
          <w:rFonts w:ascii="Arial" w:cs="Arial" w:eastAsia="Arial" w:hAnsi="Arial"/>
          <w:sz w:val="21"/>
          <w:szCs w:val="21"/>
          <w:color w:val="010000"/>
        </w:rPr>
      </w:pPr>
      <w:r>
        <w:rPr>
          <w:rFonts w:ascii="Arial" w:cs="Arial" w:eastAsia="Arial" w:hAnsi="Arial"/>
          <w:sz w:val="21"/>
          <w:szCs w:val="21"/>
          <w:color w:val="auto"/>
        </w:rPr>
        <w:t>such Transfer would cause (i) all or any portion of the assets of the Company to (A) constitute “plan assets” (under ERISA, the Code or any applicable Similar Law) of any existing or contemplated Member, or (B) be subject to the provisions of ERISA, Section 4975 of the Code or any applicable Similar Law, or (ii) the Managing Member to become a fiduciary with respect to any existing or contemplated Member, pursuant to ERISA, any applicable Similar Law, or otherwise; or</w:t>
      </w:r>
    </w:p>
    <w:p>
      <w:pPr>
        <w:spacing w:after="0" w:line="155" w:lineRule="exact"/>
        <w:rPr>
          <w:rFonts w:ascii="Arial" w:cs="Arial" w:eastAsia="Arial" w:hAnsi="Arial"/>
          <w:sz w:val="21"/>
          <w:szCs w:val="21"/>
          <w:color w:val="010000"/>
        </w:rPr>
      </w:pPr>
    </w:p>
    <w:p>
      <w:pPr>
        <w:jc w:val="both"/>
        <w:ind w:left="640" w:firstLine="1274"/>
        <w:spacing w:after="0" w:line="225" w:lineRule="auto"/>
        <w:tabs>
          <w:tab w:leader="none" w:pos="2536" w:val="left"/>
        </w:tabs>
        <w:numPr>
          <w:ilvl w:val="1"/>
          <w:numId w:val="91"/>
        </w:numPr>
        <w:rPr>
          <w:rFonts w:ascii="Arial" w:cs="Arial" w:eastAsia="Arial" w:hAnsi="Arial"/>
          <w:sz w:val="21"/>
          <w:szCs w:val="21"/>
          <w:color w:val="010000"/>
        </w:rPr>
      </w:pPr>
      <w:r>
        <w:rPr>
          <w:rFonts w:ascii="Arial" w:cs="Arial" w:eastAsia="Arial" w:hAnsi="Arial"/>
          <w:sz w:val="21"/>
          <w:szCs w:val="21"/>
          <w:color w:val="auto"/>
        </w:rPr>
        <w:t>to the extent requested by the Managing Member, the Company does not receive such legal and/or tax opinions and written instruments (including, without limitation, copies of any instruments of Transfer and such Assignee’s consent to be bound by this Agreement as an Assignee) that are in a form satisfactory to the Managing Member, as determined in the Managing Member’s sole discretion.</w:t>
      </w:r>
    </w:p>
    <w:p>
      <w:pPr>
        <w:spacing w:after="0" w:line="154" w:lineRule="exact"/>
        <w:rPr>
          <w:rFonts w:ascii="Arial" w:cs="Arial" w:eastAsia="Arial" w:hAnsi="Arial"/>
          <w:sz w:val="21"/>
          <w:szCs w:val="21"/>
          <w:color w:val="010000"/>
        </w:rPr>
      </w:pPr>
    </w:p>
    <w:p>
      <w:pPr>
        <w:ind w:left="640" w:right="420" w:firstLine="1274"/>
        <w:spacing w:after="0" w:line="263" w:lineRule="auto"/>
        <w:tabs>
          <w:tab w:leader="none" w:pos="2543" w:val="left"/>
        </w:tabs>
        <w:numPr>
          <w:ilvl w:val="1"/>
          <w:numId w:val="91"/>
        </w:numPr>
        <w:rPr>
          <w:rFonts w:ascii="Arial" w:cs="Arial" w:eastAsia="Arial" w:hAnsi="Arial"/>
          <w:sz w:val="20"/>
          <w:szCs w:val="20"/>
          <w:color w:val="010000"/>
        </w:rPr>
      </w:pPr>
      <w:r>
        <w:rPr>
          <w:rFonts w:ascii="Arial" w:cs="Arial" w:eastAsia="Arial" w:hAnsi="Arial"/>
          <w:sz w:val="20"/>
          <w:szCs w:val="20"/>
          <w:color w:val="auto"/>
        </w:rPr>
        <w:t>such Transfer would pose a material risk that the Company would be treated as a “publicly traded partnership” within the meaning of Section 7704 of the Code and the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ectPr>
          <w:pgSz w:w="11900" w:h="16838" w:orient="portrait"/>
          <w:cols w:equalWidth="0" w:num="1">
            <w:col w:w="11240"/>
          </w:cols>
          <w:pgMar w:left="320" w:top="1377" w:right="339" w:bottom="1440" w:gutter="0" w:footer="0" w:header="0"/>
        </w:sectPr>
      </w:pPr>
    </w:p>
    <w:bookmarkStart w:id="207" w:name="page208"/>
    <w:bookmarkEnd w:id="207"/>
    <w:p>
      <w:pPr>
        <w:ind w:left="320" w:right="100" w:firstLine="1276"/>
        <w:spacing w:after="0" w:line="225" w:lineRule="auto"/>
        <w:tabs>
          <w:tab w:leader="none" w:pos="2039" w:val="left"/>
        </w:tabs>
        <w:numPr>
          <w:ilvl w:val="0"/>
          <w:numId w:val="92"/>
        </w:numPr>
        <w:rPr>
          <w:rFonts w:ascii="Arial" w:cs="Arial" w:eastAsia="Arial" w:hAnsi="Arial"/>
          <w:sz w:val="21"/>
          <w:szCs w:val="21"/>
          <w:color w:val="auto"/>
        </w:rPr>
      </w:pPr>
      <w:r>
        <w:rPr>
          <w:rFonts w:ascii="Arial" w:cs="Arial" w:eastAsia="Arial" w:hAnsi="Arial"/>
          <w:sz w:val="21"/>
          <w:szCs w:val="21"/>
          <w:color w:val="auto"/>
        </w:rPr>
        <w:t>In addition, notwithstanding any contrary provision in this Agreement, to the extent the Managing Member shall determine in good faith that additional restrictions on Transfers are necessary so that the Company is not treated as a “publicly traded partnership” under Section 7704 of the Code, the Managing Member may impose such additional restrictions on Transfers as the Managing Member has determined in good faith to be so necessary.</w:t>
      </w:r>
    </w:p>
    <w:p>
      <w:pPr>
        <w:spacing w:after="0" w:line="154" w:lineRule="exact"/>
        <w:rPr>
          <w:sz w:val="20"/>
          <w:szCs w:val="20"/>
          <w:color w:val="auto"/>
        </w:rPr>
      </w:pPr>
    </w:p>
    <w:p>
      <w:pPr>
        <w:jc w:val="both"/>
        <w:ind w:firstLine="636"/>
        <w:spacing w:after="0" w:line="228" w:lineRule="auto"/>
        <w:rPr>
          <w:sz w:val="20"/>
          <w:szCs w:val="20"/>
          <w:color w:val="auto"/>
        </w:rPr>
      </w:pPr>
      <w:r>
        <w:rPr>
          <w:rFonts w:ascii="Arial" w:cs="Arial" w:eastAsia="Arial" w:hAnsi="Arial"/>
          <w:sz w:val="20"/>
          <w:szCs w:val="20"/>
          <w:color w:val="010000"/>
        </w:rPr>
        <w:t xml:space="preserve">9.7 </w:t>
      </w:r>
      <w:r>
        <w:rPr>
          <w:rFonts w:ascii="Arial" w:cs="Arial" w:eastAsia="Arial" w:hAnsi="Arial"/>
          <w:sz w:val="20"/>
          <w:szCs w:val="20"/>
          <w:u w:val="single" w:color="auto"/>
          <w:color w:val="000000"/>
        </w:rPr>
        <w:t>Counterparts; Joinder</w:t>
      </w:r>
      <w:r>
        <w:rPr>
          <w:rFonts w:ascii="Arial" w:cs="Arial" w:eastAsia="Arial" w:hAnsi="Arial"/>
          <w:sz w:val="20"/>
          <w:szCs w:val="20"/>
          <w:color w:val="000000"/>
        </w:rPr>
        <w:t>. Prior to Transferring any Units and as a condition precedent to the effectiveness of such</w:t>
      </w:r>
      <w:r>
        <w:rPr>
          <w:rFonts w:ascii="Arial" w:cs="Arial" w:eastAsia="Arial" w:hAnsi="Arial"/>
          <w:sz w:val="20"/>
          <w:szCs w:val="20"/>
          <w:color w:val="010000"/>
        </w:rPr>
        <w:t xml:space="preserve"> </w:t>
      </w:r>
      <w:r>
        <w:rPr>
          <w:rFonts w:ascii="Arial" w:cs="Arial" w:eastAsia="Arial" w:hAnsi="Arial"/>
          <w:sz w:val="20"/>
          <w:szCs w:val="20"/>
          <w:color w:val="000000"/>
        </w:rPr>
        <w:t>Transfer, the transferring holder of Units will cause the prospective transferee(s) of such Units to execute and deliver to the Company counterparts of this Agreement and any other agreements relating to such Units, or executed joinders to such agreements, in each case, in a form acceptable to the Company. Notwithstanding anything herein to the contrary, to the fullest extent permitted by law, any Person who acquires in any manner whatsoever any Units, irrespective of whether such Person has accepted and adopted in writing the terms and conditions of this Agreement, shall be deemed by the acceptance of the benefits of the acquisition thereof to have agreed to be subject to and bound by all of the terms and conditions of this Agreement to which any predecessor in such Units was subject or by which such predecessor was bound.</w:t>
      </w:r>
    </w:p>
    <w:p>
      <w:pPr>
        <w:spacing w:after="0" w:line="160"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9.8 </w:t>
      </w:r>
      <w:r>
        <w:rPr>
          <w:rFonts w:ascii="Arial" w:cs="Arial" w:eastAsia="Arial" w:hAnsi="Arial"/>
          <w:sz w:val="21"/>
          <w:szCs w:val="21"/>
          <w:u w:val="single" w:color="auto"/>
          <w:color w:val="000000"/>
        </w:rPr>
        <w:t>Ineffective Transfer</w:t>
      </w:r>
      <w:r>
        <w:rPr>
          <w:rFonts w:ascii="Arial" w:cs="Arial" w:eastAsia="Arial" w:hAnsi="Arial"/>
          <w:sz w:val="21"/>
          <w:szCs w:val="21"/>
          <w:color w:val="000000"/>
        </w:rPr>
        <w:t>. Any Transfer or attempted Transfer of any Units in violation of any provision of this Agreement</w:t>
      </w:r>
      <w:r>
        <w:rPr>
          <w:rFonts w:ascii="Arial" w:cs="Arial" w:eastAsia="Arial" w:hAnsi="Arial"/>
          <w:sz w:val="21"/>
          <w:szCs w:val="21"/>
          <w:color w:val="010000"/>
        </w:rPr>
        <w:t xml:space="preserve"> </w:t>
      </w:r>
      <w:r>
        <w:rPr>
          <w:rFonts w:ascii="Arial" w:cs="Arial" w:eastAsia="Arial" w:hAnsi="Arial"/>
          <w:sz w:val="21"/>
          <w:szCs w:val="21"/>
          <w:color w:val="000000"/>
        </w:rPr>
        <w:t>shall, to the fullest extent permitted by law, be void, and the Company will not record such Transfer on its books or treat any purported transferee of such Units as the owner of such securities for any purpose.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ADMISSION OF MEMBERS</w:t>
      </w:r>
    </w:p>
    <w:p>
      <w:pPr>
        <w:spacing w:after="0" w:line="189"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010000"/>
        </w:rPr>
        <w:t xml:space="preserve">10.1 </w:t>
      </w:r>
      <w:r>
        <w:rPr>
          <w:rFonts w:ascii="Arial" w:cs="Arial" w:eastAsia="Arial" w:hAnsi="Arial"/>
          <w:sz w:val="21"/>
          <w:szCs w:val="21"/>
          <w:u w:val="single" w:color="auto"/>
          <w:color w:val="000000"/>
        </w:rPr>
        <w:t>Substituted Members</w:t>
      </w:r>
      <w:r>
        <w:rPr>
          <w:rFonts w:ascii="Arial" w:cs="Arial" w:eastAsia="Arial" w:hAnsi="Arial"/>
          <w:sz w:val="21"/>
          <w:szCs w:val="21"/>
          <w:color w:val="000000"/>
        </w:rPr>
        <w:t>. Subject to the provisions of</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Article IX</w:t>
      </w:r>
      <w:r>
        <w:rPr>
          <w:rFonts w:ascii="Arial" w:cs="Arial" w:eastAsia="Arial" w:hAnsi="Arial"/>
          <w:sz w:val="21"/>
          <w:szCs w:val="21"/>
          <w:color w:val="010000"/>
        </w:rPr>
        <w:t xml:space="preserve"> </w:t>
      </w:r>
      <w:r>
        <w:rPr>
          <w:rFonts w:ascii="Arial" w:cs="Arial" w:eastAsia="Arial" w:hAnsi="Arial"/>
          <w:sz w:val="21"/>
          <w:szCs w:val="21"/>
          <w:color w:val="000000"/>
        </w:rPr>
        <w:t>hereof, in connection with the permitted Transfer of</w:t>
      </w:r>
      <w:r>
        <w:rPr>
          <w:rFonts w:ascii="Arial" w:cs="Arial" w:eastAsia="Arial" w:hAnsi="Arial"/>
          <w:sz w:val="21"/>
          <w:szCs w:val="21"/>
          <w:color w:val="010000"/>
        </w:rPr>
        <w:t xml:space="preserve"> </w:t>
      </w:r>
      <w:r>
        <w:rPr>
          <w:rFonts w:ascii="Arial" w:cs="Arial" w:eastAsia="Arial" w:hAnsi="Arial"/>
          <w:sz w:val="21"/>
          <w:szCs w:val="21"/>
          <w:color w:val="000000"/>
        </w:rPr>
        <w:t>any Units of a Member, the transferee shall become a Substituted Member on the effective date of such Transfer, which effective date shall not be earlier than the date of compliance with the conditions to such Transfer, and such admission shall be shown on the books and records of the Company.</w:t>
      </w:r>
    </w:p>
    <w:p>
      <w:pPr>
        <w:spacing w:after="0" w:line="154" w:lineRule="exact"/>
        <w:rPr>
          <w:sz w:val="20"/>
          <w:szCs w:val="20"/>
          <w:color w:val="auto"/>
        </w:rPr>
      </w:pPr>
    </w:p>
    <w:p>
      <w:pPr>
        <w:jc w:val="both"/>
        <w:ind w:firstLine="636"/>
        <w:spacing w:after="0" w:line="241" w:lineRule="auto"/>
        <w:rPr>
          <w:sz w:val="20"/>
          <w:szCs w:val="20"/>
          <w:color w:val="auto"/>
        </w:rPr>
      </w:pPr>
      <w:r>
        <w:rPr>
          <w:rFonts w:ascii="Arial" w:cs="Arial" w:eastAsia="Arial" w:hAnsi="Arial"/>
          <w:sz w:val="19"/>
          <w:szCs w:val="19"/>
          <w:color w:val="010000"/>
        </w:rPr>
        <w:t xml:space="preserve">10.2 </w:t>
      </w:r>
      <w:r>
        <w:rPr>
          <w:rFonts w:ascii="Arial" w:cs="Arial" w:eastAsia="Arial" w:hAnsi="Arial"/>
          <w:sz w:val="19"/>
          <w:szCs w:val="19"/>
          <w:u w:val="single" w:color="auto"/>
          <w:color w:val="000000"/>
        </w:rPr>
        <w:t>Additional Members</w:t>
      </w:r>
      <w:r>
        <w:rPr>
          <w:rFonts w:ascii="Arial" w:cs="Arial" w:eastAsia="Arial" w:hAnsi="Arial"/>
          <w:sz w:val="19"/>
          <w:szCs w:val="19"/>
          <w:color w:val="000000"/>
        </w:rPr>
        <w:t>. Subject to the provisions of</w:t>
      </w:r>
      <w:r>
        <w:rPr>
          <w:rFonts w:ascii="Arial" w:cs="Arial" w:eastAsia="Arial" w:hAnsi="Arial"/>
          <w:sz w:val="19"/>
          <w:szCs w:val="19"/>
          <w:color w:val="010000"/>
        </w:rPr>
        <w:t xml:space="preserve"> </w:t>
      </w:r>
      <w:r>
        <w:rPr>
          <w:rFonts w:ascii="Arial" w:cs="Arial" w:eastAsia="Arial" w:hAnsi="Arial"/>
          <w:sz w:val="19"/>
          <w:szCs w:val="19"/>
          <w:u w:val="single" w:color="auto"/>
          <w:color w:val="000000"/>
        </w:rPr>
        <w:t>Article IX</w:t>
      </w:r>
      <w:r>
        <w:rPr>
          <w:rFonts w:ascii="Arial" w:cs="Arial" w:eastAsia="Arial" w:hAnsi="Arial"/>
          <w:sz w:val="19"/>
          <w:szCs w:val="19"/>
          <w:color w:val="010000"/>
        </w:rPr>
        <w:t xml:space="preserve"> </w:t>
      </w:r>
      <w:r>
        <w:rPr>
          <w:rFonts w:ascii="Arial" w:cs="Arial" w:eastAsia="Arial" w:hAnsi="Arial"/>
          <w:sz w:val="19"/>
          <w:szCs w:val="19"/>
          <w:color w:val="000000"/>
        </w:rPr>
        <w:t>hereof, a Person may be admitted to the Company as an</w:t>
      </w:r>
      <w:r>
        <w:rPr>
          <w:rFonts w:ascii="Arial" w:cs="Arial" w:eastAsia="Arial" w:hAnsi="Arial"/>
          <w:sz w:val="19"/>
          <w:szCs w:val="19"/>
          <w:color w:val="010000"/>
        </w:rPr>
        <w:t xml:space="preserve"> </w:t>
      </w:r>
      <w:r>
        <w:rPr>
          <w:rFonts w:ascii="Arial" w:cs="Arial" w:eastAsia="Arial" w:hAnsi="Arial"/>
          <w:sz w:val="19"/>
          <w:szCs w:val="19"/>
          <w:color w:val="000000"/>
        </w:rPr>
        <w:t xml:space="preserve">Additional Member only upon furnishing to the Company (a) counterparts of this Agreement or an executed joinders to this Agreement in a form acceptable to the Managing Member and (b) such other documents or instruments as may be necessary or appropriate to effect such Person’s admission as a Member (including entering into such documents as the Managing Member may deem appropriate); </w:t>
      </w:r>
      <w:r>
        <w:rPr>
          <w:rFonts w:ascii="Arial" w:cs="Arial" w:eastAsia="Arial" w:hAnsi="Arial"/>
          <w:sz w:val="19"/>
          <w:szCs w:val="19"/>
          <w:i w:val="1"/>
          <w:iCs w:val="1"/>
          <w:color w:val="000000"/>
        </w:rPr>
        <w:t>provided</w:t>
      </w:r>
      <w:r>
        <w:rPr>
          <w:rFonts w:ascii="Arial" w:cs="Arial" w:eastAsia="Arial" w:hAnsi="Arial"/>
          <w:sz w:val="19"/>
          <w:szCs w:val="19"/>
          <w:color w:val="000000"/>
        </w:rPr>
        <w:t xml:space="preserve">, </w:t>
      </w:r>
      <w:r>
        <w:rPr>
          <w:rFonts w:ascii="Arial" w:cs="Arial" w:eastAsia="Arial" w:hAnsi="Arial"/>
          <w:sz w:val="19"/>
          <w:szCs w:val="19"/>
          <w:i w:val="1"/>
          <w:iCs w:val="1"/>
          <w:color w:val="000000"/>
        </w:rPr>
        <w:t>however</w:t>
      </w:r>
      <w:r>
        <w:rPr>
          <w:rFonts w:ascii="Arial" w:cs="Arial" w:eastAsia="Arial" w:hAnsi="Arial"/>
          <w:sz w:val="19"/>
          <w:szCs w:val="19"/>
          <w:color w:val="000000"/>
        </w:rPr>
        <w:t>, that any Person who acquires any Units pursuant to the Merger Agreement shall, automatically without any further action on the part of the Company or such Person, be admitted to the Company as an Additional Member. Such admission shall become effective on the date on which the Managing Member determines that such conditions have been satisfied and when any such admission is shown on the books and records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35</w:t>
      </w:r>
    </w:p>
    <w:p>
      <w:pPr>
        <w:sectPr>
          <w:pgSz w:w="11900" w:h="16838" w:orient="portrait"/>
          <w:cols w:equalWidth="0" w:num="1">
            <w:col w:w="11240"/>
          </w:cols>
          <w:pgMar w:left="320" w:top="1377" w:right="339" w:bottom="1440" w:gutter="0" w:footer="0" w:header="0"/>
        </w:sectPr>
      </w:pPr>
    </w:p>
    <w:bookmarkStart w:id="208" w:name="page209"/>
    <w:bookmarkEnd w:id="208"/>
    <w:p>
      <w:pPr>
        <w:jc w:val="both"/>
        <w:ind w:firstLine="636"/>
        <w:spacing w:after="0" w:line="242" w:lineRule="auto"/>
        <w:rPr>
          <w:sz w:val="20"/>
          <w:szCs w:val="20"/>
          <w:color w:val="auto"/>
        </w:rPr>
      </w:pPr>
      <w:r>
        <w:rPr>
          <w:rFonts w:ascii="Arial" w:cs="Arial" w:eastAsia="Arial" w:hAnsi="Arial"/>
          <w:sz w:val="19"/>
          <w:szCs w:val="19"/>
          <w:color w:val="010000"/>
        </w:rPr>
        <w:t xml:space="preserve">10.3 </w:t>
      </w:r>
      <w:r>
        <w:rPr>
          <w:rFonts w:ascii="Arial" w:cs="Arial" w:eastAsia="Arial" w:hAnsi="Arial"/>
          <w:sz w:val="19"/>
          <w:szCs w:val="19"/>
          <w:u w:val="single" w:color="auto"/>
          <w:color w:val="000000"/>
        </w:rPr>
        <w:t>Additional Managing Member</w:t>
      </w:r>
      <w:r>
        <w:rPr>
          <w:rFonts w:ascii="Arial" w:cs="Arial" w:eastAsia="Arial" w:hAnsi="Arial"/>
          <w:sz w:val="19"/>
          <w:szCs w:val="19"/>
          <w:color w:val="000000"/>
        </w:rPr>
        <w:t>. No Person may be admitted to the Company as an additional Managing Member or</w:t>
      </w:r>
      <w:r>
        <w:rPr>
          <w:rFonts w:ascii="Arial" w:cs="Arial" w:eastAsia="Arial" w:hAnsi="Arial"/>
          <w:sz w:val="19"/>
          <w:szCs w:val="19"/>
          <w:color w:val="010000"/>
        </w:rPr>
        <w:t xml:space="preserve"> </w:t>
      </w:r>
      <w:r>
        <w:rPr>
          <w:rFonts w:ascii="Arial" w:cs="Arial" w:eastAsia="Arial" w:hAnsi="Arial"/>
          <w:sz w:val="19"/>
          <w:szCs w:val="19"/>
          <w:color w:val="000000"/>
        </w:rPr>
        <w:t>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Any additional Managing Member or substitute Managing Member admitted as a Managing Member of the Company pursuant to this Section 10.3 is hereby authorized to, and shall, continue the Company without dissolution.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WITHDRAWAL AND RESIGNATION OF MEMBERS</w:t>
      </w:r>
    </w:p>
    <w:p>
      <w:pPr>
        <w:spacing w:after="0" w:line="189" w:lineRule="exact"/>
        <w:rPr>
          <w:sz w:val="20"/>
          <w:szCs w:val="20"/>
          <w:color w:val="auto"/>
        </w:rPr>
      </w:pPr>
    </w:p>
    <w:p>
      <w:pPr>
        <w:jc w:val="both"/>
        <w:ind w:firstLine="636"/>
        <w:spacing w:after="0" w:line="237" w:lineRule="auto"/>
        <w:rPr>
          <w:sz w:val="20"/>
          <w:szCs w:val="20"/>
          <w:color w:val="auto"/>
        </w:rPr>
      </w:pPr>
      <w:r>
        <w:rPr>
          <w:rFonts w:ascii="Arial" w:cs="Arial" w:eastAsia="Arial" w:hAnsi="Arial"/>
          <w:sz w:val="19"/>
          <w:szCs w:val="19"/>
          <w:color w:val="auto"/>
        </w:rPr>
        <w:t xml:space="preserve">No Member shall have the power or right to withdraw or otherwise resign as a Member from the Company prior to the dissolution and winding up of the Company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without the prior written consent of the Managing Member, except as otherwise expressly permitted by this Agreement. Any Member, however, that attempts to withdraw or otherwise resign as a Member from the Company without the prior written consent of the Managing Member upon or following the dissolution and winding up of the Company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but prior to such Member receiving the full amount of distributions from the Company to which such Member is entitled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shall be liable to the Company for all damages (including all lost profits and special, indirect and consequential damages) directly or indirectly caused by the withdrawal or resignation of such Member, and such Member shall be entitled to receive the Fair Market Value of such Member’s equity interest in the Company as of the date of its resignation (or, if less, the amount that such Member would have received on account of such equity interest had such Member not resigned or otherwise withdrew from the Company), as conclusively determined by the Managing Member, on the sixth month anniversary date (or such earlier date determined by the Managing Member) following the completion of the distribution of Company assets as provided in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to all other Members. Upon a Transfer of all of a Member’s Units in a Transfer permitted by this Agreement, subject to the provisions of </w:t>
      </w:r>
      <w:r>
        <w:rPr>
          <w:rFonts w:ascii="Arial" w:cs="Arial" w:eastAsia="Arial" w:hAnsi="Arial"/>
          <w:sz w:val="19"/>
          <w:szCs w:val="19"/>
          <w:u w:val="single" w:color="auto"/>
          <w:color w:val="auto"/>
        </w:rPr>
        <w:t>Section 9.4</w:t>
      </w:r>
      <w:r>
        <w:rPr>
          <w:rFonts w:ascii="Arial" w:cs="Arial" w:eastAsia="Arial" w:hAnsi="Arial"/>
          <w:sz w:val="19"/>
          <w:szCs w:val="19"/>
          <w:color w:val="auto"/>
        </w:rPr>
        <w:t>, such Member shall cease to be a Member.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DISSOLUTION AND LIQUIDATION</w:t>
      </w:r>
    </w:p>
    <w:p>
      <w:pPr>
        <w:spacing w:after="0" w:line="189"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010000"/>
        </w:rPr>
        <w:t xml:space="preserve">12.1 </w:t>
      </w:r>
      <w:r>
        <w:rPr>
          <w:rFonts w:ascii="Arial" w:cs="Arial" w:eastAsia="Arial" w:hAnsi="Arial"/>
          <w:sz w:val="20"/>
          <w:szCs w:val="20"/>
          <w:u w:val="single" w:color="auto"/>
          <w:color w:val="000000"/>
        </w:rPr>
        <w:t>Dissolution</w:t>
      </w:r>
      <w:r>
        <w:rPr>
          <w:rFonts w:ascii="Arial" w:cs="Arial" w:eastAsia="Arial" w:hAnsi="Arial"/>
          <w:sz w:val="20"/>
          <w:szCs w:val="20"/>
          <w:color w:val="000000"/>
        </w:rPr>
        <w:t>. The Company shall not be dissolved by the admission of Additional Members or Substituted Members</w:t>
      </w:r>
      <w:r>
        <w:rPr>
          <w:rFonts w:ascii="Arial" w:cs="Arial" w:eastAsia="Arial" w:hAnsi="Arial"/>
          <w:sz w:val="20"/>
          <w:szCs w:val="20"/>
          <w:color w:val="010000"/>
        </w:rPr>
        <w:t xml:space="preserve"> </w:t>
      </w:r>
      <w:r>
        <w:rPr>
          <w:rFonts w:ascii="Arial" w:cs="Arial" w:eastAsia="Arial" w:hAnsi="Arial"/>
          <w:sz w:val="20"/>
          <w:szCs w:val="20"/>
          <w:color w:val="000000"/>
        </w:rPr>
        <w:t>or the attempted withdrawal or resignation of a Member. The Company shall dissolve, and its affairs shall be wound up, upon:</w:t>
      </w:r>
    </w:p>
    <w:p>
      <w:pPr>
        <w:spacing w:after="0" w:line="132" w:lineRule="exact"/>
        <w:rPr>
          <w:sz w:val="20"/>
          <w:szCs w:val="20"/>
          <w:color w:val="auto"/>
        </w:rPr>
      </w:pPr>
    </w:p>
    <w:p>
      <w:pPr>
        <w:ind w:left="2040" w:hanging="444"/>
        <w:spacing w:after="0"/>
        <w:tabs>
          <w:tab w:leader="none" w:pos="2040" w:val="left"/>
        </w:tabs>
        <w:numPr>
          <w:ilvl w:val="0"/>
          <w:numId w:val="93"/>
        </w:numPr>
        <w:rPr>
          <w:rFonts w:ascii="Arial" w:cs="Arial" w:eastAsia="Arial" w:hAnsi="Arial"/>
          <w:sz w:val="20"/>
          <w:szCs w:val="20"/>
          <w:color w:val="auto"/>
        </w:rPr>
      </w:pPr>
      <w:r>
        <w:rPr>
          <w:rFonts w:ascii="Arial" w:cs="Arial" w:eastAsia="Arial" w:hAnsi="Arial"/>
          <w:sz w:val="20"/>
          <w:szCs w:val="20"/>
          <w:color w:val="auto"/>
        </w:rPr>
        <w:t>the entry of a decree of judicial dissolution of the Company under Section 18-802 of the Delaware Act;</w:t>
      </w:r>
    </w:p>
    <w:p>
      <w:pPr>
        <w:spacing w:after="0" w:line="194" w:lineRule="exact"/>
        <w:rPr>
          <w:rFonts w:ascii="Arial" w:cs="Arial" w:eastAsia="Arial" w:hAnsi="Arial"/>
          <w:sz w:val="20"/>
          <w:szCs w:val="20"/>
          <w:color w:val="auto"/>
        </w:rPr>
      </w:pPr>
    </w:p>
    <w:p>
      <w:pPr>
        <w:ind w:left="2060" w:hanging="464"/>
        <w:spacing w:after="0"/>
        <w:tabs>
          <w:tab w:leader="none" w:pos="2060" w:val="left"/>
        </w:tabs>
        <w:numPr>
          <w:ilvl w:val="0"/>
          <w:numId w:val="93"/>
        </w:numPr>
        <w:rPr>
          <w:rFonts w:ascii="Arial" w:cs="Arial" w:eastAsia="Arial" w:hAnsi="Arial"/>
          <w:sz w:val="20"/>
          <w:szCs w:val="20"/>
          <w:color w:val="auto"/>
        </w:rPr>
      </w:pPr>
      <w:r>
        <w:rPr>
          <w:rFonts w:ascii="Arial" w:cs="Arial" w:eastAsia="Arial" w:hAnsi="Arial"/>
          <w:sz w:val="20"/>
          <w:szCs w:val="20"/>
          <w:color w:val="auto"/>
        </w:rPr>
        <w:t>any event which makes it unlawful for the business of the Company to be carried on by the Members;</w:t>
      </w:r>
    </w:p>
    <w:p>
      <w:pPr>
        <w:spacing w:after="0" w:line="194" w:lineRule="exact"/>
        <w:rPr>
          <w:rFonts w:ascii="Arial" w:cs="Arial" w:eastAsia="Arial" w:hAnsi="Arial"/>
          <w:sz w:val="20"/>
          <w:szCs w:val="20"/>
          <w:color w:val="auto"/>
        </w:rPr>
      </w:pPr>
    </w:p>
    <w:p>
      <w:pPr>
        <w:ind w:left="2080" w:hanging="484"/>
        <w:spacing w:after="0"/>
        <w:tabs>
          <w:tab w:leader="none" w:pos="208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at any time there are no Members, unless the Company is continued in accordance with the Delaware Act;</w:t>
      </w:r>
    </w:p>
    <w:p>
      <w:pPr>
        <w:spacing w:after="0" w:line="12" w:lineRule="exact"/>
        <w:rPr>
          <w:sz w:val="20"/>
          <w:szCs w:val="20"/>
          <w:color w:val="auto"/>
        </w:rPr>
      </w:pPr>
    </w:p>
    <w:p>
      <w:pPr>
        <w:ind w:left="320"/>
        <w:spacing w:after="0"/>
        <w:rPr>
          <w:sz w:val="20"/>
          <w:szCs w:val="20"/>
          <w:color w:val="auto"/>
        </w:rPr>
      </w:pPr>
      <w:r>
        <w:rPr>
          <w:rFonts w:ascii="Arial" w:cs="Arial" w:eastAsia="Arial" w:hAnsi="Arial"/>
          <w:sz w:val="21"/>
          <w:szCs w:val="21"/>
          <w:color w:val="auto"/>
        </w:rPr>
        <w: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ectPr>
          <w:pgSz w:w="11900" w:h="16838" w:orient="portrait"/>
          <w:cols w:equalWidth="0" w:num="1">
            <w:col w:w="11240"/>
          </w:cols>
          <w:pgMar w:left="320" w:top="1377" w:right="339" w:bottom="1440" w:gutter="0" w:footer="0" w:header="0"/>
        </w:sectPr>
      </w:pPr>
    </w:p>
    <w:bookmarkStart w:id="209" w:name="page210"/>
    <w:bookmarkEnd w:id="209"/>
    <w:p>
      <w:pPr>
        <w:jc w:val="both"/>
        <w:ind w:left="320" w:firstLine="1276"/>
        <w:spacing w:after="0" w:line="219" w:lineRule="auto"/>
        <w:tabs>
          <w:tab w:leader="none" w:pos="2066" w:val="left"/>
        </w:tabs>
        <w:numPr>
          <w:ilvl w:val="0"/>
          <w:numId w:val="94"/>
        </w:numPr>
        <w:rPr>
          <w:rFonts w:ascii="Arial" w:cs="Arial" w:eastAsia="Arial" w:hAnsi="Arial"/>
          <w:sz w:val="21"/>
          <w:szCs w:val="21"/>
          <w:color w:val="auto"/>
        </w:rPr>
      </w:pPr>
      <w:r>
        <w:rPr>
          <w:rFonts w:ascii="Arial" w:cs="Arial" w:eastAsia="Arial" w:hAnsi="Arial"/>
          <w:sz w:val="21"/>
          <w:szCs w:val="21"/>
          <w:color w:val="auto"/>
        </w:rPr>
        <w:t xml:space="preserve">the determination of the Managing Member in its sole discretion;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in the event of a dissolution pursuant to this clause (d),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in connection with the winding up of the Company, taking into consideration tax and other legal constraints that may adversely affect one or more parties hereto and subject to compliance with applicable laws and regulations, unless, and to the extent that, with respect to any class of Units, holders of not less than 90% of the Units of such class consent in writing to a treatment other than as described above.</w:t>
      </w:r>
    </w:p>
    <w:p>
      <w:pPr>
        <w:spacing w:after="0" w:line="154"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auto"/>
        </w:rPr>
        <w:t xml:space="preserve">Except as otherwise set forth in this </w:t>
      </w:r>
      <w:r>
        <w:rPr>
          <w:rFonts w:ascii="Arial" w:cs="Arial" w:eastAsia="Arial" w:hAnsi="Arial"/>
          <w:sz w:val="21"/>
          <w:szCs w:val="21"/>
          <w:u w:val="single" w:color="auto"/>
          <w:color w:val="auto"/>
        </w:rPr>
        <w:t>Article XII</w:t>
      </w:r>
      <w:r>
        <w:rPr>
          <w:rFonts w:ascii="Arial" w:cs="Arial" w:eastAsia="Arial" w:hAnsi="Arial"/>
          <w:sz w:val="21"/>
          <w:szCs w:val="21"/>
          <w:color w:val="auto"/>
        </w:rPr>
        <w:t>, the Company is intended to have perpetual existence. An Event of Withdrawal shall not, in and of itself, cause a dissolution of the Company and the Company shall continue in existence subject to the terms and conditions of this Agreement.</w:t>
      </w:r>
    </w:p>
    <w:p>
      <w:pPr>
        <w:spacing w:after="0" w:line="154"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9"/>
          <w:szCs w:val="19"/>
          <w:color w:val="010000"/>
        </w:rPr>
        <w:t xml:space="preserve">12.2 </w:t>
      </w:r>
      <w:r>
        <w:rPr>
          <w:rFonts w:ascii="Arial" w:cs="Arial" w:eastAsia="Arial" w:hAnsi="Arial"/>
          <w:sz w:val="19"/>
          <w:szCs w:val="19"/>
          <w:u w:val="single" w:color="auto"/>
          <w:color w:val="000000"/>
        </w:rPr>
        <w:t>Winding Up and Termination</w:t>
      </w:r>
      <w:r>
        <w:rPr>
          <w:rFonts w:ascii="Arial" w:cs="Arial" w:eastAsia="Arial" w:hAnsi="Arial"/>
          <w:sz w:val="19"/>
          <w:szCs w:val="19"/>
          <w:color w:val="000000"/>
        </w:rPr>
        <w:t>. On dissolution of the Company, the Managing Member shall act as liquidating trustee</w:t>
      </w:r>
      <w:r>
        <w:rPr>
          <w:rFonts w:ascii="Arial" w:cs="Arial" w:eastAsia="Arial" w:hAnsi="Arial"/>
          <w:sz w:val="19"/>
          <w:szCs w:val="19"/>
          <w:color w:val="010000"/>
        </w:rPr>
        <w:t xml:space="preserve"> </w:t>
      </w:r>
      <w:r>
        <w:rPr>
          <w:rFonts w:ascii="Arial" w:cs="Arial" w:eastAsia="Arial" w:hAnsi="Arial"/>
          <w:sz w:val="19"/>
          <w:szCs w:val="19"/>
          <w:color w:val="000000"/>
        </w:rPr>
        <w:t>or may appoint one or more Persons as liquidating trustee. The liquidating trustee shall proceed diligently to wind up the affairs of the Company and make final distributions as provided herein and in the Delaware Act. The costs of winding up shall be borne as a Company expense. Until final distribution, the liquidating trustee shall continue to operate the Company properties with all of the power and authority of the Managing Member. The steps to be accomplished by the liquidating trustee are as follows:</w:t>
      </w:r>
    </w:p>
    <w:p>
      <w:pPr>
        <w:spacing w:after="0" w:line="148" w:lineRule="exact"/>
        <w:rPr>
          <w:sz w:val="20"/>
          <w:szCs w:val="20"/>
          <w:color w:val="auto"/>
        </w:rPr>
      </w:pPr>
    </w:p>
    <w:p>
      <w:pPr>
        <w:jc w:val="both"/>
        <w:ind w:left="320" w:firstLine="1276"/>
        <w:spacing w:after="0" w:line="225" w:lineRule="auto"/>
        <w:tabs>
          <w:tab w:leader="none" w:pos="2159" w:val="left"/>
        </w:tabs>
        <w:numPr>
          <w:ilvl w:val="0"/>
          <w:numId w:val="95"/>
        </w:numPr>
        <w:rPr>
          <w:rFonts w:ascii="Arial" w:cs="Arial" w:eastAsia="Arial" w:hAnsi="Arial"/>
          <w:sz w:val="21"/>
          <w:szCs w:val="21"/>
          <w:color w:val="auto"/>
        </w:rPr>
      </w:pPr>
      <w:r>
        <w:rPr>
          <w:rFonts w:ascii="Arial" w:cs="Arial" w:eastAsia="Arial" w:hAnsi="Arial"/>
          <w:sz w:val="21"/>
          <w:szCs w:val="21"/>
          <w:color w:val="auto"/>
        </w:rPr>
        <w:t>as promptly as possible after dissolution and again after completion of the winding up, the liquidating trustee shall cause a proper accounting to be made by a recognized firm of certified public accountants of the Company’s assets, liabilities and operations through the last day of the calendar month in which the dissolution occurs or the completion of the winding up is completed, as applicable;</w:t>
      </w:r>
    </w:p>
    <w:p>
      <w:pPr>
        <w:spacing w:after="0" w:line="154" w:lineRule="exact"/>
        <w:rPr>
          <w:rFonts w:ascii="Arial" w:cs="Arial" w:eastAsia="Arial" w:hAnsi="Arial"/>
          <w:sz w:val="21"/>
          <w:szCs w:val="21"/>
          <w:color w:val="auto"/>
        </w:rPr>
      </w:pPr>
    </w:p>
    <w:p>
      <w:pPr>
        <w:jc w:val="both"/>
        <w:ind w:left="320" w:firstLine="1276"/>
        <w:spacing w:after="0" w:line="252" w:lineRule="auto"/>
        <w:tabs>
          <w:tab w:leader="none" w:pos="2123"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liquidating trustee shall pay, satisfy or discharge from Company funds all of the debts, liabilities and obligations of the Company (including, without limitation, all expenses incurred of winding up) or otherwise make adequate provision for payment and discharge thereof (including, without limitation, the establishment of a cash fund for contingent, conditional or unmatured liabilities in such amount and for such term as the liquidating trustee may reasonably determine); and</w:t>
      </w:r>
    </w:p>
    <w:p>
      <w:pPr>
        <w:spacing w:after="0" w:line="142" w:lineRule="exact"/>
        <w:rPr>
          <w:rFonts w:ascii="Arial" w:cs="Arial" w:eastAsia="Arial" w:hAnsi="Arial"/>
          <w:sz w:val="19"/>
          <w:szCs w:val="19"/>
          <w:color w:val="auto"/>
        </w:rPr>
      </w:pPr>
    </w:p>
    <w:p>
      <w:pPr>
        <w:jc w:val="both"/>
        <w:ind w:left="320" w:firstLine="1276"/>
        <w:spacing w:after="0" w:line="230" w:lineRule="auto"/>
        <w:tabs>
          <w:tab w:leader="none" w:pos="2070"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all remaining assets of the Company shall be distributed to the Members in accordance with </w:t>
      </w:r>
      <w:r>
        <w:rPr>
          <w:rFonts w:ascii="Arial" w:cs="Arial" w:eastAsia="Arial" w:hAnsi="Arial"/>
          <w:sz w:val="21"/>
          <w:szCs w:val="21"/>
          <w:u w:val="single" w:color="auto"/>
          <w:color w:val="auto"/>
        </w:rPr>
        <w:t>Section 4.1(c)</w:t>
      </w:r>
      <w:r>
        <w:rPr>
          <w:rFonts w:ascii="Arial" w:cs="Arial" w:eastAsia="Arial" w:hAnsi="Arial"/>
          <w:sz w:val="21"/>
          <w:szCs w:val="21"/>
          <w:color w:val="auto"/>
        </w:rPr>
        <w:t xml:space="preserve"> by the end of the Taxable Year of the Company during which the winding up of the Company occurs (or, if later, by ninety (90) days after the date of the winding up).</w:t>
      </w:r>
    </w:p>
    <w:p>
      <w:pPr>
        <w:spacing w:after="0" w:line="154"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auto"/>
        </w:rPr>
        <w:t xml:space="preserve">The distribution of cash and/or property to Members in accordance with the provisions of this </w:t>
      </w:r>
      <w:r>
        <w:rPr>
          <w:rFonts w:ascii="Arial" w:cs="Arial" w:eastAsia="Arial" w:hAnsi="Arial"/>
          <w:sz w:val="21"/>
          <w:szCs w:val="21"/>
          <w:u w:val="single" w:color="auto"/>
          <w:color w:val="auto"/>
        </w:rPr>
        <w:t>Section 12.2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12.3</w:t>
      </w:r>
      <w:r>
        <w:rPr>
          <w:rFonts w:ascii="Arial" w:cs="Arial" w:eastAsia="Arial" w:hAnsi="Arial"/>
          <w:sz w:val="21"/>
          <w:szCs w:val="21"/>
          <w:color w:val="auto"/>
        </w:rPr>
        <w:t xml:space="preserve"> constitutes a complete return to the Members of their Capital Contributions and a complete distribution to the Members of their interest in the Company and all the Company’s property and constitutes a compromise to which all Members have consented within the meaning of the Delaware Act. To the extent that a Member returns funds to the Company, it has no claim against any other Member for those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ectPr>
          <w:pgSz w:w="11900" w:h="16838" w:orient="portrait"/>
          <w:cols w:equalWidth="0" w:num="1">
            <w:col w:w="11240"/>
          </w:cols>
          <w:pgMar w:left="320" w:top="1377" w:right="339" w:bottom="1440" w:gutter="0" w:footer="0" w:header="0"/>
        </w:sectPr>
      </w:pPr>
    </w:p>
    <w:bookmarkStart w:id="210" w:name="page211"/>
    <w:bookmarkEnd w:id="210"/>
    <w:p>
      <w:pPr>
        <w:jc w:val="both"/>
        <w:ind w:firstLine="636"/>
        <w:spacing w:after="0" w:line="225" w:lineRule="auto"/>
        <w:rPr>
          <w:sz w:val="20"/>
          <w:szCs w:val="20"/>
          <w:color w:val="auto"/>
        </w:rPr>
      </w:pPr>
      <w:r>
        <w:rPr>
          <w:rFonts w:ascii="Arial" w:cs="Arial" w:eastAsia="Arial" w:hAnsi="Arial"/>
          <w:sz w:val="20"/>
          <w:szCs w:val="20"/>
          <w:color w:val="010000"/>
        </w:rPr>
        <w:t xml:space="preserve">12.3 </w:t>
      </w:r>
      <w:r>
        <w:rPr>
          <w:rFonts w:ascii="Arial" w:cs="Arial" w:eastAsia="Arial" w:hAnsi="Arial"/>
          <w:sz w:val="20"/>
          <w:szCs w:val="20"/>
          <w:u w:val="single" w:color="auto"/>
          <w:color w:val="000000"/>
        </w:rPr>
        <w:t>Deferment; Distribution in Kind</w:t>
      </w:r>
      <w:r>
        <w:rPr>
          <w:rFonts w:ascii="Arial" w:cs="Arial" w:eastAsia="Arial" w:hAnsi="Arial"/>
          <w:sz w:val="20"/>
          <w:szCs w:val="20"/>
          <w:color w:val="000000"/>
        </w:rPr>
        <w:t>. Notwithstanding the provisions of</w:t>
      </w:r>
      <w:r>
        <w:rPr>
          <w:rFonts w:ascii="Arial" w:cs="Arial" w:eastAsia="Arial" w:hAnsi="Arial"/>
          <w:sz w:val="20"/>
          <w:szCs w:val="20"/>
          <w:color w:val="010000"/>
        </w:rPr>
        <w:t xml:space="preserve"> </w:t>
      </w:r>
      <w:r>
        <w:rPr>
          <w:rFonts w:ascii="Arial" w:cs="Arial" w:eastAsia="Arial" w:hAnsi="Arial"/>
          <w:sz w:val="20"/>
          <w:szCs w:val="20"/>
          <w:u w:val="single" w:color="auto"/>
          <w:color w:val="000000"/>
        </w:rPr>
        <w:t>Section 12.2</w:t>
      </w:r>
      <w:r>
        <w:rPr>
          <w:rFonts w:ascii="Arial" w:cs="Arial" w:eastAsia="Arial" w:hAnsi="Arial"/>
          <w:sz w:val="20"/>
          <w:szCs w:val="20"/>
          <w:color w:val="000000"/>
        </w:rPr>
        <w:t>, but subject to the order of priorities</w:t>
      </w:r>
      <w:r>
        <w:rPr>
          <w:rFonts w:ascii="Arial" w:cs="Arial" w:eastAsia="Arial" w:hAnsi="Arial"/>
          <w:sz w:val="20"/>
          <w:szCs w:val="20"/>
          <w:color w:val="010000"/>
        </w:rPr>
        <w:t xml:space="preserve"> </w:t>
      </w:r>
      <w:r>
        <w:rPr>
          <w:rFonts w:ascii="Arial" w:cs="Arial" w:eastAsia="Arial" w:hAnsi="Arial"/>
          <w:sz w:val="20"/>
          <w:szCs w:val="20"/>
          <w:color w:val="000000"/>
        </w:rPr>
        <w:t xml:space="preserve">set forth therein, if upon dissolution of the Company the liquidating trustee determines that an immediate sale of part or all of the Company’s assets would be impractical or would cause undue loss (or would otherwise not be beneficial) to the Members, the liquidating trustee may, in their sole discretion, defer for a reasonable time the winding up of any assets except those necessary to satisfy Company liabilities (other than loans to the Company by Members) and reserves. Subject to the order of priorities set forth in </w:t>
      </w:r>
      <w:r>
        <w:rPr>
          <w:rFonts w:ascii="Arial" w:cs="Arial" w:eastAsia="Arial" w:hAnsi="Arial"/>
          <w:sz w:val="20"/>
          <w:szCs w:val="20"/>
          <w:u w:val="single" w:color="auto"/>
          <w:color w:val="000000"/>
        </w:rPr>
        <w:t>Section 12.2</w:t>
      </w:r>
      <w:r>
        <w:rPr>
          <w:rFonts w:ascii="Arial" w:cs="Arial" w:eastAsia="Arial" w:hAnsi="Arial"/>
          <w:sz w:val="20"/>
          <w:szCs w:val="20"/>
          <w:color w:val="000000"/>
        </w:rPr>
        <w:t xml:space="preserve">, the liquidating trustee may, in their sole discretion, distribute to the Members, in lieu of cash, either (i) all or any portion of such remaining Company assets in-kind in accordance with the provisions of </w:t>
      </w:r>
      <w:r>
        <w:rPr>
          <w:rFonts w:ascii="Arial" w:cs="Arial" w:eastAsia="Arial" w:hAnsi="Arial"/>
          <w:sz w:val="20"/>
          <w:szCs w:val="20"/>
          <w:u w:val="single" w:color="auto"/>
          <w:color w:val="000000"/>
        </w:rPr>
        <w:t>Section 12.2(c)</w:t>
      </w:r>
      <w:r>
        <w:rPr>
          <w:rFonts w:ascii="Arial" w:cs="Arial" w:eastAsia="Arial" w:hAnsi="Arial"/>
          <w:sz w:val="20"/>
          <w:szCs w:val="20"/>
          <w:color w:val="000000"/>
        </w:rPr>
        <w:t xml:space="preserve">, (ii) as tenants in common and in accordance with the provisions of </w:t>
      </w:r>
      <w:r>
        <w:rPr>
          <w:rFonts w:ascii="Arial" w:cs="Arial" w:eastAsia="Arial" w:hAnsi="Arial"/>
          <w:sz w:val="20"/>
          <w:szCs w:val="20"/>
          <w:u w:val="single" w:color="auto"/>
          <w:color w:val="000000"/>
        </w:rPr>
        <w:t>Section 12.2(c)</w:t>
      </w:r>
      <w:r>
        <w:rPr>
          <w:rFonts w:ascii="Arial" w:cs="Arial" w:eastAsia="Arial" w:hAnsi="Arial"/>
          <w:sz w:val="20"/>
          <w:szCs w:val="20"/>
          <w:color w:val="000000"/>
        </w:rPr>
        <w:t xml:space="preserve">, undivided interests in all or any portion of such Company assets or (iii) a combination of the foregoing. Any such distributions in kind shall be subject to (x) such conditions relating to the disposition and management of such assets as the liquidating trustee deem reasonable and equitable and (y) the terms and conditions of any agreements governing such assets (or the operation thereof or the holders thereof) at such time. Any Company assets distributed in kind will first be written up or down to their Fair Market Value, thus creating Profit or Loss (if any), which shall be allocated in accordance with </w:t>
      </w:r>
      <w:r>
        <w:rPr>
          <w:rFonts w:ascii="Arial" w:cs="Arial" w:eastAsia="Arial" w:hAnsi="Arial"/>
          <w:sz w:val="20"/>
          <w:szCs w:val="20"/>
          <w:u w:val="single" w:color="auto"/>
          <w:color w:val="000000"/>
        </w:rPr>
        <w:t>Section 4.2</w:t>
      </w:r>
      <w:r>
        <w:rPr>
          <w:rFonts w:ascii="Arial" w:cs="Arial" w:eastAsia="Arial" w:hAnsi="Arial"/>
          <w:sz w:val="20"/>
          <w:szCs w:val="20"/>
          <w:color w:val="000000"/>
        </w:rPr>
        <w:t xml:space="preserve">. The liquidating trustee shall determine the Fair Market Value of any property distributed in accordance with the valuation procedures set forth in </w:t>
      </w:r>
      <w:r>
        <w:rPr>
          <w:rFonts w:ascii="Arial" w:cs="Arial" w:eastAsia="Arial" w:hAnsi="Arial"/>
          <w:sz w:val="20"/>
          <w:szCs w:val="20"/>
          <w:u w:val="single" w:color="auto"/>
          <w:color w:val="000000"/>
        </w:rPr>
        <w:t>Article XIII</w:t>
      </w:r>
      <w:r>
        <w:rPr>
          <w:rFonts w:ascii="Arial" w:cs="Arial" w:eastAsia="Arial" w:hAnsi="Arial"/>
          <w:sz w:val="20"/>
          <w:szCs w:val="20"/>
          <w:color w:val="000000"/>
        </w:rPr>
        <w:t>.</w:t>
      </w:r>
    </w:p>
    <w:p>
      <w:pPr>
        <w:spacing w:after="0" w:line="162"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20"/>
          <w:szCs w:val="20"/>
          <w:color w:val="010000"/>
        </w:rPr>
        <w:t xml:space="preserve">12.4 </w:t>
      </w:r>
      <w:r>
        <w:rPr>
          <w:rFonts w:ascii="Arial" w:cs="Arial" w:eastAsia="Arial" w:hAnsi="Arial"/>
          <w:sz w:val="20"/>
          <w:szCs w:val="20"/>
          <w:u w:val="single" w:color="auto"/>
          <w:color w:val="000000"/>
        </w:rPr>
        <w:t>Cancellation of Certificate</w:t>
      </w:r>
      <w:r>
        <w:rPr>
          <w:rFonts w:ascii="Arial" w:cs="Arial" w:eastAsia="Arial" w:hAnsi="Arial"/>
          <w:sz w:val="20"/>
          <w:szCs w:val="20"/>
          <w:color w:val="000000"/>
        </w:rPr>
        <w:t>. On completion of the winding up of the Company’s affairs and distribution of Company</w:t>
      </w:r>
      <w:r>
        <w:rPr>
          <w:rFonts w:ascii="Arial" w:cs="Arial" w:eastAsia="Arial" w:hAnsi="Arial"/>
          <w:sz w:val="20"/>
          <w:szCs w:val="20"/>
          <w:color w:val="010000"/>
        </w:rPr>
        <w:t xml:space="preserve"> </w:t>
      </w:r>
      <w:r>
        <w:rPr>
          <w:rFonts w:ascii="Arial" w:cs="Arial" w:eastAsia="Arial" w:hAnsi="Arial"/>
          <w:sz w:val="20"/>
          <w:szCs w:val="20"/>
          <w:color w:val="000000"/>
        </w:rPr>
        <w:t xml:space="preserve">assets as provided herein, the Company is 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20"/>
          <w:szCs w:val="20"/>
          <w:u w:val="single" w:color="auto"/>
          <w:color w:val="000000"/>
        </w:rPr>
        <w:t>Section 12.4</w:t>
      </w:r>
      <w:r>
        <w:rPr>
          <w:rFonts w:ascii="Arial" w:cs="Arial" w:eastAsia="Arial" w:hAnsi="Arial"/>
          <w:sz w:val="20"/>
          <w:szCs w:val="20"/>
          <w:color w:val="000000"/>
        </w:rPr>
        <w:t>.</w:t>
      </w:r>
    </w:p>
    <w:p>
      <w:pPr>
        <w:spacing w:after="0" w:line="15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12.5 </w:t>
      </w:r>
      <w:r>
        <w:rPr>
          <w:rFonts w:ascii="Arial" w:cs="Arial" w:eastAsia="Arial" w:hAnsi="Arial"/>
          <w:sz w:val="21"/>
          <w:szCs w:val="21"/>
          <w:u w:val="single" w:color="auto"/>
          <w:color w:val="000000"/>
        </w:rPr>
        <w:t>Reasonable Time for Winding Up</w:t>
      </w:r>
      <w:r>
        <w:rPr>
          <w:rFonts w:ascii="Arial" w:cs="Arial" w:eastAsia="Arial" w:hAnsi="Arial"/>
          <w:sz w:val="21"/>
          <w:szCs w:val="21"/>
          <w:color w:val="000000"/>
        </w:rPr>
        <w:t>. A reasonable time shall be allowed for the orderly winding up of the business and</w:t>
      </w:r>
      <w:r>
        <w:rPr>
          <w:rFonts w:ascii="Arial" w:cs="Arial" w:eastAsia="Arial" w:hAnsi="Arial"/>
          <w:sz w:val="21"/>
          <w:szCs w:val="21"/>
          <w:color w:val="010000"/>
        </w:rPr>
        <w:t xml:space="preserve"> </w:t>
      </w:r>
      <w:r>
        <w:rPr>
          <w:rFonts w:ascii="Arial" w:cs="Arial" w:eastAsia="Arial" w:hAnsi="Arial"/>
          <w:sz w:val="21"/>
          <w:szCs w:val="21"/>
          <w:color w:val="000000"/>
        </w:rPr>
        <w:t xml:space="preserve">affairs of the Company and the liquidation of its assets pursuant to </w:t>
      </w:r>
      <w:r>
        <w:rPr>
          <w:rFonts w:ascii="Arial" w:cs="Arial" w:eastAsia="Arial" w:hAnsi="Arial"/>
          <w:sz w:val="21"/>
          <w:szCs w:val="21"/>
          <w:u w:val="single" w:color="auto"/>
          <w:color w:val="000000"/>
        </w:rPr>
        <w:t>Sections 12.2</w:t>
      </w:r>
      <w:r>
        <w:rPr>
          <w:rFonts w:ascii="Arial" w:cs="Arial" w:eastAsia="Arial" w:hAnsi="Arial"/>
          <w:sz w:val="21"/>
          <w:szCs w:val="21"/>
          <w:color w:val="000000"/>
        </w:rPr>
        <w:t xml:space="preserve"> and </w:t>
      </w:r>
      <w:r>
        <w:rPr>
          <w:rFonts w:ascii="Arial" w:cs="Arial" w:eastAsia="Arial" w:hAnsi="Arial"/>
          <w:sz w:val="21"/>
          <w:szCs w:val="21"/>
          <w:u w:val="single" w:color="auto"/>
          <w:color w:val="000000"/>
        </w:rPr>
        <w:t>12.3</w:t>
      </w:r>
      <w:r>
        <w:rPr>
          <w:rFonts w:ascii="Arial" w:cs="Arial" w:eastAsia="Arial" w:hAnsi="Arial"/>
          <w:sz w:val="21"/>
          <w:szCs w:val="21"/>
          <w:color w:val="000000"/>
        </w:rPr>
        <w:t xml:space="preserve"> in order to minimize any losses otherwise attendant upon such winding up.</w:t>
      </w:r>
    </w:p>
    <w:p>
      <w:pPr>
        <w:spacing w:after="0" w:line="154" w:lineRule="exact"/>
        <w:rPr>
          <w:sz w:val="20"/>
          <w:szCs w:val="20"/>
          <w:color w:val="auto"/>
        </w:rPr>
      </w:pPr>
    </w:p>
    <w:p>
      <w:pPr>
        <w:jc w:val="both"/>
        <w:ind w:firstLine="636"/>
        <w:spacing w:after="0" w:line="263" w:lineRule="auto"/>
        <w:rPr>
          <w:sz w:val="20"/>
          <w:szCs w:val="20"/>
          <w:color w:val="auto"/>
        </w:rPr>
      </w:pPr>
      <w:r>
        <w:rPr>
          <w:rFonts w:ascii="Arial" w:cs="Arial" w:eastAsia="Arial" w:hAnsi="Arial"/>
          <w:sz w:val="20"/>
          <w:szCs w:val="20"/>
          <w:color w:val="010000"/>
        </w:rPr>
        <w:t xml:space="preserve">12.6 </w:t>
      </w:r>
      <w:r>
        <w:rPr>
          <w:rFonts w:ascii="Arial" w:cs="Arial" w:eastAsia="Arial" w:hAnsi="Arial"/>
          <w:sz w:val="20"/>
          <w:szCs w:val="20"/>
          <w:u w:val="single" w:color="auto"/>
          <w:color w:val="000000"/>
        </w:rPr>
        <w:t>Return of Capital</w:t>
      </w:r>
      <w:r>
        <w:rPr>
          <w:rFonts w:ascii="Arial" w:cs="Arial" w:eastAsia="Arial" w:hAnsi="Arial"/>
          <w:sz w:val="20"/>
          <w:szCs w:val="20"/>
          <w:color w:val="000000"/>
        </w:rPr>
        <w:t>. The liquidating trustee shall not be personally liable for the return of Capital Contributions or any</w:t>
      </w:r>
      <w:r>
        <w:rPr>
          <w:rFonts w:ascii="Arial" w:cs="Arial" w:eastAsia="Arial" w:hAnsi="Arial"/>
          <w:sz w:val="20"/>
          <w:szCs w:val="20"/>
          <w:color w:val="010000"/>
        </w:rPr>
        <w:t xml:space="preserve"> </w:t>
      </w:r>
      <w:r>
        <w:rPr>
          <w:rFonts w:ascii="Arial" w:cs="Arial" w:eastAsia="Arial" w:hAnsi="Arial"/>
          <w:sz w:val="20"/>
          <w:szCs w:val="20"/>
          <w:color w:val="000000"/>
        </w:rPr>
        <w:t>portion thereof to the Members (it being understood that any such return shall be made solely from Company assets).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XIII</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VALUATION</w:t>
      </w:r>
    </w:p>
    <w:p>
      <w:pPr>
        <w:spacing w:after="0" w:line="183" w:lineRule="exact"/>
        <w:rPr>
          <w:sz w:val="20"/>
          <w:szCs w:val="20"/>
          <w:color w:val="auto"/>
        </w:rPr>
      </w:pPr>
    </w:p>
    <w:p>
      <w:pPr>
        <w:jc w:val="both"/>
        <w:ind w:firstLine="636"/>
        <w:spacing w:after="0" w:line="223" w:lineRule="auto"/>
        <w:rPr>
          <w:sz w:val="20"/>
          <w:szCs w:val="20"/>
          <w:color w:val="auto"/>
        </w:rPr>
      </w:pPr>
      <w:r>
        <w:rPr>
          <w:rFonts w:ascii="Arial" w:cs="Arial" w:eastAsia="Arial" w:hAnsi="Arial"/>
          <w:sz w:val="21"/>
          <w:szCs w:val="21"/>
          <w:color w:val="010000"/>
        </w:rPr>
        <w:t xml:space="preserve">13.1 </w:t>
      </w:r>
      <w:r>
        <w:rPr>
          <w:rFonts w:ascii="Arial" w:cs="Arial" w:eastAsia="Arial" w:hAnsi="Arial"/>
          <w:sz w:val="21"/>
          <w:szCs w:val="21"/>
          <w:u w:val="single" w:color="auto"/>
          <w:color w:val="000000"/>
        </w:rPr>
        <w:t>Value</w:t>
      </w:r>
      <w:r>
        <w:rPr>
          <w:rFonts w:ascii="Arial" w:cs="Arial" w:eastAsia="Arial" w:hAnsi="Arial"/>
          <w:sz w:val="21"/>
          <w:szCs w:val="21"/>
          <w:color w:val="000000"/>
        </w:rPr>
        <w:t>. “</w:t>
      </w:r>
      <w:r>
        <w:rPr>
          <w:rFonts w:ascii="Arial" w:cs="Arial" w:eastAsia="Arial" w:hAnsi="Arial"/>
          <w:sz w:val="21"/>
          <w:szCs w:val="21"/>
          <w:b w:val="1"/>
          <w:bCs w:val="1"/>
          <w:color w:val="000000"/>
        </w:rPr>
        <w:t>Fair Market Value</w:t>
      </w:r>
      <w:r>
        <w:rPr>
          <w:rFonts w:ascii="Arial" w:cs="Arial" w:eastAsia="Arial" w:hAnsi="Arial"/>
          <w:sz w:val="21"/>
          <w:szCs w:val="21"/>
          <w:color w:val="000000"/>
        </w:rPr>
        <w:t>” of any asset, property or equity interest means the amount which a seller of such asset,</w:t>
      </w:r>
      <w:r>
        <w:rPr>
          <w:rFonts w:ascii="Arial" w:cs="Arial" w:eastAsia="Arial" w:hAnsi="Arial"/>
          <w:sz w:val="21"/>
          <w:szCs w:val="21"/>
          <w:color w:val="010000"/>
        </w:rPr>
        <w:t xml:space="preserve"> </w:t>
      </w:r>
      <w:r>
        <w:rPr>
          <w:rFonts w:ascii="Arial" w:cs="Arial" w:eastAsia="Arial" w:hAnsi="Arial"/>
          <w:sz w:val="21"/>
          <w:szCs w:val="21"/>
          <w:color w:val="000000"/>
        </w:rPr>
        <w:t>property or equity interest would receive in a sale of such asset, property or equity interest in an arms-length transaction with an unaffiliated third party consummated on a date determined by the Managing Member (which may be the date on which the event occurred which necessitated the determination of the Fair Market Value) (and after giving effect to any transfer taxes payable in connection with such sale).</w:t>
      </w:r>
    </w:p>
    <w:p>
      <w:pPr>
        <w:spacing w:after="0" w:line="15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13.2 </w:t>
      </w:r>
      <w:r>
        <w:rPr>
          <w:rFonts w:ascii="Arial" w:cs="Arial" w:eastAsia="Arial" w:hAnsi="Arial"/>
          <w:sz w:val="21"/>
          <w:szCs w:val="21"/>
          <w:u w:val="single" w:color="auto"/>
          <w:color w:val="000000"/>
        </w:rPr>
        <w:t>Determination and Dispute</w:t>
      </w:r>
      <w:r>
        <w:rPr>
          <w:rFonts w:ascii="Arial" w:cs="Arial" w:eastAsia="Arial" w:hAnsi="Arial"/>
          <w:sz w:val="21"/>
          <w:szCs w:val="21"/>
          <w:color w:val="000000"/>
        </w:rPr>
        <w:t>. Fair Market Value shall be determined by the Managing Member (or, if pursuant to</w:t>
      </w:r>
      <w:r>
        <w:rPr>
          <w:rFonts w:ascii="Arial" w:cs="Arial" w:eastAsia="Arial" w:hAnsi="Arial"/>
          <w:sz w:val="21"/>
          <w:szCs w:val="21"/>
          <w:color w:val="010000"/>
        </w:rPr>
        <w:t xml:space="preserve"> </w:t>
      </w:r>
      <w:r>
        <w:rPr>
          <w:rFonts w:ascii="Arial" w:cs="Arial" w:eastAsia="Arial" w:hAnsi="Arial"/>
          <w:sz w:val="21"/>
          <w:szCs w:val="21"/>
          <w:u w:val="single" w:color="auto"/>
          <w:color w:val="000000"/>
        </w:rPr>
        <w:t>Section 12.3</w:t>
      </w:r>
      <w:r>
        <w:rPr>
          <w:rFonts w:ascii="Arial" w:cs="Arial" w:eastAsia="Arial" w:hAnsi="Arial"/>
          <w:sz w:val="21"/>
          <w:szCs w:val="21"/>
          <w:color w:val="000000"/>
        </w:rPr>
        <w:t>, the liquidating trustee) in its good faith judgment in such manner as it deems reasonable and using all factors, information and data deemed to be pertinent.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ectPr>
          <w:pgSz w:w="11900" w:h="16838" w:orient="portrait"/>
          <w:cols w:equalWidth="0" w:num="1">
            <w:col w:w="11240"/>
          </w:cols>
          <w:pgMar w:left="320" w:top="1377" w:right="339" w:bottom="1440" w:gutter="0" w:footer="0" w:header="0"/>
        </w:sectPr>
      </w:pPr>
    </w:p>
    <w:bookmarkStart w:id="211" w:name="page212"/>
    <w:bookmarkEnd w:id="211"/>
    <w:p>
      <w:pPr>
        <w:jc w:val="center"/>
        <w:ind w:right="320"/>
        <w:spacing w:after="0"/>
        <w:rPr>
          <w:sz w:val="20"/>
          <w:szCs w:val="20"/>
          <w:color w:val="auto"/>
        </w:rPr>
      </w:pPr>
      <w:r>
        <w:rPr>
          <w:rFonts w:ascii="Arial" w:cs="Arial" w:eastAsia="Arial" w:hAnsi="Arial"/>
          <w:sz w:val="21"/>
          <w:szCs w:val="21"/>
          <w:b w:val="1"/>
          <w:bCs w:val="1"/>
          <w:color w:val="auto"/>
        </w:rPr>
        <w:t>ARTICLE XIV</w:t>
      </w:r>
    </w:p>
    <w:p>
      <w:pPr>
        <w:spacing w:after="0" w:line="183" w:lineRule="exact"/>
        <w:rPr>
          <w:sz w:val="20"/>
          <w:szCs w:val="20"/>
          <w:color w:val="auto"/>
        </w:rPr>
      </w:pPr>
    </w:p>
    <w:p>
      <w:pPr>
        <w:jc w:val="center"/>
        <w:ind w:right="320"/>
        <w:spacing w:after="0"/>
        <w:rPr>
          <w:sz w:val="20"/>
          <w:szCs w:val="20"/>
          <w:color w:val="auto"/>
        </w:rPr>
      </w:pPr>
      <w:r>
        <w:rPr>
          <w:rFonts w:ascii="Arial" w:cs="Arial" w:eastAsia="Arial" w:hAnsi="Arial"/>
          <w:sz w:val="21"/>
          <w:szCs w:val="21"/>
          <w:b w:val="1"/>
          <w:bCs w:val="1"/>
          <w:color w:val="auto"/>
        </w:rPr>
        <w:t>GENERAL PROVISIONS</w:t>
      </w:r>
    </w:p>
    <w:p>
      <w:pPr>
        <w:spacing w:after="0" w:line="189"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14.1</w:t>
      </w:r>
      <w:r>
        <w:rPr>
          <w:sz w:val="20"/>
          <w:szCs w:val="20"/>
          <w:color w:val="auto"/>
        </w:rPr>
        <w:tab/>
      </w:r>
      <w:r>
        <w:rPr>
          <w:rFonts w:ascii="Arial" w:cs="Arial" w:eastAsia="Arial" w:hAnsi="Arial"/>
          <w:sz w:val="19"/>
          <w:szCs w:val="19"/>
          <w:u w:val="single" w:color="auto"/>
          <w:color w:val="auto"/>
        </w:rPr>
        <w:t>Power of Attorney</w:t>
      </w:r>
      <w:r>
        <w:rPr>
          <w:rFonts w:ascii="Arial" w:cs="Arial" w:eastAsia="Arial" w:hAnsi="Arial"/>
          <w:sz w:val="19"/>
          <w:szCs w:val="19"/>
          <w:color w:val="auto"/>
        </w:rPr>
        <w:t>.</w:t>
      </w:r>
    </w:p>
    <w:p>
      <w:pPr>
        <w:spacing w:after="0" w:line="183" w:lineRule="exact"/>
        <w:rPr>
          <w:sz w:val="20"/>
          <w:szCs w:val="20"/>
          <w:color w:val="auto"/>
        </w:rPr>
      </w:pPr>
    </w:p>
    <w:p>
      <w:pPr>
        <w:jc w:val="both"/>
        <w:ind w:firstLine="1276"/>
        <w:spacing w:after="0" w:line="230" w:lineRule="auto"/>
        <w:tabs>
          <w:tab w:leader="none" w:pos="1808" w:val="left"/>
        </w:tabs>
        <w:numPr>
          <w:ilvl w:val="0"/>
          <w:numId w:val="96"/>
        </w:numPr>
        <w:rPr>
          <w:rFonts w:ascii="Arial" w:cs="Arial" w:eastAsia="Arial" w:hAnsi="Arial"/>
          <w:sz w:val="21"/>
          <w:szCs w:val="21"/>
          <w:color w:val="auto"/>
        </w:rPr>
      </w:pPr>
      <w:r>
        <w:rPr>
          <w:rFonts w:ascii="Arial" w:cs="Arial" w:eastAsia="Arial" w:hAnsi="Arial"/>
          <w:sz w:val="21"/>
          <w:szCs w:val="21"/>
          <w:color w:val="auto"/>
        </w:rPr>
        <w:t>Each holder of Units hereby constitutes and appoints the Managing Member and the liquidating trustee, with full power of substitution, as his, her or its true and lawful agent and attorney-in-fact, with full power and authority in his, her or its name, place and stead, to:</w:t>
      </w:r>
    </w:p>
    <w:p>
      <w:pPr>
        <w:spacing w:after="0" w:line="153" w:lineRule="exact"/>
        <w:rPr>
          <w:rFonts w:ascii="Arial" w:cs="Arial" w:eastAsia="Arial" w:hAnsi="Arial"/>
          <w:sz w:val="21"/>
          <w:szCs w:val="21"/>
          <w:color w:val="auto"/>
        </w:rPr>
      </w:pPr>
    </w:p>
    <w:p>
      <w:pPr>
        <w:jc w:val="both"/>
        <w:ind w:left="320" w:firstLine="1274"/>
        <w:spacing w:after="0" w:line="228" w:lineRule="auto"/>
        <w:tabs>
          <w:tab w:leader="none" w:pos="2216" w:val="left"/>
        </w:tabs>
        <w:numPr>
          <w:ilvl w:val="1"/>
          <w:numId w:val="96"/>
        </w:numPr>
        <w:rPr>
          <w:rFonts w:ascii="Arial" w:cs="Arial" w:eastAsia="Arial" w:hAnsi="Arial"/>
          <w:sz w:val="20"/>
          <w:szCs w:val="20"/>
          <w:color w:val="010000"/>
        </w:rPr>
      </w:pPr>
      <w:r>
        <w:rPr>
          <w:rFonts w:ascii="Arial" w:cs="Arial" w:eastAsia="Arial" w:hAnsi="Arial"/>
          <w:sz w:val="20"/>
          <w:szCs w:val="20"/>
          <w:color w:val="auto"/>
        </w:rPr>
        <w:t xml:space="preserve">execute, swear to, acknowledge, deliver, file and record in the appropriate public offices (A) this Agreement, all certificates and other instruments and all amendments thereof which the Managing Member deems appropriate or necessary to form, qualify, or continue the qualification of, the Company as a limited liability company in the State of Delaware and in all other jurisdictions in which the Company may conduct business or own property; (B) all instruments which the Managing Member deems appropriate or necessary to reflect any amendment, change, modification or restatement of this Agreement in accordance with its terms; (C) all conveyances and other instruments or documents which the Managing Member deems appropriate or necessary to reflect the dissolution and winding up of the Company pursuant to the terms of this Agreement, including a certificate of cancellation; and (D) all instruments relating to the admission, withdrawal or substitution of any Member pursuant to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XI</w:t>
      </w:r>
      <w:r>
        <w:rPr>
          <w:rFonts w:ascii="Arial" w:cs="Arial" w:eastAsia="Arial" w:hAnsi="Arial"/>
          <w:sz w:val="20"/>
          <w:szCs w:val="20"/>
          <w:color w:val="auto"/>
        </w:rPr>
        <w:t>; and</w:t>
      </w:r>
    </w:p>
    <w:p>
      <w:pPr>
        <w:spacing w:after="0" w:line="153" w:lineRule="exact"/>
        <w:rPr>
          <w:rFonts w:ascii="Arial" w:cs="Arial" w:eastAsia="Arial" w:hAnsi="Arial"/>
          <w:sz w:val="20"/>
          <w:szCs w:val="20"/>
          <w:color w:val="010000"/>
        </w:rPr>
      </w:pPr>
    </w:p>
    <w:p>
      <w:pPr>
        <w:jc w:val="both"/>
        <w:ind w:left="320" w:firstLine="1274"/>
        <w:spacing w:after="0" w:line="247" w:lineRule="auto"/>
        <w:tabs>
          <w:tab w:leader="none" w:pos="2222" w:val="left"/>
        </w:tabs>
        <w:numPr>
          <w:ilvl w:val="1"/>
          <w:numId w:val="96"/>
        </w:numPr>
        <w:rPr>
          <w:rFonts w:ascii="Arial" w:cs="Arial" w:eastAsia="Arial" w:hAnsi="Arial"/>
          <w:sz w:val="19"/>
          <w:szCs w:val="19"/>
          <w:color w:val="010000"/>
        </w:rPr>
      </w:pPr>
      <w:r>
        <w:rPr>
          <w:rFonts w:ascii="Arial" w:cs="Arial" w:eastAsia="Arial" w:hAnsi="Arial"/>
          <w:sz w:val="19"/>
          <w:szCs w:val="19"/>
          <w:color w:val="auto"/>
        </w:rPr>
        <w:t>sign, execute, swear to and acknowledge all ballots, consents, approvals, waivers, certificates and other instruments appropriate or necessary, in the reasonable judgment of the Managing Member, to evidence, confirm or ratify any vote, consent, approval, agreement or other action which is made or given by such holder of Units hereunder or is consistent with the terms of this Agreement and/or appropriate or necessary (and not inconsistent with the terms of this Agreement), in the reasonable judgment of the Managing Member, to effectuate the terms of this Agreement.</w:t>
      </w:r>
    </w:p>
    <w:p>
      <w:pPr>
        <w:spacing w:after="0" w:line="147" w:lineRule="exact"/>
        <w:rPr>
          <w:rFonts w:ascii="Arial" w:cs="Arial" w:eastAsia="Arial" w:hAnsi="Arial"/>
          <w:sz w:val="19"/>
          <w:szCs w:val="19"/>
          <w:color w:val="010000"/>
        </w:rPr>
      </w:pPr>
    </w:p>
    <w:p>
      <w:pPr>
        <w:jc w:val="both"/>
        <w:ind w:firstLine="1276"/>
        <w:spacing w:after="0" w:line="230" w:lineRule="auto"/>
        <w:tabs>
          <w:tab w:leader="none" w:pos="1743" w:val="left"/>
        </w:tabs>
        <w:numPr>
          <w:ilvl w:val="0"/>
          <w:numId w:val="96"/>
        </w:numPr>
        <w:rPr>
          <w:rFonts w:ascii="Arial" w:cs="Arial" w:eastAsia="Arial" w:hAnsi="Arial"/>
          <w:sz w:val="21"/>
          <w:szCs w:val="21"/>
          <w:color w:val="auto"/>
        </w:rPr>
      </w:pPr>
      <w:r>
        <w:rPr>
          <w:rFonts w:ascii="Arial" w:cs="Arial" w:eastAsia="Arial" w:hAnsi="Arial"/>
          <w:sz w:val="21"/>
          <w:szCs w:val="21"/>
          <w:color w:val="auto"/>
        </w:rPr>
        <w:t xml:space="preserve">For the avoidance of doubt, the foregoing power of attorney does not include the power or authority to vote any Units held by any Member on any matter on which the Members have a right to vote, either at a meeting or by any written consent, either as contemplated by </w:t>
      </w:r>
      <w:r>
        <w:rPr>
          <w:rFonts w:ascii="Arial" w:cs="Arial" w:eastAsia="Arial" w:hAnsi="Arial"/>
          <w:sz w:val="21"/>
          <w:szCs w:val="21"/>
          <w:u w:val="single" w:color="auto"/>
          <w:color w:val="auto"/>
        </w:rPr>
        <w:t>Section 6.5</w:t>
      </w:r>
      <w:r>
        <w:rPr>
          <w:rFonts w:ascii="Arial" w:cs="Arial" w:eastAsia="Arial" w:hAnsi="Arial"/>
          <w:sz w:val="21"/>
          <w:szCs w:val="21"/>
          <w:color w:val="auto"/>
        </w:rPr>
        <w:t xml:space="preserve"> or otherwise under this Agreement.</w:t>
      </w:r>
    </w:p>
    <w:p>
      <w:pPr>
        <w:spacing w:after="0" w:line="153" w:lineRule="exact"/>
        <w:rPr>
          <w:rFonts w:ascii="Arial" w:cs="Arial" w:eastAsia="Arial" w:hAnsi="Arial"/>
          <w:sz w:val="21"/>
          <w:szCs w:val="21"/>
          <w:color w:val="auto"/>
        </w:rPr>
      </w:pPr>
    </w:p>
    <w:p>
      <w:pPr>
        <w:jc w:val="both"/>
        <w:ind w:firstLine="1276"/>
        <w:spacing w:after="0" w:line="261" w:lineRule="auto"/>
        <w:tabs>
          <w:tab w:leader="none" w:pos="1790"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foregoing power of attorney is irrevocable and coupled with an interest, and shall survive the death, disability, incapacity, dissolution, bankruptcy, insolvency or termination of any holder of Units and the Transfer of all or any portion of his, her or its Units and shall extend to such holder’s heirs, successors, assigns and personal representatives.</w:t>
      </w:r>
    </w:p>
    <w:p>
      <w:pPr>
        <w:spacing w:after="0" w:line="135" w:lineRule="exact"/>
        <w:rPr>
          <w:sz w:val="20"/>
          <w:szCs w:val="20"/>
          <w:color w:val="auto"/>
        </w:rPr>
      </w:pPr>
    </w:p>
    <w:p>
      <w:pPr>
        <w:ind w:left="320"/>
        <w:spacing w:after="0"/>
        <w:tabs>
          <w:tab w:leader="none" w:pos="940" w:val="left"/>
        </w:tabs>
        <w:rPr>
          <w:sz w:val="20"/>
          <w:szCs w:val="20"/>
          <w:color w:val="auto"/>
        </w:rPr>
      </w:pPr>
      <w:r>
        <w:rPr>
          <w:rFonts w:ascii="Arial" w:cs="Arial" w:eastAsia="Arial" w:hAnsi="Arial"/>
          <w:sz w:val="21"/>
          <w:szCs w:val="21"/>
          <w:color w:val="010000"/>
        </w:rPr>
        <w:t>14.2</w:t>
      </w:r>
      <w:r>
        <w:rPr>
          <w:sz w:val="20"/>
          <w:szCs w:val="20"/>
          <w:color w:val="auto"/>
        </w:rPr>
        <w:tab/>
      </w:r>
      <w:r>
        <w:rPr>
          <w:rFonts w:ascii="Arial" w:cs="Arial" w:eastAsia="Arial" w:hAnsi="Arial"/>
          <w:sz w:val="19"/>
          <w:szCs w:val="19"/>
          <w:u w:val="single" w:color="auto"/>
          <w:color w:val="auto"/>
        </w:rPr>
        <w:t>Amendments</w:t>
      </w:r>
      <w:r>
        <w:rPr>
          <w:rFonts w:ascii="Arial" w:cs="Arial" w:eastAsia="Arial" w:hAnsi="Arial"/>
          <w:sz w:val="19"/>
          <w:szCs w:val="19"/>
          <w:color w:val="auto"/>
        </w:rPr>
        <w:t>.</w:t>
      </w:r>
    </w:p>
    <w:p>
      <w:pPr>
        <w:spacing w:after="0" w:line="183" w:lineRule="exact"/>
        <w:rPr>
          <w:sz w:val="20"/>
          <w:szCs w:val="20"/>
          <w:color w:val="auto"/>
        </w:rPr>
      </w:pPr>
    </w:p>
    <w:p>
      <w:pPr>
        <w:jc w:val="both"/>
        <w:ind w:firstLine="1276"/>
        <w:spacing w:after="0" w:line="242" w:lineRule="auto"/>
        <w:tabs>
          <w:tab w:leader="none" w:pos="1746" w:val="left"/>
        </w:tabs>
        <w:numPr>
          <w:ilvl w:val="0"/>
          <w:numId w:val="97"/>
        </w:numPr>
        <w:rPr>
          <w:rFonts w:ascii="Arial" w:cs="Arial" w:eastAsia="Arial" w:hAnsi="Arial"/>
          <w:sz w:val="20"/>
          <w:szCs w:val="20"/>
          <w:color w:val="auto"/>
        </w:rPr>
      </w:pPr>
      <w:r>
        <w:rPr>
          <w:rFonts w:ascii="Arial" w:cs="Arial" w:eastAsia="Arial" w:hAnsi="Arial"/>
          <w:sz w:val="20"/>
          <w:szCs w:val="20"/>
          <w:color w:val="auto"/>
        </w:rPr>
        <w:t xml:space="preserve">The Managing Member (pursuant to its power of attorney from the holders of Units as provided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14.1</w:t>
      </w:r>
      <w:r>
        <w:rPr>
          <w:rFonts w:ascii="Arial" w:cs="Arial" w:eastAsia="Arial" w:hAnsi="Arial"/>
          <w:sz w:val="20"/>
          <w:szCs w:val="20"/>
          <w:color w:val="auto"/>
        </w:rPr>
        <w:t xml:space="preserve"> or otherwise), without the consent of any holder of Units, may amend any provision of this Agreement, and execute, swear to, acknowledge, deliver, file and record whatever documents may be required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20"/>
        <w:spacing w:after="0"/>
        <w:rPr>
          <w:sz w:val="20"/>
          <w:szCs w:val="20"/>
          <w:color w:val="auto"/>
        </w:rPr>
      </w:pPr>
      <w:r>
        <w:rPr>
          <w:rFonts w:ascii="Arial" w:cs="Arial" w:eastAsia="Arial" w:hAnsi="Arial"/>
          <w:sz w:val="21"/>
          <w:szCs w:val="21"/>
          <w:color w:val="auto"/>
        </w:rPr>
        <w:t>39</w:t>
      </w:r>
    </w:p>
    <w:p>
      <w:pPr>
        <w:sectPr>
          <w:pgSz w:w="11900" w:h="16838" w:orient="portrait"/>
          <w:cols w:equalWidth="0" w:num="1">
            <w:col w:w="10920"/>
          </w:cols>
          <w:pgMar w:left="640" w:top="1371" w:right="339" w:bottom="1440" w:gutter="0" w:footer="0" w:header="0"/>
        </w:sectPr>
      </w:pPr>
    </w:p>
    <w:bookmarkStart w:id="212" w:name="page213"/>
    <w:bookmarkEnd w:id="212"/>
    <w:p>
      <w:pPr>
        <w:jc w:val="both"/>
        <w:ind w:left="320" w:firstLine="1276"/>
        <w:spacing w:after="0" w:line="233" w:lineRule="auto"/>
        <w:tabs>
          <w:tab w:leader="none" w:pos="2162" w:val="left"/>
        </w:tabs>
        <w:numPr>
          <w:ilvl w:val="0"/>
          <w:numId w:val="98"/>
        </w:numPr>
        <w:rPr>
          <w:rFonts w:ascii="Arial" w:cs="Arial" w:eastAsia="Arial" w:hAnsi="Arial"/>
          <w:sz w:val="20"/>
          <w:szCs w:val="20"/>
          <w:color w:val="auto"/>
        </w:rPr>
      </w:pPr>
      <w:r>
        <w:rPr>
          <w:rFonts w:ascii="Arial" w:cs="Arial" w:eastAsia="Arial" w:hAnsi="Arial"/>
          <w:sz w:val="20"/>
          <w:szCs w:val="20"/>
          <w:color w:val="auto"/>
        </w:rPr>
        <w:t xml:space="preserve">Any amendment or modification effected in accordance with this </w:t>
      </w:r>
      <w:r>
        <w:rPr>
          <w:rFonts w:ascii="Arial" w:cs="Arial" w:eastAsia="Arial" w:hAnsi="Arial"/>
          <w:sz w:val="20"/>
          <w:szCs w:val="20"/>
          <w:u w:val="single" w:color="auto"/>
          <w:color w:val="auto"/>
        </w:rPr>
        <w:t>Section 14.2(a)</w:t>
      </w:r>
      <w:r>
        <w:rPr>
          <w:rFonts w:ascii="Arial" w:cs="Arial" w:eastAsia="Arial" w:hAnsi="Arial"/>
          <w:sz w:val="20"/>
          <w:szCs w:val="20"/>
          <w:color w:val="auto"/>
        </w:rPr>
        <w:t xml:space="preserve"> shall be effective, in accordance with its terms, with respect to the rights and obligations of and binding upon all Members. For the avoidance of doubt, without any action or requirement of consent by any Member, the Company shall update the books and records of the Company to remove a Member’s name therefrom once such Member no longer holds any Equity Securities, following which such Person shall cease to be a “Member” or have any rights or obligations under this Agreement.</w:t>
      </w:r>
    </w:p>
    <w:p>
      <w:pPr>
        <w:spacing w:after="0" w:line="156" w:lineRule="exact"/>
        <w:rPr>
          <w:sz w:val="20"/>
          <w:szCs w:val="20"/>
          <w:color w:val="auto"/>
        </w:rPr>
      </w:pPr>
    </w:p>
    <w:p>
      <w:pPr>
        <w:jc w:val="both"/>
        <w:ind w:firstLine="636"/>
        <w:spacing w:after="0" w:line="231" w:lineRule="auto"/>
        <w:rPr>
          <w:sz w:val="20"/>
          <w:szCs w:val="20"/>
          <w:color w:val="auto"/>
        </w:rPr>
      </w:pPr>
      <w:r>
        <w:rPr>
          <w:rFonts w:ascii="Arial" w:cs="Arial" w:eastAsia="Arial" w:hAnsi="Arial"/>
          <w:sz w:val="20"/>
          <w:szCs w:val="20"/>
          <w:color w:val="010000"/>
        </w:rPr>
        <w:t xml:space="preserve">14.3 </w:t>
      </w:r>
      <w:r>
        <w:rPr>
          <w:rFonts w:ascii="Arial" w:cs="Arial" w:eastAsia="Arial" w:hAnsi="Arial"/>
          <w:sz w:val="20"/>
          <w:szCs w:val="20"/>
          <w:u w:val="single" w:color="auto"/>
          <w:color w:val="000000"/>
        </w:rPr>
        <w:t>Title to Company Assets</w:t>
      </w:r>
      <w:r>
        <w:rPr>
          <w:rFonts w:ascii="Arial" w:cs="Arial" w:eastAsia="Arial" w:hAnsi="Arial"/>
          <w:sz w:val="20"/>
          <w:szCs w:val="20"/>
          <w:color w:val="000000"/>
        </w:rPr>
        <w:t>. The Company assets shall be deemed to be owned by the Company as an entity, and no</w:t>
      </w:r>
      <w:r>
        <w:rPr>
          <w:rFonts w:ascii="Arial" w:cs="Arial" w:eastAsia="Arial" w:hAnsi="Arial"/>
          <w:sz w:val="20"/>
          <w:szCs w:val="20"/>
          <w:color w:val="010000"/>
        </w:rPr>
        <w:t xml:space="preserve"> </w:t>
      </w:r>
      <w:r>
        <w:rPr>
          <w:rFonts w:ascii="Arial" w:cs="Arial" w:eastAsia="Arial" w:hAnsi="Arial"/>
          <w:sz w:val="20"/>
          <w:szCs w:val="20"/>
          <w:color w:val="000000"/>
        </w:rPr>
        <w:t>holder of Units, individually or collectively, shall have any ownership interest in such Company assets or any portion thereof. The Managing Member hereby declares and warrants that any Company assets for which legal title is held in its name or the name of any nominee shall be held in trust by the Managing Member or such nominee for the use and benefit of the Company in accordance with the provisions of this Agreement. All Company assets shall be recorded as the property of the Company on its books and records, irrespective of the name in which legal title to such Company assets is held.</w:t>
      </w:r>
    </w:p>
    <w:p>
      <w:pPr>
        <w:spacing w:after="0" w:line="156"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0"/>
          <w:szCs w:val="20"/>
          <w:color w:val="010000"/>
        </w:rPr>
        <w:t xml:space="preserve">14.4 </w:t>
      </w:r>
      <w:r>
        <w:rPr>
          <w:rFonts w:ascii="Arial" w:cs="Arial" w:eastAsia="Arial" w:hAnsi="Arial"/>
          <w:sz w:val="20"/>
          <w:szCs w:val="20"/>
          <w:u w:val="single" w:color="auto"/>
          <w:color w:val="000000"/>
        </w:rPr>
        <w:t>Addresses and Notices</w:t>
      </w:r>
      <w:r>
        <w:rPr>
          <w:rFonts w:ascii="Arial" w:cs="Arial" w:eastAsia="Arial" w:hAnsi="Arial"/>
          <w:sz w:val="20"/>
          <w:szCs w:val="20"/>
          <w:color w:val="000000"/>
        </w:rPr>
        <w:t>. Any notice provided for in this Agreement will be in writing and will be either personally</w:t>
      </w:r>
      <w:r>
        <w:rPr>
          <w:rFonts w:ascii="Arial" w:cs="Arial" w:eastAsia="Arial" w:hAnsi="Arial"/>
          <w:sz w:val="20"/>
          <w:szCs w:val="20"/>
          <w:color w:val="010000"/>
        </w:rPr>
        <w:t xml:space="preserve"> </w:t>
      </w:r>
      <w:r>
        <w:rPr>
          <w:rFonts w:ascii="Arial" w:cs="Arial" w:eastAsia="Arial" w:hAnsi="Arial"/>
          <w:sz w:val="20"/>
          <w:szCs w:val="20"/>
          <w:color w:val="000000"/>
        </w:rPr>
        <w:t>delivered, or received by certified mail, return receipt requested, sent by reputable overnight courier service (charges prepaid) or facsimile to the Company at the address set forth below and to any other recipient and to any holder of Units at such address as indicated by the Company’s records, or at such address or to the attention of such other person as the recipient party has specified by prior written notice to the sending party. Notices will be deemed to have been given hereunder when delivered personally or sent by facsimile (provided confirmation of transmission is received), three days after deposit in the U.S. mail and one day after deposit with a reputable overnight courier service. The Company’s address is:</w:t>
      </w:r>
    </w:p>
    <w:p>
      <w:pPr>
        <w:spacing w:after="0" w:line="153" w:lineRule="exact"/>
        <w:rPr>
          <w:sz w:val="20"/>
          <w:szCs w:val="20"/>
          <w:color w:val="auto"/>
        </w:rPr>
      </w:pPr>
    </w:p>
    <w:p>
      <w:pPr>
        <w:ind w:left="1280"/>
        <w:spacing w:after="0"/>
        <w:rPr>
          <w:sz w:val="20"/>
          <w:szCs w:val="20"/>
          <w:color w:val="auto"/>
        </w:rPr>
      </w:pPr>
      <w:r>
        <w:rPr>
          <w:rFonts w:ascii="Arial" w:cs="Arial" w:eastAsia="Arial" w:hAnsi="Arial"/>
          <w:sz w:val="21"/>
          <w:szCs w:val="21"/>
          <w:u w:val="single" w:color="auto"/>
          <w:color w:val="auto"/>
        </w:rPr>
        <w:t>To the Company</w:t>
      </w:r>
      <w:r>
        <w:rPr>
          <w:rFonts w:ascii="Arial" w:cs="Arial" w:eastAsia="Arial" w:hAnsi="Arial"/>
          <w:sz w:val="21"/>
          <w:szCs w:val="21"/>
          <w:color w:val="auto"/>
        </w:rPr>
        <w:t>:</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ZoomInfo Holdings LLC</w:t>
      </w:r>
    </w:p>
    <w:p>
      <w:pPr>
        <w:ind w:left="1280"/>
        <w:spacing w:after="0" w:line="210" w:lineRule="auto"/>
        <w:rPr>
          <w:sz w:val="20"/>
          <w:szCs w:val="20"/>
          <w:color w:val="auto"/>
        </w:rPr>
      </w:pPr>
      <w:r>
        <w:rPr>
          <w:rFonts w:ascii="Arial" w:cs="Arial" w:eastAsia="Arial" w:hAnsi="Arial"/>
          <w:sz w:val="21"/>
          <w:szCs w:val="21"/>
          <w:color w:val="auto"/>
        </w:rPr>
        <w:t>c/o ZoomInfo Technologies Inc.</w:t>
      </w:r>
    </w:p>
    <w:p>
      <w:pPr>
        <w:ind w:left="1280"/>
        <w:spacing w:after="0" w:line="211" w:lineRule="auto"/>
        <w:rPr>
          <w:sz w:val="20"/>
          <w:szCs w:val="20"/>
          <w:color w:val="auto"/>
        </w:rPr>
      </w:pPr>
      <w:r>
        <w:rPr>
          <w:rFonts w:ascii="Arial" w:cs="Arial" w:eastAsia="Arial" w:hAnsi="Arial"/>
          <w:sz w:val="21"/>
          <w:szCs w:val="21"/>
          <w:color w:val="auto"/>
        </w:rPr>
        <w:t>805 Broadway Street, Suite 900</w:t>
      </w:r>
    </w:p>
    <w:p>
      <w:pPr>
        <w:ind w:left="1280"/>
        <w:spacing w:after="0" w:line="211" w:lineRule="auto"/>
        <w:rPr>
          <w:sz w:val="20"/>
          <w:szCs w:val="20"/>
          <w:color w:val="auto"/>
        </w:rPr>
      </w:pPr>
      <w:r>
        <w:rPr>
          <w:rFonts w:ascii="Arial" w:cs="Arial" w:eastAsia="Arial" w:hAnsi="Arial"/>
          <w:sz w:val="21"/>
          <w:szCs w:val="21"/>
          <w:color w:val="auto"/>
        </w:rPr>
        <w:t>Vancouver, WA 98660</w:t>
      </w:r>
    </w:p>
    <w:p>
      <w:pPr>
        <w:ind w:left="1280"/>
        <w:spacing w:after="0" w:line="210" w:lineRule="auto"/>
        <w:rPr>
          <w:sz w:val="20"/>
          <w:szCs w:val="20"/>
          <w:color w:val="auto"/>
        </w:rPr>
      </w:pPr>
      <w:r>
        <w:rPr>
          <w:rFonts w:ascii="Arial" w:cs="Arial" w:eastAsia="Arial" w:hAnsi="Arial"/>
          <w:sz w:val="21"/>
          <w:szCs w:val="21"/>
          <w:color w:val="auto"/>
        </w:rPr>
        <w:t>Attention: Anthony Stark, General Counsel</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Email: anthony.stark@zoominfo.com</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1"/>
          <w:szCs w:val="21"/>
          <w:u w:val="single" w:color="auto"/>
          <w:color w:val="auto"/>
        </w:rPr>
        <w:t>To the Managing Member</w:t>
      </w:r>
      <w:r>
        <w:rPr>
          <w:rFonts w:ascii="Arial" w:cs="Arial" w:eastAsia="Arial" w:hAnsi="Arial"/>
          <w:sz w:val="21"/>
          <w:szCs w:val="21"/>
          <w:color w:val="auto"/>
        </w:rPr>
        <w:t>:</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ZoomInfo Intermediate Inc. (formerly known as ZoomInfo Technologies Inc.)</w:t>
      </w:r>
    </w:p>
    <w:p>
      <w:pPr>
        <w:ind w:left="1280"/>
        <w:spacing w:after="0" w:line="210" w:lineRule="auto"/>
        <w:rPr>
          <w:sz w:val="20"/>
          <w:szCs w:val="20"/>
          <w:color w:val="auto"/>
        </w:rPr>
      </w:pPr>
      <w:r>
        <w:rPr>
          <w:rFonts w:ascii="Arial" w:cs="Arial" w:eastAsia="Arial" w:hAnsi="Arial"/>
          <w:sz w:val="21"/>
          <w:szCs w:val="21"/>
          <w:color w:val="auto"/>
        </w:rPr>
        <w:t>805 Broadway Street, Suite 900</w:t>
      </w:r>
    </w:p>
    <w:p>
      <w:pPr>
        <w:ind w:left="1280"/>
        <w:spacing w:after="0" w:line="211" w:lineRule="auto"/>
        <w:rPr>
          <w:sz w:val="20"/>
          <w:szCs w:val="20"/>
          <w:color w:val="auto"/>
        </w:rPr>
      </w:pPr>
      <w:r>
        <w:rPr>
          <w:rFonts w:ascii="Arial" w:cs="Arial" w:eastAsia="Arial" w:hAnsi="Arial"/>
          <w:sz w:val="21"/>
          <w:szCs w:val="21"/>
          <w:color w:val="auto"/>
        </w:rPr>
        <w:t>Vancouver, WA 98660</w:t>
      </w:r>
    </w:p>
    <w:p>
      <w:pPr>
        <w:ind w:left="1280"/>
        <w:spacing w:after="0" w:line="211" w:lineRule="auto"/>
        <w:rPr>
          <w:sz w:val="20"/>
          <w:szCs w:val="20"/>
          <w:color w:val="auto"/>
        </w:rPr>
      </w:pPr>
      <w:r>
        <w:rPr>
          <w:rFonts w:ascii="Arial" w:cs="Arial" w:eastAsia="Arial" w:hAnsi="Arial"/>
          <w:sz w:val="21"/>
          <w:szCs w:val="21"/>
          <w:color w:val="auto"/>
        </w:rPr>
        <w:t>Attention: Anthony Stark, General Counsel</w:t>
      </w:r>
    </w:p>
    <w:p>
      <w:pPr>
        <w:ind w:left="1280"/>
        <w:spacing w:after="0"/>
        <w:rPr>
          <w:sz w:val="20"/>
          <w:szCs w:val="20"/>
          <w:color w:val="auto"/>
        </w:rPr>
      </w:pPr>
      <w:r>
        <w:rPr>
          <w:rFonts w:ascii="Arial" w:cs="Arial" w:eastAsia="Arial" w:hAnsi="Arial"/>
          <w:sz w:val="21"/>
          <w:szCs w:val="21"/>
          <w:color w:val="auto"/>
        </w:rPr>
        <w:t>Email: anthony.stark@zoominfo.com</w:t>
      </w:r>
    </w:p>
    <w:p>
      <w:pPr>
        <w:spacing w:after="0" w:line="165"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in each case, with a copy (which shall not constitute written notice) to:</w:t>
      </w:r>
    </w:p>
    <w:p>
      <w:pPr>
        <w:spacing w:after="0" w:line="17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Simpson Thacher &amp; Bartlett LLP</w:t>
      </w:r>
    </w:p>
    <w:p>
      <w:pPr>
        <w:ind w:left="1280"/>
        <w:spacing w:after="0" w:line="210" w:lineRule="auto"/>
        <w:rPr>
          <w:sz w:val="20"/>
          <w:szCs w:val="20"/>
          <w:color w:val="auto"/>
        </w:rPr>
      </w:pPr>
      <w:r>
        <w:rPr>
          <w:rFonts w:ascii="Arial" w:cs="Arial" w:eastAsia="Arial" w:hAnsi="Arial"/>
          <w:sz w:val="21"/>
          <w:szCs w:val="21"/>
          <w:color w:val="auto"/>
        </w:rPr>
        <w:t>425 Lexington Avenue</w:t>
      </w:r>
    </w:p>
    <w:p>
      <w:pPr>
        <w:ind w:left="1280"/>
        <w:spacing w:after="0" w:line="211" w:lineRule="auto"/>
        <w:rPr>
          <w:sz w:val="20"/>
          <w:szCs w:val="20"/>
          <w:color w:val="auto"/>
        </w:rPr>
      </w:pPr>
      <w:r>
        <w:rPr>
          <w:rFonts w:ascii="Arial" w:cs="Arial" w:eastAsia="Arial" w:hAnsi="Arial"/>
          <w:sz w:val="21"/>
          <w:szCs w:val="21"/>
          <w:color w:val="auto"/>
        </w:rPr>
        <w:t>New York, NY 10017</w:t>
      </w:r>
    </w:p>
    <w:p>
      <w:pPr>
        <w:ind w:left="1280"/>
        <w:spacing w:after="0" w:line="211" w:lineRule="auto"/>
        <w:rPr>
          <w:sz w:val="20"/>
          <w:szCs w:val="20"/>
          <w:color w:val="auto"/>
        </w:rPr>
      </w:pPr>
      <w:r>
        <w:rPr>
          <w:rFonts w:ascii="Arial" w:cs="Arial" w:eastAsia="Arial" w:hAnsi="Arial"/>
          <w:sz w:val="21"/>
          <w:szCs w:val="21"/>
          <w:color w:val="auto"/>
        </w:rPr>
        <w:t>Attention: Richard A. Fenyes</w:t>
      </w:r>
    </w:p>
    <w:p>
      <w:pPr>
        <w:ind w:left="1280"/>
        <w:spacing w:after="0" w:line="210" w:lineRule="auto"/>
        <w:rPr>
          <w:sz w:val="20"/>
          <w:szCs w:val="20"/>
          <w:color w:val="auto"/>
        </w:rPr>
      </w:pPr>
      <w:r>
        <w:rPr>
          <w:rFonts w:ascii="Arial" w:cs="Arial" w:eastAsia="Arial" w:hAnsi="Arial"/>
          <w:sz w:val="21"/>
          <w:szCs w:val="21"/>
          <w:color w:val="auto"/>
        </w:rPr>
        <w:t>Telecopy No.: (212) 455-2502</w:t>
      </w:r>
    </w:p>
    <w:p>
      <w:pPr>
        <w:spacing w:after="0" w:line="1"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Email: rfenyes@stblaw.com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ectPr>
          <w:pgSz w:w="11900" w:h="16838" w:orient="portrait"/>
          <w:cols w:equalWidth="0" w:num="1">
            <w:col w:w="11240"/>
          </w:cols>
          <w:pgMar w:left="320" w:top="1377" w:right="339" w:bottom="1440" w:gutter="0" w:footer="0" w:header="0"/>
        </w:sectPr>
      </w:pPr>
    </w:p>
    <w:bookmarkStart w:id="213" w:name="page214"/>
    <w:bookmarkEnd w:id="213"/>
    <w:p>
      <w:pPr>
        <w:jc w:val="both"/>
        <w:ind w:firstLine="636"/>
        <w:spacing w:after="0" w:line="239" w:lineRule="auto"/>
        <w:rPr>
          <w:sz w:val="20"/>
          <w:szCs w:val="20"/>
          <w:color w:val="auto"/>
        </w:rPr>
      </w:pPr>
      <w:r>
        <w:rPr>
          <w:rFonts w:ascii="Arial" w:cs="Arial" w:eastAsia="Arial" w:hAnsi="Arial"/>
          <w:sz w:val="21"/>
          <w:szCs w:val="21"/>
          <w:color w:val="010000"/>
        </w:rPr>
        <w:t xml:space="preserve">14.5 </w:t>
      </w:r>
      <w:r>
        <w:rPr>
          <w:rFonts w:ascii="Arial" w:cs="Arial" w:eastAsia="Arial" w:hAnsi="Arial"/>
          <w:sz w:val="21"/>
          <w:szCs w:val="21"/>
          <w:u w:val="single" w:color="auto"/>
          <w:color w:val="000000"/>
        </w:rPr>
        <w:t>Binding Effect</w:t>
      </w:r>
      <w:r>
        <w:rPr>
          <w:rFonts w:ascii="Arial" w:cs="Arial" w:eastAsia="Arial" w:hAnsi="Arial"/>
          <w:sz w:val="21"/>
          <w:szCs w:val="21"/>
          <w:color w:val="000000"/>
        </w:rPr>
        <w:t>. This Agreement shall be binding upon and inure to the benefit of the parties hereto and their heirs,</w:t>
      </w:r>
      <w:r>
        <w:rPr>
          <w:rFonts w:ascii="Arial" w:cs="Arial" w:eastAsia="Arial" w:hAnsi="Arial"/>
          <w:sz w:val="21"/>
          <w:szCs w:val="21"/>
          <w:color w:val="010000"/>
        </w:rPr>
        <w:t xml:space="preserve"> </w:t>
      </w:r>
      <w:r>
        <w:rPr>
          <w:rFonts w:ascii="Arial" w:cs="Arial" w:eastAsia="Arial" w:hAnsi="Arial"/>
          <w:sz w:val="21"/>
          <w:szCs w:val="21"/>
          <w:color w:val="000000"/>
        </w:rPr>
        <w:t>executors, administrators, successors, legal representatives and permitted assigns.</w:t>
      </w:r>
    </w:p>
    <w:p>
      <w:pPr>
        <w:spacing w:after="0" w:line="155" w:lineRule="exact"/>
        <w:rPr>
          <w:sz w:val="20"/>
          <w:szCs w:val="20"/>
          <w:color w:val="auto"/>
        </w:rPr>
      </w:pPr>
    </w:p>
    <w:p>
      <w:pPr>
        <w:jc w:val="both"/>
        <w:ind w:firstLine="636"/>
        <w:spacing w:after="0" w:line="222" w:lineRule="auto"/>
        <w:rPr>
          <w:sz w:val="20"/>
          <w:szCs w:val="20"/>
          <w:color w:val="auto"/>
        </w:rPr>
      </w:pPr>
      <w:r>
        <w:rPr>
          <w:rFonts w:ascii="Arial" w:cs="Arial" w:eastAsia="Arial" w:hAnsi="Arial"/>
          <w:sz w:val="21"/>
          <w:szCs w:val="21"/>
          <w:color w:val="010000"/>
        </w:rPr>
        <w:t xml:space="preserve">14.6 </w:t>
      </w:r>
      <w:r>
        <w:rPr>
          <w:rFonts w:ascii="Arial" w:cs="Arial" w:eastAsia="Arial" w:hAnsi="Arial"/>
          <w:sz w:val="21"/>
          <w:szCs w:val="21"/>
          <w:u w:val="single" w:color="auto"/>
          <w:color w:val="000000"/>
        </w:rPr>
        <w:t>Creditors</w:t>
      </w:r>
      <w:r>
        <w:rPr>
          <w:rFonts w:ascii="Arial" w:cs="Arial" w:eastAsia="Arial" w:hAnsi="Arial"/>
          <w:sz w:val="21"/>
          <w:szCs w:val="21"/>
          <w:color w:val="000000"/>
        </w:rPr>
        <w:t>. None of the provisions of this Agreement shall be for the benefit of or enforceable by any creditors of the</w:t>
      </w:r>
      <w:r>
        <w:rPr>
          <w:rFonts w:ascii="Arial" w:cs="Arial" w:eastAsia="Arial" w:hAnsi="Arial"/>
          <w:sz w:val="21"/>
          <w:szCs w:val="21"/>
          <w:color w:val="010000"/>
        </w:rPr>
        <w:t xml:space="preserve"> </w:t>
      </w:r>
      <w:r>
        <w:rPr>
          <w:rFonts w:ascii="Arial" w:cs="Arial" w:eastAsia="Arial" w:hAnsi="Arial"/>
          <w:sz w:val="21"/>
          <w:szCs w:val="21"/>
          <w:color w:val="000000"/>
        </w:rPr>
        <w:t>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Company Profits, Losses, Distributions, capital or property other than as a secured creditor.</w:t>
      </w:r>
    </w:p>
    <w:p>
      <w:pPr>
        <w:spacing w:after="0" w:line="155"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14.7 </w:t>
      </w:r>
      <w:r>
        <w:rPr>
          <w:rFonts w:ascii="Arial" w:cs="Arial" w:eastAsia="Arial" w:hAnsi="Arial"/>
          <w:sz w:val="21"/>
          <w:szCs w:val="21"/>
          <w:u w:val="single" w:color="auto"/>
          <w:color w:val="000000"/>
        </w:rPr>
        <w:t>Waiver</w:t>
      </w:r>
      <w:r>
        <w:rPr>
          <w:rFonts w:ascii="Arial" w:cs="Arial" w:eastAsia="Arial" w:hAnsi="Arial"/>
          <w:sz w:val="21"/>
          <w:szCs w:val="21"/>
          <w:color w:val="000000"/>
        </w:rPr>
        <w:t>. No failure by any party to insist upon the strict performance of any covenant, duty, agreement or condition</w:t>
      </w:r>
      <w:r>
        <w:rPr>
          <w:rFonts w:ascii="Arial" w:cs="Arial" w:eastAsia="Arial" w:hAnsi="Arial"/>
          <w:sz w:val="21"/>
          <w:szCs w:val="21"/>
          <w:color w:val="010000"/>
        </w:rPr>
        <w:t xml:space="preserve"> </w:t>
      </w:r>
      <w:r>
        <w:rPr>
          <w:rFonts w:ascii="Arial" w:cs="Arial" w:eastAsia="Arial" w:hAnsi="Arial"/>
          <w:sz w:val="21"/>
          <w:szCs w:val="21"/>
          <w:color w:val="000000"/>
        </w:rPr>
        <w:t>of this Agreement or to exercise any right or remedy consequent upon a breach thereof shall constitute a waiver of any such breach or any other covenant, duty, agreement or condition.</w:t>
      </w:r>
    </w:p>
    <w:p>
      <w:pPr>
        <w:spacing w:after="0" w:line="154" w:lineRule="exact"/>
        <w:rPr>
          <w:sz w:val="20"/>
          <w:szCs w:val="20"/>
          <w:color w:val="auto"/>
        </w:rPr>
      </w:pPr>
    </w:p>
    <w:p>
      <w:pPr>
        <w:jc w:val="both"/>
        <w:ind w:firstLine="636"/>
        <w:spacing w:after="0" w:line="239" w:lineRule="auto"/>
        <w:rPr>
          <w:sz w:val="20"/>
          <w:szCs w:val="20"/>
          <w:color w:val="auto"/>
        </w:rPr>
      </w:pPr>
      <w:r>
        <w:rPr>
          <w:rFonts w:ascii="Arial" w:cs="Arial" w:eastAsia="Arial" w:hAnsi="Arial"/>
          <w:sz w:val="21"/>
          <w:szCs w:val="21"/>
          <w:color w:val="010000"/>
        </w:rPr>
        <w:t xml:space="preserve">14.8 </w:t>
      </w:r>
      <w:r>
        <w:rPr>
          <w:rFonts w:ascii="Arial" w:cs="Arial" w:eastAsia="Arial" w:hAnsi="Arial"/>
          <w:sz w:val="21"/>
          <w:szCs w:val="21"/>
          <w:u w:val="single" w:color="auto"/>
          <w:color w:val="000000"/>
        </w:rPr>
        <w:t>Counterparts</w:t>
      </w:r>
      <w:r>
        <w:rPr>
          <w:rFonts w:ascii="Arial" w:cs="Arial" w:eastAsia="Arial" w:hAnsi="Arial"/>
          <w:sz w:val="21"/>
          <w:szCs w:val="21"/>
          <w:color w:val="000000"/>
        </w:rPr>
        <w:t>. This Agreement may be executed in separate counterparts, each of which will be an original and all of</w:t>
      </w:r>
      <w:r>
        <w:rPr>
          <w:rFonts w:ascii="Arial" w:cs="Arial" w:eastAsia="Arial" w:hAnsi="Arial"/>
          <w:sz w:val="21"/>
          <w:szCs w:val="21"/>
          <w:color w:val="010000"/>
        </w:rPr>
        <w:t xml:space="preserve"> </w:t>
      </w:r>
      <w:r>
        <w:rPr>
          <w:rFonts w:ascii="Arial" w:cs="Arial" w:eastAsia="Arial" w:hAnsi="Arial"/>
          <w:sz w:val="21"/>
          <w:szCs w:val="21"/>
          <w:color w:val="000000"/>
        </w:rPr>
        <w:t>which together shall constitute one and the same agreement binding on all the parties hereto.</w:t>
      </w:r>
    </w:p>
    <w:p>
      <w:pPr>
        <w:spacing w:after="0" w:line="155" w:lineRule="exact"/>
        <w:rPr>
          <w:sz w:val="20"/>
          <w:szCs w:val="20"/>
          <w:color w:val="auto"/>
        </w:rPr>
      </w:pPr>
    </w:p>
    <w:p>
      <w:pPr>
        <w:jc w:val="both"/>
        <w:ind w:firstLine="636"/>
        <w:spacing w:after="0" w:line="216" w:lineRule="auto"/>
        <w:rPr>
          <w:sz w:val="20"/>
          <w:szCs w:val="20"/>
          <w:color w:val="auto"/>
        </w:rPr>
      </w:pPr>
      <w:r>
        <w:rPr>
          <w:rFonts w:ascii="Arial" w:cs="Arial" w:eastAsia="Arial" w:hAnsi="Arial"/>
          <w:sz w:val="21"/>
          <w:szCs w:val="21"/>
          <w:color w:val="010000"/>
        </w:rPr>
        <w:t xml:space="preserve">14.9 </w:t>
      </w:r>
      <w:r>
        <w:rPr>
          <w:rFonts w:ascii="Arial" w:cs="Arial" w:eastAsia="Arial" w:hAnsi="Arial"/>
          <w:sz w:val="21"/>
          <w:szCs w:val="21"/>
          <w:u w:val="single" w:color="auto"/>
          <w:color w:val="000000"/>
        </w:rPr>
        <w:t>Applicable Law; Waiver of Jury Trial</w:t>
      </w:r>
      <w:r>
        <w:rPr>
          <w:rFonts w:ascii="Arial" w:cs="Arial" w:eastAsia="Arial" w:hAnsi="Arial"/>
          <w:sz w:val="21"/>
          <w:szCs w:val="21"/>
          <w:color w:val="000000"/>
        </w:rPr>
        <w:t>. This Agreement shall be governed by, and construed in accordance with, the</w:t>
      </w:r>
      <w:r>
        <w:rPr>
          <w:rFonts w:ascii="Arial" w:cs="Arial" w:eastAsia="Arial" w:hAnsi="Arial"/>
          <w:sz w:val="21"/>
          <w:szCs w:val="21"/>
          <w:color w:val="010000"/>
        </w:rPr>
        <w:t xml:space="preserve"> </w:t>
      </w:r>
      <w:r>
        <w:rPr>
          <w:rFonts w:ascii="Arial" w:cs="Arial" w:eastAsia="Arial" w:hAnsi="Arial"/>
          <w:sz w:val="21"/>
          <w:szCs w:val="21"/>
          <w:color w:val="000000"/>
        </w:rPr>
        <w:t xml:space="preserve">laws of the State of Delaware, without giving effect to any choice of law or conflict of law rules or provisions (whether of the State of Delaware or any other jurisdiction) that would cause the application of the laws of any jurisdiction other than the State of Delaware. Any dispute relating hereto shall be heard in the state or federal courts of Delaware, and the parties agree to exclusive jurisdiction and venue therein and waive, to the fullest extent permitted by law, any objection based on venue or </w:t>
      </w:r>
      <w:r>
        <w:rPr>
          <w:rFonts w:ascii="Arial" w:cs="Arial" w:eastAsia="Arial" w:hAnsi="Arial"/>
          <w:sz w:val="21"/>
          <w:szCs w:val="21"/>
          <w:i w:val="1"/>
          <w:iCs w:val="1"/>
          <w:color w:val="000000"/>
        </w:rPr>
        <w:t>forum non</w:t>
      </w:r>
      <w:r>
        <w:rPr>
          <w:rFonts w:ascii="Arial" w:cs="Arial" w:eastAsia="Arial" w:hAnsi="Arial"/>
          <w:sz w:val="21"/>
          <w:szCs w:val="21"/>
          <w:color w:val="000000"/>
        </w:rPr>
        <w:t xml:space="preserve"> </w:t>
      </w:r>
      <w:r>
        <w:rPr>
          <w:rFonts w:ascii="Arial" w:cs="Arial" w:eastAsia="Arial" w:hAnsi="Arial"/>
          <w:sz w:val="21"/>
          <w:szCs w:val="21"/>
          <w:i w:val="1"/>
          <w:iCs w:val="1"/>
          <w:color w:val="000000"/>
        </w:rPr>
        <w:t xml:space="preserve">conveniens </w:t>
      </w:r>
      <w:r>
        <w:rPr>
          <w:rFonts w:ascii="Arial" w:cs="Arial" w:eastAsia="Arial" w:hAnsi="Arial"/>
          <w:sz w:val="21"/>
          <w:szCs w:val="21"/>
          <w:color w:val="000000"/>
        </w:rPr>
        <w:t>with respect to any action instituted therein. The parties hereto hereby consent to service being made through the notice</w:t>
      </w:r>
      <w:r>
        <w:rPr>
          <w:rFonts w:ascii="Arial" w:cs="Arial" w:eastAsia="Arial" w:hAnsi="Arial"/>
          <w:sz w:val="21"/>
          <w:szCs w:val="21"/>
          <w:i w:val="1"/>
          <w:iCs w:val="1"/>
          <w:color w:val="000000"/>
        </w:rPr>
        <w:t xml:space="preserve"> </w:t>
      </w:r>
      <w:r>
        <w:rPr>
          <w:rFonts w:ascii="Arial" w:cs="Arial" w:eastAsia="Arial" w:hAnsi="Arial"/>
          <w:sz w:val="21"/>
          <w:szCs w:val="21"/>
          <w:color w:val="000000"/>
        </w:rPr>
        <w:t xml:space="preserve">procedures set forth in </w:t>
      </w:r>
      <w:r>
        <w:rPr>
          <w:rFonts w:ascii="Arial" w:cs="Arial" w:eastAsia="Arial" w:hAnsi="Arial"/>
          <w:sz w:val="21"/>
          <w:szCs w:val="21"/>
          <w:u w:val="single" w:color="auto"/>
          <w:color w:val="000000"/>
        </w:rPr>
        <w:t>Section 14.4</w:t>
      </w:r>
      <w:r>
        <w:rPr>
          <w:rFonts w:ascii="Arial" w:cs="Arial" w:eastAsia="Arial" w:hAnsi="Arial"/>
          <w:sz w:val="21"/>
          <w:szCs w:val="21"/>
          <w:color w:val="000000"/>
        </w:rPr>
        <w:t xml:space="preserve"> and irrevocably submit to the jurisdiction of the aforesaid courts. THE PARTIES HERETO HEREBY IRREVOCABLY WAIVE, TO THE FULLEST EXTENT PERMITTED BY LAW, ANY AND ALL RIGHT TO TRIAL BY JURY IN ANY LEGAL PROCEEDING ARISING OUT OF OR RELATED TO THIS AGREEMENT OR THE TRANSACTIONS CONTEMPLATED HEREBY.</w:t>
      </w:r>
    </w:p>
    <w:p>
      <w:pPr>
        <w:spacing w:after="0" w:line="159" w:lineRule="exact"/>
        <w:rPr>
          <w:sz w:val="20"/>
          <w:szCs w:val="20"/>
          <w:color w:val="auto"/>
        </w:rPr>
      </w:pPr>
    </w:p>
    <w:p>
      <w:pPr>
        <w:jc w:val="both"/>
        <w:ind w:firstLine="636"/>
        <w:spacing w:after="0" w:line="247" w:lineRule="auto"/>
        <w:rPr>
          <w:sz w:val="20"/>
          <w:szCs w:val="20"/>
          <w:color w:val="auto"/>
        </w:rPr>
      </w:pPr>
      <w:r>
        <w:rPr>
          <w:rFonts w:ascii="Arial" w:cs="Arial" w:eastAsia="Arial" w:hAnsi="Arial"/>
          <w:sz w:val="19"/>
          <w:szCs w:val="19"/>
          <w:color w:val="010000"/>
        </w:rPr>
        <w:t xml:space="preserve">14.10 </w:t>
      </w:r>
      <w:r>
        <w:rPr>
          <w:rFonts w:ascii="Arial" w:cs="Arial" w:eastAsia="Arial" w:hAnsi="Arial"/>
          <w:sz w:val="19"/>
          <w:szCs w:val="19"/>
          <w:u w:val="single" w:color="auto"/>
          <w:color w:val="000000"/>
        </w:rPr>
        <w:t>Severability</w:t>
      </w:r>
      <w:r>
        <w:rPr>
          <w:rFonts w:ascii="Arial" w:cs="Arial" w:eastAsia="Arial" w:hAnsi="Arial"/>
          <w:sz w:val="19"/>
          <w:szCs w:val="19"/>
          <w:color w:val="000000"/>
        </w:rPr>
        <w:t>. Whenever possible, each provision of this Agreement will be interpreted in such manner as to be</w:t>
      </w:r>
      <w:r>
        <w:rPr>
          <w:rFonts w:ascii="Arial" w:cs="Arial" w:eastAsia="Arial" w:hAnsi="Arial"/>
          <w:sz w:val="19"/>
          <w:szCs w:val="19"/>
          <w:color w:val="010000"/>
        </w:rPr>
        <w:t xml:space="preserve"> </w:t>
      </w:r>
      <w:r>
        <w:rPr>
          <w:rFonts w:ascii="Arial" w:cs="Arial" w:eastAsia="Arial" w:hAnsi="Arial"/>
          <w:sz w:val="19"/>
          <w:szCs w:val="19"/>
          <w:color w:val="000000"/>
        </w:rPr>
        <w:t>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48" w:lineRule="exact"/>
        <w:rPr>
          <w:sz w:val="20"/>
          <w:szCs w:val="20"/>
          <w:color w:val="auto"/>
        </w:rPr>
      </w:pPr>
    </w:p>
    <w:p>
      <w:pPr>
        <w:jc w:val="both"/>
        <w:ind w:firstLine="636"/>
        <w:spacing w:after="0" w:line="230" w:lineRule="auto"/>
        <w:rPr>
          <w:sz w:val="20"/>
          <w:szCs w:val="20"/>
          <w:color w:val="auto"/>
        </w:rPr>
      </w:pPr>
      <w:r>
        <w:rPr>
          <w:rFonts w:ascii="Arial" w:cs="Arial" w:eastAsia="Arial" w:hAnsi="Arial"/>
          <w:sz w:val="21"/>
          <w:szCs w:val="21"/>
          <w:color w:val="010000"/>
        </w:rPr>
        <w:t xml:space="preserve">14.11 </w:t>
      </w:r>
      <w:r>
        <w:rPr>
          <w:rFonts w:ascii="Arial" w:cs="Arial" w:eastAsia="Arial" w:hAnsi="Arial"/>
          <w:sz w:val="21"/>
          <w:szCs w:val="21"/>
          <w:u w:val="single" w:color="auto"/>
          <w:color w:val="000000"/>
        </w:rPr>
        <w:t>Further Action</w:t>
      </w:r>
      <w:r>
        <w:rPr>
          <w:rFonts w:ascii="Arial" w:cs="Arial" w:eastAsia="Arial" w:hAnsi="Arial"/>
          <w:sz w:val="21"/>
          <w:szCs w:val="21"/>
          <w:color w:val="000000"/>
        </w:rPr>
        <w:t>. The parties shall use commercially reasonable efforts to execute and deliver all documents, provide</w:t>
      </w:r>
      <w:r>
        <w:rPr>
          <w:rFonts w:ascii="Arial" w:cs="Arial" w:eastAsia="Arial" w:hAnsi="Arial"/>
          <w:sz w:val="21"/>
          <w:szCs w:val="21"/>
          <w:color w:val="010000"/>
        </w:rPr>
        <w:t xml:space="preserve"> </w:t>
      </w:r>
      <w:r>
        <w:rPr>
          <w:rFonts w:ascii="Arial" w:cs="Arial" w:eastAsia="Arial" w:hAnsi="Arial"/>
          <w:sz w:val="21"/>
          <w:szCs w:val="21"/>
          <w:color w:val="000000"/>
        </w:rPr>
        <w:t>all information and take or refrain from taking such actions as may be necessary or appropriate to achieve the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ectPr>
          <w:pgSz w:w="11900" w:h="16838" w:orient="portrait"/>
          <w:cols w:equalWidth="0" w:num="1">
            <w:col w:w="11240"/>
          </w:cols>
          <w:pgMar w:left="320" w:top="1377" w:right="339" w:bottom="1440" w:gutter="0" w:footer="0" w:header="0"/>
        </w:sectPr>
      </w:pPr>
    </w:p>
    <w:bookmarkStart w:id="214" w:name="page215"/>
    <w:bookmarkEnd w:id="214"/>
    <w:p>
      <w:pPr>
        <w:jc w:val="both"/>
        <w:ind w:firstLine="636"/>
        <w:spacing w:after="0" w:line="225" w:lineRule="auto"/>
        <w:rPr>
          <w:sz w:val="20"/>
          <w:szCs w:val="20"/>
          <w:color w:val="auto"/>
        </w:rPr>
      </w:pPr>
      <w:r>
        <w:rPr>
          <w:rFonts w:ascii="Arial" w:cs="Arial" w:eastAsia="Arial" w:hAnsi="Arial"/>
          <w:sz w:val="20"/>
          <w:szCs w:val="20"/>
          <w:color w:val="010000"/>
        </w:rPr>
        <w:t xml:space="preserve">14.12 </w:t>
      </w:r>
      <w:r>
        <w:rPr>
          <w:rFonts w:ascii="Arial" w:cs="Arial" w:eastAsia="Arial" w:hAnsi="Arial"/>
          <w:sz w:val="20"/>
          <w:szCs w:val="20"/>
          <w:u w:val="single" w:color="auto"/>
          <w:color w:val="000000"/>
        </w:rPr>
        <w:t>Delivery by Facsimile</w:t>
      </w:r>
      <w:r>
        <w:rPr>
          <w:rFonts w:ascii="Arial" w:cs="Arial" w:eastAsia="Arial" w:hAnsi="Arial"/>
          <w:sz w:val="20"/>
          <w:szCs w:val="20"/>
          <w:color w:val="000000"/>
        </w:rPr>
        <w:t>. This Agreement and any signed agreement or instrument entered into in connection with this</w:t>
      </w:r>
      <w:r>
        <w:rPr>
          <w:rFonts w:ascii="Arial" w:cs="Arial" w:eastAsia="Arial" w:hAnsi="Arial"/>
          <w:sz w:val="20"/>
          <w:szCs w:val="20"/>
          <w:color w:val="010000"/>
        </w:rPr>
        <w:t xml:space="preserve"> </w:t>
      </w:r>
      <w:r>
        <w:rPr>
          <w:rFonts w:ascii="Arial" w:cs="Arial" w:eastAsia="Arial" w:hAnsi="Arial"/>
          <w:sz w:val="20"/>
          <w:szCs w:val="20"/>
          <w:color w:val="000000"/>
        </w:rPr>
        <w:t>Agreement or contemplated hereby, and any amendments hereto or thereto, to the extent signed and delivered by means of a facsimile machine or electronic transmission (i.e., in portable document format),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of a contract and each such party forever waives any such defense.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62"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010000"/>
        </w:rPr>
        <w:t xml:space="preserve">14.13 </w:t>
      </w:r>
      <w:r>
        <w:rPr>
          <w:rFonts w:ascii="Arial" w:cs="Arial" w:eastAsia="Arial" w:hAnsi="Arial"/>
          <w:sz w:val="21"/>
          <w:szCs w:val="21"/>
          <w:u w:val="single" w:color="auto"/>
          <w:color w:val="000000"/>
        </w:rPr>
        <w:t>Offset</w:t>
      </w:r>
      <w:r>
        <w:rPr>
          <w:rFonts w:ascii="Arial" w:cs="Arial" w:eastAsia="Arial" w:hAnsi="Arial"/>
          <w:sz w:val="21"/>
          <w:szCs w:val="21"/>
          <w:color w:val="000000"/>
        </w:rPr>
        <w:t>. Whenever the Company is to pay any sum to any holder of Units or any Affiliate or related person thereof,</w:t>
      </w:r>
      <w:r>
        <w:rPr>
          <w:rFonts w:ascii="Arial" w:cs="Arial" w:eastAsia="Arial" w:hAnsi="Arial"/>
          <w:sz w:val="21"/>
          <w:szCs w:val="21"/>
          <w:color w:val="010000"/>
        </w:rPr>
        <w:t xml:space="preserve"> </w:t>
      </w:r>
      <w:r>
        <w:rPr>
          <w:rFonts w:ascii="Arial" w:cs="Arial" w:eastAsia="Arial" w:hAnsi="Arial"/>
          <w:sz w:val="21"/>
          <w:szCs w:val="21"/>
          <w:color w:val="000000"/>
        </w:rPr>
        <w:t>any undisputed amounts that such holder of Units or such Affiliate or related person owes to the Company (such lack of dispute to be evidenced by written confirmation of such by such holder of Units or related person thereof) may be deducted from that sum before payment.</w:t>
      </w:r>
    </w:p>
    <w:p>
      <w:pPr>
        <w:spacing w:after="0" w:line="154" w:lineRule="exact"/>
        <w:rPr>
          <w:sz w:val="20"/>
          <w:szCs w:val="20"/>
          <w:color w:val="auto"/>
        </w:rPr>
      </w:pPr>
    </w:p>
    <w:p>
      <w:pPr>
        <w:jc w:val="both"/>
        <w:ind w:firstLine="636"/>
        <w:spacing w:after="0" w:line="225" w:lineRule="auto"/>
        <w:rPr>
          <w:sz w:val="20"/>
          <w:szCs w:val="20"/>
          <w:color w:val="auto"/>
        </w:rPr>
      </w:pPr>
      <w:r>
        <w:rPr>
          <w:rFonts w:ascii="Arial" w:cs="Arial" w:eastAsia="Arial" w:hAnsi="Arial"/>
          <w:sz w:val="21"/>
          <w:szCs w:val="21"/>
          <w:color w:val="010000"/>
        </w:rPr>
        <w:t xml:space="preserve">14.14 </w:t>
      </w:r>
      <w:r>
        <w:rPr>
          <w:rFonts w:ascii="Arial" w:cs="Arial" w:eastAsia="Arial" w:hAnsi="Arial"/>
          <w:sz w:val="21"/>
          <w:szCs w:val="21"/>
          <w:u w:val="single" w:color="auto"/>
          <w:color w:val="000000"/>
        </w:rPr>
        <w:t>Entire Agreement</w:t>
      </w:r>
      <w:r>
        <w:rPr>
          <w:rFonts w:ascii="Arial" w:cs="Arial" w:eastAsia="Arial" w:hAnsi="Arial"/>
          <w:sz w:val="21"/>
          <w:szCs w:val="21"/>
          <w:color w:val="000000"/>
        </w:rPr>
        <w:t>. This Agreement, those documents expressly referred to herein (including the Merger Agreement)</w:t>
      </w:r>
      <w:r>
        <w:rPr>
          <w:rFonts w:ascii="Arial" w:cs="Arial" w:eastAsia="Arial" w:hAnsi="Arial"/>
          <w:sz w:val="21"/>
          <w:szCs w:val="21"/>
          <w:color w:val="010000"/>
        </w:rPr>
        <w:t xml:space="preserve"> </w:t>
      </w:r>
      <w:r>
        <w:rPr>
          <w:rFonts w:ascii="Arial" w:cs="Arial" w:eastAsia="Arial" w:hAnsi="Arial"/>
          <w:sz w:val="21"/>
          <w:szCs w:val="21"/>
          <w:color w:val="000000"/>
        </w:rPr>
        <w:t>and other documents of even date herewith embody the complete agreement and understanding among the parties and supersede and preempt any prior understandings, agreements or representations by or among the parties, written or oral (including the Prior Agreement), which may have related to the subject matter hereof in any way.</w:t>
      </w:r>
    </w:p>
    <w:p>
      <w:pPr>
        <w:spacing w:after="0" w:line="154" w:lineRule="exact"/>
        <w:rPr>
          <w:sz w:val="20"/>
          <w:szCs w:val="20"/>
          <w:color w:val="auto"/>
        </w:rPr>
      </w:pPr>
    </w:p>
    <w:p>
      <w:pPr>
        <w:jc w:val="both"/>
        <w:ind w:firstLine="636"/>
        <w:spacing w:after="0" w:line="233" w:lineRule="auto"/>
        <w:rPr>
          <w:sz w:val="20"/>
          <w:szCs w:val="20"/>
          <w:color w:val="auto"/>
        </w:rPr>
      </w:pPr>
      <w:r>
        <w:rPr>
          <w:rFonts w:ascii="Arial" w:cs="Arial" w:eastAsia="Arial" w:hAnsi="Arial"/>
          <w:sz w:val="20"/>
          <w:szCs w:val="20"/>
          <w:color w:val="010000"/>
        </w:rPr>
        <w:t xml:space="preserve">14.15 </w:t>
      </w:r>
      <w:r>
        <w:rPr>
          <w:rFonts w:ascii="Arial" w:cs="Arial" w:eastAsia="Arial" w:hAnsi="Arial"/>
          <w:sz w:val="20"/>
          <w:szCs w:val="20"/>
          <w:u w:val="single" w:color="auto"/>
          <w:color w:val="000000"/>
        </w:rPr>
        <w:t>Remedies</w:t>
      </w:r>
      <w:r>
        <w:rPr>
          <w:rFonts w:ascii="Arial" w:cs="Arial" w:eastAsia="Arial" w:hAnsi="Arial"/>
          <w:sz w:val="20"/>
          <w:szCs w:val="20"/>
          <w:color w:val="000000"/>
        </w:rPr>
        <w:t>. Each holder of Units shall have all rights and remedies set forth in this Agreement and all rights and</w:t>
      </w:r>
      <w:r>
        <w:rPr>
          <w:rFonts w:ascii="Arial" w:cs="Arial" w:eastAsia="Arial" w:hAnsi="Arial"/>
          <w:sz w:val="20"/>
          <w:szCs w:val="20"/>
          <w:color w:val="010000"/>
        </w:rPr>
        <w:t xml:space="preserve"> </w:t>
      </w:r>
      <w:r>
        <w:rPr>
          <w:rFonts w:ascii="Arial" w:cs="Arial" w:eastAsia="Arial" w:hAnsi="Arial"/>
          <w:sz w:val="20"/>
          <w:szCs w:val="20"/>
          <w:color w:val="000000"/>
        </w:rPr>
        <w:t>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seek to enforce such rights specifically (without posting a bond or other security), to recover damages by reason of any breach of any provision of this Agreement and to exercise all other rights granted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ectPr>
          <w:pgSz w:w="11900" w:h="16838" w:orient="portrait"/>
          <w:cols w:equalWidth="0" w:num="1">
            <w:col w:w="11240"/>
          </w:cols>
          <w:pgMar w:left="320" w:top="1377" w:right="339" w:bottom="1440" w:gutter="0" w:footer="0" w:header="0"/>
        </w:sectPr>
      </w:pPr>
    </w:p>
    <w:bookmarkStart w:id="215" w:name="page216"/>
    <w:bookmarkEnd w:id="215"/>
    <w:p>
      <w:pPr>
        <w:jc w:val="both"/>
        <w:ind w:firstLine="636"/>
        <w:spacing w:after="0" w:line="226" w:lineRule="auto"/>
        <w:rPr>
          <w:sz w:val="20"/>
          <w:szCs w:val="20"/>
          <w:color w:val="auto"/>
        </w:rPr>
      </w:pPr>
      <w:r>
        <w:rPr>
          <w:rFonts w:ascii="Arial" w:cs="Arial" w:eastAsia="Arial" w:hAnsi="Arial"/>
          <w:sz w:val="20"/>
          <w:szCs w:val="20"/>
          <w:color w:val="010000"/>
        </w:rPr>
        <w:t xml:space="preserve">14.16 </w:t>
      </w:r>
      <w:r>
        <w:rPr>
          <w:rFonts w:ascii="Arial" w:cs="Arial" w:eastAsia="Arial" w:hAnsi="Arial"/>
          <w:sz w:val="20"/>
          <w:szCs w:val="20"/>
          <w:u w:val="single" w:color="auto"/>
          <w:color w:val="000000"/>
        </w:rPr>
        <w:t>Descriptive Headings; Interpretation</w:t>
      </w:r>
      <w:r>
        <w:rPr>
          <w:rFonts w:ascii="Arial" w:cs="Arial" w:eastAsia="Arial" w:hAnsi="Arial"/>
          <w:sz w:val="20"/>
          <w:szCs w:val="20"/>
          <w:color w:val="000000"/>
        </w:rPr>
        <w:t>. The descriptive headings of this Agreement are inserted for convenience only</w:t>
      </w:r>
      <w:r>
        <w:rPr>
          <w:rFonts w:ascii="Arial" w:cs="Arial" w:eastAsia="Arial" w:hAnsi="Arial"/>
          <w:sz w:val="20"/>
          <w:szCs w:val="20"/>
          <w:color w:val="010000"/>
        </w:rPr>
        <w:t xml:space="preserve"> </w:t>
      </w:r>
      <w:r>
        <w:rPr>
          <w:rFonts w:ascii="Arial" w:cs="Arial" w:eastAsia="Arial" w:hAnsi="Arial"/>
          <w:sz w:val="20"/>
          <w:szCs w:val="20"/>
          <w:color w:val="000000"/>
        </w:rPr>
        <w:t>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to the fullest extent permitted by law,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57" w:lineRule="exact"/>
        <w:rPr>
          <w:sz w:val="20"/>
          <w:szCs w:val="20"/>
          <w:color w:val="auto"/>
        </w:rPr>
      </w:pPr>
    </w:p>
    <w:p>
      <w:pPr>
        <w:jc w:val="center"/>
        <w:ind w:right="-19"/>
        <w:spacing w:after="0"/>
        <w:tabs>
          <w:tab w:leader="none" w:pos="200" w:val="left"/>
          <w:tab w:leader="none" w:pos="200" w:val="left"/>
          <w:tab w:leader="none" w:pos="180" w:val="left"/>
          <w:tab w:leader="none" w:pos="180" w:val="left"/>
        </w:tabs>
        <w:rPr>
          <w:sz w:val="20"/>
          <w:szCs w:val="20"/>
          <w:color w:val="auto"/>
        </w:rPr>
      </w:pPr>
      <w:r>
        <w:rPr>
          <w:rFonts w:ascii="Arial" w:cs="Arial" w:eastAsia="Arial" w:hAnsi="Arial"/>
          <w:sz w:val="21"/>
          <w:szCs w:val="21"/>
          <w:color w:val="auto"/>
        </w:rPr>
        <w:t>*</w:t>
        <w:tab/>
        <w:t>*</w:t>
        <w:tab/>
        <w:t>*</w:t>
        <w:tab/>
        <w:t>*</w:t>
        <w:tab/>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43</w:t>
      </w:r>
    </w:p>
    <w:p>
      <w:pPr>
        <w:sectPr>
          <w:pgSz w:w="11900" w:h="16838" w:orient="portrait"/>
          <w:cols w:equalWidth="0" w:num="1">
            <w:col w:w="11240"/>
          </w:cols>
          <w:pgMar w:left="320" w:top="1377" w:right="339" w:bottom="1440" w:gutter="0" w:footer="0" w:header="0"/>
        </w:sectPr>
      </w:pPr>
    </w:p>
    <w:bookmarkStart w:id="216" w:name="page217"/>
    <w:bookmarkEnd w:id="216"/>
    <w:p>
      <w:pPr>
        <w:ind w:firstLine="636"/>
        <w:spacing w:after="0" w:line="245"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the undersigned have executed this Sixth Amended and Restated Limited Liability Company</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60"/>
        <w:spacing w:after="0"/>
        <w:rPr>
          <w:sz w:val="20"/>
          <w:szCs w:val="20"/>
          <w:color w:val="auto"/>
        </w:rPr>
      </w:pPr>
      <w:r>
        <w:rPr>
          <w:rFonts w:ascii="Arial" w:cs="Arial" w:eastAsia="Arial" w:hAnsi="Arial"/>
          <w:sz w:val="21"/>
          <w:szCs w:val="21"/>
          <w:b w:val="1"/>
          <w:bCs w:val="1"/>
          <w:u w:val="single" w:color="auto"/>
          <w:color w:val="auto"/>
        </w:rPr>
        <w:t>MANAGING MEMBER</w:t>
      </w:r>
    </w:p>
    <w:p>
      <w:pPr>
        <w:spacing w:after="0" w:line="177"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ZOOMINFO INTERMEDIATE INC. (formerly known as ZoomInfo</w:t>
      </w:r>
    </w:p>
    <w:p>
      <w:pPr>
        <w:ind w:left="4460"/>
        <w:spacing w:after="0"/>
        <w:rPr>
          <w:sz w:val="20"/>
          <w:szCs w:val="20"/>
          <w:color w:val="auto"/>
        </w:rPr>
      </w:pPr>
      <w:r>
        <w:rPr>
          <w:rFonts w:ascii="Arial" w:cs="Arial" w:eastAsia="Arial" w:hAnsi="Arial"/>
          <w:sz w:val="21"/>
          <w:szCs w:val="21"/>
          <w:color w:val="auto"/>
        </w:rPr>
        <w:t>Technologies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/s/ Anthony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19050</wp:posOffset>
            </wp:positionV>
            <wp:extent cx="198564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6">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Anthony Stark</w:t>
      </w:r>
    </w:p>
    <w:p>
      <w:pPr>
        <w:ind w:left="4520"/>
        <w:spacing w:after="0" w:line="199" w:lineRule="auto"/>
        <w:rPr>
          <w:sz w:val="20"/>
          <w:szCs w:val="20"/>
          <w:color w:val="auto"/>
        </w:rPr>
      </w:pPr>
      <w:r>
        <w:rPr>
          <w:rFonts w:ascii="Arial" w:cs="Arial" w:eastAsia="Arial" w:hAnsi="Arial"/>
          <w:sz w:val="18"/>
          <w:szCs w:val="18"/>
          <w:color w:val="auto"/>
        </w:rPr>
        <w:t>Title: General Counsel and Corporate</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460"/>
        <w:spacing w:after="0"/>
        <w:rPr>
          <w:sz w:val="20"/>
          <w:szCs w:val="20"/>
          <w:color w:val="auto"/>
        </w:rPr>
      </w:pPr>
      <w:r>
        <w:rPr>
          <w:rFonts w:ascii="Arial" w:cs="Arial" w:eastAsia="Arial" w:hAnsi="Arial"/>
          <w:sz w:val="21"/>
          <w:szCs w:val="21"/>
          <w:b w:val="1"/>
          <w:bCs w:val="1"/>
          <w:u w:val="single" w:color="auto"/>
          <w:color w:val="auto"/>
        </w:rPr>
        <w:t>MEMBER</w:t>
      </w:r>
    </w:p>
    <w:p>
      <w:pPr>
        <w:spacing w:after="0" w:line="18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ZOOMINFO TECHNOLOGIES INC. (formerly known as ZoomInfo NewCo</w:t>
      </w:r>
    </w:p>
    <w:p>
      <w:pPr>
        <w:ind w:left="4460"/>
        <w:spacing w:after="0"/>
        <w:rPr>
          <w:sz w:val="20"/>
          <w:szCs w:val="20"/>
          <w:color w:val="auto"/>
        </w:rPr>
      </w:pPr>
      <w:r>
        <w:rPr>
          <w:rFonts w:ascii="Arial" w:cs="Arial" w:eastAsia="Arial" w:hAnsi="Arial"/>
          <w:sz w:val="21"/>
          <w:szCs w:val="21"/>
          <w:color w:val="auto"/>
        </w:rPr>
        <w:t>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21"/>
          <w:szCs w:val="21"/>
          <w:color w:val="auto"/>
        </w:rPr>
        <w:t>/s/ Anthony Stark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2830830</wp:posOffset>
            </wp:positionH>
            <wp:positionV relativeFrom="paragraph">
              <wp:posOffset>19050</wp:posOffset>
            </wp:positionV>
            <wp:extent cx="19856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7">
                      <a:extLst>
                        <a:ext uri="{28A0092B-C50C-407E-A947-70E740481C1C}"/>
                      </a:extLst>
                    </a:blip>
                    <a:srcRect/>
                    <a:stretch>
                      <a:fillRect/>
                    </a:stretch>
                  </pic:blipFill>
                  <pic:spPr bwMode="auto">
                    <a:xfrm>
                      <a:off x="0" y="0"/>
                      <a:ext cx="1985645"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Anthony Stark</w:t>
      </w:r>
    </w:p>
    <w:p>
      <w:pPr>
        <w:ind w:left="4520"/>
        <w:spacing w:after="0" w:line="199" w:lineRule="auto"/>
        <w:rPr>
          <w:sz w:val="20"/>
          <w:szCs w:val="20"/>
          <w:color w:val="auto"/>
        </w:rPr>
      </w:pPr>
      <w:r>
        <w:rPr>
          <w:rFonts w:ascii="Arial" w:cs="Arial" w:eastAsia="Arial" w:hAnsi="Arial"/>
          <w:sz w:val="18"/>
          <w:szCs w:val="18"/>
          <w:color w:val="auto"/>
        </w:rPr>
        <w:t>Title: General Counsel and Corporate</w:t>
      </w:r>
    </w:p>
    <w:p>
      <w:pPr>
        <w:spacing w:after="0" w:line="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to Sixth Amended and Restated Limited Liability Company Agreement</w:t>
      </w:r>
    </w:p>
    <w:p>
      <w:pPr>
        <w:sectPr>
          <w:pgSz w:w="11900" w:h="16838" w:orient="portrait"/>
          <w:cols w:equalWidth="0" w:num="1">
            <w:col w:w="11240"/>
          </w:cols>
          <w:pgMar w:left="320" w:top="1371" w:right="339" w:bottom="1440" w:gutter="0" w:footer="0" w:header="0"/>
        </w:sectPr>
      </w:pPr>
    </w:p>
    <w:bookmarkStart w:id="217" w:name="page218"/>
    <w:bookmarkEnd w:id="217"/>
    <w:p>
      <w:pPr>
        <w:jc w:val="center"/>
        <w:spacing w:after="0"/>
        <w:rPr>
          <w:sz w:val="20"/>
          <w:szCs w:val="20"/>
          <w:color w:val="auto"/>
        </w:rPr>
      </w:pPr>
      <w:r>
        <w:rPr>
          <w:rFonts w:ascii="Arial" w:cs="Arial" w:eastAsia="Arial" w:hAnsi="Arial"/>
          <w:sz w:val="21"/>
          <w:szCs w:val="21"/>
          <w:b w:val="1"/>
          <w:bCs w:val="1"/>
          <w:color w:val="auto"/>
        </w:rPr>
        <w:t>EXHIBIT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INTENDED APPLICATION OF IRC SECTION 704(C)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ectPr>
          <w:pgSz w:w="11900" w:h="16838" w:orient="portrait"/>
          <w:cols w:equalWidth="0" w:num="1">
            <w:col w:w="9019"/>
          </w:cols>
          <w:pgMar w:left="1440" w:top="1371" w:right="1440" w:bottom="1440" w:gutter="0" w:footer="0" w:header="0"/>
        </w:sectPr>
      </w:pPr>
    </w:p>
    <w:bookmarkStart w:id="218" w:name="page219"/>
    <w:bookmarkEnd w:id="218"/>
    <w:p>
      <w:pPr>
        <w:jc w:val="right"/>
        <w:spacing w:after="0"/>
        <w:rPr>
          <w:sz w:val="20"/>
          <w:szCs w:val="20"/>
          <w:color w:val="auto"/>
        </w:rPr>
      </w:pPr>
      <w:r>
        <w:rPr>
          <w:rFonts w:ascii="Arial" w:cs="Arial" w:eastAsia="Arial" w:hAnsi="Arial"/>
          <w:sz w:val="21"/>
          <w:szCs w:val="21"/>
          <w:b w:val="1"/>
          <w:bCs w:val="1"/>
          <w:color w:val="auto"/>
        </w:rPr>
        <w:t>Exhibit 10.26</w:t>
      </w:r>
    </w:p>
    <w:p>
      <w:pPr>
        <w:jc w:val="right"/>
        <w:spacing w:after="0"/>
        <w:rPr>
          <w:sz w:val="20"/>
          <w:szCs w:val="20"/>
          <w:color w:val="auto"/>
        </w:rPr>
      </w:pPr>
      <w:r>
        <w:rPr>
          <w:rFonts w:ascii="Arial" w:cs="Arial" w:eastAsia="Arial" w:hAnsi="Arial"/>
          <w:sz w:val="21"/>
          <w:szCs w:val="21"/>
          <w:b w:val="1"/>
          <w:bCs w:val="1"/>
          <w:i w:val="1"/>
          <w:iCs w:val="1"/>
          <w:color w:val="auto"/>
        </w:rPr>
        <w:t>Form of RSU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GRANT NOTICE</w:t>
      </w:r>
    </w:p>
    <w:p>
      <w:pPr>
        <w:jc w:val="center"/>
        <w:spacing w:after="0" w:line="203" w:lineRule="auto"/>
        <w:rPr>
          <w:sz w:val="20"/>
          <w:szCs w:val="20"/>
          <w:color w:val="auto"/>
        </w:rPr>
      </w:pPr>
      <w:r>
        <w:rPr>
          <w:rFonts w:ascii="Arial" w:cs="Arial" w:eastAsia="Arial" w:hAnsi="Arial"/>
          <w:sz w:val="19"/>
          <w:szCs w:val="19"/>
          <w:b w:val="1"/>
          <w:bCs w:val="1"/>
          <w:color w:val="auto"/>
        </w:rPr>
        <w:t>UNDER THE</w:t>
      </w:r>
    </w:p>
    <w:p>
      <w:pPr>
        <w:jc w:val="right"/>
        <w:ind w:right="4040"/>
        <w:spacing w:after="0" w:line="204" w:lineRule="auto"/>
        <w:rPr>
          <w:sz w:val="20"/>
          <w:szCs w:val="20"/>
          <w:color w:val="auto"/>
        </w:rPr>
      </w:pPr>
      <w:r>
        <w:rPr>
          <w:rFonts w:ascii="Arial" w:cs="Arial" w:eastAsia="Arial" w:hAnsi="Arial"/>
          <w:sz w:val="19"/>
          <w:szCs w:val="19"/>
          <w:b w:val="1"/>
          <w:bCs w:val="1"/>
          <w:color w:val="auto"/>
        </w:rPr>
        <w:t>ZOOMINFO TECHNOLOGIES INC.</w:t>
      </w:r>
    </w:p>
    <w:p>
      <w:pPr>
        <w:jc w:val="right"/>
        <w:ind w:right="4080"/>
        <w:spacing w:after="0"/>
        <w:rPr>
          <w:sz w:val="20"/>
          <w:szCs w:val="20"/>
          <w:color w:val="auto"/>
        </w:rPr>
      </w:pPr>
      <w:r>
        <w:rPr>
          <w:rFonts w:ascii="Arial" w:cs="Arial" w:eastAsia="Arial" w:hAnsi="Arial"/>
          <w:sz w:val="19"/>
          <w:szCs w:val="19"/>
          <w:b w:val="1"/>
          <w:bCs w:val="1"/>
          <w:color w:val="auto"/>
        </w:rPr>
        <w:t>2020 OMNIBUS INCENTIVE PLAN</w:t>
      </w:r>
    </w:p>
    <w:p>
      <w:pPr>
        <w:spacing w:after="0" w:line="163"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ZoomInfo Technologies Inc. (the “</w:t>
      </w:r>
      <w:r>
        <w:rPr>
          <w:rFonts w:ascii="Arial" w:cs="Arial" w:eastAsia="Arial" w:hAnsi="Arial"/>
          <w:sz w:val="19"/>
          <w:szCs w:val="19"/>
          <w:u w:val="single" w:color="auto"/>
          <w:color w:val="auto"/>
        </w:rPr>
        <w:t>Company</w:t>
      </w:r>
      <w:r>
        <w:rPr>
          <w:rFonts w:ascii="Arial" w:cs="Arial" w:eastAsia="Arial" w:hAnsi="Arial"/>
          <w:sz w:val="19"/>
          <w:szCs w:val="19"/>
          <w:color w:val="auto"/>
        </w:rPr>
        <w:t>”), pursuant to its 2020 Omnibus Incentive Plan, as it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 provided to the Participant in connection with a prior grant), and in the Plan, all of which are incorporated herein in their entirety. Capitalized terms not otherwise defined herein shall have the meaning set forth in the Plan.</w:t>
      </w:r>
    </w:p>
    <w:p>
      <w:pPr>
        <w:spacing w:after="0" w:line="146" w:lineRule="exact"/>
        <w:rPr>
          <w:sz w:val="20"/>
          <w:szCs w:val="20"/>
          <w:color w:val="auto"/>
        </w:rPr>
      </w:pPr>
    </w:p>
    <w:p>
      <w:pPr>
        <w:spacing w:after="0"/>
        <w:tabs>
          <w:tab w:leader="none" w:pos="1180" w:val="left"/>
        </w:tabs>
        <w:rPr>
          <w:sz w:val="20"/>
          <w:szCs w:val="20"/>
          <w:color w:val="auto"/>
        </w:rPr>
      </w:pPr>
      <w:r>
        <w:rPr>
          <w:rFonts w:ascii="Arial" w:cs="Arial" w:eastAsia="Arial" w:hAnsi="Arial"/>
          <w:sz w:val="19"/>
          <w:szCs w:val="19"/>
          <w:b w:val="1"/>
          <w:bCs w:val="1"/>
          <w:color w:val="auto"/>
        </w:rPr>
        <w:t>Participant</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First Name</w:t>
      </w:r>
      <w:r>
        <w:rPr>
          <w:rFonts w:ascii="Arial" w:cs="Arial" w:eastAsia="Arial" w:hAnsi="Arial"/>
          <w:sz w:val="18"/>
          <w:szCs w:val="18"/>
          <w:color w:val="auto"/>
        </w:rPr>
        <w:t>][</w:t>
      </w:r>
      <w:r>
        <w:rPr>
          <w:rFonts w:ascii="Arial" w:cs="Arial" w:eastAsia="Arial" w:hAnsi="Arial"/>
          <w:sz w:val="18"/>
          <w:szCs w:val="18"/>
          <w:i w:val="1"/>
          <w:iCs w:val="1"/>
          <w:color w:val="auto"/>
        </w:rPr>
        <w:t>Last Name</w:t>
      </w:r>
      <w:r>
        <w:rPr>
          <w:rFonts w:ascii="Arial" w:cs="Arial" w:eastAsia="Arial" w:hAnsi="Arial"/>
          <w:sz w:val="18"/>
          <w:szCs w:val="18"/>
          <w:color w:val="auto"/>
        </w:rPr>
        <w:t>]</w:t>
      </w:r>
    </w:p>
    <w:p>
      <w:pPr>
        <w:spacing w:after="0" w:line="179" w:lineRule="exact"/>
        <w:rPr>
          <w:sz w:val="20"/>
          <w:szCs w:val="20"/>
          <w:color w:val="auto"/>
        </w:rPr>
      </w:pPr>
    </w:p>
    <w:p>
      <w:pPr>
        <w:spacing w:after="0"/>
        <w:tabs>
          <w:tab w:leader="none" w:pos="1440" w:val="left"/>
        </w:tabs>
        <w:rPr>
          <w:sz w:val="20"/>
          <w:szCs w:val="20"/>
          <w:color w:val="auto"/>
        </w:rPr>
      </w:pPr>
      <w:r>
        <w:rPr>
          <w:rFonts w:ascii="Arial" w:cs="Arial" w:eastAsia="Arial" w:hAnsi="Arial"/>
          <w:sz w:val="19"/>
          <w:szCs w:val="19"/>
          <w:b w:val="1"/>
          <w:bCs w:val="1"/>
          <w:color w:val="auto"/>
        </w:rPr>
        <w:t>Date of Grant</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[_____]</w:t>
      </w:r>
    </w:p>
    <w:p>
      <w:pPr>
        <w:spacing w:after="0" w:line="179" w:lineRule="exact"/>
        <w:rPr>
          <w:sz w:val="20"/>
          <w:szCs w:val="20"/>
          <w:color w:val="auto"/>
        </w:rPr>
      </w:pPr>
    </w:p>
    <w:p>
      <w:pPr>
        <w:spacing w:after="0"/>
        <w:tabs>
          <w:tab w:leader="none" w:pos="2680" w:val="left"/>
        </w:tabs>
        <w:rPr>
          <w:sz w:val="20"/>
          <w:szCs w:val="20"/>
          <w:color w:val="auto"/>
        </w:rPr>
      </w:pPr>
      <w:r>
        <w:rPr>
          <w:rFonts w:ascii="Arial" w:cs="Arial" w:eastAsia="Arial" w:hAnsi="Arial"/>
          <w:sz w:val="19"/>
          <w:szCs w:val="19"/>
          <w:b w:val="1"/>
          <w:bCs w:val="1"/>
          <w:color w:val="auto"/>
        </w:rPr>
        <w:t>Vesting Commencement Date</w:t>
      </w:r>
      <w:r>
        <w:rPr>
          <w:rFonts w:ascii="Arial" w:cs="Arial" w:eastAsia="Arial" w:hAnsi="Arial"/>
          <w:sz w:val="19"/>
          <w:szCs w:val="19"/>
          <w:color w:val="auto"/>
        </w:rPr>
        <w:t>:</w:t>
      </w:r>
      <w:r>
        <w:rPr>
          <w:sz w:val="20"/>
          <w:szCs w:val="20"/>
          <w:color w:val="auto"/>
        </w:rPr>
        <w:tab/>
      </w:r>
      <w:r>
        <w:rPr>
          <w:rFonts w:ascii="Arial" w:cs="Arial" w:eastAsia="Arial" w:hAnsi="Arial"/>
          <w:sz w:val="18"/>
          <w:szCs w:val="18"/>
          <w:color w:val="auto"/>
        </w:rPr>
        <w:t>[_____]</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w:t>
      </w:r>
    </w:p>
    <w:p>
      <w:pPr>
        <w:spacing w:after="0"/>
        <w:tabs>
          <w:tab w:leader="none" w:pos="2140" w:val="left"/>
        </w:tabs>
        <w:rPr>
          <w:sz w:val="20"/>
          <w:szCs w:val="20"/>
          <w:color w:val="auto"/>
        </w:rPr>
      </w:pPr>
      <w:r>
        <w:rPr>
          <w:rFonts w:ascii="Arial" w:cs="Arial" w:eastAsia="Arial" w:hAnsi="Arial"/>
          <w:sz w:val="19"/>
          <w:szCs w:val="19"/>
          <w:b w:val="1"/>
          <w:bCs w:val="1"/>
          <w:color w:val="auto"/>
        </w:rPr>
        <w:t>Restricted Stock Units</w:t>
      </w:r>
      <w:r>
        <w:rPr>
          <w:rFonts w:ascii="Arial" w:cs="Arial" w:eastAsia="Arial" w:hAnsi="Arial"/>
          <w:sz w:val="19"/>
          <w:szCs w:val="19"/>
          <w:color w:val="auto"/>
        </w:rPr>
        <w:t>:</w:t>
      </w:r>
      <w:r>
        <w:rPr>
          <w:sz w:val="20"/>
          <w:szCs w:val="20"/>
          <w:color w:val="auto"/>
        </w:rPr>
        <w:tab/>
      </w:r>
      <w:r>
        <w:rPr>
          <w:rFonts w:ascii="Arial" w:cs="Arial" w:eastAsia="Arial" w:hAnsi="Arial"/>
          <w:sz w:val="17"/>
          <w:szCs w:val="17"/>
          <w:color w:val="auto"/>
        </w:rPr>
        <w:t>[</w:t>
      </w:r>
      <w:r>
        <w:rPr>
          <w:rFonts w:ascii="Arial" w:cs="Arial" w:eastAsia="Arial" w:hAnsi="Arial"/>
          <w:sz w:val="17"/>
          <w:szCs w:val="17"/>
          <w:i w:val="1"/>
          <w:iCs w:val="1"/>
          <w:color w:val="auto"/>
        </w:rPr>
        <w:t>Insert Number of Restricted Stock Units Granted</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Schedule</w:t>
      </w:r>
      <w:r>
        <w:rPr>
          <w:rFonts w:ascii="Arial" w:cs="Arial" w:eastAsia="Arial" w:hAnsi="Arial"/>
          <w:sz w:val="19"/>
          <w:szCs w:val="19"/>
          <w:color w:val="auto"/>
        </w:rPr>
        <w:t>:</w:t>
      </w:r>
    </w:p>
    <w:p>
      <w:pPr>
        <w:jc w:val="both"/>
        <w:ind w:left="3180"/>
        <w:spacing w:after="0" w:line="228" w:lineRule="auto"/>
        <w:rPr>
          <w:sz w:val="20"/>
          <w:szCs w:val="20"/>
          <w:color w:val="auto"/>
        </w:rPr>
      </w:pPr>
      <w:r>
        <w:rPr>
          <w:rFonts w:ascii="Arial" w:cs="Arial" w:eastAsia="Arial" w:hAnsi="Arial"/>
          <w:sz w:val="19"/>
          <w:szCs w:val="19"/>
          <w:color w:val="auto"/>
        </w:rPr>
        <w:t>Subject to the Participant’s continued service with the Service Recipient on each applicable vesting date, the Restricted Stock Units shall vest as follows: [</w:t>
      </w:r>
      <w:r>
        <w:rPr>
          <w:rFonts w:ascii="Arial" w:cs="Arial" w:eastAsia="Arial" w:hAnsi="Arial"/>
          <w:sz w:val="19"/>
          <w:szCs w:val="19"/>
          <w:b w:val="1"/>
          <w:bCs w:val="1"/>
          <w:color w:val="auto"/>
        </w:rPr>
        <w:t>insert vesting schedule</w:t>
      </w:r>
      <w:r>
        <w:rPr>
          <w:rFonts w:ascii="Arial" w:cs="Arial" w:eastAsia="Arial" w:hAnsi="Arial"/>
          <w:sz w:val="19"/>
          <w:szCs w:val="19"/>
          <w:color w:val="auto"/>
        </w:rPr>
        <w:t>]</w:t>
      </w:r>
    </w:p>
    <w:p>
      <w:pPr>
        <w:spacing w:after="0" w:line="178" w:lineRule="exact"/>
        <w:rPr>
          <w:sz w:val="20"/>
          <w:szCs w:val="20"/>
          <w:color w:val="auto"/>
        </w:rPr>
      </w:pPr>
    </w:p>
    <w:p>
      <w:pPr>
        <w:jc w:val="both"/>
        <w:ind w:left="3180"/>
        <w:spacing w:after="0" w:line="220" w:lineRule="auto"/>
        <w:rPr>
          <w:sz w:val="20"/>
          <w:szCs w:val="20"/>
          <w:color w:val="auto"/>
        </w:rPr>
      </w:pPr>
      <w:r>
        <w:rPr>
          <w:rFonts w:ascii="Arial" w:cs="Arial" w:eastAsia="Arial" w:hAnsi="Arial"/>
          <w:sz w:val="19"/>
          <w:szCs w:val="19"/>
          <w:color w:val="auto"/>
        </w:rPr>
        <w:t>If a Change in Control occurs and during the 12-month period following such Change in Control, the Participant’s service is terminated by the Service Recipient without Cause or due to the Participant’s resignation for Good Reason (as defined below), all unvested Restricted Stock Units shall become fully vested upon the date of the Participant’s Termination.</w:t>
      </w:r>
    </w:p>
    <w:p>
      <w:pPr>
        <w:spacing w:after="0" w:line="179" w:lineRule="exact"/>
        <w:rPr>
          <w:sz w:val="20"/>
          <w:szCs w:val="20"/>
          <w:color w:val="auto"/>
        </w:rPr>
      </w:pPr>
    </w:p>
    <w:p>
      <w:pPr>
        <w:jc w:val="both"/>
        <w:ind w:left="3180"/>
        <w:spacing w:after="0" w:line="22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shall have the meaning given to such term in any employment or consulting agreement between the Participant and the Service Recipient in effect at the time of the Participant’s Termination. In the absence of any such employment or consulting agreement or the absence of any definition of “Good Reason” contained therein, “Good Reason” means the occurrence of one or more of the following events arising without the express written consent of the Participant, but only if the Participant notifies the Service Recipient in writing of the event within 60 days following the occurrence of the event, the event remains uncured after the expiration of 30 days from receipt of such notice, and the Participant resigns effective no later than 30 days following the Service Recipient’s failure to cure the event: (i) a material diminution in the Participant’s base salary or target bonus opportunity, (ii) a material diminution in the Participant’s authority, duties or responsibilities, (iii) a material change in geographic location at which the Participant performs services, or (iv) any material breach by the Company of this Restricted Stock Unit Agreement.</w:t>
      </w:r>
    </w:p>
    <w:p>
      <w:pPr>
        <w:sectPr>
          <w:pgSz w:w="11900" w:h="16838" w:orient="portrait"/>
          <w:cols w:equalWidth="0" w:num="1">
            <w:col w:w="11240"/>
          </w:cols>
          <w:pgMar w:left="320" w:top="94" w:right="339" w:bottom="1440" w:gutter="0" w:footer="0" w:header="0"/>
        </w:sectPr>
      </w:pPr>
    </w:p>
    <w:bookmarkStart w:id="219" w:name="page220"/>
    <w:bookmarkEnd w:id="219"/>
    <w:p>
      <w:pPr>
        <w:spacing w:after="0" w:line="61" w:lineRule="exact"/>
        <w:rPr>
          <w:sz w:val="20"/>
          <w:szCs w:val="20"/>
          <w:color w:val="auto"/>
        </w:rPr>
      </w:pPr>
    </w:p>
    <w:p>
      <w:pPr>
        <w:jc w:val="both"/>
        <w:ind w:left="2060"/>
        <w:spacing w:after="0" w:line="243" w:lineRule="auto"/>
        <w:rPr>
          <w:sz w:val="20"/>
          <w:szCs w:val="20"/>
          <w:color w:val="auto"/>
        </w:rPr>
      </w:pPr>
      <w:r>
        <w:rPr>
          <w:rFonts w:ascii="Arial" w:cs="Arial" w:eastAsia="Arial" w:hAnsi="Arial"/>
          <w:sz w:val="17"/>
          <w:szCs w:val="17"/>
          <w:color w:val="auto"/>
        </w:rPr>
        <w:t>In the event of the Participant’s Termination due to death or Disability, all of the unvested Restricted Stock Units then held by the Participant, covering up to a maximum of 5,000 shares of Common Stock (inclusive of the number of shares covered by other unvested awards held by the Participant at the time of such death or Disability), shall become fully vested. This acceleration shall not occur if the Participant’s death was caused by suicide or by murder by an immediate beneficiary of the Participant.</w:t>
      </w:r>
    </w:p>
    <w:p>
      <w:pPr>
        <w:spacing w:after="0" w:line="170" w:lineRule="exact"/>
        <w:rPr>
          <w:sz w:val="20"/>
          <w:szCs w:val="20"/>
          <w:color w:val="auto"/>
        </w:rPr>
      </w:pPr>
    </w:p>
    <w:p>
      <w:pPr>
        <w:ind w:left="960" w:hanging="3179"/>
        <w:spacing w:after="0" w:line="237" w:lineRule="auto"/>
        <w:tabs>
          <w:tab w:leader="none" w:pos="940" w:val="left"/>
        </w:tabs>
        <w:rPr>
          <w:sz w:val="20"/>
          <w:szCs w:val="20"/>
          <w:color w:val="auto"/>
        </w:rPr>
      </w:pPr>
      <w:r>
        <w:rPr>
          <w:rFonts w:ascii="Arial" w:cs="Arial" w:eastAsia="Arial" w:hAnsi="Arial"/>
          <w:sz w:val="19"/>
          <w:szCs w:val="19"/>
          <w:b w:val="1"/>
          <w:bCs w:val="1"/>
          <w:color w:val="auto"/>
        </w:rPr>
        <w:t>Dividend Equivalents</w:t>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The Restricted Stock Units shall be credited with dividend equivalent payments to be paid in cash (without interest) on the corresponding vesting dates, as provided in Section 14(c)(iii) of the Plan.</w:t>
      </w:r>
    </w:p>
    <w:p>
      <w:pPr>
        <w:spacing w:after="0" w:line="157" w:lineRule="exact"/>
        <w:rPr>
          <w:sz w:val="20"/>
          <w:szCs w:val="20"/>
          <w:color w:val="auto"/>
        </w:rPr>
      </w:pPr>
    </w:p>
    <w:p>
      <w:pPr>
        <w:jc w:val="center"/>
        <w:ind w:right="1120"/>
        <w:spacing w:after="0"/>
        <w:tabs>
          <w:tab w:leader="none" w:pos="180" w:val="left"/>
          <w:tab w:leader="none" w:pos="160" w:val="left"/>
        </w:tabs>
        <w:rPr>
          <w:sz w:val="20"/>
          <w:szCs w:val="20"/>
          <w:color w:val="auto"/>
        </w:rPr>
      </w:pPr>
      <w:r>
        <w:rPr>
          <w:rFonts w:ascii="Arial" w:cs="Arial" w:eastAsia="Arial" w:hAnsi="Arial"/>
          <w:sz w:val="19"/>
          <w:szCs w:val="19"/>
          <w:color w:val="auto"/>
        </w:rPr>
        <w:t>*</w:t>
        <w:tab/>
        <w:t>*</w:t>
        <w:tab/>
        <w:t>*</w:t>
      </w:r>
    </w:p>
    <w:p>
      <w:pPr>
        <w:sectPr>
          <w:pgSz w:w="11900" w:h="16838" w:orient="portrait"/>
          <w:cols w:equalWidth="0" w:num="1">
            <w:col w:w="10120"/>
          </w:cols>
          <w:pgMar w:left="1440" w:top="1440" w:right="339" w:bottom="1440" w:gutter="0" w:footer="0" w:header="0"/>
        </w:sectPr>
      </w:pPr>
    </w:p>
    <w:bookmarkStart w:id="220" w:name="page221"/>
    <w:bookmarkEnd w:id="220"/>
    <w:p>
      <w:pPr>
        <w:spacing w:after="0" w:line="61" w:lineRule="exact"/>
        <w:rPr>
          <w:sz w:val="20"/>
          <w:szCs w:val="20"/>
          <w:color w:val="auto"/>
        </w:rPr>
      </w:pPr>
    </w:p>
    <w:p>
      <w:pPr>
        <w:spacing w:after="0"/>
        <w:rPr>
          <w:sz w:val="20"/>
          <w:szCs w:val="20"/>
          <w:color w:val="auto"/>
        </w:rPr>
      </w:pPr>
      <w:r>
        <w:rPr>
          <w:rFonts w:ascii="Arial" w:cs="Arial" w:eastAsia="Arial" w:hAnsi="Arial"/>
          <w:sz w:val="19"/>
          <w:szCs w:val="19"/>
          <w:color w:val="auto"/>
        </w:rPr>
        <w:t>ZOOMINFO TECHNOLOGIES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rPr>
          <w:sz w:val="20"/>
          <w:szCs w:val="20"/>
          <w:color w:val="auto"/>
        </w:rPr>
      </w:pPr>
      <w:r>
        <w:rPr>
          <w:rFonts w:ascii="Arial" w:cs="Arial" w:eastAsia="Arial" w:hAnsi="Arial"/>
          <w:sz w:val="19"/>
          <w:szCs w:val="19"/>
          <w:color w:val="auto"/>
        </w:rPr>
        <w:t>Title:</w:t>
      </w:r>
    </w:p>
    <w:p>
      <w:pPr>
        <w:sectPr>
          <w:pgSz w:w="11900" w:h="16838" w:orient="portrait"/>
          <w:cols w:equalWidth="0" w:num="1">
            <w:col w:w="10139"/>
          </w:cols>
          <w:pgMar w:left="320" w:top="1440" w:right="1440" w:bottom="1440" w:gutter="0" w:footer="0" w:header="0"/>
        </w:sectPr>
      </w:pPr>
    </w:p>
    <w:bookmarkStart w:id="221" w:name="page222"/>
    <w:bookmarkEnd w:id="221"/>
    <w:p>
      <w:pPr>
        <w:jc w:val="both"/>
        <w:spacing w:after="0" w:line="222" w:lineRule="auto"/>
        <w:rPr>
          <w:sz w:val="20"/>
          <w:szCs w:val="20"/>
          <w:color w:val="auto"/>
        </w:rPr>
      </w:pPr>
      <w:r>
        <w:rPr>
          <w:rFonts w:ascii="Arial" w:cs="Arial" w:eastAsia="Arial" w:hAnsi="Arial"/>
          <w:sz w:val="19"/>
          <w:szCs w:val="19"/>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PARTICIPANT</w:t>
      </w:r>
      <w:r>
        <w:rPr>
          <w:rFonts w:ascii="Arial" w:cs="Arial" w:eastAsia="Arial" w:hAnsi="Arial"/>
          <w:sz w:val="25"/>
          <w:szCs w:val="25"/>
          <w:color w:val="auto"/>
          <w:vertAlign w:val="superscript"/>
        </w:rPr>
        <w:t>1</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168275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8">
                      <a:extLst>
                        <a:ext uri="{28A0092B-C50C-407E-A947-70E740481C1C}"/>
                      </a:extLst>
                    </a:blip>
                    <a:srcRect/>
                    <a:stretch>
                      <a:fillRect/>
                    </a:stretch>
                  </pic:blipFill>
                  <pic:spPr bwMode="auto">
                    <a:xfrm>
                      <a:off x="0" y="0"/>
                      <a:ext cx="1682750" cy="8255"/>
                    </a:xfrm>
                    <a:prstGeom prst="rect">
                      <a:avLst/>
                    </a:prstGeom>
                    <a:noFill/>
                  </pic:spPr>
                </pic:pic>
              </a:graphicData>
            </a:graphic>
          </wp:anchor>
        </w:drawing>
      </w:r>
    </w:p>
    <w:p>
      <w:pPr>
        <w:spacing w:after="0" w:line="269" w:lineRule="exact"/>
        <w:rPr>
          <w:sz w:val="20"/>
          <w:szCs w:val="20"/>
          <w:color w:val="auto"/>
        </w:rPr>
      </w:pPr>
    </w:p>
    <w:p>
      <w:pPr>
        <w:ind w:left="640" w:right="120" w:hanging="634"/>
        <w:spacing w:after="0" w:line="201" w:lineRule="auto"/>
        <w:tabs>
          <w:tab w:leader="none" w:pos="205" w:val="left"/>
        </w:tabs>
        <w:numPr>
          <w:ilvl w:val="0"/>
          <w:numId w:val="99"/>
        </w:numPr>
        <w:rPr>
          <w:rFonts w:ascii="Arial" w:cs="Arial" w:eastAsia="Arial" w:hAnsi="Arial"/>
          <w:sz w:val="23"/>
          <w:szCs w:val="23"/>
          <w:color w:val="auto"/>
          <w:vertAlign w:val="superscript"/>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375" w:right="339" w:bottom="1440" w:gutter="0" w:footer="0" w:header="0"/>
        </w:sectPr>
      </w:pPr>
    </w:p>
    <w:bookmarkStart w:id="222" w:name="page223"/>
    <w:bookmarkEnd w:id="222"/>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RESTRICTED STOCK UNIT AGREEMENT</w:t>
      </w:r>
    </w:p>
    <w:p>
      <w:pPr>
        <w:jc w:val="center"/>
        <w:spacing w:after="0" w:line="203" w:lineRule="auto"/>
        <w:rPr>
          <w:sz w:val="20"/>
          <w:szCs w:val="20"/>
          <w:color w:val="auto"/>
        </w:rPr>
      </w:pPr>
      <w:r>
        <w:rPr>
          <w:rFonts w:ascii="Arial" w:cs="Arial" w:eastAsia="Arial" w:hAnsi="Arial"/>
          <w:sz w:val="19"/>
          <w:szCs w:val="19"/>
          <w:b w:val="1"/>
          <w:bCs w:val="1"/>
          <w:color w:val="auto"/>
        </w:rPr>
        <w:t>UNDER THE</w:t>
      </w:r>
    </w:p>
    <w:p>
      <w:pPr>
        <w:ind w:left="4020"/>
        <w:spacing w:after="0" w:line="204" w:lineRule="auto"/>
        <w:rPr>
          <w:sz w:val="20"/>
          <w:szCs w:val="20"/>
          <w:color w:val="auto"/>
        </w:rPr>
      </w:pPr>
      <w:r>
        <w:rPr>
          <w:rFonts w:ascii="Arial" w:cs="Arial" w:eastAsia="Arial" w:hAnsi="Arial"/>
          <w:sz w:val="19"/>
          <w:szCs w:val="19"/>
          <w:b w:val="1"/>
          <w:bCs w:val="1"/>
          <w:color w:val="auto"/>
        </w:rPr>
        <w:t>ZOOMINFO TECHNOLOGIES INC.</w:t>
      </w:r>
    </w:p>
    <w:p>
      <w:pPr>
        <w:ind w:left="4080"/>
        <w:spacing w:after="0"/>
        <w:rPr>
          <w:sz w:val="20"/>
          <w:szCs w:val="20"/>
          <w:color w:val="auto"/>
        </w:rPr>
      </w:pPr>
      <w:r>
        <w:rPr>
          <w:rFonts w:ascii="Arial" w:cs="Arial" w:eastAsia="Arial" w:hAnsi="Arial"/>
          <w:sz w:val="19"/>
          <w:szCs w:val="19"/>
          <w:b w:val="1"/>
          <w:bCs w:val="1"/>
          <w:color w:val="auto"/>
        </w:rPr>
        <w:t>2020 OMNIBUS INCENTIVE PLAN</w:t>
      </w:r>
    </w:p>
    <w:p>
      <w:pPr>
        <w:spacing w:after="0" w:line="163" w:lineRule="exact"/>
        <w:rPr>
          <w:sz w:val="20"/>
          <w:szCs w:val="20"/>
          <w:color w:val="auto"/>
        </w:rPr>
      </w:pPr>
    </w:p>
    <w:p>
      <w:pPr>
        <w:jc w:val="both"/>
        <w:ind w:firstLine="1272"/>
        <w:spacing w:after="0" w:line="217" w:lineRule="auto"/>
        <w:rPr>
          <w:sz w:val="20"/>
          <w:szCs w:val="20"/>
          <w:color w:val="auto"/>
        </w:rPr>
      </w:pPr>
      <w:r>
        <w:rPr>
          <w:rFonts w:ascii="Arial" w:cs="Arial" w:eastAsia="Arial" w:hAnsi="Arial"/>
          <w:sz w:val="19"/>
          <w:szCs w:val="19"/>
          <w:color w:val="auto"/>
        </w:rPr>
        <w:t>Pursuant to the Restricted Stock Unit Grant Notice (the “</w:t>
      </w:r>
      <w:r>
        <w:rPr>
          <w:rFonts w:ascii="Arial" w:cs="Arial" w:eastAsia="Arial" w:hAnsi="Arial"/>
          <w:sz w:val="19"/>
          <w:szCs w:val="19"/>
          <w:u w:val="single" w:color="auto"/>
          <w:color w:val="auto"/>
        </w:rPr>
        <w:t>Grant Notice</w:t>
      </w:r>
      <w:r>
        <w:rPr>
          <w:rFonts w:ascii="Arial" w:cs="Arial" w:eastAsia="Arial" w:hAnsi="Arial"/>
          <w:sz w:val="19"/>
          <w:szCs w:val="19"/>
          <w:color w:val="auto"/>
        </w:rPr>
        <w:t>”) delivered to the Participant (as defined in the Grant Notice), and subject to the terms of this Restricted Stock Unit Agreement (this “</w:t>
      </w:r>
      <w:r>
        <w:rPr>
          <w:rFonts w:ascii="Arial" w:cs="Arial" w:eastAsia="Arial" w:hAnsi="Arial"/>
          <w:sz w:val="19"/>
          <w:szCs w:val="19"/>
          <w:u w:val="single" w:color="auto"/>
          <w:color w:val="auto"/>
        </w:rPr>
        <w:t>Restricted Stock Unit Agreement</w:t>
      </w:r>
      <w:r>
        <w:rPr>
          <w:rFonts w:ascii="Arial" w:cs="Arial" w:eastAsia="Arial" w:hAnsi="Arial"/>
          <w:sz w:val="19"/>
          <w:szCs w:val="19"/>
          <w:color w:val="auto"/>
        </w:rPr>
        <w:t>”) and the ZoomInfo Technologies Inc. 2020 Omnibus Incentive Plan, as it may be amended and restated from time to time (the “</w:t>
      </w:r>
      <w:r>
        <w:rPr>
          <w:rFonts w:ascii="Arial" w:cs="Arial" w:eastAsia="Arial" w:hAnsi="Arial"/>
          <w:sz w:val="19"/>
          <w:szCs w:val="19"/>
          <w:u w:val="single" w:color="auto"/>
          <w:color w:val="auto"/>
        </w:rPr>
        <w:t>Plan</w:t>
      </w:r>
      <w:r>
        <w:rPr>
          <w:rFonts w:ascii="Arial" w:cs="Arial" w:eastAsia="Arial" w:hAnsi="Arial"/>
          <w:sz w:val="19"/>
          <w:szCs w:val="19"/>
          <w:color w:val="auto"/>
        </w:rPr>
        <w:t>”), ZoomInfo Technologies Inc.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Participant agree as follows. Capitalized terms not otherwise defined herein shall have the same meaning as set forth in the Plan.</w:t>
      </w:r>
    </w:p>
    <w:p>
      <w:pPr>
        <w:spacing w:after="0" w:line="146" w:lineRule="exact"/>
        <w:rPr>
          <w:sz w:val="20"/>
          <w:szCs w:val="20"/>
          <w:color w:val="auto"/>
        </w:rPr>
      </w:pPr>
    </w:p>
    <w:p>
      <w:pPr>
        <w:jc w:val="both"/>
        <w:ind w:firstLine="1278"/>
        <w:spacing w:after="0" w:line="214" w:lineRule="auto"/>
        <w:tabs>
          <w:tab w:leader="none" w:pos="1466" w:val="left"/>
        </w:tabs>
        <w:numPr>
          <w:ilvl w:val="0"/>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color w:val="auto"/>
        </w:rPr>
        <w:t>. Subject to the terms and conditions set forth herein and in the Plan, the Company hereby</w:t>
      </w:r>
      <w:r>
        <w:rPr>
          <w:rFonts w:ascii="Arial" w:cs="Arial" w:eastAsia="Arial" w:hAnsi="Arial"/>
          <w:sz w:val="19"/>
          <w:szCs w:val="19"/>
          <w:b w:val="1"/>
          <w:bCs w:val="1"/>
          <w:color w:val="auto"/>
        </w:rPr>
        <w:t xml:space="preserve"> </w:t>
      </w:r>
      <w:r>
        <w:rPr>
          <w:rFonts w:ascii="Arial" w:cs="Arial" w:eastAsia="Arial" w:hAnsi="Arial"/>
          <w:sz w:val="19"/>
          <w:szCs w:val="19"/>
          <w:color w:val="auto"/>
        </w:rPr>
        <w:t>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46" w:lineRule="exact"/>
        <w:rPr>
          <w:rFonts w:ascii="Arial" w:cs="Arial" w:eastAsia="Arial" w:hAnsi="Arial"/>
          <w:sz w:val="19"/>
          <w:szCs w:val="19"/>
          <w:color w:val="auto"/>
        </w:rPr>
      </w:pPr>
    </w:p>
    <w:p>
      <w:pPr>
        <w:ind w:left="1480" w:hanging="202"/>
        <w:spacing w:after="0"/>
        <w:tabs>
          <w:tab w:leader="none" w:pos="1480" w:val="left"/>
        </w:tabs>
        <w:numPr>
          <w:ilvl w:val="0"/>
          <w:numId w:val="100"/>
        </w:numPr>
        <w:rPr>
          <w:rFonts w:ascii="Arial" w:cs="Arial" w:eastAsia="Arial" w:hAnsi="Arial"/>
          <w:sz w:val="17"/>
          <w:szCs w:val="17"/>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color w:val="auto"/>
        </w:rPr>
        <w:t>. Subject to the conditions contained herein and in the Plan, the Restricted Stock Units shall vest as provided in the</w:t>
      </w:r>
    </w:p>
    <w:p>
      <w:pPr>
        <w:spacing w:after="0" w:line="1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Grant Notice.</w:t>
      </w:r>
    </w:p>
    <w:p>
      <w:pPr>
        <w:spacing w:after="0" w:line="157" w:lineRule="exact"/>
        <w:rPr>
          <w:rFonts w:ascii="Arial" w:cs="Arial" w:eastAsia="Arial" w:hAnsi="Arial"/>
          <w:sz w:val="17"/>
          <w:szCs w:val="17"/>
          <w:color w:val="auto"/>
        </w:rPr>
      </w:pPr>
    </w:p>
    <w:p>
      <w:pPr>
        <w:jc w:val="both"/>
        <w:ind w:firstLine="1278"/>
        <w:spacing w:after="0" w:line="236" w:lineRule="auto"/>
        <w:tabs>
          <w:tab w:leader="none" w:pos="1466" w:val="left"/>
        </w:tabs>
        <w:numPr>
          <w:ilvl w:val="0"/>
          <w:numId w:val="100"/>
        </w:numPr>
        <w:rPr>
          <w:rFonts w:ascii="Arial" w:cs="Arial" w:eastAsia="Arial" w:hAnsi="Arial"/>
          <w:sz w:val="17"/>
          <w:szCs w:val="17"/>
          <w:color w:val="auto"/>
        </w:rPr>
      </w:pPr>
      <w:r>
        <w:rPr>
          <w:rFonts w:ascii="Arial" w:cs="Arial" w:eastAsia="Arial" w:hAnsi="Arial"/>
          <w:sz w:val="17"/>
          <w:szCs w:val="17"/>
          <w:b w:val="1"/>
          <w:bCs w:val="1"/>
          <w:u w:val="single" w:color="auto"/>
          <w:color w:val="auto"/>
        </w:rPr>
        <w:t>Settlement of Restricted Stock Units</w:t>
      </w:r>
      <w:r>
        <w:rPr>
          <w:rFonts w:ascii="Arial" w:cs="Arial" w:eastAsia="Arial" w:hAnsi="Arial"/>
          <w:sz w:val="17"/>
          <w:szCs w:val="17"/>
          <w:color w:val="auto"/>
        </w:rPr>
        <w:t>. Subject to any election by the Committee pursuant to Section 8(d)(ii) of the Plan,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51" w:lineRule="exact"/>
        <w:rPr>
          <w:rFonts w:ascii="Arial" w:cs="Arial" w:eastAsia="Arial" w:hAnsi="Arial"/>
          <w:sz w:val="17"/>
          <w:szCs w:val="17"/>
          <w:color w:val="auto"/>
        </w:rPr>
      </w:pPr>
    </w:p>
    <w:p>
      <w:pPr>
        <w:ind w:firstLine="1278"/>
        <w:spacing w:after="0" w:line="241" w:lineRule="auto"/>
        <w:tabs>
          <w:tab w:leader="none" w:pos="1479" w:val="left"/>
        </w:tabs>
        <w:numPr>
          <w:ilvl w:val="0"/>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Treatment of Restricted Stock Units Upon Termination</w:t>
      </w:r>
      <w:r>
        <w:rPr>
          <w:rFonts w:ascii="Arial" w:cs="Arial" w:eastAsia="Arial" w:hAnsi="Arial"/>
          <w:sz w:val="19"/>
          <w:szCs w:val="19"/>
          <w:color w:val="auto"/>
        </w:rPr>
        <w:t>. The provisions of Section 8(c)(ii) of the Plan are incorporated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by reference and made a part hereof.</w:t>
      </w:r>
    </w:p>
    <w:p>
      <w:pPr>
        <w:spacing w:after="0" w:line="144" w:lineRule="exact"/>
        <w:rPr>
          <w:rFonts w:ascii="Arial" w:cs="Arial" w:eastAsia="Arial" w:hAnsi="Arial"/>
          <w:sz w:val="19"/>
          <w:szCs w:val="19"/>
          <w:color w:val="auto"/>
        </w:rPr>
      </w:pPr>
    </w:p>
    <w:p>
      <w:pPr>
        <w:ind w:left="1480" w:hanging="202"/>
        <w:spacing w:after="0"/>
        <w:tabs>
          <w:tab w:leader="none" w:pos="1480" w:val="left"/>
        </w:tabs>
        <w:numPr>
          <w:ilvl w:val="0"/>
          <w:numId w:val="100"/>
        </w:numPr>
        <w:rPr>
          <w:rFonts w:ascii="Arial" w:cs="Arial" w:eastAsia="Arial" w:hAnsi="Arial"/>
          <w:sz w:val="19"/>
          <w:szCs w:val="19"/>
          <w:color w:val="auto"/>
        </w:rPr>
      </w:pPr>
      <w:r>
        <w:rPr>
          <w:rFonts w:ascii="Arial" w:cs="Arial" w:eastAsia="Arial" w:hAnsi="Arial"/>
          <w:sz w:val="19"/>
          <w:szCs w:val="19"/>
          <w:b w:val="1"/>
          <w:bCs w:val="1"/>
          <w:u w:val="single" w:color="auto"/>
          <w:color w:val="auto"/>
        </w:rPr>
        <w:t>Company; Participant</w:t>
      </w:r>
      <w:r>
        <w:rPr>
          <w:rFonts w:ascii="Arial" w:cs="Arial" w:eastAsia="Arial" w:hAnsi="Arial"/>
          <w:sz w:val="19"/>
          <w:szCs w:val="19"/>
          <w:color w:val="auto"/>
        </w:rPr>
        <w:t>.</w:t>
      </w:r>
    </w:p>
    <w:p>
      <w:pPr>
        <w:spacing w:after="0" w:line="185" w:lineRule="exact"/>
        <w:rPr>
          <w:sz w:val="20"/>
          <w:szCs w:val="20"/>
          <w:color w:val="auto"/>
        </w:rPr>
      </w:pPr>
    </w:p>
    <w:p>
      <w:pPr>
        <w:ind w:firstLine="1278"/>
        <w:spacing w:after="0" w:line="237" w:lineRule="auto"/>
        <w:tabs>
          <w:tab w:leader="none" w:pos="1566" w:val="left"/>
        </w:tabs>
        <w:numPr>
          <w:ilvl w:val="0"/>
          <w:numId w:val="101"/>
        </w:numPr>
        <w:rPr>
          <w:rFonts w:ascii="Arial" w:cs="Arial" w:eastAsia="Arial" w:hAnsi="Arial"/>
          <w:sz w:val="19"/>
          <w:szCs w:val="19"/>
          <w:color w:val="auto"/>
        </w:rPr>
      </w:pPr>
      <w:r>
        <w:rPr>
          <w:rFonts w:ascii="Arial" w:cs="Arial" w:eastAsia="Arial" w:hAnsi="Arial"/>
          <w:sz w:val="19"/>
          <w:szCs w:val="19"/>
          <w:color w:val="auto"/>
        </w:rPr>
        <w:t>The term “Company” as used in this Restricted Stock Unit Agreement with reference to employment shall include the Company and its Subsidiaries.</w:t>
      </w:r>
    </w:p>
    <w:p>
      <w:pPr>
        <w:spacing w:after="0" w:line="151" w:lineRule="exact"/>
        <w:rPr>
          <w:rFonts w:ascii="Arial" w:cs="Arial" w:eastAsia="Arial" w:hAnsi="Arial"/>
          <w:sz w:val="19"/>
          <w:szCs w:val="19"/>
          <w:color w:val="auto"/>
        </w:rPr>
      </w:pPr>
    </w:p>
    <w:p>
      <w:pPr>
        <w:jc w:val="both"/>
        <w:ind w:firstLine="1278"/>
        <w:spacing w:after="0" w:line="220" w:lineRule="auto"/>
        <w:tabs>
          <w:tab w:leader="none" w:pos="157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Whenever the word “Participant” is used in any provision of this Restricted Stock Unit Agreement under circumstances where the provision should logically be construed to apply to the executors, the administrators, or the person or persons to whom the Restricted Stock Units may be transferred in accordance with Section 14(b) of the Plan, the word “Participant” shall be deemed to include such person or persons.</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294" w:lineRule="exact"/>
        <w:rPr>
          <w:sz w:val="20"/>
          <w:szCs w:val="20"/>
          <w:color w:val="auto"/>
        </w:rPr>
      </w:pPr>
    </w:p>
    <w:p>
      <w:pPr>
        <w:jc w:val="both"/>
        <w:ind w:left="-1120" w:firstLine="1278"/>
        <w:spacing w:after="0" w:line="218" w:lineRule="auto"/>
        <w:tabs>
          <w:tab w:leader="none" w:pos="359" w:val="left"/>
        </w:tabs>
        <w:numPr>
          <w:ilvl w:val="0"/>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Non-Transferability</w:t>
      </w:r>
      <w:r>
        <w:rPr>
          <w:rFonts w:ascii="Arial" w:cs="Arial" w:eastAsia="Arial" w:hAnsi="Arial"/>
          <w:sz w:val="19"/>
          <w:szCs w:val="19"/>
          <w:color w:val="auto"/>
        </w:rPr>
        <w:t>. The Restricted Stock Units are not transferable by the Participant except to Permitted Transferees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Section 14(b)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47" w:lineRule="exact"/>
        <w:rPr>
          <w:rFonts w:ascii="Arial" w:cs="Arial" w:eastAsia="Arial" w:hAnsi="Arial"/>
          <w:sz w:val="19"/>
          <w:szCs w:val="19"/>
          <w:color w:val="auto"/>
        </w:rPr>
      </w:pPr>
    </w:p>
    <w:p>
      <w:pPr>
        <w:jc w:val="both"/>
        <w:ind w:left="-1120" w:firstLine="1278"/>
        <w:spacing w:after="0" w:line="218" w:lineRule="auto"/>
        <w:tabs>
          <w:tab w:leader="none" w:pos="359" w:val="left"/>
        </w:tabs>
        <w:numPr>
          <w:ilvl w:val="0"/>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Rights as Shareholder</w:t>
      </w:r>
      <w:r>
        <w:rPr>
          <w:rFonts w:ascii="Arial" w:cs="Arial" w:eastAsia="Arial" w:hAnsi="Arial"/>
          <w:sz w:val="19"/>
          <w:szCs w:val="19"/>
          <w:color w:val="auto"/>
        </w:rPr>
        <w:t>. The Participant or a Permitted Transferee of the Restricted Stock Units shall have no rights as a</w:t>
      </w:r>
      <w:r>
        <w:rPr>
          <w:rFonts w:ascii="Arial" w:cs="Arial" w:eastAsia="Arial" w:hAnsi="Arial"/>
          <w:sz w:val="19"/>
          <w:szCs w:val="19"/>
          <w:b w:val="1"/>
          <w:bCs w:val="1"/>
          <w:color w:val="auto"/>
        </w:rPr>
        <w:t xml:space="preserve"> </w:t>
      </w:r>
      <w:r>
        <w:rPr>
          <w:rFonts w:ascii="Arial" w:cs="Arial" w:eastAsia="Arial" w:hAnsi="Arial"/>
          <w:sz w:val="19"/>
          <w:szCs w:val="19"/>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147" w:lineRule="exact"/>
        <w:rPr>
          <w:rFonts w:ascii="Arial" w:cs="Arial" w:eastAsia="Arial" w:hAnsi="Arial"/>
          <w:sz w:val="19"/>
          <w:szCs w:val="19"/>
          <w:color w:val="auto"/>
        </w:rPr>
      </w:pPr>
    </w:p>
    <w:p>
      <w:pPr>
        <w:jc w:val="both"/>
        <w:ind w:left="-1120" w:firstLine="1278"/>
        <w:spacing w:after="0" w:line="218" w:lineRule="auto"/>
        <w:tabs>
          <w:tab w:leader="none" w:pos="386" w:val="left"/>
        </w:tabs>
        <w:numPr>
          <w:ilvl w:val="0"/>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provisions of Section 14(d) of the Plan are incorporated herein by reference and made a part</w:t>
      </w:r>
      <w:r>
        <w:rPr>
          <w:rFonts w:ascii="Arial" w:cs="Arial" w:eastAsia="Arial" w:hAnsi="Arial"/>
          <w:sz w:val="19"/>
          <w:szCs w:val="19"/>
          <w:b w:val="1"/>
          <w:bCs w:val="1"/>
          <w:color w:val="auto"/>
        </w:rPr>
        <w:t xml:space="preserve"> </w:t>
      </w:r>
      <w:r>
        <w:rPr>
          <w:rFonts w:ascii="Arial" w:cs="Arial" w:eastAsia="Arial" w:hAnsi="Arial"/>
          <w:sz w:val="19"/>
          <w:szCs w:val="19"/>
          <w:color w:val="auto"/>
        </w:rPr>
        <w:t>hereof.Without limiting the Company’s rights to satisfy withholding obligations as described under Section 14(d) of the Plan, the Participant hereby authorizes the Company to satisfy the applicable tax withholding obligations from proceeds of the sale of shares of Common Stock issuable in respect of the Restricted Stock Units through a mandatory sale arranged by the Company (on Participant’s behalf pursuant to this authorization).</w:t>
      </w:r>
    </w:p>
    <w:p>
      <w:pPr>
        <w:spacing w:after="0" w:line="147" w:lineRule="exact"/>
        <w:rPr>
          <w:rFonts w:ascii="Arial" w:cs="Arial" w:eastAsia="Arial" w:hAnsi="Arial"/>
          <w:sz w:val="19"/>
          <w:szCs w:val="19"/>
          <w:color w:val="auto"/>
        </w:rPr>
      </w:pPr>
    </w:p>
    <w:p>
      <w:pPr>
        <w:jc w:val="both"/>
        <w:ind w:left="-1120" w:firstLine="1278"/>
        <w:spacing w:after="0" w:line="223" w:lineRule="auto"/>
        <w:tabs>
          <w:tab w:leader="none" w:pos="346"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Restricted Stock Unit Agreement between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50" w:lineRule="exact"/>
        <w:rPr>
          <w:rFonts w:ascii="Arial" w:cs="Arial" w:eastAsia="Arial" w:hAnsi="Arial"/>
          <w:sz w:val="18"/>
          <w:szCs w:val="18"/>
          <w:color w:val="auto"/>
        </w:rPr>
      </w:pPr>
    </w:p>
    <w:p>
      <w:pPr>
        <w:ind w:left="-1120" w:firstLine="1278"/>
        <w:spacing w:after="0" w:line="241" w:lineRule="auto"/>
        <w:tabs>
          <w:tab w:leader="none" w:pos="457" w:val="left"/>
        </w:tabs>
        <w:numPr>
          <w:ilvl w:val="0"/>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No Right to Continued Service</w:t>
      </w:r>
      <w:r>
        <w:rPr>
          <w:rFonts w:ascii="Arial" w:cs="Arial" w:eastAsia="Arial" w:hAnsi="Arial"/>
          <w:sz w:val="19"/>
          <w:szCs w:val="19"/>
          <w:color w:val="auto"/>
        </w:rPr>
        <w:t>. This Restricted Stock Unit Agreement does not confer upon the Participant any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as an employee or other service provider to the Company.</w:t>
      </w:r>
    </w:p>
    <w:p>
      <w:pPr>
        <w:spacing w:after="0" w:line="144" w:lineRule="exact"/>
        <w:rPr>
          <w:rFonts w:ascii="Arial" w:cs="Arial" w:eastAsia="Arial" w:hAnsi="Arial"/>
          <w:sz w:val="19"/>
          <w:szCs w:val="19"/>
          <w:color w:val="auto"/>
        </w:rPr>
      </w:pPr>
    </w:p>
    <w:p>
      <w:pPr>
        <w:ind w:left="-1120" w:firstLine="1278"/>
        <w:spacing w:after="0" w:line="241" w:lineRule="auto"/>
        <w:tabs>
          <w:tab w:leader="none" w:pos="463" w:val="left"/>
        </w:tabs>
        <w:numPr>
          <w:ilvl w:val="0"/>
          <w:numId w:val="102"/>
        </w:numPr>
        <w:rPr>
          <w:rFonts w:ascii="Arial" w:cs="Arial" w:eastAsia="Arial" w:hAnsi="Arial"/>
          <w:sz w:val="19"/>
          <w:szCs w:val="19"/>
          <w:color w:val="auto"/>
        </w:rPr>
      </w:pPr>
      <w:r>
        <w:rPr>
          <w:rFonts w:ascii="Arial" w:cs="Arial" w:eastAsia="Arial" w:hAnsi="Arial"/>
          <w:sz w:val="19"/>
          <w:szCs w:val="19"/>
          <w:b w:val="1"/>
          <w:bCs w:val="1"/>
          <w:u w:val="single" w:color="auto"/>
          <w:color w:val="auto"/>
        </w:rPr>
        <w:t>Binding Effect</w:t>
      </w:r>
      <w:r>
        <w:rPr>
          <w:rFonts w:ascii="Arial" w:cs="Arial" w:eastAsia="Arial" w:hAnsi="Arial"/>
          <w:sz w:val="19"/>
          <w:szCs w:val="19"/>
          <w:color w:val="auto"/>
        </w:rPr>
        <w:t>. This Restricted Stock Unit Agreement shall be binding upon the heirs, executors, administrators and</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successors of the parties hereto.</w:t>
      </w:r>
    </w:p>
    <w:p>
      <w:pPr>
        <w:spacing w:after="0" w:line="144" w:lineRule="exact"/>
        <w:rPr>
          <w:rFonts w:ascii="Arial" w:cs="Arial" w:eastAsia="Arial" w:hAnsi="Arial"/>
          <w:sz w:val="19"/>
          <w:szCs w:val="19"/>
          <w:color w:val="auto"/>
        </w:rPr>
      </w:pPr>
    </w:p>
    <w:p>
      <w:pPr>
        <w:jc w:val="both"/>
        <w:ind w:left="-1120" w:firstLine="1278"/>
        <w:spacing w:after="0" w:line="230" w:lineRule="auto"/>
        <w:tabs>
          <w:tab w:leader="none" w:pos="457"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and Amendments</w:t>
      </w:r>
      <w:r>
        <w:rPr>
          <w:rFonts w:ascii="Arial" w:cs="Arial" w:eastAsia="Arial" w:hAnsi="Arial"/>
          <w:sz w:val="18"/>
          <w:szCs w:val="18"/>
          <w:color w:val="auto"/>
        </w:rPr>
        <w:t>. Except as otherwise set forth in Section 13 of the Plan, any waiver, alteration, amendment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modification of any of the terms of this Restricted Stock Unit Agreement shall be valid only if made in writing and signed by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ectPr>
          <w:pgSz w:w="11900" w:h="16838" w:orient="portrait"/>
          <w:cols w:equalWidth="0" w:num="1">
            <w:col w:w="10120"/>
          </w:cols>
          <w:pgMar w:left="1440" w:top="1440" w:right="339" w:bottom="1440" w:gutter="0" w:footer="0" w:header="0"/>
        </w:sectPr>
      </w:pPr>
    </w:p>
    <w:bookmarkStart w:id="224" w:name="page225"/>
    <w:bookmarkEnd w:id="224"/>
    <w:p>
      <w:pPr>
        <w:spacing w:after="0" w:line="294" w:lineRule="exact"/>
        <w:rPr>
          <w:sz w:val="20"/>
          <w:szCs w:val="20"/>
          <w:color w:val="auto"/>
        </w:rPr>
      </w:pPr>
    </w:p>
    <w:p>
      <w:pPr>
        <w:jc w:val="both"/>
        <w:ind w:left="-1120" w:firstLine="1278"/>
        <w:spacing w:after="0" w:line="224" w:lineRule="auto"/>
        <w:tabs>
          <w:tab w:leader="none" w:pos="470"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Clawback/Forfeiture</w:t>
      </w:r>
      <w:r>
        <w:rPr>
          <w:rFonts w:ascii="Arial" w:cs="Arial" w:eastAsia="Arial" w:hAnsi="Arial"/>
          <w:sz w:val="18"/>
          <w:szCs w:val="18"/>
          <w:color w:val="auto"/>
        </w:rPr>
        <w:t>. Notwithstanding anything to the contrary contained herein or in the Plan, if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50" w:lineRule="exact"/>
        <w:rPr>
          <w:rFonts w:ascii="Arial" w:cs="Arial" w:eastAsia="Arial" w:hAnsi="Arial"/>
          <w:sz w:val="18"/>
          <w:szCs w:val="18"/>
          <w:color w:val="auto"/>
        </w:rPr>
      </w:pPr>
    </w:p>
    <w:p>
      <w:pPr>
        <w:ind w:left="-1120" w:firstLine="1278"/>
        <w:spacing w:after="0" w:line="241" w:lineRule="auto"/>
        <w:tabs>
          <w:tab w:leader="none" w:pos="483"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Prior Agreements; Restrictive Covenants</w:t>
      </w:r>
      <w:r>
        <w:rPr>
          <w:rFonts w:ascii="Arial" w:cs="Arial" w:eastAsia="Arial" w:hAnsi="Arial"/>
          <w:sz w:val="19"/>
          <w:szCs w:val="19"/>
          <w:color w:val="auto"/>
        </w:rPr>
        <w:t>. The Participant shall execute and return to the Company a copy of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Restrictive Covenant Agreement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w:t>
      </w:r>
    </w:p>
    <w:p>
      <w:pPr>
        <w:spacing w:after="0" w:line="144" w:lineRule="exact"/>
        <w:rPr>
          <w:rFonts w:ascii="Arial" w:cs="Arial" w:eastAsia="Arial" w:hAnsi="Arial"/>
          <w:sz w:val="19"/>
          <w:szCs w:val="19"/>
          <w:color w:val="auto"/>
        </w:rPr>
      </w:pPr>
    </w:p>
    <w:p>
      <w:pPr>
        <w:jc w:val="both"/>
        <w:ind w:left="-1120" w:firstLine="1278"/>
        <w:spacing w:after="0" w:line="218" w:lineRule="auto"/>
        <w:tabs>
          <w:tab w:leader="none" w:pos="443"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color w:val="auto"/>
        </w:rPr>
        <w:t>. This Restricted Stock Unit Agreement shall be construed and interpreted in accordance with the laws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47" w:lineRule="exact"/>
        <w:rPr>
          <w:rFonts w:ascii="Arial" w:cs="Arial" w:eastAsia="Arial" w:hAnsi="Arial"/>
          <w:sz w:val="19"/>
          <w:szCs w:val="19"/>
          <w:color w:val="auto"/>
        </w:rPr>
      </w:pPr>
    </w:p>
    <w:p>
      <w:pPr>
        <w:jc w:val="both"/>
        <w:ind w:left="-1120" w:firstLine="1278"/>
        <w:spacing w:after="0" w:line="228" w:lineRule="auto"/>
        <w:tabs>
          <w:tab w:leader="none" w:pos="443"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Plan</w:t>
      </w:r>
      <w:r>
        <w:rPr>
          <w:rFonts w:ascii="Arial" w:cs="Arial" w:eastAsia="Arial" w:hAnsi="Arial"/>
          <w:sz w:val="19"/>
          <w:szCs w:val="19"/>
          <w:color w:val="auto"/>
        </w:rPr>
        <w:t>. The terms and provisions of the Plan are incorporated herein by reference. In the event of a conflict or inconsistency</w:t>
      </w:r>
      <w:r>
        <w:rPr>
          <w:rFonts w:ascii="Arial" w:cs="Arial" w:eastAsia="Arial" w:hAnsi="Arial"/>
          <w:sz w:val="19"/>
          <w:szCs w:val="19"/>
          <w:b w:val="1"/>
          <w:bCs w:val="1"/>
          <w:color w:val="auto"/>
        </w:rPr>
        <w:t xml:space="preserve"> </w:t>
      </w:r>
      <w:r>
        <w:rPr>
          <w:rFonts w:ascii="Arial" w:cs="Arial" w:eastAsia="Arial" w:hAnsi="Arial"/>
          <w:sz w:val="19"/>
          <w:szCs w:val="19"/>
          <w:color w:val="auto"/>
        </w:rPr>
        <w:t>between the terms and provisions of the Plan and the provisions of this Restricted Stock Unit Agreement (including the Grant Notice), the Plan shall govern and control.</w:t>
      </w:r>
    </w:p>
    <w:p>
      <w:pPr>
        <w:spacing w:after="0" w:line="145" w:lineRule="exact"/>
        <w:rPr>
          <w:rFonts w:ascii="Arial" w:cs="Arial" w:eastAsia="Arial" w:hAnsi="Arial"/>
          <w:sz w:val="19"/>
          <w:szCs w:val="19"/>
          <w:color w:val="auto"/>
        </w:rPr>
      </w:pPr>
    </w:p>
    <w:p>
      <w:pPr>
        <w:jc w:val="both"/>
        <w:ind w:left="-1120" w:firstLine="1278"/>
        <w:spacing w:after="0" w:line="228" w:lineRule="auto"/>
        <w:tabs>
          <w:tab w:leader="none" w:pos="457"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Section 409A</w:t>
      </w:r>
      <w:r>
        <w:rPr>
          <w:rFonts w:ascii="Arial" w:cs="Arial" w:eastAsia="Arial" w:hAnsi="Arial"/>
          <w:sz w:val="19"/>
          <w:szCs w:val="19"/>
          <w:color w:val="auto"/>
        </w:rPr>
        <w:t>. It is intended that the Restricted Stock Units granted hereunder shall be exempt from Section 409A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Code pursuant to the “short-term deferral” rule applicable to such section, as set forth in the regulations or other guidance published by the Internal Revenue Service thereunder.</w:t>
      </w:r>
    </w:p>
    <w:p>
      <w:pPr>
        <w:spacing w:after="0" w:line="145" w:lineRule="exact"/>
        <w:rPr>
          <w:rFonts w:ascii="Arial" w:cs="Arial" w:eastAsia="Arial" w:hAnsi="Arial"/>
          <w:sz w:val="19"/>
          <w:szCs w:val="19"/>
          <w:color w:val="auto"/>
        </w:rPr>
      </w:pPr>
    </w:p>
    <w:p>
      <w:pPr>
        <w:jc w:val="both"/>
        <w:ind w:left="-1120" w:firstLine="1278"/>
        <w:spacing w:after="0" w:line="222" w:lineRule="auto"/>
        <w:tabs>
          <w:tab w:leader="none" w:pos="457"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Imposition of Other Requirements</w:t>
      </w:r>
      <w:r>
        <w:rPr>
          <w:rFonts w:ascii="Arial" w:cs="Arial" w:eastAsia="Arial" w:hAnsi="Arial"/>
          <w:sz w:val="19"/>
          <w:szCs w:val="19"/>
          <w:color w:val="auto"/>
        </w:rPr>
        <w:t>. The Company reserves the right to impose other requirements on the Participant’s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45" w:lineRule="exact"/>
        <w:rPr>
          <w:rFonts w:ascii="Arial" w:cs="Arial" w:eastAsia="Arial" w:hAnsi="Arial"/>
          <w:sz w:val="19"/>
          <w:szCs w:val="19"/>
          <w:color w:val="auto"/>
        </w:rPr>
      </w:pPr>
    </w:p>
    <w:p>
      <w:pPr>
        <w:jc w:val="both"/>
        <w:ind w:left="-1120" w:firstLine="1278"/>
        <w:spacing w:after="0" w:line="222" w:lineRule="auto"/>
        <w:tabs>
          <w:tab w:leader="none" w:pos="443"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w:t>
      </w:r>
      <w:r>
        <w:rPr>
          <w:rFonts w:ascii="Arial" w:cs="Arial" w:eastAsia="Arial" w:hAnsi="Arial"/>
          <w:sz w:val="19"/>
          <w:szCs w:val="19"/>
          <w:b w:val="1"/>
          <w:bCs w:val="1"/>
          <w:color w:val="auto"/>
        </w:rPr>
        <w:t xml:space="preserve"> </w:t>
      </w:r>
      <w:r>
        <w:rPr>
          <w:rFonts w:ascii="Arial" w:cs="Arial" w:eastAsia="Arial" w:hAnsi="Arial"/>
          <w:sz w:val="19"/>
          <w:szCs w:val="19"/>
          <w:color w:val="auto"/>
        </w:rPr>
        <w:t>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2" w:lineRule="exact"/>
        <w:rPr>
          <w:rFonts w:ascii="Arial" w:cs="Arial" w:eastAsia="Arial" w:hAnsi="Arial"/>
          <w:sz w:val="19"/>
          <w:szCs w:val="19"/>
          <w:color w:val="auto"/>
        </w:rPr>
      </w:pPr>
    </w:p>
    <w:p>
      <w:pPr>
        <w:jc w:val="both"/>
        <w:ind w:left="-1120" w:firstLine="1278"/>
        <w:spacing w:after="0" w:line="228" w:lineRule="auto"/>
        <w:tabs>
          <w:tab w:leader="none" w:pos="443" w:val="left"/>
        </w:tabs>
        <w:numPr>
          <w:ilvl w:val="0"/>
          <w:numId w:val="103"/>
        </w:numPr>
        <w:rPr>
          <w:rFonts w:ascii="Arial" w:cs="Arial" w:eastAsia="Arial" w:hAnsi="Arial"/>
          <w:sz w:val="19"/>
          <w:szCs w:val="19"/>
          <w:color w:val="auto"/>
        </w:rPr>
      </w:pPr>
      <w:r>
        <w:rPr>
          <w:rFonts w:ascii="Arial" w:cs="Arial" w:eastAsia="Arial" w:hAnsi="Arial"/>
          <w:sz w:val="19"/>
          <w:szCs w:val="19"/>
          <w:b w:val="1"/>
          <w:bCs w:val="1"/>
          <w:u w:val="single" w:color="auto"/>
          <w:color w:val="auto"/>
        </w:rPr>
        <w:t>Entire Agreement</w:t>
      </w:r>
      <w:r>
        <w:rPr>
          <w:rFonts w:ascii="Arial" w:cs="Arial" w:eastAsia="Arial" w:hAnsi="Arial"/>
          <w:sz w:val="19"/>
          <w:szCs w:val="19"/>
          <w:color w:val="auto"/>
        </w:rPr>
        <w:t>. This Restricted Stock Unit Agreement, the Grant Notice and the Plan constitute the entire agreement of</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hereto in respect of the subject matter contained herein and supersede all prior agreements and understandings of the parties, oral and written, with respect to such subject matter.</w:t>
      </w:r>
    </w:p>
    <w:p>
      <w:pPr>
        <w:sectPr>
          <w:pgSz w:w="11900" w:h="16838" w:orient="portrait"/>
          <w:cols w:equalWidth="0" w:num="1">
            <w:col w:w="10120"/>
          </w:cols>
          <w:pgMar w:left="1440" w:top="1440" w:right="339" w:bottom="1440" w:gutter="0" w:footer="0" w:header="0"/>
        </w:sectPr>
      </w:pPr>
    </w:p>
    <w:bookmarkStart w:id="225" w:name="page226"/>
    <w:bookmarkEnd w:id="225"/>
    <w:p>
      <w:pPr>
        <w:spacing w:after="0" w:line="2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RESTRICTIVE COVENANT AGREEMENT</w:t>
      </w:r>
    </w:p>
    <w:p>
      <w:pPr>
        <w:sectPr>
          <w:pgSz w:w="11900" w:h="16838" w:orient="portrait"/>
          <w:cols w:equalWidth="0" w:num="1">
            <w:col w:w="9019"/>
          </w:cols>
          <w:pgMar w:left="1440" w:top="1440" w:right="1440"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3620" w:type="dxa"/>
            <w:vAlign w:val="bottom"/>
          </w:tcPr>
          <w:p>
            <w:pPr>
              <w:spacing w:after="0"/>
              <w:rPr>
                <w:sz w:val="24"/>
                <w:szCs w:val="24"/>
                <w:color w:val="auto"/>
              </w:rPr>
            </w:pPr>
          </w:p>
        </w:tc>
        <w:tc>
          <w:tcPr>
            <w:tcW w:w="7400" w:type="dxa"/>
            <w:vAlign w:val="bottom"/>
          </w:tcPr>
          <w:p>
            <w:pPr>
              <w:ind w:left="40"/>
              <w:spacing w:after="0"/>
              <w:rPr>
                <w:sz w:val="20"/>
                <w:szCs w:val="20"/>
                <w:color w:val="auto"/>
              </w:rPr>
            </w:pPr>
            <w:r>
              <w:rPr>
                <w:rFonts w:ascii="Arial" w:cs="Arial" w:eastAsia="Arial" w:hAnsi="Arial"/>
                <w:sz w:val="21"/>
                <w:szCs w:val="21"/>
                <w:b w:val="1"/>
                <w:bCs w:val="1"/>
                <w:color w:val="auto"/>
              </w:rPr>
              <w:t>Subsidiaries of ZoomInfo Technologies Inc.</w:t>
            </w:r>
          </w:p>
        </w:tc>
      </w:tr>
      <w:tr>
        <w:trPr>
          <w:trHeight w:val="715"/>
        </w:trPr>
        <w:tc>
          <w:tcPr>
            <w:tcW w:w="3620" w:type="dxa"/>
            <w:vAlign w:val="bottom"/>
          </w:tcPr>
          <w:p>
            <w:pPr>
              <w:ind w:left="20"/>
              <w:spacing w:after="0"/>
              <w:rPr>
                <w:sz w:val="20"/>
                <w:szCs w:val="20"/>
                <w:color w:val="auto"/>
              </w:rPr>
            </w:pPr>
            <w:r>
              <w:rPr>
                <w:rFonts w:ascii="Arial" w:cs="Arial" w:eastAsia="Arial" w:hAnsi="Arial"/>
                <w:sz w:val="21"/>
                <w:szCs w:val="21"/>
                <w:b w:val="1"/>
                <w:bCs w:val="1"/>
                <w:color w:val="auto"/>
              </w:rPr>
              <w:t>Name of Subsidiary</w:t>
            </w:r>
          </w:p>
        </w:tc>
        <w:tc>
          <w:tcPr>
            <w:tcW w:w="7400" w:type="dxa"/>
            <w:vAlign w:val="bottom"/>
          </w:tcPr>
          <w:p>
            <w:pPr>
              <w:ind w:left="1860"/>
              <w:spacing w:after="0"/>
              <w:rPr>
                <w:sz w:val="20"/>
                <w:szCs w:val="20"/>
                <w:color w:val="auto"/>
              </w:rPr>
            </w:pPr>
            <w:r>
              <w:rPr>
                <w:rFonts w:ascii="Arial" w:cs="Arial" w:eastAsia="Arial" w:hAnsi="Arial"/>
                <w:sz w:val="21"/>
                <w:szCs w:val="21"/>
                <w:b w:val="1"/>
                <w:bCs w:val="1"/>
                <w:color w:val="auto"/>
              </w:rPr>
              <w:t>Jurisdiction of Incorporation or Organization</w:t>
            </w:r>
          </w:p>
        </w:tc>
      </w:tr>
      <w:tr>
        <w:trPr>
          <w:trHeight w:val="29"/>
        </w:trPr>
        <w:tc>
          <w:tcPr>
            <w:tcW w:w="3620" w:type="dxa"/>
            <w:vAlign w:val="bottom"/>
            <w:tcBorders>
              <w:bottom w:val="single" w:sz="8" w:color="auto"/>
            </w:tcBorders>
          </w:tcPr>
          <w:p>
            <w:pPr>
              <w:spacing w:after="0"/>
              <w:rPr>
                <w:sz w:val="2"/>
                <w:szCs w:val="2"/>
                <w:color w:val="auto"/>
              </w:rPr>
            </w:pPr>
          </w:p>
        </w:tc>
        <w:tc>
          <w:tcPr>
            <w:tcW w:w="7400" w:type="dxa"/>
            <w:vAlign w:val="bottom"/>
            <w:tcBorders>
              <w:bottom w:val="single" w:sz="8" w:color="auto"/>
            </w:tcBorders>
          </w:tcPr>
          <w:p>
            <w:pPr>
              <w:spacing w:after="0"/>
              <w:rPr>
                <w:sz w:val="2"/>
                <w:szCs w:val="2"/>
                <w:color w:val="auto"/>
              </w:rPr>
            </w:pPr>
          </w:p>
        </w:tc>
      </w:tr>
      <w:tr>
        <w:trPr>
          <w:trHeight w:val="283"/>
        </w:trPr>
        <w:tc>
          <w:tcPr>
            <w:tcW w:w="3620" w:type="dxa"/>
            <w:vAlign w:val="bottom"/>
          </w:tcPr>
          <w:p>
            <w:pPr>
              <w:ind w:left="20"/>
              <w:spacing w:after="0"/>
              <w:rPr>
                <w:sz w:val="20"/>
                <w:szCs w:val="20"/>
                <w:color w:val="auto"/>
              </w:rPr>
            </w:pPr>
            <w:r>
              <w:rPr>
                <w:rFonts w:ascii="Arial" w:cs="Arial" w:eastAsia="Arial" w:hAnsi="Arial"/>
                <w:sz w:val="21"/>
                <w:szCs w:val="21"/>
                <w:color w:val="auto"/>
              </w:rPr>
              <w:t>ZoomInfo Intermediate Inc.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Holdings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Midco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Clickagy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Technologies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Finance Corp.</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Neverbounce,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Ruby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International,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Apollo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Datanyze,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w w:val="98"/>
              </w:rPr>
              <w:t>DiscoverOrg Acquisition (Komiko),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Israel Ltd</w:t>
            </w:r>
          </w:p>
        </w:tc>
        <w:tc>
          <w:tcPr>
            <w:tcW w:w="7400" w:type="dxa"/>
            <w:vAlign w:val="bottom"/>
          </w:tcPr>
          <w:p>
            <w:pPr>
              <w:ind w:left="1860"/>
              <w:spacing w:after="0"/>
              <w:rPr>
                <w:sz w:val="20"/>
                <w:szCs w:val="20"/>
                <w:color w:val="auto"/>
              </w:rPr>
            </w:pPr>
            <w:r>
              <w:rPr>
                <w:rFonts w:ascii="Arial" w:cs="Arial" w:eastAsia="Arial" w:hAnsi="Arial"/>
                <w:sz w:val="21"/>
                <w:szCs w:val="21"/>
                <w:color w:val="auto"/>
              </w:rPr>
              <w:t>Israel</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AffectLayer, Ltd.</w:t>
            </w:r>
          </w:p>
        </w:tc>
        <w:tc>
          <w:tcPr>
            <w:tcW w:w="7400" w:type="dxa"/>
            <w:vAlign w:val="bottom"/>
          </w:tcPr>
          <w:p>
            <w:pPr>
              <w:ind w:left="1860"/>
              <w:spacing w:after="0"/>
              <w:rPr>
                <w:sz w:val="20"/>
                <w:szCs w:val="20"/>
                <w:color w:val="auto"/>
              </w:rPr>
            </w:pPr>
            <w:r>
              <w:rPr>
                <w:rFonts w:ascii="Arial" w:cs="Arial" w:eastAsia="Arial" w:hAnsi="Arial"/>
                <w:sz w:val="21"/>
                <w:szCs w:val="21"/>
                <w:color w:val="auto"/>
              </w:rPr>
              <w:t>Israel</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InsentApp India Private Limited</w:t>
            </w:r>
          </w:p>
        </w:tc>
        <w:tc>
          <w:tcPr>
            <w:tcW w:w="7400" w:type="dxa"/>
            <w:vAlign w:val="bottom"/>
          </w:tcPr>
          <w:p>
            <w:pPr>
              <w:ind w:left="1860"/>
              <w:spacing w:after="0"/>
              <w:rPr>
                <w:sz w:val="20"/>
                <w:szCs w:val="20"/>
                <w:color w:val="auto"/>
              </w:rPr>
            </w:pPr>
            <w:r>
              <w:rPr>
                <w:rFonts w:ascii="Arial" w:cs="Arial" w:eastAsia="Arial" w:hAnsi="Arial"/>
                <w:sz w:val="21"/>
                <w:szCs w:val="21"/>
                <w:color w:val="auto"/>
              </w:rPr>
              <w:t>Israel</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AffectLayer Software Corp.</w:t>
            </w:r>
          </w:p>
        </w:tc>
        <w:tc>
          <w:tcPr>
            <w:tcW w:w="7400" w:type="dxa"/>
            <w:vAlign w:val="bottom"/>
          </w:tcPr>
          <w:p>
            <w:pPr>
              <w:ind w:left="1860"/>
              <w:spacing w:after="0"/>
              <w:rPr>
                <w:sz w:val="20"/>
                <w:szCs w:val="20"/>
                <w:color w:val="auto"/>
              </w:rPr>
            </w:pPr>
            <w:r>
              <w:rPr>
                <w:rFonts w:ascii="Arial" w:cs="Arial" w:eastAsia="Arial" w:hAnsi="Arial"/>
                <w:sz w:val="21"/>
                <w:szCs w:val="21"/>
                <w:color w:val="auto"/>
              </w:rPr>
              <w:t>Canada</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Australia Pty Ltd.</w:t>
            </w:r>
          </w:p>
        </w:tc>
        <w:tc>
          <w:tcPr>
            <w:tcW w:w="7400" w:type="dxa"/>
            <w:vAlign w:val="bottom"/>
          </w:tcPr>
          <w:p>
            <w:pPr>
              <w:ind w:left="1860"/>
              <w:spacing w:after="0"/>
              <w:rPr>
                <w:sz w:val="20"/>
                <w:szCs w:val="20"/>
                <w:color w:val="auto"/>
              </w:rPr>
            </w:pPr>
            <w:r>
              <w:rPr>
                <w:rFonts w:ascii="Arial" w:cs="Arial" w:eastAsia="Arial" w:hAnsi="Arial"/>
                <w:sz w:val="21"/>
                <w:szCs w:val="21"/>
                <w:color w:val="auto"/>
              </w:rPr>
              <w:t>Australia</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ZoomInfo UK Ltd.</w:t>
            </w:r>
          </w:p>
        </w:tc>
        <w:tc>
          <w:tcPr>
            <w:tcW w:w="7400" w:type="dxa"/>
            <w:vAlign w:val="bottom"/>
          </w:tcPr>
          <w:p>
            <w:pPr>
              <w:ind w:left="1860"/>
              <w:spacing w:after="0"/>
              <w:rPr>
                <w:sz w:val="20"/>
                <w:szCs w:val="20"/>
                <w:color w:val="auto"/>
              </w:rPr>
            </w:pPr>
            <w:r>
              <w:rPr>
                <w:rFonts w:ascii="Arial" w:cs="Arial" w:eastAsia="Arial" w:hAnsi="Arial"/>
                <w:sz w:val="21"/>
                <w:szCs w:val="21"/>
                <w:color w:val="auto"/>
              </w:rPr>
              <w:t>UK</w:t>
            </w:r>
          </w:p>
        </w:tc>
      </w:tr>
      <w:tr>
        <w:trPr>
          <w:trHeight w:val="318"/>
        </w:trPr>
        <w:tc>
          <w:tcPr>
            <w:tcW w:w="3620" w:type="dxa"/>
            <w:vAlign w:val="bottom"/>
          </w:tcPr>
          <w:p>
            <w:pPr>
              <w:ind w:left="20"/>
              <w:spacing w:after="0"/>
              <w:rPr>
                <w:sz w:val="20"/>
                <w:szCs w:val="20"/>
                <w:color w:val="auto"/>
              </w:rPr>
            </w:pPr>
            <w:r>
              <w:rPr>
                <w:rFonts w:ascii="Arial" w:cs="Arial" w:eastAsia="Arial" w:hAnsi="Arial"/>
                <w:sz w:val="21"/>
                <w:szCs w:val="21"/>
                <w:color w:val="auto"/>
              </w:rPr>
              <w:t>EverString Technology LLC</w:t>
            </w:r>
          </w:p>
        </w:tc>
        <w:tc>
          <w:tcPr>
            <w:tcW w:w="7400" w:type="dxa"/>
            <w:vAlign w:val="bottom"/>
          </w:tcPr>
          <w:p>
            <w:pPr>
              <w:ind w:left="1860"/>
              <w:spacing w:after="0"/>
              <w:rPr>
                <w:sz w:val="20"/>
                <w:szCs w:val="20"/>
                <w:color w:val="auto"/>
              </w:rPr>
            </w:pPr>
            <w:r>
              <w:rPr>
                <w:rFonts w:ascii="Arial" w:cs="Arial" w:eastAsia="Arial" w:hAnsi="Arial"/>
                <w:sz w:val="21"/>
                <w:szCs w:val="21"/>
                <w:color w:val="auto"/>
              </w:rPr>
              <w:t>Delaware</w:t>
            </w:r>
          </w:p>
        </w:tc>
      </w:tr>
    </w:tbl>
    <w:p>
      <w:pPr>
        <w:sectPr>
          <w:pgSz w:w="11900" w:h="16838" w:orient="portrait"/>
          <w:cols w:equalWidth="0" w:num="1">
            <w:col w:w="11240"/>
          </w:cols>
          <w:pgMar w:left="320" w:top="121"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ZoomInfo Technologies Inc.:</w:t>
      </w:r>
    </w:p>
    <w:p>
      <w:pPr>
        <w:spacing w:after="0" w:line="217" w:lineRule="exact"/>
        <w:rPr>
          <w:sz w:val="20"/>
          <w:szCs w:val="20"/>
          <w:color w:val="auto"/>
        </w:rPr>
      </w:pPr>
    </w:p>
    <w:p>
      <w:pPr>
        <w:ind w:right="40"/>
        <w:spacing w:after="0" w:line="221" w:lineRule="auto"/>
        <w:rPr>
          <w:sz w:val="20"/>
          <w:szCs w:val="20"/>
          <w:color w:val="auto"/>
        </w:rPr>
      </w:pPr>
      <w:r>
        <w:rPr>
          <w:rFonts w:ascii="Arial" w:cs="Arial" w:eastAsia="Arial" w:hAnsi="Arial"/>
          <w:sz w:val="18"/>
          <w:szCs w:val="18"/>
          <w:color w:val="auto"/>
        </w:rPr>
        <w:t>We consent to the incorporation by reference in the registration statement on Form S-8 (No.333-238917) and on Form S-3 (No.333-260668) of our report dated February 24, 2022, with respect to the consolidated financial statements as of December 31, 2021 and 2020, the related consolidated statements of operations, comprehensive income (loss), changes in equity (deficit), and cash flows for each of the years in the three-year period ended December 31, 2021, and related notes, which report appears in the December 31, 2021 annual report on Form 10-K of ZoomInfo Technologies Inc. and the effectiveness of internal control over financial reporting.</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18" w:right="3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ZoomInfo Technologies Inc.;</w:t>
      </w:r>
    </w:p>
    <w:p>
      <w:pPr>
        <w:spacing w:after="0" w:line="270" w:lineRule="exact"/>
        <w:rPr>
          <w:rFonts w:ascii="Arial" w:cs="Arial" w:eastAsia="Arial" w:hAnsi="Arial"/>
          <w:sz w:val="18"/>
          <w:szCs w:val="18"/>
          <w:color w:val="auto"/>
        </w:rPr>
      </w:pPr>
    </w:p>
    <w:p>
      <w:pPr>
        <w:ind w:right="460" w:firstLine="6"/>
        <w:spacing w:after="0" w:line="402" w:lineRule="auto"/>
        <w:tabs>
          <w:tab w:leader="none" w:pos="17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95" w:lineRule="auto"/>
        <w:tabs>
          <w:tab w:leader="none" w:pos="1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ind w:right="240" w:firstLine="6"/>
        <w:spacing w:after="0" w:line="295" w:lineRule="auto"/>
        <w:tabs>
          <w:tab w:leader="none" w:pos="1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6" w:lineRule="exact"/>
        <w:rPr>
          <w:rFonts w:ascii="Arial" w:cs="Arial" w:eastAsia="Arial" w:hAnsi="Arial"/>
          <w:sz w:val="18"/>
          <w:szCs w:val="18"/>
          <w:color w:val="auto"/>
        </w:rPr>
      </w:pPr>
    </w:p>
    <w:p>
      <w:pPr>
        <w:ind w:left="640" w:right="60" w:firstLine="2"/>
        <w:spacing w:after="0" w:line="286" w:lineRule="auto"/>
        <w:tabs>
          <w:tab w:leader="none" w:pos="8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00" w:hanging="258"/>
        <w:spacing w:after="0"/>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70" w:lineRule="exact"/>
        <w:rPr>
          <w:rFonts w:ascii="Arial" w:cs="Arial" w:eastAsia="Arial" w:hAnsi="Arial"/>
          <w:sz w:val="18"/>
          <w:szCs w:val="18"/>
          <w:color w:val="auto"/>
        </w:rPr>
      </w:pPr>
    </w:p>
    <w:p>
      <w:pPr>
        <w:ind w:left="640" w:right="840" w:firstLine="2"/>
        <w:spacing w:after="0" w:line="402" w:lineRule="auto"/>
        <w:tabs>
          <w:tab w:leader="none" w:pos="88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640" w:right="300" w:firstLine="2"/>
        <w:spacing w:after="0" w:line="286" w:lineRule="auto"/>
        <w:tabs>
          <w:tab w:leader="none" w:pos="89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402" w:lineRule="auto"/>
        <w:tabs>
          <w:tab w:leader="none" w:pos="177"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327" w:lineRule="auto"/>
        <w:tabs>
          <w:tab w:leader="none" w:pos="95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5" w:right="339" w:bottom="1440" w:gutter="0" w:footer="0" w:header="0"/>
        </w:sectPr>
      </w:pPr>
    </w:p>
    <w:bookmarkStart w:id="229" w:name="page230"/>
    <w:bookmarkEnd w:id="229"/>
    <w:p>
      <w:pPr>
        <w:ind w:left="940" w:hanging="318"/>
        <w:spacing w:after="0" w:line="295" w:lineRule="auto"/>
        <w:tabs>
          <w:tab w:leader="none" w:pos="93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27940</wp:posOffset>
            </wp:positionV>
            <wp:extent cx="30797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9">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5"/>
          <w:szCs w:val="15"/>
          <w:color w:val="auto"/>
        </w:rPr>
        <w:t>Henry Schuck</w:t>
      </w:r>
    </w:p>
    <w:p>
      <w:pPr>
        <w:spacing w:after="0" w:line="7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00"/>
          </w:cols>
          <w:pgMar w:left="340" w:top="1412" w:right="45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 P. Cameron Hyzer, certify that:</w:t>
      </w:r>
    </w:p>
    <w:p>
      <w:pPr>
        <w:spacing w:after="0" w:line="270" w:lineRule="exact"/>
        <w:rPr>
          <w:sz w:val="20"/>
          <w:szCs w:val="20"/>
          <w:color w:val="auto"/>
        </w:rPr>
      </w:pPr>
    </w:p>
    <w:p>
      <w:pPr>
        <w:ind w:left="180" w:hanging="174"/>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ZoomInfo Technologies Inc.;</w:t>
      </w:r>
    </w:p>
    <w:p>
      <w:pPr>
        <w:spacing w:after="0" w:line="270" w:lineRule="exact"/>
        <w:rPr>
          <w:rFonts w:ascii="Arial" w:cs="Arial" w:eastAsia="Arial" w:hAnsi="Arial"/>
          <w:sz w:val="18"/>
          <w:szCs w:val="18"/>
          <w:color w:val="auto"/>
        </w:rPr>
      </w:pPr>
    </w:p>
    <w:p>
      <w:pPr>
        <w:ind w:right="460" w:firstLine="6"/>
        <w:spacing w:after="0" w:line="402" w:lineRule="auto"/>
        <w:tabs>
          <w:tab w:leader="none" w:pos="17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5"/>
          <w:szCs w:val="15"/>
          <w:color w:val="auto"/>
        </w:rPr>
      </w:pPr>
    </w:p>
    <w:p>
      <w:pPr>
        <w:ind w:right="80" w:firstLine="6"/>
        <w:spacing w:after="0" w:line="295" w:lineRule="auto"/>
        <w:tabs>
          <w:tab w:leader="none" w:pos="1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ind w:right="240" w:firstLine="6"/>
        <w:spacing w:after="0" w:line="295" w:lineRule="auto"/>
        <w:tabs>
          <w:tab w:leader="none" w:pos="1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72" w:lineRule="exact"/>
        <w:rPr>
          <w:rFonts w:ascii="Arial" w:cs="Arial" w:eastAsia="Arial" w:hAnsi="Arial"/>
          <w:sz w:val="18"/>
          <w:szCs w:val="18"/>
          <w:color w:val="auto"/>
        </w:rPr>
      </w:pPr>
    </w:p>
    <w:p>
      <w:pPr>
        <w:ind w:left="640" w:right="60" w:firstLine="2"/>
        <w:spacing w:after="0" w:line="286" w:lineRule="auto"/>
        <w:tabs>
          <w:tab w:leader="none" w:pos="8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8"/>
          <w:szCs w:val="18"/>
          <w:color w:val="auto"/>
        </w:rPr>
      </w:pPr>
    </w:p>
    <w:p>
      <w:pPr>
        <w:ind w:left="900" w:hanging="258"/>
        <w:spacing w:after="0"/>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270" w:lineRule="exact"/>
        <w:rPr>
          <w:rFonts w:ascii="Arial" w:cs="Arial" w:eastAsia="Arial" w:hAnsi="Arial"/>
          <w:sz w:val="18"/>
          <w:szCs w:val="18"/>
          <w:color w:val="auto"/>
        </w:rPr>
      </w:pPr>
    </w:p>
    <w:p>
      <w:pPr>
        <w:ind w:left="640" w:right="840" w:firstLine="2"/>
        <w:spacing w:after="0" w:line="402" w:lineRule="auto"/>
        <w:tabs>
          <w:tab w:leader="none" w:pos="880" w:val="left"/>
        </w:tabs>
        <w:numPr>
          <w:ilvl w:val="1"/>
          <w:numId w:val="10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jc w:val="both"/>
        <w:ind w:left="640" w:right="300" w:firstLine="2"/>
        <w:spacing w:after="0" w:line="286" w:lineRule="auto"/>
        <w:tabs>
          <w:tab w:leader="none" w:pos="89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4" w:lineRule="exact"/>
        <w:rPr>
          <w:rFonts w:ascii="Arial" w:cs="Arial" w:eastAsia="Arial" w:hAnsi="Arial"/>
          <w:sz w:val="18"/>
          <w:szCs w:val="18"/>
          <w:color w:val="auto"/>
        </w:rPr>
      </w:pPr>
    </w:p>
    <w:p>
      <w:pPr>
        <w:ind w:right="680" w:firstLine="6"/>
        <w:spacing w:after="0" w:line="402" w:lineRule="auto"/>
        <w:tabs>
          <w:tab w:leader="none" w:pos="177"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960" w:right="160" w:hanging="318"/>
        <w:spacing w:after="0" w:line="327" w:lineRule="auto"/>
        <w:tabs>
          <w:tab w:leader="none" w:pos="95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135" w:right="339" w:bottom="1440" w:gutter="0" w:footer="0" w:header="0"/>
        </w:sectPr>
      </w:pPr>
    </w:p>
    <w:bookmarkStart w:id="231" w:name="page232"/>
    <w:bookmarkEnd w:id="231"/>
    <w:p>
      <w:pPr>
        <w:spacing w:after="0" w:line="211" w:lineRule="exact"/>
        <w:rPr>
          <w:sz w:val="20"/>
          <w:szCs w:val="20"/>
          <w:color w:val="auto"/>
        </w:rPr>
      </w:pPr>
    </w:p>
    <w:p>
      <w:pPr>
        <w:ind w:left="620" w:firstLine="2"/>
        <w:spacing w:after="0" w:line="295" w:lineRule="auto"/>
        <w:tabs>
          <w:tab w:leader="none" w:pos="8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8" w:lineRule="exact"/>
        <w:rPr>
          <w:sz w:val="20"/>
          <w:szCs w:val="20"/>
          <w:color w:val="auto"/>
        </w:rPr>
      </w:pPr>
    </w:p>
    <w:p>
      <w:pPr>
        <w:spacing w:after="0"/>
        <w:tabs>
          <w:tab w:leader="none" w:pos="6140" w:val="left"/>
        </w:tabs>
        <w:rPr>
          <w:sz w:val="20"/>
          <w:szCs w:val="20"/>
          <w:color w:val="auto"/>
        </w:rPr>
      </w:pPr>
      <w:r>
        <w:rPr>
          <w:rFonts w:ascii="Arial" w:cs="Arial" w:eastAsia="Arial" w:hAnsi="Arial"/>
          <w:sz w:val="18"/>
          <w:szCs w:val="18"/>
          <w:color w:val="auto"/>
        </w:rPr>
        <w:t>Date: February 24, 2022</w:t>
      </w:r>
      <w:r>
        <w:rPr>
          <w:sz w:val="20"/>
          <w:szCs w:val="20"/>
          <w:color w:val="auto"/>
        </w:rPr>
        <w:tab/>
      </w:r>
      <w:r>
        <w:rPr>
          <w:rFonts w:ascii="Arial" w:cs="Arial" w:eastAsia="Arial" w:hAnsi="Arial"/>
          <w:sz w:val="15"/>
          <w:szCs w:val="15"/>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27940</wp:posOffset>
            </wp:positionV>
            <wp:extent cx="30797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0">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1"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020"/>
          </w:cols>
          <w:pgMar w:left="340" w:top="1440" w:right="5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18 U.S.C. Section 1350,</w:t>
      </w:r>
    </w:p>
    <w:p>
      <w:pPr>
        <w:spacing w:after="0" w:line="45"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as Adopted Pursuant to</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03" w:lineRule="exact"/>
        <w:rPr>
          <w:sz w:val="20"/>
          <w:szCs w:val="20"/>
          <w:color w:val="auto"/>
        </w:rPr>
      </w:pPr>
    </w:p>
    <w:p>
      <w:pPr>
        <w:ind w:right="40" w:firstLine="636"/>
        <w:spacing w:after="0" w:line="328" w:lineRule="auto"/>
        <w:rPr>
          <w:sz w:val="20"/>
          <w:szCs w:val="20"/>
          <w:color w:val="auto"/>
        </w:rPr>
      </w:pPr>
      <w:r>
        <w:rPr>
          <w:rFonts w:ascii="Arial" w:cs="Arial" w:eastAsia="Arial" w:hAnsi="Arial"/>
          <w:sz w:val="18"/>
          <w:szCs w:val="18"/>
          <w:color w:val="auto"/>
        </w:rPr>
        <w:t>In connection with the Annual Report on Form 10-K of ZoomInfo Technologies Inc. (the “Company”) for the year ended December 31, 2021 as filed with the Securities and Exchange Commission on the date hereof (the “Report”), Henry Schuck, as Chief Executive Officer of the Company, and P. Cameron Hyzer, as Chief Financial Officer of the Company, each hereby certifies, pursuant to 18 U.S.C. § 1350, as adopted pursuant to § 906 of the Sarbanes-Oxley Act of 2002, that, to the best of his knowledge:</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(1)The Report fully complies with the requirements of Section 13(a) or 15(d) of the Securities Exchange Act of 1934; and</w:t>
      </w:r>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Company.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27940</wp:posOffset>
            </wp:positionV>
            <wp:extent cx="30880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Executive Officer)</w:t>
      </w:r>
    </w:p>
    <w:p>
      <w:pPr>
        <w:spacing w:after="0" w:line="3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 Cameron Hyzer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27940</wp:posOffset>
            </wp:positionV>
            <wp:extent cx="30880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2">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 Cameron Hyzer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58"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lowerRoman"/>
      <w:start w:val="1"/>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1)"/>
      <w:numFmt w:val="lowerRoman"/>
      <w:start w:val="2"/>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decimal"/>
      <w:start w:val="1"/>
    </w:lvl>
  </w:abstractNum>
  <w:abstractNum w:abstractNumId="24">
    <w:nsid w:val="1DBABF00"/>
    <w:multiLevelType w:val="hybridMultilevel"/>
    <w:lvl w:ilvl="0">
      <w:lvlJc w:val="left"/>
      <w:lvlText w:val="(%1)"/>
      <w:numFmt w:val="lowerLetter"/>
      <w:start w:val="1"/>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1)"/>
      <w:numFmt w:val="lowerLetter"/>
      <w:start w:val="1"/>
    </w:lvl>
  </w:abstractNum>
  <w:abstractNum w:abstractNumId="30">
    <w:nsid w:val="6590700B"/>
    <w:multiLevelType w:val="hybridMultilevel"/>
    <w:lvl w:ilvl="0">
      <w:lvlJc w:val="left"/>
      <w:lvlText w:val="(%1)"/>
      <w:numFmt w:val="lowerLetter"/>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1)"/>
      <w:numFmt w:val="lowerRoman"/>
      <w:start w:val="2"/>
    </w:lvl>
  </w:abstractNum>
  <w:abstractNum w:abstractNumId="34">
    <w:nsid w:val="799D0247"/>
    <w:multiLevelType w:val="hybridMultilevel"/>
    <w:lvl w:ilvl="0">
      <w:lvlJc w:val="left"/>
      <w:lvlText w:val="(%1)"/>
      <w:numFmt w:val="decimal"/>
      <w:start w:val="1"/>
    </w:lvl>
  </w:abstractNum>
  <w:abstractNum w:abstractNumId="35">
    <w:nsid w:val="6B94764"/>
    <w:multiLevelType w:val="hybridMultilevel"/>
    <w:lvl w:ilvl="0">
      <w:lvlJc w:val="left"/>
      <w:lvlText w:val="(%1)"/>
      <w:numFmt w:val="decimal"/>
      <w:start w:val="1"/>
    </w:lvl>
  </w:abstractNum>
  <w:abstractNum w:abstractNumId="36">
    <w:nsid w:val="42C296BD"/>
    <w:multiLevelType w:val="hybridMultilevel"/>
    <w:lvl w:ilvl="0">
      <w:lvlJc w:val="left"/>
      <w:lvlText w:val="(%1)"/>
      <w:numFmt w:val="decimal"/>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1)"/>
      <w:numFmt w:val="decimal"/>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1)"/>
      <w:numFmt w:val="lowerLetter"/>
      <w:start w:val="1"/>
    </w:lvl>
    <w:lvl w:ilvl="1">
      <w:lvlJc w:val="left"/>
      <w:lvlText w:val="%2."/>
      <w:numFmt w:val="decimal"/>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1)"/>
      <w:numFmt w:val="lowerRoman"/>
      <w:start w:val="1"/>
    </w:lvl>
  </w:abstractNum>
  <w:abstractNum w:abstractNumId="54">
    <w:nsid w:val="60B6DF70"/>
    <w:multiLevelType w:val="hybridMultilevel"/>
    <w:lvl w:ilvl="0">
      <w:lvlJc w:val="left"/>
      <w:lvlText w:val="(%1)"/>
      <w:numFmt w:val="lowerRoman"/>
      <w:start w:val="4"/>
    </w:lvl>
  </w:abstractNum>
  <w:abstractNum w:abstractNumId="55">
    <w:nsid w:val="6A5EE64"/>
    <w:multiLevelType w:val="hybridMultilevel"/>
    <w:lvl w:ilvl="0">
      <w:lvlJc w:val="left"/>
      <w:lvlText w:val="(%1)"/>
      <w:numFmt w:val="lowerLetter"/>
      <w:start w:val="3"/>
    </w:lvl>
  </w:abstractNum>
  <w:abstractNum w:abstractNumId="56">
    <w:nsid w:val="14330624"/>
    <w:multiLevelType w:val="hybridMultilevel"/>
    <w:lvl w:ilvl="0">
      <w:lvlJc w:val="left"/>
      <w:lvlText w:val="(%1)"/>
      <w:numFmt w:val="lowerLetter"/>
      <w:start w:val="1"/>
    </w:lvl>
    <w:lvl w:ilvl="1">
      <w:lvlJc w:val="left"/>
      <w:lvlText w:val="(%2)"/>
      <w:numFmt w:val="lowerLetter"/>
      <w:start w:val="9"/>
    </w:lvl>
  </w:abstractNum>
  <w:abstractNum w:abstractNumId="57">
    <w:nsid w:val="7FFFCA11"/>
    <w:multiLevelType w:val="hybridMultilevel"/>
    <w:lvl w:ilvl="0">
      <w:lvlJc w:val="left"/>
      <w:lvlText w:val="(%1)"/>
      <w:numFmt w:val="lowerLetter"/>
      <w:start w:val="3"/>
    </w:lvl>
  </w:abstractNum>
  <w:abstractNum w:abstractNumId="58">
    <w:nsid w:val="1A27709E"/>
    <w:multiLevelType w:val="hybridMultilevel"/>
    <w:lvl w:ilvl="0">
      <w:lvlJc w:val="left"/>
      <w:lvlText w:val="(%1)"/>
      <w:numFmt w:val="lowerLetter"/>
      <w:start w:val="7"/>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9"/>
    </w:lvl>
  </w:abstractNum>
  <w:abstractNum w:abstractNumId="61">
    <w:nsid w:val="7FB7E0AA"/>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62">
    <w:nsid w:val="6EB5BD4"/>
    <w:multiLevelType w:val="hybridMultilevel"/>
    <w:lvl w:ilvl="0">
      <w:lvlJc w:val="left"/>
      <w:lvlText w:val="%1"/>
      <w:numFmt w:val="lowerLetter"/>
      <w:start w:val="1"/>
    </w:lvl>
    <w:lvl w:ilvl="1">
      <w:lvlJc w:val="left"/>
      <w:lvlText w:val="(%2)"/>
      <w:numFmt w:val="lowerRoman"/>
      <w:start w:val="2"/>
    </w:lvl>
  </w:abstractNum>
  <w:abstractNum w:abstractNumId="63">
    <w:nsid w:val="6F6DD9AC"/>
    <w:multiLevelType w:val="hybridMultilevel"/>
    <w:lvl w:ilvl="0">
      <w:lvlJc w:val="left"/>
      <w:lvlText w:val="(%1)"/>
      <w:numFmt w:val="lowerLetter"/>
      <w:start w:val="6"/>
    </w:lvl>
    <w:lvl w:ilvl="1">
      <w:lvlJc w:val="left"/>
      <w:lvlText w:val="%2"/>
      <w:numFmt w:val="lowerRoman"/>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lowerLetter"/>
      <w:start w:val="7"/>
    </w:lvl>
    <w:lvl w:ilvl="1">
      <w:lvlJc w:val="left"/>
      <w:lvlText w:val="(%2)"/>
      <w:numFmt w:val="lowerRoman"/>
      <w:start w:val="1"/>
    </w:lvl>
  </w:abstractNum>
  <w:abstractNum w:abstractNumId="66">
    <w:nsid w:val="76272110"/>
    <w:multiLevelType w:val="hybridMultilevel"/>
    <w:lvl w:ilvl="0">
      <w:lvlJc w:val="left"/>
      <w:lvlText w:val="(%1)"/>
      <w:numFmt w:val="lowerLetter"/>
      <w:start w:val="1"/>
    </w:lvl>
  </w:abstractNum>
  <w:abstractNum w:abstractNumId="67">
    <w:nsid w:val="4C04A8AF"/>
    <w:multiLevelType w:val="hybridMultilevel"/>
    <w:lvl w:ilvl="0">
      <w:lvlJc w:val="left"/>
      <w:lvlText w:val="(%1)"/>
      <w:numFmt w:val="lowerLetter"/>
      <w:start w:val="2"/>
    </w:lvl>
  </w:abstractNum>
  <w:abstractNum w:abstractNumId="68">
    <w:nsid w:val="1716703B"/>
    <w:multiLevelType w:val="hybridMultilevel"/>
    <w:lvl w:ilvl="0">
      <w:lvlJc w:val="left"/>
      <w:lvlText w:val="(%1)"/>
      <w:numFmt w:val="lowerLetter"/>
      <w:start w:val="1"/>
    </w:lvl>
  </w:abstractNum>
  <w:abstractNum w:abstractNumId="69">
    <w:nsid w:val="14E17E33"/>
    <w:multiLevelType w:val="hybridMultilevel"/>
    <w:lvl w:ilvl="0">
      <w:lvlJc w:val="left"/>
      <w:lvlText w:val="(%1)"/>
      <w:numFmt w:val="lowerLetter"/>
      <w:start w:val="4"/>
    </w:lvl>
  </w:abstractNum>
  <w:abstractNum w:abstractNumId="70">
    <w:nsid w:val="3222E7CD"/>
    <w:multiLevelType w:val="hybridMultilevel"/>
    <w:lvl w:ilvl="0">
      <w:lvlJc w:val="left"/>
      <w:lvlText w:val="(%1)"/>
      <w:numFmt w:val="lowerLetter"/>
      <w:start w:val="25"/>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2"/>
    </w:lvl>
  </w:abstractNum>
  <w:abstractNum w:abstractNumId="75">
    <w:nsid w:val="4A2AC315"/>
    <w:multiLevelType w:val="hybridMultilevel"/>
    <w:lvl w:ilvl="0">
      <w:lvlJc w:val="left"/>
      <w:lvlText w:val="(%1)"/>
      <w:numFmt w:val="lowerLetter"/>
      <w:start w:val="1"/>
    </w:lvl>
  </w:abstractNum>
  <w:abstractNum w:abstractNumId="76">
    <w:nsid w:val="39EE015C"/>
    <w:multiLevelType w:val="hybridMultilevel"/>
    <w:lvl w:ilvl="0">
      <w:lvlJc w:val="left"/>
      <w:lvlText w:val="(%1)"/>
      <w:numFmt w:val="lowerLetter"/>
      <w:start w:val="1"/>
    </w:lvl>
  </w:abstractNum>
  <w:abstractNum w:abstractNumId="77">
    <w:nsid w:val="57FC4FBB"/>
    <w:multiLevelType w:val="hybridMultilevel"/>
    <w:lvl w:ilvl="0">
      <w:lvlJc w:val="left"/>
      <w:lvlText w:val="(%1)"/>
      <w:numFmt w:val="lowerLetter"/>
      <w:start w:val="4"/>
    </w:lvl>
  </w:abstractNum>
  <w:abstractNum w:abstractNumId="78">
    <w:nsid w:val="CC1016F"/>
    <w:multiLevelType w:val="hybridMultilevel"/>
    <w:lvl w:ilvl="0">
      <w:lvlJc w:val="left"/>
      <w:lvlText w:val="(%1)"/>
      <w:numFmt w:val="lowerLetter"/>
      <w:start w:val="1"/>
    </w:lvl>
  </w:abstractNum>
  <w:abstractNum w:abstractNumId="79">
    <w:nsid w:val="43F18422"/>
    <w:multiLevelType w:val="hybridMultilevel"/>
    <w:lvl w:ilvl="0">
      <w:lvlJc w:val="left"/>
      <w:lvlText w:val="(%1)"/>
      <w:numFmt w:val="lowerLetter"/>
      <w:start w:val="2"/>
    </w:lvl>
  </w:abstractNum>
  <w:abstractNum w:abstractNumId="80">
    <w:nsid w:val="60EF0119"/>
    <w:multiLevelType w:val="hybridMultilevel"/>
    <w:lvl w:ilvl="0">
      <w:lvlJc w:val="left"/>
      <w:lvlText w:val="%1"/>
      <w:numFmt w:val="lowerLetter"/>
      <w:start w:val="1"/>
    </w:lvl>
    <w:lvl w:ilvl="1">
      <w:lvlJc w:val="left"/>
      <w:lvlText w:val="(%2)"/>
      <w:numFmt w:val="lowerLetter"/>
      <w:start w:val="1"/>
    </w:lvl>
  </w:abstractNum>
  <w:abstractNum w:abstractNumId="81">
    <w:nsid w:val="26F324BA"/>
    <w:multiLevelType w:val="hybridMultilevel"/>
    <w:lvl w:ilvl="0">
      <w:lvlJc w:val="left"/>
      <w:lvlText w:val="(%1)"/>
      <w:numFmt w:val="lowerLetter"/>
      <w:start w:val="9"/>
    </w:lvl>
    <w:lvl w:ilvl="1">
      <w:lvlJc w:val="left"/>
      <w:lvlText w:val="%2"/>
      <w:numFmt w:val="lowerLetter"/>
      <w:start w:val="1"/>
    </w:lvl>
  </w:abstractNum>
  <w:abstractNum w:abstractNumId="82">
    <w:nsid w:val="7F01579B"/>
    <w:multiLevelType w:val="hybridMultilevel"/>
    <w:lvl w:ilvl="0">
      <w:lvlJc w:val="left"/>
      <w:lvlText w:val="(%1)"/>
      <w:numFmt w:val="decimal"/>
      <w:start w:val="2"/>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lowerLetter"/>
      <w:start w:val="2"/>
    </w:lvl>
    <w:lvl w:ilvl="1">
      <w:lvlJc w:val="left"/>
      <w:lvlText w:val="(%2)"/>
      <w:numFmt w:val="lowerRoman"/>
      <w:start w:val="1"/>
    </w:lvl>
  </w:abstractNum>
  <w:abstractNum w:abstractNumId="85">
    <w:nsid w:val="5FB8370B"/>
    <w:multiLevelType w:val="hybridMultilevel"/>
    <w:lvl w:ilvl="0">
      <w:lvlJc w:val="left"/>
      <w:lvlText w:val="(%1)"/>
      <w:numFmt w:val="lowerLetter"/>
      <w:start w:val="1"/>
    </w:lvl>
  </w:abstractNum>
  <w:abstractNum w:abstractNumId="86">
    <w:nsid w:val="50801EE1"/>
    <w:multiLevelType w:val="hybridMultilevel"/>
    <w:lvl w:ilvl="0">
      <w:lvlJc w:val="left"/>
      <w:lvlText w:val="%1"/>
      <w:numFmt w:val="lowerLetter"/>
      <w:start w:val="1"/>
    </w:lvl>
    <w:lvl w:ilvl="1">
      <w:lvlJc w:val="left"/>
      <w:lvlText w:val="(%2)"/>
      <w:numFmt w:val="lowerLetter"/>
      <w:start w:val="2"/>
    </w:lvl>
  </w:abstractNum>
  <w:abstractNum w:abstractNumId="87">
    <w:nsid w:val="488AC1A"/>
    <w:multiLevelType w:val="hybridMultilevel"/>
    <w:lvl w:ilvl="0">
      <w:lvlJc w:val="left"/>
      <w:lvlText w:val="(%1)"/>
      <w:numFmt w:val="lowerLetter"/>
      <w:start w:val="35"/>
    </w:lvl>
    <w:lvl w:ilvl="1">
      <w:lvlJc w:val="left"/>
      <w:lvlText w:val="%2"/>
      <w:numFmt w:val="lowerLetter"/>
      <w:start w:val="1"/>
    </w:lvl>
  </w:abstractNum>
  <w:abstractNum w:abstractNumId="88">
    <w:nsid w:val="5FB8011C"/>
    <w:multiLevelType w:val="hybridMultilevel"/>
    <w:lvl w:ilvl="0">
      <w:lvlJc w:val="left"/>
      <w:lvlText w:val="(%1)"/>
      <w:numFmt w:val="lowerLetter"/>
      <w:start w:val="3"/>
    </w:lvl>
  </w:abstractNum>
  <w:abstractNum w:abstractNumId="89">
    <w:nsid w:val="6AA78F7F"/>
    <w:multiLevelType w:val="hybridMultilevel"/>
    <w:lvl w:ilvl="0">
      <w:lvlJc w:val="left"/>
      <w:lvlText w:val="(%1)"/>
      <w:numFmt w:val="lowerLetter"/>
      <w:start w:val="1"/>
    </w:lvl>
  </w:abstractNum>
  <w:abstractNum w:abstractNumId="90">
    <w:nsid w:val="7672BD23"/>
    <w:multiLevelType w:val="hybridMultilevel"/>
    <w:lvl w:ilvl="0">
      <w:lvlJc w:val="left"/>
      <w:lvlText w:val="(%1)"/>
      <w:numFmt w:val="lowerLetter"/>
      <w:start w:val="1"/>
    </w:lvl>
    <w:lvl w:ilvl="1">
      <w:lvlJc w:val="left"/>
      <w:lvlText w:val="(%2)"/>
      <w:numFmt w:val="lowerRoman"/>
      <w:start w:val="1"/>
    </w:lvl>
  </w:abstractNum>
  <w:abstractNum w:abstractNumId="91">
    <w:nsid w:val="6FC75AF8"/>
    <w:multiLevelType w:val="hybridMultilevel"/>
    <w:lvl w:ilvl="0">
      <w:lvlJc w:val="left"/>
      <w:lvlText w:val="(%1)"/>
      <w:numFmt w:val="lowerLetter"/>
      <w:start w:val="3"/>
    </w:lvl>
  </w:abstractNum>
  <w:abstractNum w:abstractNumId="92">
    <w:nsid w:val="6A5F7029"/>
    <w:multiLevelType w:val="hybridMultilevel"/>
    <w:lvl w:ilvl="0">
      <w:lvlJc w:val="left"/>
      <w:lvlText w:val="(%1)"/>
      <w:numFmt w:val="lowerLetter"/>
      <w:start w:val="1"/>
    </w:lvl>
  </w:abstractNum>
  <w:abstractNum w:abstractNumId="93">
    <w:nsid w:val="7D5E18F8"/>
    <w:multiLevelType w:val="hybridMultilevel"/>
    <w:lvl w:ilvl="0">
      <w:lvlJc w:val="left"/>
      <w:lvlText w:val="(%1)"/>
      <w:numFmt w:val="lowerLetter"/>
      <w:start w:val="4"/>
    </w:lvl>
  </w:abstractNum>
  <w:abstractNum w:abstractNumId="94">
    <w:nsid w:val="5F3534A4"/>
    <w:multiLevelType w:val="hybridMultilevel"/>
    <w:lvl w:ilvl="0">
      <w:lvlJc w:val="left"/>
      <w:lvlText w:val="(%1)"/>
      <w:numFmt w:val="lowerLetter"/>
      <w:start w:val="1"/>
    </w:lvl>
  </w:abstractNum>
  <w:abstractNum w:abstractNumId="95">
    <w:nsid w:val="73A1821B"/>
    <w:multiLevelType w:val="hybridMultilevel"/>
    <w:lvl w:ilvl="0">
      <w:lvlJc w:val="left"/>
      <w:lvlText w:val="(%1)"/>
      <w:numFmt w:val="lowerLetter"/>
      <w:start w:val="1"/>
    </w:lvl>
    <w:lvl w:ilvl="1">
      <w:lvlJc w:val="left"/>
      <w:lvlText w:val="(%2)"/>
      <w:numFmt w:val="lowerRoman"/>
      <w:start w:val="1"/>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Letter"/>
      <w:start w:val="2"/>
    </w:lvl>
  </w:abstractNum>
  <w:abstractNum w:abstractNumId="98">
    <w:nsid w:val="3FA62ACA"/>
    <w:multiLevelType w:val="hybridMultilevel"/>
    <w:lvl w:ilvl="0">
      <w:lvlJc w:val="left"/>
      <w:lvlText w:val="1"/>
      <w:numFmt w:val="bullet"/>
      <w:start w:val="1"/>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decimal"/>
      <w:start w:val="6"/>
    </w:lvl>
  </w:abstractNum>
  <w:abstractNum w:abstractNumId="102">
    <w:nsid w:val="9DAF632"/>
    <w:multiLevelType w:val="hybridMultilevel"/>
    <w:lvl w:ilvl="0">
      <w:lvlJc w:val="left"/>
      <w:lvlText w:val="%1."/>
      <w:numFmt w:val="decimal"/>
      <w:start w:val="13"/>
    </w:lvl>
  </w:abstractNum>
  <w:abstractNum w:abstractNumId="103">
    <w:nsid w:val="53299938"/>
    <w:multiLevelType w:val="hybridMultilevel"/>
    <w:lvl w:ilvl="0">
      <w:lvlJc w:val="left"/>
      <w:lvlText w:val="%1."/>
      <w:numFmt w:val="decimal"/>
      <w:start w:val="1"/>
    </w:lvl>
    <w:lvl w:ilvl="1">
      <w:lvlJc w:val="left"/>
      <w:lvlText w:val="(%2)"/>
      <w:numFmt w:val="lowerLetter"/>
      <w:start w:val="1"/>
    </w:lvl>
  </w:abstractNum>
  <w:abstractNum w:abstractNumId="104">
    <w:nsid w:val="1FBFE8E0"/>
    <w:multiLevelType w:val="hybridMultilevel"/>
    <w:lvl w:ilvl="0">
      <w:lvlJc w:val="left"/>
      <w:lvlText w:val="(%1)"/>
      <w:numFmt w:val="lowerLetter"/>
      <w:start w:val="2"/>
    </w:lvl>
  </w:abstractNum>
  <w:abstractNum w:abstractNumId="105">
    <w:nsid w:val="5092CA79"/>
    <w:multiLevelType w:val="hybridMultilevel"/>
    <w:lvl w:ilvl="0">
      <w:lvlJc w:val="left"/>
      <w:lvlText w:val="%1."/>
      <w:numFmt w:val="decimal"/>
      <w:start w:val="1"/>
    </w:lvl>
    <w:lvl w:ilvl="1">
      <w:lvlJc w:val="left"/>
      <w:lvlText w:val="(%2)"/>
      <w:numFmt w:val="lowerLetter"/>
      <w:start w:val="1"/>
    </w:lvl>
  </w:abstractNum>
  <w:abstractNum w:abstractNumId="106">
    <w:nsid w:val="1D545C4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204" Type="http://schemas.openxmlformats.org/officeDocument/2006/relationships/image" Target="media/image180.png"/><Relationship Id="rId226" Type="http://schemas.openxmlformats.org/officeDocument/2006/relationships/image" Target="media/image181.png"/><Relationship Id="rId227" Type="http://schemas.openxmlformats.org/officeDocument/2006/relationships/image" Target="media/image182.png"/><Relationship Id="rId228" Type="http://schemas.openxmlformats.org/officeDocument/2006/relationships/image" Target="media/image183.png"/><Relationship Id="rId229"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5" Type="http://schemas.openxmlformats.org/officeDocument/2006/relationships/image" Target="media/image190.png"/><Relationship Id="rId236" Type="http://schemas.openxmlformats.org/officeDocument/2006/relationships/image" Target="media/image191.png"/><Relationship Id="rId237" Type="http://schemas.openxmlformats.org/officeDocument/2006/relationships/image" Target="media/image192.png"/><Relationship Id="rId238" Type="http://schemas.openxmlformats.org/officeDocument/2006/relationships/image" Target="media/image193.png"/><Relationship Id="rId239" Type="http://schemas.openxmlformats.org/officeDocument/2006/relationships/image" Target="media/image194.png"/><Relationship Id="rId240" Type="http://schemas.openxmlformats.org/officeDocument/2006/relationships/image" Target="media/image195.png"/><Relationship Id="rId241" Type="http://schemas.openxmlformats.org/officeDocument/2006/relationships/image" Target="media/image196.png"/><Relationship Id="rId242" Type="http://schemas.openxmlformats.org/officeDocument/2006/relationships/image" Target="media/image197.png"/><Relationship Id="rId243" Type="http://schemas.openxmlformats.org/officeDocument/2006/relationships/image" Target="media/image198.png"/><Relationship Id="rId244" Type="http://schemas.openxmlformats.org/officeDocument/2006/relationships/image" Target="media/image199.png"/><Relationship Id="rId245" Type="http://schemas.openxmlformats.org/officeDocument/2006/relationships/image" Target="media/image200.png"/><Relationship Id="rId246" Type="http://schemas.openxmlformats.org/officeDocument/2006/relationships/image" Target="media/image201.png"/><Relationship Id="rId247" Type="http://schemas.openxmlformats.org/officeDocument/2006/relationships/image" Target="media/image202.png"/><Relationship Id="rId248" Type="http://schemas.openxmlformats.org/officeDocument/2006/relationships/image" Target="media/image203.png"/><Relationship Id="rId249" Type="http://schemas.openxmlformats.org/officeDocument/2006/relationships/image" Target="media/image204.png"/><Relationship Id="rId250" Type="http://schemas.openxmlformats.org/officeDocument/2006/relationships/image" Target="media/image205.png"/><Relationship Id="rId251" Type="http://schemas.openxmlformats.org/officeDocument/2006/relationships/image" Target="media/image206.png"/><Relationship Id="rId252" Type="http://schemas.openxmlformats.org/officeDocument/2006/relationships/image" Target="media/image207.png"/><Relationship Id="rId253" Type="http://schemas.openxmlformats.org/officeDocument/2006/relationships/image" Target="media/image208.png"/><Relationship Id="rId254" Type="http://schemas.openxmlformats.org/officeDocument/2006/relationships/image" Target="media/image209.png"/><Relationship Id="rId255" Type="http://schemas.openxmlformats.org/officeDocument/2006/relationships/image" Target="media/image210.png"/><Relationship Id="rId256" Type="http://schemas.openxmlformats.org/officeDocument/2006/relationships/image" Target="media/image211.png"/><Relationship Id="rId257" Type="http://schemas.openxmlformats.org/officeDocument/2006/relationships/image" Target="media/image212.png"/><Relationship Id="rId258" Type="http://schemas.openxmlformats.org/officeDocument/2006/relationships/image" Target="media/image213.png"/><Relationship Id="rId259" Type="http://schemas.openxmlformats.org/officeDocument/2006/relationships/image" Target="media/image214.png"/><Relationship Id="rId260" Type="http://schemas.openxmlformats.org/officeDocument/2006/relationships/image" Target="media/image215.png"/><Relationship Id="rId261" Type="http://schemas.openxmlformats.org/officeDocument/2006/relationships/image" Target="media/image216.png"/><Relationship Id="rId262" Type="http://schemas.openxmlformats.org/officeDocument/2006/relationships/image" Target="media/image217.png"/><Relationship Id="rId187" Type="http://schemas.openxmlformats.org/officeDocument/2006/relationships/hyperlink" Target="https://www.sec.gov/Archives/edgar/data/0001794515/000179451521000307/a21pubcomergeragreement.htm" TargetMode="External"/><Relationship Id="rId188" Type="http://schemas.openxmlformats.org/officeDocument/2006/relationships/hyperlink" Target="https://www.sec.gov/Archives/edgar/data/0001794515/000179451521000307/a22opcomergeragreement.htm" TargetMode="External"/><Relationship Id="rId189" Type="http://schemas.openxmlformats.org/officeDocument/2006/relationships/hyperlink" Target="https://www.sec.gov/Archives/edgar/data/0001794515/000179451521000307/a31amendedandrestatedcerti.htm" TargetMode="External"/><Relationship Id="rId190" Type="http://schemas.openxmlformats.org/officeDocument/2006/relationships/hyperlink" Target="https://www.sec.gov/Archives/edgar/data/0001794515/000179451521000307/a32amendedandrestatedbylaw.htm" TargetMode="External"/><Relationship Id="rId191" Type="http://schemas.openxmlformats.org/officeDocument/2006/relationships/hyperlink" Target="https://www.sec.gov/Archives/edgar/data/1794515/000179451521000034/exhibit041xclosingxindent.htm" TargetMode="External"/><Relationship Id="rId192" Type="http://schemas.openxmlformats.org/officeDocument/2006/relationships/hyperlink" Target="https://www.sec.gov/Archives/edgar/data/0001794515/000179451521000174/zi-8kex42x20210715.htm" TargetMode="External"/><Relationship Id="rId193" Type="http://schemas.openxmlformats.org/officeDocument/2006/relationships/hyperlink" Target="http://www.sec.gov/Archives/edgar/data/1794515/000162828020009137/exhibit103-closing8xkxexch.htm" TargetMode="External"/><Relationship Id="rId194" Type="http://schemas.openxmlformats.org/officeDocument/2006/relationships/hyperlink" Target="https://www.sec.gov/Archives/edgar/data/1794515/000179451521000318/zi-ex103x20211101.htm" TargetMode="External"/><Relationship Id="rId195" Type="http://schemas.openxmlformats.org/officeDocument/2006/relationships/hyperlink" Target="https://www.sec.gov/Archives/edgar/data/0001794515/000179451521000307/a101exchangetraamendment.htm" TargetMode="External"/><Relationship Id="rId196" Type="http://schemas.openxmlformats.org/officeDocument/2006/relationships/hyperlink" Target="http://www.sec.gov/Archives/edgar/data/1794515/000162828020009137/exhibit104-closing8xkxreor.htm" TargetMode="External"/><Relationship Id="rId197" Type="http://schemas.openxmlformats.org/officeDocument/2006/relationships/hyperlink" Target="https://www.sec.gov/Archives/edgar/data/1794515/000179451521000318/zi-ex102x20211101.htm" TargetMode="External"/><Relationship Id="rId198" Type="http://schemas.openxmlformats.org/officeDocument/2006/relationships/hyperlink" Target="https://www.sec.gov/Archives/edgar/data/0001794515/000179451521000307/a102reorganizationtraamend.htm" TargetMode="External"/><Relationship Id="rId199" Type="http://schemas.openxmlformats.org/officeDocument/2006/relationships/hyperlink" Target="http://www.sec.gov/Archives/edgar/data/1794515/000162828020009137/exhibit105-closing8xkxregi.htm" TargetMode="External"/><Relationship Id="rId200" Type="http://schemas.openxmlformats.org/officeDocument/2006/relationships/hyperlink" Target="http://www.sec.gov/Archives/edgar/data/1794515/000162828020009137/exhibit106-closing8xkxstoc.htm" TargetMode="External"/><Relationship Id="rId201" Type="http://schemas.openxmlformats.org/officeDocument/2006/relationships/hyperlink" Target="http://www.sec.gov/Archives/edgar/data/1794515/000162828020009137/exhibit107-closing8xkx2020.htm" TargetMode="External"/><Relationship Id="rId202" Type="http://schemas.openxmlformats.org/officeDocument/2006/relationships/hyperlink" Target="http://www.sec.gov/Archives/edgar/data/1794515/000162828020009137/exhibit108-closing8xkxempl.htm" TargetMode="External"/><Relationship Id="rId203" Type="http://schemas.openxmlformats.org/officeDocument/2006/relationships/hyperlink" Target="http://www.sec.gov/Archives/edgar/data/1794515/000162828020009137/exhibit109-closing8xkxform.htm" TargetMode="External"/><Relationship Id="rId205" Type="http://schemas.openxmlformats.org/officeDocument/2006/relationships/hyperlink" Target="http://www.sec.gov/Archives/edgar/data/1794515/000162828020002344/exhibit1010-firstliencredi.htm" TargetMode="External"/><Relationship Id="rId206" Type="http://schemas.openxmlformats.org/officeDocument/2006/relationships/hyperlink" Target="http://www.sec.gov/Archives/edgar/data/1794515/000162828020002344/exhibit1011-amendmentno1da.htm" TargetMode="External"/><Relationship Id="rId207" Type="http://schemas.openxmlformats.org/officeDocument/2006/relationships/hyperlink" Target="https://www.sec.gov/Archives/edgar/data/1794515/000179451521000034/exhibit101xclosingxcredxam.htm" TargetMode="External"/><Relationship Id="rId208" Type="http://schemas.openxmlformats.org/officeDocument/2006/relationships/hyperlink" Target="https://www.sec.gov/Archives/edgar/data/1794515/000179451521000183/zi-8kex101x20210720.htm" TargetMode="External"/><Relationship Id="rId209" Type="http://schemas.openxmlformats.org/officeDocument/2006/relationships/hyperlink" Target="http://www.sec.gov/Archives/edgar/data/1794515/000162828020002344/exhibit1012-firstliensecur.htm" TargetMode="External"/><Relationship Id="rId210" Type="http://schemas.openxmlformats.org/officeDocument/2006/relationships/hyperlink" Target="http://www.sec.gov/Archives/edgar/data/1794515/000162828020002344/exhibit1013-firstlienholdi.htm" TargetMode="External"/><Relationship Id="rId211" Type="http://schemas.openxmlformats.org/officeDocument/2006/relationships/hyperlink" Target="http://www.sec.gov/Archives/edgar/data/1794515/000162828020002344/exhibit1014-firstliensubsi.htm" TargetMode="External"/><Relationship Id="rId212" Type="http://schemas.openxmlformats.org/officeDocument/2006/relationships/hyperlink" Target="http://www.sec.gov/Archives/edgar/data/1794515/000162828020002344/exhibit1015-firstlieninter.htm" TargetMode="External"/><Relationship Id="rId213" Type="http://schemas.openxmlformats.org/officeDocument/2006/relationships/hyperlink" Target="http://www.sec.gov/Archives/edgar/data/1794515/000162828020002344/exhibit1025-employmentagre.htm" TargetMode="External"/><Relationship Id="rId214" Type="http://schemas.openxmlformats.org/officeDocument/2006/relationships/hyperlink" Target="http://www.sec.gov/Archives/edgar/data/1794515/000162828020002344/exhibit1026-formofhskbfund.htm" TargetMode="External"/><Relationship Id="rId215" Type="http://schemas.openxmlformats.org/officeDocument/2006/relationships/hyperlink" Target="http://www.sec.gov/Archives/edgar/data/1794515/000162828020002344/exhibit1027-formofclasspin.htm" TargetMode="External"/><Relationship Id="rId216" Type="http://schemas.openxmlformats.org/officeDocument/2006/relationships/hyperlink" Target="http://www.sec.gov/Archives/edgar/data/1794515/000162828020008317/exhibit1028formofstandarde.htm" TargetMode="External"/><Relationship Id="rId217" Type="http://schemas.openxmlformats.org/officeDocument/2006/relationships/hyperlink" Target="http://www.sec.gov/Archives/edgar/data/1794515/000162828020008317/exhibit1029formofstockopti.htm" TargetMode="External"/><Relationship Id="rId218" Type="http://schemas.openxmlformats.org/officeDocument/2006/relationships/hyperlink" Target="http://www.sec.gov/Archives/edgar/data/1794515/000162828020008317/exhibit1030formofleverager.htm" TargetMode="External"/><Relationship Id="rId219" Type="http://schemas.openxmlformats.org/officeDocument/2006/relationships/hyperlink" Target="http://www.sec.gov/Archives/edgar/data/1794515/000162828020008317/exhibit1032formofnon-emplo.htm" TargetMode="External"/><Relationship Id="rId220" Type="http://schemas.openxmlformats.org/officeDocument/2006/relationships/hyperlink" Target="http://www.sec.gov/Archives/edgar/data/1794515/000162828020008317/exhibit1033formofnon-emplo.htm" TargetMode="External"/><Relationship Id="rId221" Type="http://schemas.openxmlformats.org/officeDocument/2006/relationships/hyperlink" Target="http://www.sec.gov/Archives/edgar/data/1794515/000162828020008317/exhibit1034formofclasspuni.htm" TargetMode="External"/><Relationship Id="rId222" Type="http://schemas.openxmlformats.org/officeDocument/2006/relationships/hyperlink" Target="http://www.sec.gov/Archives/edgar/data/1794515/000162828020008317/exhibit1035formofltipunita.htm" TargetMode="External"/><Relationship Id="rId223" Type="http://schemas.openxmlformats.org/officeDocument/2006/relationships/hyperlink" Target="http://www.sec.gov/Archives/edgar/data/1794515/000162828020008317/exhibit1036formofrestricti.htm" TargetMode="External"/><Relationship Id="rId224" Type="http://schemas.openxmlformats.org/officeDocument/2006/relationships/hyperlink" Target="http://www.sec.gov/Archives/edgar/data/1794515/000179451520000019/zi-ex1020x20200810.htm" TargetMode="External"/><Relationship Id="rId225" Type="http://schemas.openxmlformats.org/officeDocument/2006/relationships/hyperlink" Target="https://www.sec.gov/Archives/edgar/data/1794515/000179451521000061/zi-ex1030x2021022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2022-02-24T15:37:54Z</dcterms:created>
  <dcterms:modified xsi:type="dcterms:W3CDTF">2022-02-24T15:37:54Z</dcterms:modified>
</cp:coreProperties>
</file>