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652780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678180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81280</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95250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5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1" w:lineRule="exact"/>
        <w:rPr>
          <w:sz w:val="24"/>
          <w:szCs w:val="24"/>
          <w:color w:val="auto"/>
        </w:rPr>
      </w:pPr>
    </w:p>
    <w:p>
      <w:pPr>
        <w:ind w:left="680" w:hanging="356"/>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680" w:hanging="356"/>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186" w:right="319" w:bottom="1440" w:gutter="0" w:footer="0" w:header="0"/>
        </w:sectPr>
      </w:pPr>
    </w:p>
    <w:p>
      <w:pPr>
        <w:spacing w:after="0" w:line="1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85725</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456" w:lineRule="exact"/>
        <w:rPr>
          <w:sz w:val="24"/>
          <w:szCs w:val="24"/>
          <w:color w:val="auto"/>
        </w:rPr>
      </w:pPr>
    </w:p>
    <w:p>
      <w:pPr>
        <w:sectPr>
          <w:pgSz w:w="11900" w:h="16838" w:orient="portrait"/>
          <w:cols w:equalWidth="0" w:num="2">
            <w:col w:w="6820" w:space="40"/>
            <w:col w:w="4400"/>
          </w:cols>
          <w:pgMar w:left="320" w:top="1186" w:right="319" w:bottom="1440" w:gutter="0" w:footer="0" w:header="0"/>
          <w:type w:val="continuous"/>
        </w:sectPr>
      </w:pP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393"/>
        </w:trPr>
        <w:tc>
          <w:tcPr>
            <w:tcW w:w="3500" w:type="dxa"/>
            <w:vAlign w:val="bottom"/>
          </w:tcPr>
          <w:p>
            <w:pPr>
              <w:spacing w:after="0"/>
              <w:rPr>
                <w:sz w:val="24"/>
                <w:szCs w:val="24"/>
                <w:color w:val="auto"/>
              </w:rPr>
            </w:pPr>
          </w:p>
        </w:tc>
        <w:tc>
          <w:tcPr>
            <w:tcW w:w="4360" w:type="dxa"/>
            <w:vAlign w:val="bottom"/>
            <w:gridSpan w:val="7"/>
          </w:tcPr>
          <w:p>
            <w:pPr>
              <w:jc w:val="center"/>
              <w:ind w:right="100"/>
              <w:spacing w:after="0"/>
              <w:rPr>
                <w:sz w:val="20"/>
                <w:szCs w:val="20"/>
                <w:color w:val="auto"/>
              </w:rPr>
            </w:pPr>
            <w:r>
              <w:rPr>
                <w:rFonts w:ascii="Times New Roman" w:cs="Times New Roman" w:eastAsia="Times New Roman" w:hAnsi="Times New Roman"/>
                <w:sz w:val="32"/>
                <w:szCs w:val="32"/>
                <w:b w:val="1"/>
                <w:bCs w:val="1"/>
                <w:color w:val="auto"/>
                <w:w w:val="98"/>
              </w:rPr>
              <w:t>ZoomInfo Technologies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1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500" w:type="dxa"/>
            <w:vAlign w:val="bottom"/>
            <w:vMerge w:val="restart"/>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0" w:type="dxa"/>
            <w:vAlign w:val="bottom"/>
            <w:vMerge w:val="restart"/>
          </w:tcPr>
          <w:p>
            <w:pPr>
              <w:jc w:val="right"/>
              <w:ind w:right="1491"/>
              <w:spacing w:after="0"/>
              <w:rPr>
                <w:sz w:val="20"/>
                <w:szCs w:val="20"/>
                <w:color w:val="auto"/>
              </w:rPr>
            </w:pPr>
            <w:r>
              <w:rPr>
                <w:rFonts w:ascii="Times New Roman" w:cs="Times New Roman" w:eastAsia="Times New Roman" w:hAnsi="Times New Roman"/>
                <w:sz w:val="14"/>
                <w:szCs w:val="14"/>
                <w:b w:val="1"/>
                <w:bCs w:val="1"/>
                <w:color w:val="auto"/>
              </w:rPr>
              <w:t>87-3037521</w:t>
            </w:r>
          </w:p>
        </w:tc>
        <w:tc>
          <w:tcPr>
            <w:tcW w:w="0" w:type="dxa"/>
            <w:vAlign w:val="bottom"/>
          </w:tcPr>
          <w:p>
            <w:pPr>
              <w:spacing w:after="0"/>
              <w:rPr>
                <w:sz w:val="1"/>
                <w:szCs w:val="1"/>
                <w:color w:val="auto"/>
              </w:rPr>
            </w:pPr>
          </w:p>
        </w:tc>
      </w:tr>
      <w:tr>
        <w:trPr>
          <w:trHeight w:val="340"/>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350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2"/>
        </w:trPr>
        <w:tc>
          <w:tcPr>
            <w:tcW w:w="3500" w:type="dxa"/>
            <w:vAlign w:val="bottom"/>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rPr>
              <w:t>805 Broadway Street, Suite 900</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350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8"/>
              </w:rPr>
              <w:t>Vancouver, Washington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491"/>
              <w:spacing w:after="0"/>
              <w:rPr>
                <w:sz w:val="20"/>
                <w:szCs w:val="20"/>
                <w:color w:val="auto"/>
              </w:rPr>
            </w:pPr>
            <w:r>
              <w:rPr>
                <w:rFonts w:ascii="Times New Roman" w:cs="Times New Roman" w:eastAsia="Times New Roman" w:hAnsi="Times New Roman"/>
                <w:sz w:val="14"/>
                <w:szCs w:val="14"/>
                <w:b w:val="1"/>
                <w:bCs w:val="1"/>
                <w:color w:val="auto"/>
              </w:rPr>
              <w:t>98660</w:t>
            </w:r>
          </w:p>
        </w:tc>
        <w:tc>
          <w:tcPr>
            <w:tcW w:w="0" w:type="dxa"/>
            <w:vAlign w:val="bottom"/>
          </w:tcPr>
          <w:p>
            <w:pPr>
              <w:spacing w:after="0"/>
              <w:rPr>
                <w:sz w:val="1"/>
                <w:szCs w:val="1"/>
                <w:color w:val="auto"/>
              </w:rPr>
            </w:pPr>
          </w:p>
        </w:tc>
      </w:tr>
      <w:tr>
        <w:trPr>
          <w:trHeight w:val="384"/>
        </w:trPr>
        <w:tc>
          <w:tcPr>
            <w:tcW w:w="35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351"/>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3100" w:type="dxa"/>
            <w:vAlign w:val="bottom"/>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(800) 914-1220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350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right w:val="single" w:sz="8" w:color="auto"/>
            </w:tcBorders>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40" w:type="dxa"/>
            <w:vAlign w:val="bottom"/>
          </w:tcPr>
          <w:p>
            <w:pPr>
              <w:spacing w:after="0"/>
              <w:rPr>
                <w:sz w:val="14"/>
                <w:szCs w:val="14"/>
                <w:color w:val="auto"/>
              </w:rPr>
            </w:pPr>
          </w:p>
        </w:tc>
        <w:tc>
          <w:tcPr>
            <w:tcW w:w="3400" w:type="dxa"/>
            <w:vAlign w:val="bottom"/>
            <w:tcBorders>
              <w:right w:val="single" w:sz="8" w:color="auto"/>
            </w:tcBorders>
          </w:tcPr>
          <w:p>
            <w:pPr>
              <w:jc w:val="center"/>
              <w:ind w:right="311"/>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30"/>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Borders>
              <w:right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3"/>
              </w:rPr>
              <w:t>ZI</w:t>
            </w:r>
          </w:p>
        </w:tc>
        <w:tc>
          <w:tcPr>
            <w:tcW w:w="340" w:type="dxa"/>
            <w:vAlign w:val="bottom"/>
          </w:tcPr>
          <w:p>
            <w:pPr>
              <w:spacing w:after="0"/>
              <w:rPr>
                <w:sz w:val="20"/>
                <w:szCs w:val="20"/>
                <w:color w:val="auto"/>
              </w:rPr>
            </w:pPr>
          </w:p>
        </w:tc>
        <w:tc>
          <w:tcPr>
            <w:tcW w:w="3400" w:type="dxa"/>
            <w:vAlign w:val="bottom"/>
            <w:tcBorders>
              <w:right w:val="single" w:sz="8" w:color="auto"/>
            </w:tcBorders>
          </w:tcPr>
          <w:p>
            <w:pPr>
              <w:jc w:val="center"/>
              <w:ind w:right="311"/>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5"/>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9" w:lineRule="exact"/>
        <w:rPr>
          <w:sz w:val="24"/>
          <w:szCs w:val="24"/>
          <w:color w:val="auto"/>
        </w:rPr>
      </w:pPr>
    </w:p>
    <w:p>
      <w:pPr>
        <w:jc w:val="both"/>
        <w:ind w:right="20" w:firstLine="31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right="20" w:firstLine="318"/>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right="20" w:firstLine="318"/>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5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30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8" w:lineRule="exact"/>
        <w:rPr>
          <w:sz w:val="24"/>
          <w:szCs w:val="24"/>
          <w:color w:val="auto"/>
        </w:rPr>
      </w:pPr>
    </w:p>
    <w:p>
      <w:pPr>
        <w:ind w:right="20" w:firstLine="31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4" w:lineRule="exact"/>
        <w:rPr>
          <w:sz w:val="24"/>
          <w:szCs w:val="24"/>
          <w:color w:val="auto"/>
        </w:rPr>
      </w:pPr>
    </w:p>
    <w:p>
      <w:pPr>
        <w:ind w:left="320"/>
        <w:spacing w:after="0" w:line="161" w:lineRule="exact"/>
        <w:tabs>
          <w:tab w:leader="none" w:pos="73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110490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July 22, 2022, there were 403,441,729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993140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643890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60"/>
          </w:cols>
          <w:pgMar w:left="320" w:top="1186" w:right="319" w:bottom="1440" w:gutter="0" w:footer="0" w:header="0"/>
          <w:type w:val="continuous"/>
        </w:sectPr>
      </w:pPr>
    </w:p>
    <w:bookmarkStart w:id="1" w:name="page2"/>
    <w:bookmarkEnd w:id="1"/>
    <w:p>
      <w:pPr>
        <w:spacing w:after="0" w:line="1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Glossary</w:t>
            </w:r>
          </w:p>
        </w:tc>
        <w:tc>
          <w:tcPr>
            <w:tcW w:w="9800" w:type="dxa"/>
            <w:vAlign w:val="bottom"/>
            <w:gridSpan w:val="23"/>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40" w:type="dxa"/>
            <w:vAlign w:val="bottom"/>
            <w:tcBorders>
              <w:bottom w:val="single" w:sz="8" w:color="0000FF"/>
            </w:tcBorders>
            <w:vMerge w:val="continue"/>
          </w:tcPr>
          <w:p>
            <w:pPr>
              <w:spacing w:after="0"/>
              <w:rPr>
                <w:sz w:val="15"/>
                <w:szCs w:val="15"/>
                <w:color w:val="auto"/>
              </w:rPr>
            </w:pPr>
          </w:p>
        </w:tc>
        <w:tc>
          <w:tcPr>
            <w:tcW w:w="9800" w:type="dxa"/>
            <w:vAlign w:val="bottom"/>
            <w:gridSpan w:val="23"/>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ii</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360" w:type="dxa"/>
            <w:vAlign w:val="bottom"/>
          </w:tcPr>
          <w:p>
            <w:pPr>
              <w:spacing w:after="0"/>
              <w:rPr>
                <w:sz w:val="21"/>
                <w:szCs w:val="21"/>
                <w:color w:val="auto"/>
              </w:rPr>
            </w:pPr>
          </w:p>
        </w:tc>
        <w:tc>
          <w:tcPr>
            <w:tcW w:w="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0000FF"/>
                <w:w w:val="72"/>
              </w:rPr>
              <w:t>iv</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9"/>
          </w:tcPr>
          <w:p>
            <w:pPr>
              <w:jc w:val="center"/>
              <w:ind w:right="3400"/>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8"/>
          </w:tcPr>
          <w:p>
            <w:pPr>
              <w:spacing w:after="0"/>
              <w:rPr>
                <w:sz w:val="21"/>
                <w:szCs w:val="21"/>
                <w:color w:val="auto"/>
              </w:rPr>
            </w:pPr>
          </w:p>
        </w:tc>
        <w:tc>
          <w:tcPr>
            <w:tcW w:w="3400" w:type="dxa"/>
            <w:vAlign w:val="bottom"/>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0000FF"/>
              </w:rPr>
              <w:t>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0000FF"/>
              </w:rPr>
              <w:t>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w:t>
            </w:r>
          </w:p>
        </w:tc>
        <w:tc>
          <w:tcPr>
            <w:tcW w:w="6960" w:type="dxa"/>
            <w:vAlign w:val="bottom"/>
            <w:gridSpan w:val="11"/>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0000FF"/>
              </w:rPr>
              <w:t>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 (Loss)</w:t>
            </w:r>
          </w:p>
        </w:tc>
        <w:tc>
          <w:tcPr>
            <w:tcW w:w="5580" w:type="dxa"/>
            <w:vAlign w:val="bottom"/>
            <w:gridSpan w:val="4"/>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0000FF"/>
              </w:rPr>
              <w:t>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(Deficit)</w:t>
            </w:r>
          </w:p>
        </w:tc>
        <w:tc>
          <w:tcPr>
            <w:tcW w:w="5580" w:type="dxa"/>
            <w:vAlign w:val="bottom"/>
            <w:gridSpan w:val="4"/>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0000FF"/>
              </w:rPr>
              <w:t>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840" w:type="dxa"/>
            <w:vAlign w:val="bottom"/>
            <w:gridSpan w:val="6"/>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0000FF"/>
              </w:rPr>
              <w:t>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Notes to the Consolidated Financial Statements</w:t>
            </w:r>
          </w:p>
        </w:tc>
        <w:tc>
          <w:tcPr>
            <w:tcW w:w="6420" w:type="dxa"/>
            <w:vAlign w:val="bottom"/>
            <w:gridSpan w:val="10"/>
          </w:tcPr>
          <w:p>
            <w:pPr>
              <w:spacing w:after="0"/>
              <w:rPr>
                <w:sz w:val="21"/>
                <w:szCs w:val="21"/>
                <w:color w:val="auto"/>
              </w:rPr>
            </w:pPr>
          </w:p>
        </w:tc>
        <w:tc>
          <w:tcPr>
            <w:tcW w:w="4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0000FF"/>
              </w:rPr>
              <w:t>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45"/>
        </w:trPr>
        <w:tc>
          <w:tcPr>
            <w:tcW w:w="486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2000" w:type="dxa"/>
            <w:vAlign w:val="bottom"/>
            <w:tcBorders>
              <w:top w:val="single" w:sz="8" w:color="0000FF"/>
            </w:tcBorders>
          </w:tcPr>
          <w:p>
            <w:pPr>
              <w:spacing w:after="0"/>
              <w:rPr>
                <w:sz w:val="21"/>
                <w:szCs w:val="21"/>
                <w:color w:val="auto"/>
              </w:rPr>
            </w:pPr>
          </w:p>
        </w:tc>
        <w:tc>
          <w:tcPr>
            <w:tcW w:w="35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73</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w w:val="96"/>
              </w:rPr>
              <w:t>PART II - OTHER INFORMATION</w:t>
            </w:r>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8580" w:type="dxa"/>
            <w:vAlign w:val="bottom"/>
            <w:gridSpan w:val="1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62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45"/>
        </w:trPr>
        <w:tc>
          <w:tcPr>
            <w:tcW w:w="28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620" w:type="dxa"/>
            <w:vAlign w:val="bottom"/>
            <w:gridSpan w:val="1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Item 5. Other Information</w:t>
            </w:r>
          </w:p>
        </w:tc>
        <w:tc>
          <w:tcPr>
            <w:tcW w:w="440" w:type="dxa"/>
            <w:vAlign w:val="bottom"/>
            <w:tcBorders>
              <w:top w:val="single" w:sz="8" w:color="0000FF"/>
            </w:tcBorders>
            <w:gridSpan w:val="3"/>
          </w:tcPr>
          <w:p>
            <w:pPr>
              <w:spacing w:after="0"/>
              <w:rPr>
                <w:sz w:val="21"/>
                <w:szCs w:val="21"/>
                <w:color w:val="auto"/>
              </w:rPr>
            </w:pPr>
          </w:p>
        </w:tc>
        <w:tc>
          <w:tcPr>
            <w:tcW w:w="8160" w:type="dxa"/>
            <w:vAlign w:val="bottom"/>
            <w:gridSpan w:val="14"/>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6. Exhibits</w:t>
            </w:r>
          </w:p>
        </w:tc>
        <w:tc>
          <w:tcPr>
            <w:tcW w:w="9300" w:type="dxa"/>
            <w:vAlign w:val="bottom"/>
            <w:gridSpan w:val="19"/>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used in this quarterly report on Form 10-Q (this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132" w:lineRule="exact"/>
        <w:rPr>
          <w:sz w:val="20"/>
          <w:szCs w:val="20"/>
          <w:color w:val="auto"/>
        </w:rPr>
      </w:pPr>
    </w:p>
    <w:p>
      <w:pPr>
        <w:ind w:left="640" w:hanging="316"/>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Form 10-K</w:t>
      </w:r>
      <w:r>
        <w:rPr>
          <w:rFonts w:ascii="Times New Roman" w:cs="Times New Roman" w:eastAsia="Times New Roman" w:hAnsi="Times New Roman"/>
          <w:sz w:val="18"/>
          <w:szCs w:val="18"/>
          <w:color w:val="auto"/>
        </w:rPr>
        <w:t>” refers to the Annual Report on Form 10-K of ZoomInfo Technologies Inc. for the fiscal year ended December 31, 2021 as filed with the SEC on February 24, 2022.</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of our Pre-IPO OpCo Unitholders that are taxable as corporations for U.S. federal income tax purposes.</w:t>
      </w:r>
    </w:p>
    <w:p>
      <w:pPr>
        <w:spacing w:after="0" w:line="5" w:lineRule="exact"/>
        <w:rPr>
          <w:rFonts w:ascii="Times New Roman" w:cs="Times New Roman" w:eastAsia="Times New Roman" w:hAnsi="Times New Roman"/>
          <w:sz w:val="18"/>
          <w:szCs w:val="18"/>
          <w:color w:val="auto"/>
        </w:rPr>
      </w:pPr>
    </w:p>
    <w:p>
      <w:pPr>
        <w:ind w:left="640" w:hanging="316"/>
        <w:spacing w:after="0" w:line="253"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Mergers</w:t>
      </w:r>
      <w:r>
        <w:rPr>
          <w:rFonts w:ascii="Times New Roman" w:cs="Times New Roman" w:eastAsia="Times New Roman" w:hAnsi="Times New Roman"/>
          <w:sz w:val="18"/>
          <w:szCs w:val="18"/>
          <w:color w:val="auto"/>
        </w:rPr>
        <w:t>” refers to the mergers described under “Reorganization Transactions” in Note 1 to our unaudited consolidated financial statements included in Part I, Item 1 of this Form 10-Q.</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w:t>
      </w:r>
      <w:r>
        <w:rPr>
          <w:rFonts w:ascii="Times New Roman" w:cs="Times New Roman" w:eastAsia="Times New Roman" w:hAnsi="Times New Roman"/>
          <w:sz w:val="18"/>
          <w:szCs w:val="18"/>
          <w:color w:val="auto"/>
        </w:rPr>
        <w:t>” refers to investment funds associated with The Carlyle Group.</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P Units</w:t>
      </w:r>
      <w:r>
        <w:rPr>
          <w:rFonts w:ascii="Times New Roman" w:cs="Times New Roman" w:eastAsia="Times New Roman" w:hAnsi="Times New Roman"/>
          <w:sz w:val="18"/>
          <w:szCs w:val="18"/>
          <w:color w:val="auto"/>
        </w:rPr>
        <w:t>” refers to Class P Units (including, without limitation, any indirectly held Class P Units) of ZoomInfo OpCo.</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Option</w:t>
      </w:r>
      <w:r>
        <w:rPr>
          <w:rFonts w:ascii="Times New Roman" w:cs="Times New Roman" w:eastAsia="Times New Roman" w:hAnsi="Times New Roman"/>
          <w:sz w:val="18"/>
          <w:szCs w:val="18"/>
          <w:color w:val="auto"/>
        </w:rPr>
        <w:t>” refers to an award granted under Section 7 of the 2020 Omnibus Incentive Plan.</w:t>
      </w:r>
    </w:p>
    <w:p>
      <w:pPr>
        <w:spacing w:after="0" w:line="18" w:lineRule="exact"/>
        <w:rPr>
          <w:rFonts w:ascii="Times New Roman" w:cs="Times New Roman" w:eastAsia="Times New Roman" w:hAnsi="Times New Roman"/>
          <w:sz w:val="18"/>
          <w:szCs w:val="18"/>
          <w:color w:val="auto"/>
        </w:rPr>
      </w:pPr>
    </w:p>
    <w:p>
      <w:pPr>
        <w:ind w:left="640" w:hanging="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Class P Unitholders</w:t>
      </w:r>
      <w:r>
        <w:rPr>
          <w:rFonts w:ascii="Times New Roman" w:cs="Times New Roman" w:eastAsia="Times New Roman" w:hAnsi="Times New Roman"/>
          <w:sz w:val="18"/>
          <w:szCs w:val="18"/>
          <w:color w:val="auto"/>
        </w:rPr>
        <w:t>” refers to certain Pre-IPO Owners who continued to hold Class P Units following the consummation of the Reorganization Transactions and the IPO.</w:t>
      </w: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Members</w:t>
      </w:r>
      <w:r>
        <w:rPr>
          <w:rFonts w:ascii="Times New Roman" w:cs="Times New Roman" w:eastAsia="Times New Roman" w:hAnsi="Times New Roman"/>
          <w:sz w:val="18"/>
          <w:szCs w:val="18"/>
          <w:color w:val="auto"/>
        </w:rPr>
        <w:t>” refers to Pre-IPO Owners who continued to hold HoldCo Units or OpCo Units following the Reorganization Transactions and the IPO.</w:t>
      </w:r>
    </w:p>
    <w:p>
      <w:pPr>
        <w:spacing w:after="0" w:line="1"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Customers</w:t>
      </w:r>
      <w:r>
        <w:rPr>
          <w:rFonts w:ascii="Times New Roman" w:cs="Times New Roman" w:eastAsia="Times New Roman" w:hAnsi="Times New Roman"/>
          <w:sz w:val="17"/>
          <w:szCs w:val="17"/>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Tax Receivable Agreement</w:t>
      </w:r>
      <w:r>
        <w:rPr>
          <w:rFonts w:ascii="Times New Roman" w:cs="Times New Roman" w:eastAsia="Times New Roman" w:hAnsi="Times New Roman"/>
          <w:sz w:val="18"/>
          <w:szCs w:val="18"/>
          <w:color w:val="auto"/>
        </w:rPr>
        <w:t>” refers to the tax receivable agreement entered into with certain Pre-IPO OpCo Unitholders.</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refers to Henry Schuck, our Chief Executive Officer, and Kirk Brown.</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 Units</w:t>
      </w:r>
      <w:r>
        <w:rPr>
          <w:rFonts w:ascii="Times New Roman" w:cs="Times New Roman" w:eastAsia="Times New Roman" w:hAnsi="Times New Roman"/>
          <w:sz w:val="18"/>
          <w:szCs w:val="18"/>
          <w:color w:val="auto"/>
        </w:rPr>
        <w:t>” refers to the class of units of ZoomInfo HoldCo.</w:t>
      </w:r>
    </w:p>
    <w:p>
      <w:pPr>
        <w:spacing w:after="0" w:line="5" w:lineRule="exact"/>
        <w:rPr>
          <w:rFonts w:ascii="Times New Roman" w:cs="Times New Roman" w:eastAsia="Times New Roman" w:hAnsi="Times New Roman"/>
          <w:sz w:val="18"/>
          <w:szCs w:val="18"/>
          <w:color w:val="auto"/>
        </w:rPr>
      </w:pPr>
    </w:p>
    <w:p>
      <w:pPr>
        <w:ind w:left="640" w:hanging="316"/>
        <w:spacing w:after="0" w:line="26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HSKB I</w:t>
      </w:r>
      <w:r>
        <w:rPr>
          <w:rFonts w:ascii="Times New Roman" w:cs="Times New Roman" w:eastAsia="Times New Roman" w:hAnsi="Times New Roman"/>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jc w:val="both"/>
        <w:ind w:left="640" w:hanging="316"/>
        <w:spacing w:after="0" w:line="25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 II</w:t>
      </w:r>
      <w:r>
        <w:rPr>
          <w:rFonts w:ascii="Times New Roman" w:cs="Times New Roman" w:eastAsia="Times New Roman" w:hAnsi="Times New Roman"/>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refers to the initial public offering of Class A common stock of ZoomInfo Technologies Inc.</w:t>
      </w:r>
    </w:p>
    <w:p>
      <w:pPr>
        <w:spacing w:after="0" w:line="5" w:lineRule="exact"/>
        <w:rPr>
          <w:rFonts w:ascii="Times New Roman" w:cs="Times New Roman" w:eastAsia="Times New Roman" w:hAnsi="Times New Roman"/>
          <w:sz w:val="18"/>
          <w:szCs w:val="18"/>
          <w:color w:val="auto"/>
        </w:rPr>
      </w:pPr>
    </w:p>
    <w:p>
      <w:pPr>
        <w:ind w:left="640" w:hanging="316"/>
        <w:spacing w:after="0" w:line="26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LTIP Units</w:t>
      </w:r>
      <w:r>
        <w:rPr>
          <w:rFonts w:ascii="Times New Roman" w:cs="Times New Roman" w:eastAsia="Times New Roman" w:hAnsi="Times New Roman"/>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refers to the class of units of ZoomInfo OpCo and does not include Class P Units.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Pre-Acquisition ZI</w:t>
      </w:r>
      <w:r>
        <w:rPr>
          <w:rFonts w:ascii="Times New Roman" w:cs="Times New Roman" w:eastAsia="Times New Roman" w:hAnsi="Times New Roman"/>
          <w:sz w:val="18"/>
          <w:szCs w:val="18"/>
          <w:color w:val="auto"/>
        </w:rPr>
        <w:t>” refers to Zoom Information Inc.</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Pre-IPO Blocker Holders</w:t>
      </w:r>
      <w:r>
        <w:rPr>
          <w:rFonts w:ascii="Times New Roman" w:cs="Times New Roman" w:eastAsia="Times New Roman" w:hAnsi="Times New Roman"/>
          <w:sz w:val="17"/>
          <w:szCs w:val="17"/>
          <w:color w:val="auto"/>
        </w:rPr>
        <w:t>” refers to the Pre-IPO Owners that held their interests in us through the Blocker Companies immediately prior to the IPO.</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HoldCo Unitholders</w:t>
      </w:r>
      <w:r>
        <w:rPr>
          <w:rFonts w:ascii="Times New Roman" w:cs="Times New Roman" w:eastAsia="Times New Roman" w:hAnsi="Times New Roman"/>
          <w:sz w:val="18"/>
          <w:szCs w:val="18"/>
          <w:color w:val="auto"/>
        </w:rPr>
        <w:t>” refers to the Pre-IPO Owners that held HoldCo Units immediately prior to the IPO.</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OpCo Unitholders</w:t>
      </w:r>
      <w:r>
        <w:rPr>
          <w:rFonts w:ascii="Times New Roman" w:cs="Times New Roman" w:eastAsia="Times New Roman" w:hAnsi="Times New Roman"/>
          <w:sz w:val="18"/>
          <w:szCs w:val="18"/>
          <w:color w:val="auto"/>
        </w:rPr>
        <w:t>” refers to the Pre-IPO Owners that held OpCo Units immediately prior to the IPO.</w:t>
      </w:r>
    </w:p>
    <w:p>
      <w:pPr>
        <w:spacing w:after="0" w:line="18" w:lineRule="exact"/>
        <w:rPr>
          <w:rFonts w:ascii="Times New Roman" w:cs="Times New Roman" w:eastAsia="Times New Roman" w:hAnsi="Times New Roman"/>
          <w:sz w:val="18"/>
          <w:szCs w:val="18"/>
          <w:color w:val="auto"/>
        </w:rPr>
      </w:pPr>
    </w:p>
    <w:p>
      <w:pPr>
        <w:ind w:left="640" w:hanging="316"/>
        <w:spacing w:after="0" w:line="253"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Owners</w:t>
      </w:r>
      <w:r>
        <w:rPr>
          <w:rFonts w:ascii="Times New Roman" w:cs="Times New Roman" w:eastAsia="Times New Roman" w:hAnsi="Times New Roman"/>
          <w:sz w:val="18"/>
          <w:szCs w:val="18"/>
          <w:color w:val="auto"/>
        </w:rPr>
        <w:t>” refers collectively to the Sponsors, the Founders, and the management and other equity holders who were the owners of ZoomInfo OpCo immediately prior to the Reorganization Transactions.</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Tax Receivable Agreement</w:t>
      </w:r>
      <w:r>
        <w:rPr>
          <w:rFonts w:ascii="Times New Roman" w:cs="Times New Roman" w:eastAsia="Times New Roman" w:hAnsi="Times New Roman"/>
          <w:sz w:val="18"/>
          <w:szCs w:val="18"/>
          <w:color w:val="auto"/>
        </w:rPr>
        <w:t>” refers to the tax receivable agreement entered into with the Pre-IPO Blocker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line="26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the transactions described under “Reorganization Transactions” in Note 1 to our unaudited consolidated financial statements included in Part I, Item 1 of this Form 10-Q.</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refers to our common stock, subject to certain specified restrictions (which may include, without limitation, a requirement that the Participant remain continuously employed or provide continuous services for a specified period of time), granted under Section 8 of the 2020 Omnibus Incentive Plan.</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refers to an unfunded and unsecured promise to deliver shares of our common stock, cash, other securities or other property, subject to certain restrictions (which may include, without limitation, a requirement that the Participant remain continuously employed or provide continuous services for a specified period of time), granted under Section 8 of the 2020 Omnibus Incentive Plan.</w:t>
      </w: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refers to the Securities and Exchange Commission.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refers to the Securities Act of 1933, as amended.</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TA Associates, Carlyle, and investment funds associated with 22C Capital LLC and its predecessor.</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 Associates</w:t>
      </w:r>
      <w:r>
        <w:rPr>
          <w:rFonts w:ascii="Times New Roman" w:cs="Times New Roman" w:eastAsia="Times New Roman" w:hAnsi="Times New Roman"/>
          <w:sz w:val="18"/>
          <w:szCs w:val="18"/>
          <w:color w:val="auto"/>
        </w:rPr>
        <w:t>” refers to investment funds associated with TA Associates.</w:t>
      </w:r>
    </w:p>
    <w:p>
      <w:pPr>
        <w:spacing w:after="0" w:line="5" w:lineRule="exact"/>
        <w:rPr>
          <w:rFonts w:ascii="Times New Roman" w:cs="Times New Roman" w:eastAsia="Times New Roman" w:hAnsi="Times New Roman"/>
          <w:sz w:val="18"/>
          <w:szCs w:val="18"/>
          <w:color w:val="auto"/>
        </w:rPr>
      </w:pPr>
    </w:p>
    <w:p>
      <w:pPr>
        <w:ind w:left="640" w:hanging="316"/>
        <w:spacing w:after="0" w:line="26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refers collectively to the Exchange Tax Receivable Agreement and the Reorganization Tax Receivable Agreement.</w:t>
      </w:r>
    </w:p>
    <w:p>
      <w:pPr>
        <w:ind w:left="640" w:hanging="316"/>
        <w:spacing w:after="0" w:line="25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HoldCo</w:t>
      </w:r>
      <w:r>
        <w:rPr>
          <w:rFonts w:ascii="Times New Roman" w:cs="Times New Roman" w:eastAsia="Times New Roman" w:hAnsi="Times New Roman"/>
          <w:sz w:val="18"/>
          <w:szCs w:val="18"/>
          <w:color w:val="auto"/>
        </w:rPr>
        <w:t>” refers to ZoomInfo Intermediate Holdings LLC, a Delaware limited liability company, and a direct subsidiary of ZoomInfo Technologies Inc.</w:t>
      </w:r>
    </w:p>
    <w:p>
      <w:pPr>
        <w:ind w:left="640" w:hanging="316"/>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OpCo</w:t>
      </w:r>
      <w:r>
        <w:rPr>
          <w:rFonts w:ascii="Times New Roman" w:cs="Times New Roman" w:eastAsia="Times New Roman" w:hAnsi="Times New Roman"/>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10" w:lineRule="exact"/>
        <w:rPr>
          <w:sz w:val="20"/>
          <w:szCs w:val="20"/>
          <w:color w:val="auto"/>
        </w:rPr>
      </w:pPr>
    </w:p>
    <w:p>
      <w:pPr>
        <w:ind w:left="640" w:hanging="316"/>
        <w:spacing w:after="0" w:line="28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including the global economic uncertainty and measures taken in response, could materially impact our business and future results of operations;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well-funded companies may shift their existing business models to become more competitive with us;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competition from companies that more effectively cater to our customers by offering more tailored products or platforms at lower costs;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and market conditions may reduce spending on sales and marketing, which could harm our revenue, results of operations and cash flows;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demand for sales and marketing subscription platforms could negatively impact our business;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improve our technology and keep up with new processes for data collection, organization, and cleansing, competing products and services could surpass ours;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provide a highly accurate, reliable, and comprehensive platform moving forward, which could cause a reduction in demand for our products and services;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systems that we do not control to integrate with our system and we may be unable to continue to support integration;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and expand existing subscriptions, which could harm our revenue growth and profitability;</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participation in our contributory network or increased opt-out rates could lead to a deterioration in the depth, breadth, and accuracy of our platform;</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search engine algorithms and dynamics could negatively affect traffic to our website;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protect and maintain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 and security vulnerabilities could result in serious harm to our reputation, business, and financial condition;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third-parties could use our products and services in a manner that is unlawful or contrary to our values;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integrate acquired businesses, services, databases, and technologies into our operations, which could have an adverse effect on our business;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selling our products or retaining our customers if the quality of our customer service falters;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have special rights and interests that may conflict with ours or yours in the future;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described under “Risk Factors” in Part I, Item 1A of our 2021 Form 10-K, and in other reports we file from time to time with the SEC.</w:t>
      </w:r>
    </w:p>
    <w:p>
      <w:pPr>
        <w:spacing w:after="0" w:line="16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9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9"/>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INDEX TO FINANCIAL STATEMENTS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6"/>
        </w:trPr>
        <w:tc>
          <w:tcPr>
            <w:tcW w:w="930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ZoomInfo Technologies Inc. and Subsidiaries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9"/>
        </w:trPr>
        <w:tc>
          <w:tcPr>
            <w:tcW w:w="56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Condensed Consolidated Balance Sheets</w:t>
            </w:r>
          </w:p>
        </w:tc>
        <w:tc>
          <w:tcPr>
            <w:tcW w:w="5860" w:type="dxa"/>
            <w:vAlign w:val="bottom"/>
            <w:gridSpan w:val="4"/>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r>
      <w:tr>
        <w:trPr>
          <w:trHeight w:val="245"/>
        </w:trPr>
        <w:tc>
          <w:tcPr>
            <w:tcW w:w="560" w:type="dxa"/>
            <w:vAlign w:val="bottom"/>
          </w:tcPr>
          <w:p>
            <w:pPr>
              <w:spacing w:after="0"/>
              <w:rPr>
                <w:sz w:val="21"/>
                <w:szCs w:val="21"/>
                <w:color w:val="auto"/>
              </w:rPr>
            </w:pPr>
          </w:p>
        </w:tc>
        <w:tc>
          <w:tcPr>
            <w:tcW w:w="2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w:t>
            </w:r>
          </w:p>
        </w:tc>
        <w:tc>
          <w:tcPr>
            <w:tcW w:w="5980" w:type="dxa"/>
            <w:vAlign w:val="bottom"/>
            <w:gridSpan w:val="6"/>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r>
      <w:tr>
        <w:trPr>
          <w:trHeight w:val="245"/>
        </w:trPr>
        <w:tc>
          <w:tcPr>
            <w:tcW w:w="560" w:type="dxa"/>
            <w:vAlign w:val="bottom"/>
          </w:tcPr>
          <w:p>
            <w:pPr>
              <w:spacing w:after="0"/>
              <w:rPr>
                <w:sz w:val="21"/>
                <w:szCs w:val="21"/>
                <w:color w:val="auto"/>
              </w:rPr>
            </w:pPr>
          </w:p>
        </w:tc>
        <w:tc>
          <w:tcPr>
            <w:tcW w:w="4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 (Loss)</w:t>
            </w:r>
          </w:p>
        </w:tc>
        <w:tc>
          <w:tcPr>
            <w:tcW w:w="4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r>
      <w:tr>
        <w:trPr>
          <w:trHeight w:val="245"/>
        </w:trPr>
        <w:tc>
          <w:tcPr>
            <w:tcW w:w="560" w:type="dxa"/>
            <w:vAlign w:val="bottom"/>
          </w:tcPr>
          <w:p>
            <w:pPr>
              <w:spacing w:after="0"/>
              <w:rPr>
                <w:sz w:val="21"/>
                <w:szCs w:val="21"/>
                <w:color w:val="auto"/>
              </w:rPr>
            </w:pPr>
          </w:p>
        </w:tc>
        <w:tc>
          <w:tcPr>
            <w:tcW w:w="3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Changes in Equity (Deficit)</w:t>
            </w:r>
          </w:p>
        </w:tc>
        <w:tc>
          <w:tcPr>
            <w:tcW w:w="480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6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8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6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840" w:type="dxa"/>
            <w:vAlign w:val="bottom"/>
            <w:gridSpan w:val="2"/>
          </w:tcPr>
          <w:p>
            <w:pPr>
              <w:jc w:val="right"/>
              <w:ind w:right="176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44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44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20"/>
                <w:szCs w:val="20"/>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4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4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3"/>
        </w:trPr>
        <w:tc>
          <w:tcPr>
            <w:tcW w:w="4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6"/>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39"/>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4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4,116.0</w:t>
            </w:r>
          </w:p>
        </w:tc>
        <w:tc>
          <w:tcPr>
            <w:tcW w:w="0" w:type="dxa"/>
            <w:vAlign w:val="bottom"/>
          </w:tcPr>
          <w:p>
            <w:pPr>
              <w:spacing w:after="0"/>
              <w:rPr>
                <w:sz w:val="1"/>
                <w:szCs w:val="1"/>
                <w:color w:val="auto"/>
              </w:rPr>
            </w:pPr>
          </w:p>
        </w:tc>
      </w:tr>
      <w:tr>
        <w:trPr>
          <w:trHeight w:val="24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5"/>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4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Permanent Equity</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4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3,046.0</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0" w:type="dxa"/>
            <w:vAlign w:val="bottom"/>
          </w:tcPr>
          <w:p>
            <w:pPr>
              <w:spacing w:after="0"/>
              <w:rPr>
                <w:sz w:val="1"/>
                <w:szCs w:val="1"/>
                <w:color w:val="auto"/>
              </w:rPr>
            </w:pPr>
          </w:p>
        </w:tc>
      </w:tr>
      <w:tr>
        <w:trPr>
          <w:trHeight w:val="25"/>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4,855.0</w:t>
            </w:r>
          </w:p>
        </w:tc>
        <w:tc>
          <w:tcPr>
            <w:tcW w:w="0" w:type="dxa"/>
            <w:vAlign w:val="bottom"/>
          </w:tcPr>
          <w:p>
            <w:pPr>
              <w:spacing w:after="0"/>
              <w:rPr>
                <w:sz w:val="1"/>
                <w:szCs w:val="1"/>
                <w:color w:val="auto"/>
              </w:rPr>
            </w:pPr>
          </w:p>
        </w:tc>
      </w:tr>
      <w:tr>
        <w:trPr>
          <w:trHeight w:val="139"/>
        </w:trPr>
        <w:tc>
          <w:tcPr>
            <w:tcW w:w="4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Equity:</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A common stock, par value $0.01</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0" w:type="dxa"/>
            <w:vAlign w:val="bottom"/>
          </w:tcPr>
          <w:p>
            <w:pPr>
              <w:spacing w:after="0"/>
              <w:rPr>
                <w:sz w:val="1"/>
                <w:szCs w:val="1"/>
                <w:color w:val="auto"/>
              </w:rPr>
            </w:pPr>
          </w:p>
        </w:tc>
      </w:tr>
      <w:tr>
        <w:trPr>
          <w:trHeight w:val="23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33"/>
        </w:trPr>
        <w:tc>
          <w:tcPr>
            <w:tcW w:w="4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3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0" w:type="dxa"/>
            <w:vAlign w:val="bottom"/>
          </w:tcPr>
          <w:p>
            <w:pPr>
              <w:spacing w:after="0"/>
              <w:rPr>
                <w:sz w:val="1"/>
                <w:szCs w:val="1"/>
                <w:color w:val="auto"/>
              </w:rPr>
            </w:pPr>
          </w:p>
        </w:tc>
      </w:tr>
      <w:tr>
        <w:trPr>
          <w:trHeight w:val="25"/>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permanent equity</w:t>
            </w:r>
          </w:p>
        </w:tc>
        <w:tc>
          <w:tcPr>
            <w:tcW w:w="3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7,008.5</w:t>
            </w:r>
          </w:p>
        </w:tc>
        <w:tc>
          <w:tcPr>
            <w:tcW w:w="12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3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42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firstLine="6"/>
        <w:spacing w:after="0" w:line="267" w:lineRule="auto"/>
        <w:tabs>
          <w:tab w:leader="none" w:pos="20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Condensed Consolidated Balance Sheet as of December 31, 2021 has been derived from the audited consolidated financial statements at that date but does not include all of the information and footnotes required by generally accepted accounting principles for complete financial statements.</w:t>
      </w:r>
    </w:p>
    <w:p>
      <w:pPr>
        <w:sectPr>
          <w:pgSz w:w="11900" w:h="16838" w:orient="portrait"/>
          <w:cols w:equalWidth="0" w:num="1">
            <w:col w:w="11240"/>
          </w:cols>
          <w:pgMar w:left="320" w:top="118" w:right="339" w:bottom="968" w:gutter="0" w:footer="0" w:header="0"/>
        </w:sectPr>
      </w:pP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96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7240" w:type="dxa"/>
            <w:vAlign w:val="bottom"/>
            <w:gridSpan w:val="5"/>
          </w:tcPr>
          <w:p>
            <w:pPr>
              <w:ind w:left="404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unaudited)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700" w:type="dxa"/>
            <w:vAlign w:val="bottom"/>
          </w:tcPr>
          <w:p>
            <w:pPr>
              <w:spacing w:after="0"/>
              <w:rPr>
                <w:sz w:val="24"/>
                <w:szCs w:val="24"/>
                <w:color w:val="auto"/>
              </w:rPr>
            </w:pPr>
          </w:p>
        </w:tc>
        <w:tc>
          <w:tcPr>
            <w:tcW w:w="254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4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65"/>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9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6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4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3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w:t>
            </w:r>
          </w:p>
        </w:tc>
        <w:tc>
          <w:tcPr>
            <w:tcW w:w="960" w:type="dxa"/>
            <w:vAlign w:val="bottom"/>
            <w:vMerge w:val="restart"/>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52"/>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Inc.</w:t>
            </w: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and Class C common</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0"/>
                <w:szCs w:val="20"/>
                <w:color w:val="auto"/>
              </w:rPr>
            </w:pP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5"/>
        </w:trPr>
        <w:tc>
          <w:tcPr>
            <w:tcW w:w="47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60"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equity-based compensation expense, as follows: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5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43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434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43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100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8"/>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38"/>
        </w:trPr>
        <w:tc>
          <w:tcPr>
            <w:tcW w:w="4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5"/>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8"/>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37"/>
        </w:trPr>
        <w:tc>
          <w:tcPr>
            <w:tcW w:w="43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5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5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(gain) loss on settlement of cash flow hedges</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Amortization of deferred losses related to the dedesignated Interest Rate</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3"/>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3"/>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9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ZoomInfo Technologies</w:t>
            </w:r>
          </w:p>
        </w:tc>
        <w:tc>
          <w:tcPr>
            <w:tcW w:w="920" w:type="dxa"/>
            <w:vAlign w:val="bottom"/>
            <w:vMerge w:val="restart"/>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5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w:t>
            </w: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4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(in millions, except share data)</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New ZoomInfo Common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80" w:type="dxa"/>
            <w:vAlign w:val="bottom"/>
          </w:tcPr>
          <w:p>
            <w:pPr>
              <w:spacing w:after="0"/>
              <w:rPr>
                <w:sz w:val="3"/>
                <w:szCs w:val="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38"/>
        </w:trPr>
        <w:tc>
          <w:tcPr>
            <w:tcW w:w="40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403,315,989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1,997.9</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common stock upon vesting of 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related to net share settlement and other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 / cancellations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38"/>
        </w:trPr>
        <w:tc>
          <w:tcPr>
            <w:tcW w:w="40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403,395,161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Class A common stock upon vesting of RSUs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80" w:type="dxa"/>
            <w:vAlign w:val="bottom"/>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233,923</w:t>
            </w:r>
          </w:p>
        </w:tc>
        <w:tc>
          <w:tcPr>
            <w:tcW w:w="8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related to net share settlement and other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 / cancellations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38"/>
        </w:trPr>
        <w:tc>
          <w:tcPr>
            <w:tcW w:w="40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403,455,658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(in millions,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New ZoomInfo</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Old ZoomInfo</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72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3"/>
                <w:szCs w:val="13"/>
                <w:color w:val="auto"/>
              </w:rPr>
            </w:pPr>
          </w:p>
        </w:tc>
        <w:tc>
          <w:tcPr>
            <w:tcW w:w="5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4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tcBorders>
              <w:right w:val="single" w:sz="8" w:color="auto"/>
            </w:tcBorders>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4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38"/>
        </w:trPr>
        <w:tc>
          <w:tcPr>
            <w:tcW w:w="14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Balance, December</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87,697,381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216,652,704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86,123,230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LLC Unit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14,500,582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(9,776,683)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(3,869,894)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common stock upon</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related to net share</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and other</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 /</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Paid and accrued tax</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38"/>
        </w:trPr>
        <w:tc>
          <w:tcPr>
            <w:tcW w:w="14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4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102,212,224</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206,868,169</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82,253,336</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0" w:type="dxa"/>
            <w:vAlign w:val="bottom"/>
          </w:tcPr>
          <w:p>
            <w:pPr>
              <w:spacing w:after="0"/>
              <w:rPr>
                <w:sz w:val="1"/>
                <w:szCs w:val="1"/>
                <w:color w:val="auto"/>
              </w:rPr>
            </w:pPr>
          </w:p>
        </w:tc>
      </w:tr>
      <w:tr>
        <w:trPr>
          <w:trHeight w:val="21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 of LLC Unit</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19,514,930</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(15,259,859)</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(4,040,025)</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common stock upon</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123,729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related to net share</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and other</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 /</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8"/>
        </w:trPr>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Paid and accrued tax</w:t>
            </w: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76"/>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38"/>
        </w:trPr>
        <w:tc>
          <w:tcPr>
            <w:tcW w:w="14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4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Balance at June 30,</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121,847,606</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191,575,886</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78,213,311</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w:t>
            </w: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991.7</w:t>
            </w:r>
          </w:p>
        </w:tc>
        <w:tc>
          <w:tcPr>
            <w:tcW w:w="0" w:type="dxa"/>
            <w:vAlign w:val="bottom"/>
          </w:tcPr>
          <w:p>
            <w:pPr>
              <w:spacing w:after="0"/>
              <w:rPr>
                <w:sz w:val="1"/>
                <w:szCs w:val="1"/>
                <w:color w:val="auto"/>
              </w:rPr>
            </w:pPr>
          </w:p>
        </w:tc>
      </w:tr>
      <w:tr>
        <w:trPr>
          <w:trHeight w:val="21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4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38"/>
        </w:trPr>
        <w:tc>
          <w:tcPr>
            <w:tcW w:w="80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1"/>
        </w:trPr>
        <w:tc>
          <w:tcPr>
            <w:tcW w:w="80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r>
      <w:tr>
        <w:trPr>
          <w:trHeight w:val="38"/>
        </w:trPr>
        <w:tc>
          <w:tcPr>
            <w:tcW w:w="80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9"/>
                <w:szCs w:val="19"/>
                <w:color w:val="auto"/>
              </w:rPr>
            </w:pP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48"/>
        </w:trPr>
        <w:tc>
          <w:tcPr>
            <w:tcW w:w="8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Asset impairments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on debt modification and extinguishment</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costs and other assets, net of current portion</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8"/>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Unearned revenue</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w:t>
            </w:r>
          </w:p>
        </w:tc>
      </w:tr>
      <w:tr>
        <w:trPr>
          <w:trHeight w:val="185"/>
        </w:trPr>
        <w:tc>
          <w:tcPr>
            <w:tcW w:w="8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185"/>
        </w:trPr>
        <w:tc>
          <w:tcPr>
            <w:tcW w:w="8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debt</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and modification costs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equity issuance costs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receivable agreement payments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distributions</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185"/>
        </w:trPr>
        <w:tc>
          <w:tcPr>
            <w:tcW w:w="8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4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w:t>
            </w:r>
          </w:p>
        </w:tc>
      </w:tr>
      <w:tr>
        <w:trPr>
          <w:trHeight w:val="232"/>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8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2"/>
        </w:trPr>
        <w:tc>
          <w:tcPr>
            <w:tcW w:w="8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w:t>
            </w:r>
          </w:p>
        </w:tc>
      </w:tr>
      <w:tr>
        <w:trPr>
          <w:trHeight w:val="232"/>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7"/>
        </w:trPr>
        <w:tc>
          <w:tcPr>
            <w:tcW w:w="80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4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192405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46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8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1"/>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8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 in cash</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48"/>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taxes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9"/>
        </w:trPr>
        <w:tc>
          <w:tcPr>
            <w:tcW w:w="8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variable consideration from acquisition of a business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and equipment included in accounts payable and accrued expenses and other current liabilities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b w:val="1"/>
          <w:bCs w:val="1"/>
          <w:color w:val="auto"/>
        </w:rPr>
        <w:t>ZoomInfo Technologies Inc.</w:t>
      </w:r>
    </w:p>
    <w:p>
      <w:pPr>
        <w:spacing w:after="0" w:line="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(Unaudited)</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1</w:t>
            </w:r>
          </w:p>
        </w:tc>
        <w:tc>
          <w:tcPr>
            <w:tcW w:w="80" w:type="dxa"/>
            <w:vAlign w:val="bottom"/>
          </w:tcPr>
          <w:p>
            <w:pPr>
              <w:spacing w:after="0"/>
              <w:rPr>
                <w:sz w:val="17"/>
                <w:szCs w:val="17"/>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Organization and Background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2</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3</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4</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Business Combinations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5</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Cash, Cash Equivalents, and Short-term Investments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6</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Property and Equipment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7</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Goodwill and Acquired Intangible Assets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8</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Financing Arrangements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9</w:t>
            </w:r>
          </w:p>
        </w:tc>
        <w:tc>
          <w:tcPr>
            <w:tcW w:w="80" w:type="dxa"/>
            <w:vAlign w:val="bottom"/>
          </w:tcPr>
          <w:p>
            <w:pPr>
              <w:spacing w:after="0"/>
              <w:rPr>
                <w:sz w:val="21"/>
                <w:szCs w:val="21"/>
                <w:color w:val="auto"/>
              </w:rPr>
            </w:pP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Derivatives and Hedging Activities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10</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Fair Value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11</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12</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Noncontrolling Interest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13</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Earnings Per Share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14</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Leases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15</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Equity-Based Compensation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5300" w:type="dxa"/>
            <w:vAlign w:val="bottom"/>
            <w:tcBorders>
              <w:left w:val="single" w:sz="8" w:color="0000FF"/>
            </w:tcBorders>
            <w:gridSpan w:val="8"/>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16</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Tax Receivable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Note 17</w:t>
            </w:r>
          </w:p>
        </w:tc>
        <w:tc>
          <w:tcPr>
            <w:tcW w:w="792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Income Taxes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provides a go-to-market intelligence and engagement platform for sales and marketing teams. The Company’s cloud-based platform provides work 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spacing w:after="0" w:line="132" w:lineRule="exact"/>
        <w:rPr>
          <w:sz w:val="20"/>
          <w:szCs w:val="20"/>
          <w:color w:val="auto"/>
        </w:rPr>
      </w:pPr>
    </w:p>
    <w:p>
      <w:pPr>
        <w:ind w:right="740" w:firstLine="318"/>
        <w:spacing w:after="0" w:line="430" w:lineRule="auto"/>
        <w:rPr>
          <w:sz w:val="20"/>
          <w:szCs w:val="20"/>
          <w:color w:val="auto"/>
        </w:rPr>
      </w:pPr>
      <w:r>
        <w:rPr>
          <w:rFonts w:ascii="Times New Roman" w:cs="Times New Roman" w:eastAsia="Times New Roman" w:hAnsi="Times New Roman"/>
          <w:sz w:val="18"/>
          <w:szCs w:val="18"/>
          <w:color w:val="auto"/>
        </w:rPr>
        <w:t xml:space="preserve">The Company headquarters are located in Vancouver, WA, and we operate in eleven offices throughout the U.S. and four offices internationally. </w:t>
      </w:r>
      <w:r>
        <w:rPr>
          <w:rFonts w:ascii="Times New Roman" w:cs="Times New Roman" w:eastAsia="Times New Roman" w:hAnsi="Times New Roman"/>
          <w:sz w:val="18"/>
          <w:szCs w:val="18"/>
          <w:b w:val="1"/>
          <w:bCs w:val="1"/>
          <w:i w:val="1"/>
          <w:iCs w:val="1"/>
          <w:color w:val="auto"/>
        </w:rPr>
        <w:t>Initial Public Offering</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Transactions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OpCo effected a four—for—one reverse unit split;</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our Class A common stock in the IPO;</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ZoomInfo Technologies Inc. entered into two tax receivable agreements. Refer to Note 16 - Tax Receivable Agreements for additional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Simplification Transactions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Background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UP-C Corporate Structure and Multi-Class Voting Structure Elimination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2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w:t>
      </w:r>
    </w:p>
    <w:p>
      <w:pPr>
        <w:spacing w:after="0" w:line="236" w:lineRule="exact"/>
        <w:rPr>
          <w:sz w:val="20"/>
          <w:szCs w:val="20"/>
          <w:color w:val="auto"/>
        </w:rPr>
      </w:pPr>
    </w:p>
    <w:p>
      <w:pPr>
        <w:ind w:right="5340"/>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has been condensed or omitted pursuant to those rules and regulations. The financial statements included in this report should be read in conjunction with the Company’s audited financial statements for the year ended December 31, 2021.</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2022 are not necessarily indicative of the operating results that may be expected for the full fiscal year ending December 31, 2022 or any future period.</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contain all adjustments necessary for a fair statement of financial position as of June 30, 2022, and results of operations for the three and six months ended June 30, 2022 and 2021, and cash flows for the six months ended June 30, 2022 and 2021. The Condensed Consolidated Balance Sheet as of December 31, 2021 was derived from the audited consolidated balance sheet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Effective May 23, 2022, the Company’s Class A common stock was renamed as “Common Stock.” All references within this document to Class A common stock for periods subsequent to May 23, 2022, and, where the context requires, references within this document to Class A common stock for periods prior to May 23, 2022, have been updated for the renaming.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non-cancelable. We typically bill for services annually, semi-annually, or quarterly in advance of delivery.</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Condensed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and six months ended June 30, 2022 and 2021, or accounted for more than 10% of accounts receivable as of June 30, 2022 and December 31, 2021. Long-lived assets located outside of the United States were immaterial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Accounts receivable is comprised of invoices of revenue, net of allowance for credit losses, and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credit losses is immaterial as of June 30, 2022 and December 31, 2021.</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Condensed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is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expense on our Consolidated Statements of Operations.</w:t>
      </w:r>
    </w:p>
    <w:p>
      <w:pPr>
        <w:spacing w:after="0" w:line="13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June 30, 2022 were $32.8 million, of which the current portion of $30.8 million was included in </w:t>
      </w:r>
      <w:r>
        <w:rPr>
          <w:rFonts w:ascii="Times New Roman" w:cs="Times New Roman" w:eastAsia="Times New Roman" w:hAnsi="Times New Roman"/>
          <w:sz w:val="18"/>
          <w:szCs w:val="18"/>
          <w:i w:val="1"/>
          <w:iCs w:val="1"/>
          <w:color w:val="auto"/>
        </w:rPr>
        <w:t>Accrued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our Condensed Consolidated Balance Sheets, and the long-term portion of $2.0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Condensed Consolidated Balance Sheets. Commissions payable at December 31, 2021 were $34.1 million, of which the current portion of $31.4 million was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Condensed Consolidated Balance Sheets, and the long-term portion of $2.7 million was included in </w:t>
      </w:r>
      <w:r>
        <w:rPr>
          <w:rFonts w:ascii="Times New Roman" w:cs="Times New Roman" w:eastAsia="Times New Roman" w:hAnsi="Times New Roman"/>
          <w:sz w:val="18"/>
          <w:szCs w:val="18"/>
          <w:i w:val="1"/>
          <w:iCs w:val="1"/>
          <w:color w:val="auto"/>
        </w:rPr>
        <w:t>Other long-term liabilities</w:t>
      </w:r>
      <w:r>
        <w:rPr>
          <w:rFonts w:ascii="Times New Roman" w:cs="Times New Roman" w:eastAsia="Times New Roman" w:hAnsi="Times New Roman"/>
          <w:sz w:val="18"/>
          <w:szCs w:val="18"/>
          <w:color w:val="auto"/>
        </w:rPr>
        <w:t xml:space="preserve"> on our Condensed Consolidated Balance Sheets.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expenses of $7.5 million and $15.1 million were recorded for the three and six months ended June 30, 2022. Advertising expenses of $4.7 million and $8.6 million were recorded for the three and six months ended June 30, 2021. Advertising expenses are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Transaction-Related Expenses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 defines restructuring and transaction-related expenses as costs directly associated with restructuring,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related employee retention costs are recognized over the relevant service period. Contract termination fees and penalties and other exit and disposal costs are generally recorded when incurred.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and six month periods ended June 30, 2022 and 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2021, we recorded impairment charges of $1.5 million to reduce the carrying value of our existing Waltham right-of-use asset and $1.2 million to reduce the carrying value of the related leasehold improvements to their respective fair values.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on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on our Condensed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Condensed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Condensed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have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our Condensed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 agreements liability, net of current portion,</w:t>
      </w:r>
      <w:r>
        <w:rPr>
          <w:rFonts w:ascii="Times New Roman" w:cs="Times New Roman" w:eastAsia="Times New Roman" w:hAnsi="Times New Roman"/>
          <w:sz w:val="18"/>
          <w:szCs w:val="18"/>
          <w:color w:val="auto"/>
        </w:rPr>
        <w:t xml:space="preserve"> respectively. Subsequent changes to the measurement of the TRA liability are recognized on our Consolidated Statements of Operations as a component of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 Refer to Note 16 - Tax Receivable Agreements for further details on the TRA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ZoomInfo Technologies Inc. is a corporation and has historically been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During the three months ended December 31, 2021, ZoomInfo Technologies LLC, our operating entity below ZoomInfo Holdings LLC, made an election to be classified as a corporation for U.S. federal and state income taxes. As such, ZoomInfo Technologies LLC is now subject to U.S. federal and state income tax as a result of our operations. Refer to Note 17 - Income Taxes for additional information regarding income taxes.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periodically grants incentive awards to employees and non-employees, which generally vest over periods up to four years. Incentive awards may be in the form of various equity-based awards such as Restricted Stock and Restricted Stock Units, and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elimination of the UP-C Corporate Structure and Multi-Class Voting Structure Elimination (refer to Note 1 - Organization and Background).</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1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66"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In January 2021, the FASB issued ASU 2021-01, Reference Rate Reform (Topic 848): Scope, to provide supplemental guidance and to further clarify the scope of the amended guidance. The standards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requires contract assets and contract liabilities acquired in a business combination to be recognized and measured in accordance with ASC 606, Revenue from Contracts with Customers, as if the acquirer had originated the contract. The Update is intended to improve the accounting for acquired revenue contracts with customers in a business combination, related to the recognition of an acquired contract liability, and to payment terms and their effect on subsequent revenue recognized by the acquirer. The amendment also provides certain practical expedients when applying the guidance. ASU 2021-08 is effective for interim and annual periods beginning after December 15, 2022, on a prospective basis, with early adoption permitted. The company has elected to early adopt this standard, effective January 1, 2022. The adoption of this guidance did not have a material impact on our financial position, results of operations and cash flows.</w:t>
      </w:r>
    </w:p>
    <w:p>
      <w:pPr>
        <w:spacing w:after="0" w:line="13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The amendments in ASU 2019-12 introduce the following new guidance: (1) provides a policy election to not allocate consolidated income taxes when a member of a consolidated tax return is not subject to income tax; and (2) provides guidance to evaluate whether a step-up in tax basis of goodwill relates to a business combination in which book goodwill was recognized or a separate transaction. The amendments in ASU 2019-12 make changes to the following current guidance: (1) making an intraperiod allocation if there is a loss in continuing operations and a gain outside of continuing operations; (2) determining when a deferred tax liability is recognized after an investor in a foreign entity transitions to or from the equity method of accounting; (3) accounting for tax law changes and year-to-date losses in interim periods; and (4) determining how to apply the income tax guidance to franchise taxes that are partially based on income. ASU 2019-12 is effective for public business entities' fiscal years, including interim periods within those fiscal years, beginning after December 15, 2020 with early adoption permitted. During Q3 2021, the Company liquidated Insent, creating a step-up in the tax basis separate from the acquisition. In accordance with ASU 2019-12, the Company recorded a DTA on this step-up in tax basis. The additional DTA recognized as of December 31, 2021 was $6.3 million as a result of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comprised the following service offerings: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3200" w:type="dxa"/>
            <w:vAlign w:val="bottom"/>
            <w:gridSpan w:val="4"/>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440" w:type="dxa"/>
            <w:vAlign w:val="bottom"/>
            <w:vMerge w:val="continue"/>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5"/>
        </w:trPr>
        <w:tc>
          <w:tcPr>
            <w:tcW w:w="3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1220" w:type="dxa"/>
            <w:vAlign w:val="bottom"/>
            <w:tcBorders>
              <w:bottom w:val="single" w:sz="8" w:color="CCEEFF"/>
            </w:tcBorders>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top w:val="single" w:sz="8" w:color="auto"/>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We recognize other revenue as services are delivered.</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total revenue recognized in the three and six months ended June 30, 2022, $93.9 million and $267.6 million were included in the unearned revenue balance as of December 31, 2021. Of the total revenue recognized in the three and six months ended June 30, 2021, $57.7 million and $166.7 million were included in the unearned revenue balance as of December 31, 2020. Revenue recognized from performance obligations satisfied (or partially satisfied) in previous periods was not material.</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derived from customers and partners located outside the United States, as determined based on the address provided by our customers and partners, accounted for approximately 12% and 11% of our total revenues for the three months ended June 30, 2022 and 2021, respectively. Revenues derived from customers and partners located outside the United States, as determined based on the address provided by our customers and partners, accounted for approximately 12% and 11% of our total revenues for the six months ended June 30, 2022 and 2021, respectively. Contracts denominated in currencies other than U.S. Dollar were not material for the three and six months ended June 30, 2022 and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Unearned Revenue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200" w:lineRule="exact"/>
        <w:rPr>
          <w:sz w:val="20"/>
          <w:szCs w:val="20"/>
          <w:color w:val="auto"/>
        </w:rPr>
      </w:pPr>
    </w:p>
    <w:p>
      <w:pPr>
        <w:spacing w:after="0" w:line="21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June 30, 2022 and December 31, 2021, the Company had contract assets of $4.0 million and $3.7 million, respectively, which are recorded as current assets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our Condensed Consolidated Balance Sheets. As of June 30, 2022 and December 31, 2021, the Company had unearned revenue of $411.8 million and $364.2 million, respectively.</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45 months.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 within one</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60" w:type="dxa"/>
            <w:vAlign w:val="bottom"/>
          </w:tcPr>
          <w:p>
            <w:pPr>
              <w:spacing w:after="0"/>
              <w:rPr>
                <w:sz w:val="17"/>
                <w:szCs w:val="17"/>
                <w:color w:val="auto"/>
              </w:rPr>
            </w:pPr>
          </w:p>
        </w:tc>
        <w:tc>
          <w:tcPr>
            <w:tcW w:w="120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6"/>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2022</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220.5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0" w:type="dxa"/>
            <w:vAlign w:val="bottom"/>
          </w:tcPr>
          <w:p>
            <w:pPr>
              <w:spacing w:after="0"/>
              <w:rPr>
                <w:sz w:val="1"/>
                <w:szCs w:val="1"/>
                <w:color w:val="auto"/>
              </w:rPr>
            </w:pPr>
          </w:p>
        </w:tc>
      </w:tr>
      <w:tr>
        <w:trPr>
          <w:trHeight w:val="25"/>
        </w:trPr>
        <w:tc>
          <w:tcPr>
            <w:tcW w:w="6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$150.5 million in cash and $10.0 million in convertible notes receivable. As part of the acquisitions, the Company issued 448,740 restricted stock units (“RSUs”)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TalentOS into a best-in-class talent platform by enriching recruiter search options and providing recruiters with access to millions of quality candidates and employer brand solutions. We've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2022 Acquired Companies transactions is not yet finalized.</w:t>
      </w:r>
    </w:p>
    <w:p>
      <w:pPr>
        <w:spacing w:after="0" w:line="14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included the financial results of the 2022 Acquired Companies in the consolidated financial statements from each date of acquisition. During the three months ended June 30, 2022, the 2022 Acquired Companies contributed $3.4 million to revenue.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acquisition date fair value of the total consideration transferred was comprised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Adjusted Fair Value at</w:t>
            </w:r>
          </w:p>
        </w:tc>
      </w:tr>
      <w:tr>
        <w:trPr>
          <w:trHeight w:val="186"/>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38"/>
        </w:trPr>
        <w:tc>
          <w:tcPr>
            <w:tcW w:w="6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6320" w:type="dxa"/>
            <w:vAlign w:val="bottom"/>
            <w:tcBorders>
              <w:bottom w:val="single" w:sz="8" w:color="CCEEFF"/>
            </w:tcBorders>
            <w:shd w:val="clear" w:color="auto" w:fill="CCEEFF"/>
          </w:tcPr>
          <w:p>
            <w:pPr>
              <w:jc w:val="right"/>
              <w:ind w:right="5852"/>
              <w:spacing w:after="0"/>
              <w:rPr>
                <w:sz w:val="20"/>
                <w:szCs w:val="20"/>
                <w:color w:val="auto"/>
              </w:rPr>
            </w:pPr>
            <w:r>
              <w:rPr>
                <w:rFonts w:ascii="Times New Roman" w:cs="Times New Roman" w:eastAsia="Times New Roman" w:hAnsi="Times New Roman"/>
                <w:sz w:val="18"/>
                <w:szCs w:val="18"/>
                <w:color w:val="auto"/>
                <w:w w:val="99"/>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40"/>
        </w:trPr>
        <w:tc>
          <w:tcPr>
            <w:tcW w:w="6320" w:type="dxa"/>
            <w:vAlign w:val="bottom"/>
          </w:tcPr>
          <w:p>
            <w:pPr>
              <w:jc w:val="right"/>
              <w:ind w:right="3992"/>
              <w:spacing w:after="0"/>
              <w:rPr>
                <w:sz w:val="20"/>
                <w:szCs w:val="20"/>
                <w:color w:val="auto"/>
              </w:rPr>
            </w:pPr>
            <w:r>
              <w:rPr>
                <w:rFonts w:ascii="Times New Roman" w:cs="Times New Roman" w:eastAsia="Times New Roman" w:hAnsi="Times New Roman"/>
                <w:sz w:val="18"/>
                <w:szCs w:val="18"/>
                <w:color w:val="auto"/>
                <w:w w:val="98"/>
              </w:rPr>
              <w:t>Conversion of Note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
        </w:trPr>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8"/>
        </w:trPr>
        <w:tc>
          <w:tcPr>
            <w:tcW w:w="6320" w:type="dxa"/>
            <w:vAlign w:val="bottom"/>
            <w:shd w:val="clear" w:color="auto" w:fill="CCEEFF"/>
          </w:tcPr>
          <w:p>
            <w:pPr>
              <w:jc w:val="right"/>
              <w:ind w:right="3972"/>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aggregate fair values of the assets acquired and liabilities assumed, as of the dates of the acquisition for the 2022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Preliminary Fair Value</w:t>
            </w:r>
          </w:p>
        </w:tc>
        <w:tc>
          <w:tcPr>
            <w:tcW w:w="12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Adjusted Fair Value at</w:t>
            </w:r>
          </w:p>
        </w:tc>
      </w:tr>
      <w:tr>
        <w:trPr>
          <w:trHeight w:val="186"/>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20" w:type="dxa"/>
            <w:vAlign w:val="bottom"/>
          </w:tcPr>
          <w:p>
            <w:pPr>
              <w:spacing w:after="0"/>
              <w:rPr>
                <w:sz w:val="16"/>
                <w:szCs w:val="16"/>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13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51"/>
        </w:trPr>
        <w:tc>
          <w:tcPr>
            <w:tcW w:w="6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6"/>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6"/>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3"/>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(refunds received) for 2021 acquisitions in 2022 (see "2021 Acquisitions")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acquisitions in 2022</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5"/>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dates of acquisition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5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Adjusted Fair Value at</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Useful</w:t>
            </w:r>
          </w:p>
        </w:tc>
      </w:tr>
      <w:tr>
        <w:trPr>
          <w:trHeight w:val="186"/>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80" w:type="dxa"/>
            <w:vAlign w:val="bottom"/>
          </w:tcPr>
          <w:p>
            <w:pPr>
              <w:spacing w:after="0"/>
              <w:rPr>
                <w:sz w:val="16"/>
                <w:szCs w:val="16"/>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38"/>
        </w:trPr>
        <w:tc>
          <w:tcPr>
            <w:tcW w:w="4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 years</w:t>
            </w:r>
          </w:p>
        </w:tc>
      </w:tr>
      <w:tr>
        <w:trPr>
          <w:trHeight w:val="24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 years</w:t>
            </w:r>
          </w:p>
        </w:tc>
      </w:tr>
      <w:tr>
        <w:trPr>
          <w:trHeight w:val="25"/>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Trademarks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years</w:t>
            </w:r>
          </w:p>
        </w:tc>
      </w:tr>
      <w:tr>
        <w:trPr>
          <w:trHeight w:val="233"/>
        </w:trPr>
        <w:tc>
          <w:tcPr>
            <w:tcW w:w="46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six months ended June 30, 2022 is expected to be deductible for U.S. income tax purposes.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 forma information related to the acquisitions has not been presented as the impact was not material to the Company’s financial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twelve months ended December 31, 2021, the Company consummated the following acquisitions (collectively, “2021 Acquired Companies”) which have been accounted for as business combinations under ASC Topic 805.</w:t>
      </w:r>
    </w:p>
    <w:p>
      <w:pPr>
        <w:spacing w:after="0" w:line="110" w:lineRule="exact"/>
        <w:rPr>
          <w:sz w:val="20"/>
          <w:szCs w:val="20"/>
          <w:color w:val="auto"/>
        </w:rPr>
      </w:pPr>
    </w:p>
    <w:p>
      <w:pPr>
        <w:jc w:val="both"/>
        <w:ind w:left="640" w:hanging="316"/>
        <w:spacing w:after="0" w:line="25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7, 2021, the Company acquired all of the outstanding equity interests of Insent, Inc. (“Insent”) for total purchase consideration of $34.0 million, consisting of $32.9 million in cash and estimated deferred purchase consideration of $1.1 million. The purchase accounting for this transaction has been finalized. As part of the acquisition, the Company issued 36,118 RSUs, at a total grant date fair value of $2.4 million, and agreed to pay $2.0 million of incentive compensation to acquired employees, subject to continued employment, to be recognized in the post-combination periods.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12, 2021, the Company acquired substantially all of the net assets of AffectLayer, Inc. (d/b/a Chorus.ai) (“Chorus.ai”). At the time of purchase, the Company reserved a portion of cash transferred to settle the Seller’s estimated tax liability arising from the sale of Chorus.ai’s net assets. The Seller has since completed the final determination of its tax liability, resulting in a refund to the Company of approximately $33.9 million in cash, which was received in the fourth quarter of 2021 and previously included in the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balance. After adjustment for this refund, purchase consideration transferred for the assets of Chorus.ai is $547.4 million in cash. The total purchase consideration includes $31.8 million attributable to certain unvested options issued by Chorus.ai that were accelerated in contemplation of the acquisition by ZoomInfo. The purchase accounting for this transaction has been finalized. As part of the acquisition, the Company issued 572,921 RSUs that replaced previously unvested equity in Chorus.ai or were issued as incremental incentive grants at a total grant date fair value of $30.3 million, and agreed to pay $6.0 million of compensation to acquired employees, subject to continued employment, to be recognized in the post-combination periods.</w:t>
      </w:r>
    </w:p>
    <w:p>
      <w:pPr>
        <w:spacing w:after="0" w:line="140"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8, 2021, the Company acquired substantially all of the net assets of RingLead, Inc. (“RingLead”) for total purchase consideration of $116.0 million, consisting of $114.9 million in cash and estimated deferred purchase consideration of $1.1 million. The purchase accounting for this transaction has been finalized. As part of the acquisition, the Company issued 42,854 replacement RSUs, at a total grant date fair value of $2.8 million and agreed to pay $3.7 million of incentive compensation to acquired employees, subject to continued employment, to be recognized in the post-combination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included the financial results of the 2021 Acquired Companies in the consolidated financial statements from each date of acquisition. During the twelve months ended December 31, 2021, the 2021 Acquired Companies contributed $13.2 million to revenue. Due to the integration of the 2021 Acquired Companies into the operations of ZoomInfo, the Company cannot practicably determine the contribution of the 2021 Acquired Companies to consolidated net earnings. Transaction costs associated with each acquisition were not material.</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acquisition date fair value of the total consideration transferred was comprised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Adjusted Fair Value at</w:t>
            </w:r>
          </w:p>
        </w:tc>
      </w:tr>
      <w:tr>
        <w:trPr>
          <w:trHeight w:val="186"/>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38"/>
        </w:trPr>
        <w:tc>
          <w:tcPr>
            <w:tcW w:w="6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purchase consideration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aggregate fair values of the assets acquired and liabilities assumed, as of the dates of the acquisition for the 2021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 as adjusted in the fourth quarter of 2021 and the first quarter of 2022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Preliminary Fair Value</w:t>
            </w:r>
          </w:p>
        </w:tc>
        <w:tc>
          <w:tcPr>
            <w:tcW w:w="12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Adjusted Fair Value at</w:t>
            </w:r>
          </w:p>
        </w:tc>
      </w:tr>
      <w:tr>
        <w:trPr>
          <w:trHeight w:val="186"/>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0" w:type="dxa"/>
            <w:vAlign w:val="bottom"/>
          </w:tcPr>
          <w:p>
            <w:pPr>
              <w:spacing w:after="0"/>
              <w:rPr>
                <w:sz w:val="16"/>
                <w:szCs w:val="16"/>
                <w:color w:val="auto"/>
              </w:rPr>
            </w:pPr>
          </w:p>
        </w:tc>
        <w:tc>
          <w:tcPr>
            <w:tcW w:w="13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51"/>
        </w:trPr>
        <w:tc>
          <w:tcPr>
            <w:tcW w:w="6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6"/>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3"/>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3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refund from Chorus.ai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consideration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Accruals from adjustments to working capital balances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0"/>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Accruals from adjustments to tax liabilities</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acquired</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(received) for acquisitions in 2021</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5"/>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(received) for acquisitions in 2022</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 (continued)</w:t>
      </w:r>
    </w:p>
    <w:p>
      <w:pPr>
        <w:spacing w:after="0" w:line="200" w:lineRule="exact"/>
        <w:rPr>
          <w:sz w:val="20"/>
          <w:szCs w:val="20"/>
          <w:color w:val="auto"/>
        </w:rPr>
      </w:pPr>
    </w:p>
    <w:p>
      <w:pPr>
        <w:spacing w:after="0" w:line="2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dates of acquisition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Preliminary Fair Value</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5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Adjusted Fair Value at</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Useful</w:t>
            </w:r>
          </w:p>
        </w:tc>
      </w:tr>
      <w:tr>
        <w:trPr>
          <w:trHeight w:val="186"/>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80" w:type="dxa"/>
            <w:vAlign w:val="bottom"/>
          </w:tcPr>
          <w:p>
            <w:pPr>
              <w:spacing w:after="0"/>
              <w:rPr>
                <w:sz w:val="16"/>
                <w:szCs w:val="16"/>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38"/>
        </w:trPr>
        <w:tc>
          <w:tcPr>
            <w:tcW w:w="4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 years</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 years</w:t>
            </w:r>
          </w:p>
        </w:tc>
      </w:tr>
      <w:tr>
        <w:trPr>
          <w:trHeight w:val="26"/>
        </w:trPr>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7.7 years</w:t>
            </w:r>
          </w:p>
        </w:tc>
      </w:tr>
      <w:tr>
        <w:trPr>
          <w:trHeight w:val="258"/>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2021 is expected to be deductible for U.S. income tax purposes.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 for the 2021 Acquisitions</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following table presents the unaudited pro forma results for the years ended December 31, 2021 and 2020. The unaudited pro forma financial information combines the results of operations of the 2021 Acquired Companies and ZoomInfo as though each of the acquisitions had been completed on January 1, 2020. The pro forma information is presented for informational purposes only and is not indicative of the results of operations that would have been achieved if the acquisitions had taken place at such time. The unaudited pro forma results presented below primarily include adjustments for amortization of identifiable intangible assets, the valuation of deferred revenue assumed in the acquisitions (“the deferred revenue write-down”), interest expense, aggregate transaction expenses and transaction success bonuses of $12.6 million, equity-based compensation, and related tax effects of the adjustments: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7380" w:type="dxa"/>
            <w:vAlign w:val="bottom"/>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5"/>
        </w:trPr>
        <w:tc>
          <w:tcPr>
            <w:tcW w:w="73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tcBorders>
              <w:bottom w:val="single" w:sz="8" w:color="CCEEFF"/>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4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20"/>
                <w:szCs w:val="20"/>
                <w:color w:val="auto"/>
              </w:rPr>
            </w:pPr>
          </w:p>
        </w:tc>
        <w:tc>
          <w:tcPr>
            <w:tcW w:w="7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Cash, Cash Equivalents, and Short-term Investments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June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5"/>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4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5"/>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5"/>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40"/>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5"/>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0"/>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5"/>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2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5"/>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0"/>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5"/>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short-term investments consisted of the following as of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5"/>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2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0"/>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3"/>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5"/>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Refer to Note 10 - Fair Value for further information regarding the fair value of our financial instruments.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unrealized losses on our available-for sale securities were immaterial at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the securities classified as short-term investments based on stated effective maturities as of June 30, 2022 and December 31,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gridSpan w:val="5"/>
          </w:tcPr>
          <w:p>
            <w:pPr>
              <w:ind w:left="12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6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00" w:type="dxa"/>
            <w:vAlign w:val="bottom"/>
          </w:tcPr>
          <w:p>
            <w:pPr>
              <w:spacing w:after="0"/>
              <w:rPr>
                <w:sz w:val="19"/>
                <w:szCs w:val="19"/>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26"/>
        </w:trPr>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Company’s fixed assets consist of the following (in millions):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5"/>
        </w:trPr>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32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78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58"/>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During the fiscal year ending December 31, 2021, 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$2.1 million. These charges were recognized within </w:t>
      </w:r>
      <w:r>
        <w:rPr>
          <w:rFonts w:ascii="Times New Roman" w:cs="Times New Roman" w:eastAsia="Times New Roman" w:hAnsi="Times New Roman"/>
          <w:sz w:val="18"/>
          <w:szCs w:val="18"/>
          <w:i w:val="1"/>
          <w:iCs w:val="1"/>
          <w:color w:val="auto"/>
        </w:rPr>
        <w:t>Restructuring and transaction-related expenses</w:t>
      </w:r>
      <w:r>
        <w:rPr>
          <w:rFonts w:ascii="Times New Roman" w:cs="Times New Roman" w:eastAsia="Times New Roman" w:hAnsi="Times New Roman"/>
          <w:sz w:val="18"/>
          <w:szCs w:val="18"/>
          <w:color w:val="auto"/>
        </w:rPr>
        <w:t xml:space="preserve"> on our Consolidated Statements of Operations.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Depreciation expense was $4.6 million and $3.5 million for the three months ended June 30, 2022 and 2021, respectively. Depreciation expense was $8.1 million and $7.5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Acquired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59"/>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9"/>
        </w:trPr>
        <w:tc>
          <w:tcPr>
            <w:tcW w:w="4640" w:type="dxa"/>
            <w:vAlign w:val="bottom"/>
            <w:vMerge w:val="continue"/>
          </w:tcPr>
          <w:p>
            <w:pPr>
              <w:spacing w:after="0"/>
              <w:rPr>
                <w:sz w:val="17"/>
                <w:szCs w:val="17"/>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0" w:type="dxa"/>
            <w:vAlign w:val="bottom"/>
          </w:tcPr>
          <w:p>
            <w:pPr>
              <w:spacing w:after="0"/>
              <w:rPr>
                <w:sz w:val="1"/>
                <w:szCs w:val="1"/>
                <w:color w:val="auto"/>
              </w:rPr>
            </w:pPr>
          </w:p>
        </w:tc>
      </w:tr>
      <w:tr>
        <w:trPr>
          <w:trHeight w:val="24"/>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Amortization expense was $17.9 million and $11.6 million for the three months ended June 30, 2022 and 2021, respectively. Amortization expense was $34.4 million and $23.1 million for the six months ended June 30, 2022 and 2021,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summarized changes to the Company’s goodwill (in millions):</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4"/>
        </w:trPr>
        <w:tc>
          <w:tcPr>
            <w:tcW w:w="9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5"/>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w:t>
            </w:r>
          </w:p>
        </w:tc>
      </w:tr>
      <w:tr>
        <w:trPr>
          <w:trHeight w:val="240"/>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from 2021 acquisitions</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from 2022 acquisitions</w:t>
            </w: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5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1,695.8</w:t>
            </w:r>
          </w:p>
        </w:tc>
      </w:tr>
      <w:tr>
        <w:trPr>
          <w:trHeight w:val="20"/>
        </w:trPr>
        <w:tc>
          <w:tcPr>
            <w:tcW w:w="9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on the results of the Company’s impairment assessment, the Company did not recognize any impairment of goodwill during the six months ended June 30, 2022 or June 30, 2021.</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and December 31, 2021, the carrying values of the Company’s borrowings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0" w:type="dxa"/>
            <w:vAlign w:val="bottom"/>
          </w:tcPr>
          <w:p>
            <w:pPr>
              <w:spacing w:after="0"/>
              <w:rPr>
                <w:sz w:val="1"/>
                <w:szCs w:val="1"/>
                <w:color w:val="auto"/>
              </w:rPr>
            </w:pPr>
          </w:p>
        </w:tc>
      </w:tr>
      <w:tr>
        <w:trPr>
          <w:trHeight w:val="37"/>
        </w:trPr>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 of Issuance</w:t>
            </w: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Elected Interest Rate</w:t>
            </w: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18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8"/>
        </w:trPr>
        <w:tc>
          <w:tcPr>
            <w:tcW w:w="2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2026</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LIBOR + 3.00%</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4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2019</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November 2, 2025</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LIBOR + 2.00%</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1, 2029</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200"/>
        </w:trPr>
        <w:tc>
          <w:tcPr>
            <w:tcW w:w="21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Carrying Value of</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our First Lien Credit Agreement. In February 2021, we entered into an amendment to our First Lien Credit Agreement (the “Second Amendment”), pursuant to which the Company completed a repricing of its First Lien Term Loan Facility, which decreased the interest rate from LIBOR plus 3.75% per annum to LIBOR plus 3.00% per annum. The Company recognized $7.7 million in the twelve months ended December 31, 2021 within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xml:space="preserve"> on our Consolidated Statements of Operations, primarily comprised of the write-off of unamortized issuance costs associated with the Debt Prepayment.</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July 2021, we entered into an amendment to our existing First Lien Credit Agreement, that provided for the incurrence of an additional $200.0 million aggregate principal amount of additional term loans under our existing First Lien Credit Agreement.</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debt has a variable interest rate whereby the Company can elect to use a Base Rate or LIBOR plus an applicable rate. The applicable rate is 2.00% for Base Rate loans or 3.00% for LIBOR Based Loans. The effective interest rate on the first lien debt was 4.36% and 3.41% as of June 30, 2022 and December 31, 2021,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Second Amendment to the First Lien Credit Agreement entered into in February 2021, the Company increased the aggregate commitments to $250.0 million under our first lien revolving credit facility. The Second Amendment also provided an extension of the maturity date of our first lien revolving credit facility to November 2025.</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first lien revolving debt has a variable interest rate whereby the Company can elect to use a Base Rate or LIBOR plus an applicable rate. The applicable margin is 1.00% to 1.25% for Base Rate loans or 2.00% to 2.25% for LIBOR Based Loans, depending on the Company’s leverage.</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July 2021, the Company drew down $225.0 million under the revolving credit facility and then paid off the outstanding $225.0 million balance of the revolving credit facility with proceeds from the Credit Agreement Amendment and proceeds from the Senior Notes. The effective interest rate was 4.4% as of the repayment date. Immaterial debt issuance costs were incurred in connection with these entries into the revolving credit facility. These debt issuance costs are amortized into interest expense over the expected life of the arrangement. Unamortized debt issuance costs included in </w:t>
      </w:r>
      <w:r>
        <w:rPr>
          <w:rFonts w:ascii="Times New Roman" w:cs="Times New Roman" w:eastAsia="Times New Roman" w:hAnsi="Times New Roman"/>
          <w:sz w:val="18"/>
          <w:szCs w:val="18"/>
          <w:i w:val="1"/>
          <w:iCs w:val="1"/>
          <w:color w:val="auto"/>
        </w:rPr>
        <w:t>Deferred costs and other assets,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current portion </w:t>
      </w:r>
      <w:r>
        <w:rPr>
          <w:rFonts w:ascii="Times New Roman" w:cs="Times New Roman" w:eastAsia="Times New Roman" w:hAnsi="Times New Roman"/>
          <w:sz w:val="18"/>
          <w:szCs w:val="18"/>
          <w:color w:val="auto"/>
        </w:rPr>
        <w:t>on our Condensed Consolidated Balance Sheets were immaterial as of June 30, 2022 and December 31,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Financing Arrangements (continued)</w:t>
      </w:r>
    </w:p>
    <w:p>
      <w:pPr>
        <w:spacing w:after="0" w:line="200" w:lineRule="exact"/>
        <w:rPr>
          <w:sz w:val="20"/>
          <w:szCs w:val="20"/>
          <w:color w:val="auto"/>
        </w:rPr>
      </w:pPr>
    </w:p>
    <w:p>
      <w:pPr>
        <w:spacing w:after="0" w:line="218"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6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February 2021, ZoomInfo Technologies LLC and ZoomInfo Finance Corp., indirect subsidiaries of ZoomInfo Technologies Inc.,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1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July 2021, ZoomInfo Technologies LLC and ZoomInfo Finance Corp.,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10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on our Condensed Consolidated Balance Sheets. To receive hedge accounting treatment, all hedging relationships are formally documented at the inception of the hedge, and the hedges must be highly effective in offsetting changes to future cash flows on hedged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first quarter of 2021, concurrent with the prepayment of $356.4 million aggregate principal amount of the first lien term loans outstanding under the First Lien Credit Agreement, we fully dedesignated the interest rate cap contract and partially dedesignated $100.0 million of the notional amount of one of the forward-starting interest rate swap contracts. In the third quarter of 2021, the Company redesignated $100.0 million of available notional of the partially dedesignated forward-starting interest rate swap contract and redesignated $100.0 million of available notional of the interest-rate cap contract in connection with the incurrence of an incremental $200.0 million of variable-rate debt under the First Lien Credit Agreement.</w:t>
      </w:r>
    </w:p>
    <w:p>
      <w:pPr>
        <w:spacing w:after="0" w:line="13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the second quarter of 2022, two interest rate swap contracts in the notional amount of $350 million matured. Interest rate swaps in the notional amount of $500 million became effective in April 2022. As of June 30, 2022, $400.0 million of the notional amount of the interest rate cap contract is not designated as an accounting hedge. Gains and losses resulting from valuation adjustments on dedesignated portions of our derivative contract subsequent to dedesignation of hedge accounting are recorded within </w:t>
      </w:r>
      <w:r>
        <w:rPr>
          <w:rFonts w:ascii="Times New Roman" w:cs="Times New Roman" w:eastAsia="Times New Roman" w:hAnsi="Times New Roman"/>
          <w:sz w:val="17"/>
          <w:szCs w:val="17"/>
          <w:i w:val="1"/>
          <w:iCs w:val="1"/>
          <w:color w:val="auto"/>
        </w:rPr>
        <w:t>Interest expense, net</w:t>
      </w:r>
      <w:r>
        <w:rPr>
          <w:rFonts w:ascii="Times New Roman" w:cs="Times New Roman" w:eastAsia="Times New Roman" w:hAnsi="Times New Roman"/>
          <w:sz w:val="17"/>
          <w:szCs w:val="17"/>
          <w:color w:val="auto"/>
        </w:rPr>
        <w:t xml:space="preserve"> on our Consolidated Statements of Operations. As it is not probable the forecasted transaction will not occur, the amounts in </w:t>
      </w:r>
      <w:r>
        <w:rPr>
          <w:rFonts w:ascii="Times New Roman" w:cs="Times New Roman" w:eastAsia="Times New Roman" w:hAnsi="Times New Roman"/>
          <w:sz w:val="17"/>
          <w:szCs w:val="17"/>
          <w:i w:val="1"/>
          <w:iCs w:val="1"/>
          <w:color w:val="auto"/>
        </w:rPr>
        <w:t>Accumulated other comprehensive income (loss)</w:t>
      </w:r>
      <w:r>
        <w:rPr>
          <w:rFonts w:ascii="Times New Roman" w:cs="Times New Roman" w:eastAsia="Times New Roman" w:hAnsi="Times New Roman"/>
          <w:sz w:val="17"/>
          <w:szCs w:val="17"/>
          <w:color w:val="auto"/>
        </w:rPr>
        <w:t xml:space="preserve"> as of the date of dedesignation will be released based on our original forecast.</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2022, the Company had the following outstanding interest rate derivatives that were designated as cash flow hedges of interest rate risk ($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Notional Aggregate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6"/>
        </w:trPr>
        <w:tc>
          <w:tcPr>
            <w:tcW w:w="3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Cap / Swap Rate</w:t>
            </w:r>
          </w:p>
        </w:tc>
        <w:tc>
          <w:tcPr>
            <w:tcW w:w="176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38"/>
        </w:trPr>
        <w:tc>
          <w:tcPr>
            <w:tcW w:w="3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3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30, 2024</w:t>
            </w:r>
          </w:p>
        </w:tc>
      </w:tr>
      <w:tr>
        <w:trPr>
          <w:trHeight w:val="24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Two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30,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Condensed Consolidated Balance Sheets for derivatives as of June 30, 2022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Fair Value of Derivative Liabilities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20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2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5"/>
                <w:szCs w:val="15"/>
                <w:color w:val="auto"/>
              </w:rPr>
            </w:pPr>
          </w:p>
        </w:tc>
        <w:tc>
          <w:tcPr>
            <w:tcW w:w="324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8"/>
        </w:trPr>
        <w:tc>
          <w:tcPr>
            <w:tcW w:w="4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4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2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40" w:type="dxa"/>
            <w:vAlign w:val="bottom"/>
          </w:tcPr>
          <w:p>
            <w:pPr>
              <w:spacing w:after="0"/>
              <w:rPr>
                <w:sz w:val="15"/>
                <w:szCs w:val="15"/>
                <w:color w:val="auto"/>
              </w:rPr>
            </w:pPr>
          </w:p>
        </w:tc>
        <w:tc>
          <w:tcPr>
            <w:tcW w:w="15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38"/>
        </w:trPr>
        <w:tc>
          <w:tcPr>
            <w:tcW w:w="40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(3)</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Forward-starting interest rate swap contracts</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Forward-starting interest rate swap contracts</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5"/>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undesignated derivative fair value</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fair value</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4" w:lineRule="exact"/>
        <w:rPr>
          <w:sz w:val="20"/>
          <w:szCs w:val="20"/>
          <w:color w:val="auto"/>
        </w:rPr>
      </w:pPr>
    </w:p>
    <w:p>
      <w:pPr>
        <w:ind w:left="200" w:hanging="194"/>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on our Condensed Consolidated Balance Sheets.</w:t>
      </w:r>
    </w:p>
    <w:p>
      <w:pPr>
        <w:spacing w:after="0" w:line="6"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on our Condensed Consolidated Balance Sheets.</w:t>
      </w:r>
    </w:p>
    <w:p>
      <w:pPr>
        <w:spacing w:after="0" w:line="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Deferred costs and other assets, net of current portion</w:t>
      </w:r>
      <w:r>
        <w:rPr>
          <w:rFonts w:ascii="Times New Roman" w:cs="Times New Roman" w:eastAsia="Times New Roman" w:hAnsi="Times New Roman"/>
          <w:sz w:val="14"/>
          <w:szCs w:val="14"/>
          <w:color w:val="auto"/>
        </w:rPr>
        <w:t xml:space="preserve"> on our Condensed Consolidated Balance Sheets.</w:t>
      </w:r>
    </w:p>
    <w:p>
      <w:pPr>
        <w:spacing w:after="0" w:line="26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The change in fair value of any derivative instruments was recorded, net of income tax,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(“AOCI”) on our Condensed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and as operating cash flows on our Consolidated Statements of Cash Flows in the period settled in cash. Income tax effects from changes in fair value of derivative instruments are recorded on our Consolidated Statements of Operations when the derivative instruments are settled. Over the next 12 months, we expect to reclassify approximately $13.2 million into interest income from AOCI.</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within the fair value hierarchy. We classify our corporate debt securities, securities guaranteed by U.S. government, and other governmental securities as Level 2 within the fair value hierarchy. The fair value of our first term lien debt and Senior Notes as of June 30, 2022 was $579.0 million and $542.8 million, respectively, based on observable market prices in less active markets and categorized as Level 2 within the fair value measurement framework.</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(continued)</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(in millions) of our financial assets and (liabilities) was determined using the following inputs: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June 30, 2022</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0"/>
                <w:szCs w:val="20"/>
                <w:color w:val="auto"/>
              </w:rPr>
            </w:pP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1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24"/>
                <w:szCs w:val="24"/>
                <w:color w:val="auto"/>
              </w:rPr>
            </w:pP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6"/>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Forward-starting interest rate swap contracts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Derivative contracts: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6"/>
        </w:trPr>
        <w:tc>
          <w:tcPr>
            <w:tcW w:w="6280" w:type="dxa"/>
            <w:vAlign w:val="bottom"/>
            <w:gridSpan w:val="2"/>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
        </w:trPr>
        <w:tc>
          <w:tcPr>
            <w:tcW w:w="62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
        </w:trPr>
        <w:tc>
          <w:tcPr>
            <w:tcW w:w="6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transfers between fair value measurements levels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Refer to Note 5 - Cash, Cash Equivalents, and Short-term Investments for further information regarding the fair value of our financial instruments. Refer to Note 9 - Derivatives and Hedging Activities for further information regarding the fair value of our derivative instruments. Refer to Note 15 - Leases, “recent leasing activity” of our 2021 Form 10-K for further information regarding the impairment of our Waltham operating 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2022, we had additional outstanding non-cancelable purchase obligations with a term of 12 months or longer of $41.7 million over the corresponding amount disclosed in the audited financial statements in our 10-K for the year ended December 31, 2021, mainly related to third-party cloud hosting and software as a service arrangements. For information regarding financing-related obligations, refer to Note 8 - Financing Arrangements. For information regarding lease-related obligations, refer to Note 14 -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use tax</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$3.1 million and $3.1 million at June 30, 2022 and December 31, 2021, respectively. This liability is included in </w:t>
      </w:r>
      <w:r>
        <w:rPr>
          <w:rFonts w:ascii="Times New Roman" w:cs="Times New Roman" w:eastAsia="Times New Roman" w:hAnsi="Times New Roman"/>
          <w:sz w:val="17"/>
          <w:szCs w:val="17"/>
          <w:i w:val="1"/>
          <w:iCs w:val="1"/>
          <w:color w:val="auto"/>
        </w:rPr>
        <w:t>Accrued expenses and other current liabilities</w:t>
      </w:r>
      <w:r>
        <w:rPr>
          <w:rFonts w:ascii="Times New Roman" w:cs="Times New Roman" w:eastAsia="Times New Roman" w:hAnsi="Times New Roman"/>
          <w:sz w:val="17"/>
          <w:szCs w:val="17"/>
          <w:color w:val="auto"/>
        </w:rPr>
        <w:t xml:space="preserve"> on our Condensed Consolidated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Dogpatch, the Company could be required to issue equity awards up to $3.7 million. Refer to Note 4 - Business Combinations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acquisition-related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Insent, the Company expects to pay an additional $3.0 million in December 2022, of which $1.1 million represents deferred consideration. Refer to Note 4 - Business Combinations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Noncontrolling Interest</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ZoomInfo Technologies Inc. operates and controls all of the business and affairs, and consolidates the financial results through ZoomInfo OpCo and its subsidiaries, conducts our business. Accordingly, ZoomInfo Technologies Inc. consolidates the financial results of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redemptions or direct exchanges of HoldCo Units or OpCo Units by Continuing Members resulted in a change in ownership and reduced or increased the amount recorded as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xml:space="preserve"> and increased or decreased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our Condensed Consolidated Balance Sheets. During the third quarter of 2021, all remaining HoldCo Units held by Continuing Members were exchanged for shares in ZoomInfo Technologies Inc. followed by the merger of HoldCo into ZoomInfo Technologies Inc. During the fourth quarter of 2021, all remaining OpCo Units held by Continuing Members were converted into Class A shares in connection with the merger of ZoomInfo OpCo into a newly formed subsidiary of ZoomInfo Technologies, Inc.</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ZoomInfo Technologies Inc. held units resulting in an ownership interest of 100% in the consolidated subsidiaries.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holders of OpCo Units may be subject to U.S. federal, state and local income taxes on their proportionate share of any taxable income of ZoomInfo OpCo. Net profits and net losses of ZoomInfo OpCo will generally be allocated to its holders pro rata in accordance with the percentages of their respective limited liability company interests. The amended and restated limited liability company agreement of ZoomInfo OpCo provides for cash distributions (“tax distributions”) to the holders of OpCo Units and Class P Units. During the six months ended June 30, 2021, the Company paid $15.3 million in tax distributions to the noncontrolling interest.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the periods in which we had multiple classes of stock participating in earnings, we use the two-class method in calculating earnings per share. 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 As of the fourth quarter of 2021, as a result of the UP-C Corporate Structure and Multi-Class Voting Structure Elimination discussed in Note 1 - Organization and Background, the only remaining class of common stock issued and outstanding was the Class A common stock, and as such, the two-class method is not presented for subsequent periods. As previously discussed, in May 2022, following approval by the Company’s stockholders, the Company further amended and restated its Amended and Restated Certificate of Incorporation to eliminate the multiple classes of common stock and to rename the Company’s Class A common stock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1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242424"/>
        </w:rPr>
        <w:t>The followin</w:t>
      </w:r>
      <w:r>
        <w:rPr>
          <w:rFonts w:ascii="Times New Roman" w:cs="Times New Roman" w:eastAsia="Times New Roman" w:hAnsi="Times New Roman"/>
          <w:sz w:val="18"/>
          <w:szCs w:val="18"/>
          <w:color w:val="000000"/>
        </w:rPr>
        <w:t>g table sets forth reconciliations of the numerators and denominators used (in millions) to compute basic and diluted earnings (los</w:t>
      </w:r>
      <w:r>
        <w:rPr>
          <w:rFonts w:ascii="Times New Roman" w:cs="Times New Roman" w:eastAsia="Times New Roman" w:hAnsi="Times New Roman"/>
          <w:sz w:val="18"/>
          <w:szCs w:val="18"/>
          <w:color w:val="242424"/>
        </w:rPr>
        <w:t>s) per share of Class A and Class C (as applicable) common stock for the three and six months ended June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51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1"/>
        </w:trPr>
        <w:tc>
          <w:tcPr>
            <w:tcW w:w="51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5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4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92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8"/>
              </w:rPr>
              <w:t>(9.4)</w:t>
            </w:r>
          </w:p>
        </w:tc>
      </w:tr>
      <w:tr>
        <w:trPr>
          <w:trHeight w:val="25"/>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Net (income) loss attributable to noncontrolling interests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21.9</w:t>
            </w: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ZoomInfo Technologies Inc.</w:t>
            </w:r>
          </w:p>
        </w:tc>
        <w:tc>
          <w:tcPr>
            <w:tcW w:w="960" w:type="dxa"/>
            <w:vAlign w:val="bottom"/>
            <w:tcBorders>
              <w:top w:val="single" w:sz="8" w:color="auto"/>
            </w:tcBorders>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12.5</w:t>
            </w:r>
          </w:p>
        </w:tc>
      </w:tr>
      <w:tr>
        <w:trPr>
          <w:trHeight w:val="26"/>
        </w:trPr>
        <w:tc>
          <w:tcPr>
            <w:tcW w:w="5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income per share of Class A and Class C (as applicable) common stock (in millions,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86"/>
        </w:trPr>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30, 2022</w:t>
            </w:r>
          </w:p>
        </w:tc>
      </w:tr>
      <w:tr>
        <w:trPr>
          <w:trHeight w:val="38"/>
        </w:trPr>
        <w:tc>
          <w:tcPr>
            <w:tcW w:w="7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1"/>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40" w:type="dxa"/>
            <w:vAlign w:val="bottom"/>
          </w:tcPr>
          <w:p>
            <w:pPr>
              <w:spacing w:after="0"/>
              <w:rPr>
                <w:sz w:val="15"/>
                <w:szCs w:val="15"/>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38"/>
        </w:trPr>
        <w:tc>
          <w:tcPr>
            <w:tcW w:w="7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33"/>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 stockholders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Allocation of net income (loss) attributable to ZoomInfo Technologies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401,099,187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400,658,558</w:t>
            </w:r>
          </w:p>
        </w:tc>
      </w:tr>
      <w:tr>
        <w:trPr>
          <w:trHeight w:val="23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5"/>
        </w:trPr>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26"/>
        </w:trPr>
        <w:tc>
          <w:tcPr>
            <w:tcW w:w="7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401,099,187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400,658,558</w:t>
            </w:r>
          </w:p>
        </w:tc>
      </w:tr>
      <w:tr>
        <w:trPr>
          <w:trHeight w:val="25"/>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2,293,963</w:t>
            </w:r>
          </w:p>
        </w:tc>
      </w:tr>
      <w:tr>
        <w:trPr>
          <w:trHeight w:val="25"/>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222,710</w:t>
            </w:r>
          </w:p>
        </w:tc>
      </w:tr>
      <w:tr>
        <w:trPr>
          <w:trHeight w:val="24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ESPP</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5"/>
        </w:trPr>
        <w:tc>
          <w:tcPr>
            <w:tcW w:w="7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0"/>
        </w:trPr>
        <w:tc>
          <w:tcPr>
            <w:tcW w:w="7860" w:type="dxa"/>
            <w:vAlign w:val="bottom"/>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auto"/>
              </w:rPr>
              <w:t>Weighted average shares of Common Stock outstanding used to calculate diluted net income (loss) per</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7"/>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403,221,743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403,180,117</w:t>
            </w:r>
          </w:p>
        </w:tc>
      </w:tr>
      <w:tr>
        <w:trPr>
          <w:trHeight w:val="26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20" w:type="dxa"/>
            <w:vAlign w:val="bottom"/>
          </w:tcPr>
          <w:p>
            <w:pPr>
              <w:spacing w:after="0"/>
              <w:rPr>
                <w:sz w:val="16"/>
                <w:szCs w:val="16"/>
                <w:color w:val="auto"/>
              </w:rPr>
            </w:pPr>
          </w:p>
        </w:tc>
        <w:tc>
          <w:tcPr>
            <w:tcW w:w="246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r>
      <w:tr>
        <w:trPr>
          <w:trHeight w:val="38"/>
        </w:trPr>
        <w:tc>
          <w:tcPr>
            <w:tcW w:w="57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2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5"/>
                <w:szCs w:val="15"/>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Class C</w:t>
            </w:r>
          </w:p>
        </w:tc>
      </w:tr>
      <w:tr>
        <w:trPr>
          <w:trHeight w:val="38"/>
        </w:trPr>
        <w:tc>
          <w:tcPr>
            <w:tcW w:w="57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33"/>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attributable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9"/>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Allocation of net income (loss) attributable to ZoomInfo Technologies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Class A and Class C common stock</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109,934,905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80,670,520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102,253,715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82,450,901</w:t>
            </w: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5"/>
        </w:trPr>
        <w:tc>
          <w:tcPr>
            <w:tcW w:w="5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9"/>
        </w:trPr>
        <w:tc>
          <w:tcPr>
            <w:tcW w:w="5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 attributable to common stockholders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Undistributed earnings for basic computation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Increase in earnings attributable to common shareholders upon conversion of</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potentially dilutive instruments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Reallocation of earnings as a result of conversion of potentially dilutive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1"/>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Reallocation of undistributed earnings as a result of conversion of Class C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shares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undistributed earnings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109,934,905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80,670,520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102,253,715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82,450,901</w:t>
            </w: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Class 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5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OpCo Units</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194,479,806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P Units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10,838,840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4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HSKB I Class 1 Units</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7,579,542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HoldCo Units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1,427,229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4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258,705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LTIP Units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Class A Common Stock Options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286,972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5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Class C to Class A common shares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80,670,520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82,450,901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0"/>
        </w:trPr>
        <w:tc>
          <w:tcPr>
            <w:tcW w:w="57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Weighted average shares of Class A and Class C common stock outstanding</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1"/>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used to calculate diluted net income (loss) per share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192,531,074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80,670,520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399,586,649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82,450,901</w:t>
            </w:r>
          </w:p>
        </w:tc>
      </w:tr>
      <w:tr>
        <w:trPr>
          <w:trHeight w:val="25"/>
        </w:trPr>
        <w:tc>
          <w:tcPr>
            <w:tcW w:w="5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42424"/>
        </w:rPr>
        <w:t>Shares of the Company’s Class B common stock did not participate in the earnings or losses of ZoomInfo Technologies Inc. and were therefore not participating securities. As such, separate presentation of basic and diluted earnings per share of Class B common stock under the two-class method has not been presented. Shares of the Company's Class A common stock were renamed "Common Stock" effective May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(continued)</w:t>
      </w:r>
    </w:p>
    <w:p>
      <w:pPr>
        <w:spacing w:after="0" w:line="200" w:lineRule="exact"/>
        <w:rPr>
          <w:sz w:val="20"/>
          <w:szCs w:val="20"/>
          <w:color w:val="auto"/>
        </w:rPr>
      </w:pPr>
    </w:p>
    <w:p>
      <w:pPr>
        <w:spacing w:after="0" w:line="2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5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6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42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181"/>
        </w:trPr>
        <w:tc>
          <w:tcPr>
            <w:tcW w:w="4200" w:type="dxa"/>
            <w:vAlign w:val="bottom"/>
          </w:tcPr>
          <w:p>
            <w:pPr>
              <w:spacing w:after="0"/>
              <w:rPr>
                <w:sz w:val="15"/>
                <w:szCs w:val="15"/>
                <w:color w:val="auto"/>
              </w:rPr>
            </w:pPr>
          </w:p>
        </w:tc>
        <w:tc>
          <w:tcPr>
            <w:tcW w:w="16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6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8"/>
        </w:trPr>
        <w:tc>
          <w:tcPr>
            <w:tcW w:w="42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Units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189,991,429</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P Units</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10,479,037</w:t>
            </w:r>
          </w:p>
        </w:tc>
        <w:tc>
          <w:tcPr>
            <w:tcW w:w="1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 Class 1 Units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6,661,067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II Class 1 Units</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334,017</w:t>
            </w:r>
          </w:p>
        </w:tc>
        <w:tc>
          <w:tcPr>
            <w:tcW w:w="1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391,480</w:t>
            </w:r>
          </w:p>
        </w:tc>
      </w:tr>
      <w:tr>
        <w:trPr>
          <w:trHeight w:val="25"/>
        </w:trPr>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II Phantom Units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1,296,597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1,327,044</w:t>
            </w:r>
          </w:p>
        </w:tc>
      </w:t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7,027,221</w:t>
            </w:r>
          </w:p>
        </w:tc>
        <w:tc>
          <w:tcPr>
            <w:tcW w:w="12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6,499,575</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7,027,221</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208,762,147</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6,499,575</w:t>
            </w:r>
          </w:p>
        </w:tc>
        <w:tc>
          <w:tcPr>
            <w:tcW w:w="12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1,718,524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subleases two offices. The subleases have remaining lease terms of less than four years. Sublease income, which is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on our Consolidated Statements of Operations, was immaterial for the three and six months ended June 30, 2022 and 2021.</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are additional details related to operating leases recorded on our Condensed Consolidated Balance Sheets as of June 30, 2022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6"/>
                <w:szCs w:val="16"/>
                <w:color w:val="auto"/>
              </w:rPr>
            </w:pP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75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75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5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Rent expense was $3.4 million and $2.8 million for the three months ended June 30, 2022 and 2021, respectively. Rent expense was $6.8 million and $5.2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 (continued)</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Pr>
          <w:p>
            <w:pPr>
              <w:spacing w:after="0"/>
              <w:rPr>
                <w:sz w:val="20"/>
                <w:szCs w:val="20"/>
                <w:color w:val="auto"/>
              </w:rPr>
            </w:pPr>
          </w:p>
        </w:tc>
        <w:tc>
          <w:tcPr>
            <w:tcW w:w="31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20"/>
                <w:szCs w:val="20"/>
                <w:color w:val="auto"/>
              </w:rPr>
            </w:pPr>
          </w:p>
        </w:tc>
        <w:tc>
          <w:tcPr>
            <w:tcW w:w="20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5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acquisitions</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638"/>
        </w:trPr>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38"/>
        </w:trPr>
        <w:tc>
          <w:tcPr>
            <w:tcW w:w="45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as of June 30, 2022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Pr>
          <w:p>
            <w:pPr>
              <w:spacing w:after="0"/>
              <w:rPr>
                <w:sz w:val="20"/>
                <w:szCs w:val="20"/>
                <w:color w:val="auto"/>
              </w:rPr>
            </w:pPr>
          </w:p>
        </w:tc>
        <w:tc>
          <w:tcPr>
            <w:tcW w:w="15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6"/>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six months ended June 30, 2022)</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5"/>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4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
        </w:trPr>
        <w:tc>
          <w:tcPr>
            <w:tcW w:w="9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3"/>
        </w:trPr>
        <w:tc>
          <w:tcPr>
            <w:tcW w:w="9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5"/>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June 30, 2022</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
        </w:trPr>
        <w:tc>
          <w:tcPr>
            <w:tcW w:w="9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5"/>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58"/>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9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Expense associated with short term leases and variable lease costs were immaterial for the three and six months ended June 30, 2022. The expense related to short-term leases reasonably reflected our short-term lease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Leasing Activity</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the Company executed a seven year lease for office space in Ra’anana, Israel, with the rent payments for the first phase expected to commence at the earliest in July 2023, and the rent payments for the additional phases expected to commence between August 2023 and January 2024. Upon execution of the lease, the Company paid rent in advance of $1.7 million. The lease contains two options extend for an additional three and five years, respectively, for which the company is not reasonably certain of exercising as of June 30, 2022. The lease is subject to fixed rate rent with the addition of VAT and certain future increases of the Israel Consumer Price Index. The lease provides for $15.4 million in tenant improvements. The Company determined that it is the accounting owner of all tenant improvements. As the commencement of this lease is expected to occur in the future, the Company has not recorded operating lease right-of-use assets or lease liabilities as of June 30, 2022.</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Undiscounted lease payments under all leases executed and not yet commenced are anticipated to be $339.7 million, which are not included in the tabular disclosure of undiscounted future minimum lease payments under non-cancelable leases above.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27, 2020, the Board of Directors of the Company (the “Board”) adopted the ZoomInfo Technologies Inc.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Omnibus Incentive Plan (the “Omnibus Plan”). The Omnibus Plan provides for potential grants of the following awards with respect to shares of the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3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may be issued pursuant to awards under the Omnibus Plan shall not exceed 18,650,000 shares (including OpCo Units or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Common Stock Options, and Restricted Stock. In addition, the Company recognizes equity-based compensation expense from awards granted to employees as further described below under HSKB Incentive Units.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to existing employees, the service vesting condition is generally four years with 25% vesting on the one year anniversary of the grant date of the award and 6.25% vesting quarterly thereafter. Certain additional grants have other vesting periods approved by the Compensation Committee of the Company’s Board of Directors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(“RSU”) activity was as follows during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6"/>
        </w:trPr>
        <w:tc>
          <w:tcPr>
            <w:tcW w:w="5800" w:type="dxa"/>
            <w:vAlign w:val="bottom"/>
          </w:tcPr>
          <w:p>
            <w:pPr>
              <w:spacing w:after="0"/>
              <w:rPr>
                <w:sz w:val="16"/>
                <w:szCs w:val="16"/>
                <w:color w:val="auto"/>
              </w:rPr>
            </w:pPr>
          </w:p>
        </w:tc>
        <w:tc>
          <w:tcPr>
            <w:tcW w:w="37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8"/>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67"/>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740" w:type="dxa"/>
            <w:vAlign w:val="bottom"/>
          </w:tcPr>
          <w:p>
            <w:pPr>
              <w:spacing w:after="0"/>
              <w:rPr>
                <w:sz w:val="14"/>
                <w:szCs w:val="14"/>
                <w:color w:val="auto"/>
              </w:rPr>
            </w:pPr>
          </w:p>
        </w:tc>
      </w:tr>
      <w:tr>
        <w:trPr>
          <w:trHeight w:val="186"/>
        </w:trPr>
        <w:tc>
          <w:tcPr>
            <w:tcW w:w="5800" w:type="dxa"/>
            <w:vAlign w:val="bottom"/>
          </w:tcPr>
          <w:p>
            <w:pPr>
              <w:spacing w:after="0"/>
              <w:rPr>
                <w:sz w:val="16"/>
                <w:szCs w:val="16"/>
                <w:color w:val="auto"/>
              </w:rPr>
            </w:pPr>
          </w:p>
        </w:tc>
        <w:tc>
          <w:tcPr>
            <w:tcW w:w="17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r>
      <w:tr>
        <w:trPr>
          <w:trHeight w:val="38"/>
        </w:trPr>
        <w:tc>
          <w:tcPr>
            <w:tcW w:w="58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4,853,795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985,398</w:t>
            </w:r>
          </w:p>
        </w:tc>
      </w:tr>
      <w:tr>
        <w:trPr>
          <w:trHeight w:val="239"/>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3,364,624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758,949</w:t>
            </w:r>
          </w:p>
        </w:tc>
      </w:tr>
      <w:tr>
        <w:trPr>
          <w:trHeight w:val="26"/>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(421,582)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(144,168)</w:t>
            </w:r>
          </w:p>
        </w:tc>
      </w:tr>
      <w:tr>
        <w:trPr>
          <w:trHeight w:val="239"/>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(107,611)</w:t>
            </w:r>
          </w:p>
        </w:tc>
      </w:tr>
      <w:tr>
        <w:trPr>
          <w:trHeight w:val="26"/>
        </w:trPr>
        <w:tc>
          <w:tcPr>
            <w:tcW w:w="58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7,027,221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1,492,568</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Common Stock.</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activity was as follows during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9"/>
        </w:trPr>
        <w:tc>
          <w:tcPr>
            <w:tcW w:w="5800" w:type="dxa"/>
            <w:vAlign w:val="bottom"/>
          </w:tcPr>
          <w:p>
            <w:pPr>
              <w:spacing w:after="0"/>
              <w:rPr>
                <w:sz w:val="17"/>
                <w:szCs w:val="17"/>
                <w:color w:val="auto"/>
              </w:rPr>
            </w:pPr>
          </w:p>
        </w:tc>
        <w:tc>
          <w:tcPr>
            <w:tcW w:w="37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800" w:type="dxa"/>
            <w:vAlign w:val="bottom"/>
          </w:tcPr>
          <w:p>
            <w:pPr>
              <w:spacing w:after="0"/>
              <w:rPr>
                <w:sz w:val="17"/>
                <w:szCs w:val="17"/>
                <w:color w:val="auto"/>
              </w:rPr>
            </w:pPr>
          </w:p>
        </w:tc>
        <w:tc>
          <w:tcPr>
            <w:tcW w:w="17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38"/>
        </w:trPr>
        <w:tc>
          <w:tcPr>
            <w:tcW w:w="58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(1,561,966)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1,808,408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Options</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8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activity was as follows during the period indicated:</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9"/>
        </w:trPr>
        <w:tc>
          <w:tcPr>
            <w:tcW w:w="5800" w:type="dxa"/>
            <w:vAlign w:val="bottom"/>
          </w:tcPr>
          <w:p>
            <w:pPr>
              <w:spacing w:after="0"/>
              <w:rPr>
                <w:sz w:val="17"/>
                <w:szCs w:val="17"/>
                <w:color w:val="auto"/>
              </w:rPr>
            </w:pPr>
          </w:p>
        </w:tc>
        <w:tc>
          <w:tcPr>
            <w:tcW w:w="37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8"/>
        </w:trPr>
        <w:tc>
          <w:tcPr>
            <w:tcW w:w="58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3"/>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800" w:type="dxa"/>
            <w:vAlign w:val="bottom"/>
          </w:tcPr>
          <w:p>
            <w:pPr>
              <w:spacing w:after="0"/>
              <w:rPr>
                <w:sz w:val="17"/>
                <w:szCs w:val="17"/>
                <w:color w:val="auto"/>
              </w:rPr>
            </w:pPr>
          </w:p>
        </w:tc>
        <w:tc>
          <w:tcPr>
            <w:tcW w:w="17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38"/>
        </w:trPr>
        <w:tc>
          <w:tcPr>
            <w:tcW w:w="580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552,440</w:t>
            </w:r>
          </w:p>
        </w:tc>
        <w:tc>
          <w:tcPr>
            <w:tcW w:w="0" w:type="dxa"/>
            <w:vAlign w:val="bottom"/>
          </w:tcPr>
          <w:p>
            <w:pPr>
              <w:spacing w:after="0"/>
              <w:rPr>
                <w:sz w:val="1"/>
                <w:szCs w:val="1"/>
                <w:color w:val="auto"/>
              </w:rPr>
            </w:pPr>
          </w:p>
        </w:tc>
      </w:tr>
      <w:tr>
        <w:trPr>
          <w:trHeight w:val="240"/>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0" w:type="dxa"/>
            <w:vAlign w:val="bottom"/>
          </w:tcPr>
          <w:p>
            <w:pPr>
              <w:spacing w:after="0"/>
              <w:rPr>
                <w:sz w:val="1"/>
                <w:szCs w:val="1"/>
                <w:color w:val="auto"/>
              </w:rPr>
            </w:pPr>
          </w:p>
        </w:tc>
      </w:tr>
      <w:tr>
        <w:trPr>
          <w:trHeight w:val="25"/>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0" w:type="dxa"/>
            <w:vAlign w:val="bottom"/>
          </w:tcPr>
          <w:p>
            <w:pPr>
              <w:spacing w:after="0"/>
              <w:rPr>
                <w:sz w:val="1"/>
                <w:szCs w:val="1"/>
                <w:color w:val="auto"/>
              </w:rPr>
            </w:pPr>
          </w:p>
        </w:tc>
      </w:tr>
      <w:tr>
        <w:trPr>
          <w:trHeight w:val="25"/>
        </w:trPr>
        <w:tc>
          <w:tcPr>
            <w:tcW w:w="58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498,343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have a maximum contractual term of ten years. The aggregate intrinsic value and weighted average remaining contractual terms of Options outstanding and Options exercisable were as follows as of June 30,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2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38"/>
        </w:trPr>
        <w:tc>
          <w:tcPr>
            <w:tcW w:w="87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r>
      <w:tr>
        <w:trPr>
          <w:trHeight w:val="225"/>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(in millions)</w:t>
            </w:r>
          </w:p>
        </w:tc>
        <w:tc>
          <w:tcPr>
            <w:tcW w:w="4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r>
      <w:tr>
        <w:trPr>
          <w:trHeight w:val="239"/>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Options outstanding</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6"/>
        </w:trPr>
        <w:tc>
          <w:tcPr>
            <w:tcW w:w="8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Options exercisable</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term (in years)</w:t>
            </w:r>
          </w:p>
        </w:tc>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
        </w:trPr>
        <w:tc>
          <w:tcPr>
            <w:tcW w:w="8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Options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years</w:t>
            </w:r>
          </w:p>
        </w:tc>
      </w:tr>
      <w:tr>
        <w:trPr>
          <w:trHeight w:val="239"/>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Options exercisable</w:t>
            </w:r>
          </w:p>
        </w:tc>
        <w:tc>
          <w:tcPr>
            <w:tcW w:w="4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years</w:t>
            </w:r>
          </w:p>
        </w:tc>
      </w:tr>
    </w:tbl>
    <w:p>
      <w:pPr>
        <w:spacing w:after="0" w:line="3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All Options outstanding were issued at the time of the IPO in 2020. No additional options have been issued to date. The fair value of Common Stock Options granted at the time of the IPO was determined using the Black-Scholes option pricing model. We estimated the future stock price volatility based on the volatility of a set of publicly traded comparable companies with a look back period consistent with the expected term. The estimated life for the units was based on the expected hold period of private equity owners. The risk-free rate is based on the rate for a U.S. government security with the same estimated life at the time of grant.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HoldCo Units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ZoomInfo HoldCo waived the restriction on exchanges of unvested HoldCo Units on condition that such holders accept shares of our common stock subject to the same vesting terms as the corresponding exchanged HoldCo Units. Subsequently, all unvested HoldCo Units, along with the same number of corresponding share of our Class B common stock held directly by employees of the Company were voluntarily exchanged for shares of Restricted Stock.</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HoldCo Unit activity was as follows during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6"/>
        </w:trPr>
        <w:tc>
          <w:tcPr>
            <w:tcW w:w="5800" w:type="dxa"/>
            <w:vAlign w:val="bottom"/>
          </w:tcPr>
          <w:p>
            <w:pPr>
              <w:spacing w:after="0"/>
              <w:rPr>
                <w:sz w:val="16"/>
                <w:szCs w:val="16"/>
                <w:color w:val="auto"/>
              </w:rPr>
            </w:pPr>
          </w:p>
        </w:tc>
        <w:tc>
          <w:tcPr>
            <w:tcW w:w="370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8"/>
        </w:trPr>
        <w:tc>
          <w:tcPr>
            <w:tcW w:w="58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67"/>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740" w:type="dxa"/>
            <w:vAlign w:val="bottom"/>
          </w:tcPr>
          <w:p>
            <w:pPr>
              <w:spacing w:after="0"/>
              <w:rPr>
                <w:sz w:val="14"/>
                <w:szCs w:val="14"/>
                <w:color w:val="auto"/>
              </w:rPr>
            </w:pPr>
          </w:p>
        </w:tc>
      </w:tr>
      <w:tr>
        <w:trPr>
          <w:trHeight w:val="186"/>
        </w:trPr>
        <w:tc>
          <w:tcPr>
            <w:tcW w:w="5800" w:type="dxa"/>
            <w:vAlign w:val="bottom"/>
          </w:tcPr>
          <w:p>
            <w:pPr>
              <w:spacing w:after="0"/>
              <w:rPr>
                <w:sz w:val="16"/>
                <w:szCs w:val="16"/>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HoldCo Units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HoldCo Units</w:t>
            </w:r>
          </w:p>
        </w:tc>
      </w:tr>
      <w:tr>
        <w:trPr>
          <w:trHeight w:val="38"/>
        </w:trPr>
        <w:tc>
          <w:tcPr>
            <w:tcW w:w="58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1,214,105</w:t>
            </w:r>
          </w:p>
        </w:tc>
      </w:tr>
      <w:tr>
        <w:trPr>
          <w:trHeight w:val="240"/>
        </w:trPr>
        <w:tc>
          <w:tcPr>
            <w:tcW w:w="7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(278,166)</w:t>
            </w:r>
          </w:p>
        </w:tc>
      </w:tr>
      <w:tr>
        <w:trPr>
          <w:trHeight w:val="25"/>
        </w:trPr>
        <w:tc>
          <w:tcPr>
            <w:tcW w:w="5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(40,276)</w:t>
            </w:r>
          </w:p>
        </w:tc>
      </w:tr>
      <w:tr>
        <w:trPr>
          <w:trHeight w:val="25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3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895,663</w:t>
            </w:r>
          </w:p>
        </w:tc>
      </w:tr>
      <w:tr>
        <w:trPr>
          <w:trHeight w:val="20"/>
        </w:trPr>
        <w:tc>
          <w:tcPr>
            <w:tcW w:w="5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P Units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2021, the Company permitted employees to exercise the exchange rights on unvested Class P Units, pursuant to Board approval. Subsequently, the Company exercised the exchange rights on unvested Class P Units due to the elimination of the UP-C Corporate Structure and Multi-Class Voting Structure Elimination (refer to Note 1 - Organization and Background). The recipients received a number of shares of Restricted Stock equal in value to the implied “spread value” of the corresponding Class P Units, calculated based on the excess of the public trading price of Class A common stock at the time of the exchange over the per unit participation threshold of such Class P Units. The shares of Restricted Stock received are subject to the same vesting terms as the corresponding exchanged unvested Class 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Class P Unit activity was as follows during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6"/>
        </w:trPr>
        <w:tc>
          <w:tcPr>
            <w:tcW w:w="5800" w:type="dxa"/>
            <w:vAlign w:val="bottom"/>
          </w:tcPr>
          <w:p>
            <w:pPr>
              <w:spacing w:after="0"/>
              <w:rPr>
                <w:sz w:val="16"/>
                <w:szCs w:val="16"/>
                <w:color w:val="auto"/>
              </w:rPr>
            </w:pPr>
          </w:p>
        </w:tc>
        <w:tc>
          <w:tcPr>
            <w:tcW w:w="370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8"/>
        </w:trPr>
        <w:tc>
          <w:tcPr>
            <w:tcW w:w="58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67"/>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40" w:type="dxa"/>
            <w:vAlign w:val="bottom"/>
          </w:tcPr>
          <w:p>
            <w:pPr>
              <w:spacing w:after="0"/>
              <w:rPr>
                <w:sz w:val="14"/>
                <w:szCs w:val="14"/>
                <w:color w:val="auto"/>
              </w:rPr>
            </w:pPr>
          </w:p>
        </w:tc>
      </w:tr>
      <w:tr>
        <w:trPr>
          <w:trHeight w:val="186"/>
        </w:trPr>
        <w:tc>
          <w:tcPr>
            <w:tcW w:w="5800" w:type="dxa"/>
            <w:vAlign w:val="bottom"/>
          </w:tcPr>
          <w:p>
            <w:pPr>
              <w:spacing w:after="0"/>
              <w:rPr>
                <w:sz w:val="16"/>
                <w:szCs w:val="16"/>
                <w:color w:val="auto"/>
              </w:rPr>
            </w:pPr>
          </w:p>
        </w:tc>
        <w:tc>
          <w:tcPr>
            <w:tcW w:w="1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Class P Units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P Units</w:t>
            </w:r>
          </w:p>
        </w:tc>
      </w:tr>
      <w:tr>
        <w:trPr>
          <w:trHeight w:val="38"/>
        </w:trPr>
        <w:tc>
          <w:tcPr>
            <w:tcW w:w="58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8,796,642</w:t>
            </w:r>
          </w:p>
        </w:tc>
      </w:tr>
      <w:tr>
        <w:trPr>
          <w:trHeight w:val="240"/>
        </w:trPr>
        <w:tc>
          <w:tcPr>
            <w:tcW w:w="7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(3,579,797)</w:t>
            </w:r>
          </w:p>
        </w:tc>
      </w:tr>
      <w:tr>
        <w:trPr>
          <w:trHeight w:val="25"/>
        </w:trPr>
        <w:tc>
          <w:tcPr>
            <w:tcW w:w="5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(58,453)</w:t>
            </w:r>
          </w:p>
        </w:tc>
      </w:tr>
      <w:tr>
        <w:trPr>
          <w:trHeight w:val="25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3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5,158,392</w:t>
            </w:r>
          </w:p>
        </w:tc>
      </w:tr>
      <w:tr>
        <w:trPr>
          <w:trHeight w:val="20"/>
        </w:trPr>
        <w:tc>
          <w:tcPr>
            <w:tcW w:w="5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LTIP Units</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2021, the Company exercised the exchange rights on unvested LTIP Units due to the elimination of the UP-C Corporate Structure and Multi-Class Voting Structure Elimination (refer to Note 1 - Organization and Background).</w:t>
      </w:r>
    </w:p>
    <w:p>
      <w:pPr>
        <w:sectPr>
          <w:pgSz w:w="11900" w:h="16838" w:orient="portrait"/>
          <w:cols w:equalWidth="0" w:num="1">
            <w:col w:w="11240"/>
          </w:cols>
          <w:pgMar w:left="320" w:top="118" w:right="339" w:bottom="1440" w:gutter="0" w:footer="0" w:header="0"/>
        </w:sectPr>
      </w:pP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LTIP Unit activity was as follows during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Granted</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9"/>
        </w:trPr>
        <w:tc>
          <w:tcPr>
            <w:tcW w:w="37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8"/>
        </w:trPr>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154"/>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740" w:type="dxa"/>
            <w:vAlign w:val="bottom"/>
          </w:tcPr>
          <w:p>
            <w:pPr>
              <w:spacing w:after="0"/>
              <w:rPr>
                <w:sz w:val="13"/>
                <w:szCs w:val="13"/>
                <w:color w:val="auto"/>
              </w:rPr>
            </w:pPr>
          </w:p>
        </w:tc>
      </w:tr>
      <w:tr>
        <w:trPr>
          <w:trHeight w:val="199"/>
        </w:trPr>
        <w:tc>
          <w:tcPr>
            <w:tcW w:w="17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LTIP Units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Participation Threshold</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LTIP Units</w:t>
            </w:r>
          </w:p>
        </w:tc>
      </w:tr>
      <w:tr>
        <w:trPr>
          <w:trHeight w:val="38"/>
        </w:trPr>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33"/>
        </w:trPr>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47,620</w:t>
            </w:r>
          </w:p>
        </w:tc>
      </w:tr>
      <w:tr>
        <w:trPr>
          <w:trHeight w:val="265"/>
        </w:trPr>
        <w:tc>
          <w:tcPr>
            <w:tcW w:w="17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247,045</w:t>
            </w:r>
          </w:p>
        </w:tc>
      </w:tr>
      <w:tr>
        <w:trPr>
          <w:trHeight w:val="290"/>
        </w:trPr>
        <w:tc>
          <w:tcPr>
            <w:tcW w:w="17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294,665</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-546100</wp:posOffset>
            </wp:positionV>
            <wp:extent cx="7134860" cy="176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-201295</wp:posOffset>
            </wp:positionV>
            <wp:extent cx="7134860" cy="185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8542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5080" w:space="720"/>
            <w:col w:w="5440"/>
          </w:cols>
          <w:pgMar w:left="320" w:top="118" w:right="339" w:bottom="1440" w:gutter="0" w:footer="0" w:header="0"/>
          <w:type w:val="continuous"/>
        </w:sect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are no OpCo Units that are unvested and all vested OpCo Units have been converted into shares of our Common Stock due to the elimination of the UP-C Corporate Structure and Multi-Class Voting Structure Elimination (refer to Note 1 - Organization and Background). There was no OpCo Unit activity during the three months ended June 30, 2022 and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Board’s Compensation Committee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of the Common Stock that may be issued under the ESPP is no more than 7,500,000 shares (the "ESPP Plan Share Reserve"). The ESPP plan also contains a provision that will add an additional number of shares of Common Stock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the ESPP purchase was determined using the Black-Scholes option pricing model with the following assumption ranges and fair value per unit:</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3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r>
      <w:tr>
        <w:trPr>
          <w:trHeight w:val="38"/>
        </w:trPr>
        <w:tc>
          <w:tcPr>
            <w:tcW w:w="8440" w:type="dxa"/>
            <w:vAlign w:val="bottom"/>
            <w:tcBorders>
              <w:bottom w:val="single" w:sz="8" w:color="CCEEFF"/>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r>
      <w:tr>
        <w:trPr>
          <w:trHeight w:val="23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71.9%</w:t>
            </w:r>
          </w:p>
        </w:tc>
      </w:tr>
      <w:tr>
        <w:trPr>
          <w:trHeight w:val="23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6"/>
        </w:trPr>
        <w:tc>
          <w:tcPr>
            <w:tcW w:w="8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r>
      <w:tr>
        <w:trPr>
          <w:trHeight w:val="23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6"/>
        </w:trPr>
        <w:tc>
          <w:tcPr>
            <w:tcW w:w="844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$9.56</w:t>
            </w:r>
          </w:p>
        </w:tc>
      </w:tr>
      <w:tr>
        <w:trPr>
          <w:trHeight w:val="26"/>
        </w:trPr>
        <w:tc>
          <w:tcPr>
            <w:tcW w:w="84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expected term for the purchases was based on the six 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withheld $0.6 million worth of ESPP contributions for the three and six months ended June 30, 2022 on behalf of participating employees through payroll deductions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Condensed Consolidated Balance Sheets. No shares of Common Stock were purchased under the ESPP for the three and six months ended June 30, 2022. The Company recognized $0.1 million of equity-based compensation expenses related to the ESPP for the three and six months ended June 30,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Incentive Units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2021, HSKB II exchanged their HoldCo Units and paired shares of Class B common stock of the Company for shares of Class A common stock of the Company pursuant to the terms of the limited liability company agreement of HoldCo. Subsequently, HSKB I exchanged their OpCo Units and paired shares of Class B common stock of the Company for shares of Class A common stock of the Company.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HSKB has issued LLC units to the employees of the Company (“HSKB Grant”) in the form of Class 1 units and Class 2 units. Such units may be exchangeable into one share of Common Stock upon vesting. HSKB awards are recorded as compensation expense of the Company in accordance with the measurement and recognition criteria of ASC 718 for awards made by economic interest holders to employees of the Company.</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three years, starting with March 31, 2020, to holders of HSKB Grants who received grants after the March 2018 Carlyle Investment, subject to the holder’s continued employment by the Company. During the six months ended June 30, 2022, HSKB paid $1.7 million from allocated funds and has $1.1 million remaining to be paid through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2022, unamortized equity-based compensation costs related to each equity-based incentive award described above is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period in years)</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8"/>
        </w:trPr>
        <w:tc>
          <w:tcPr>
            <w:tcW w:w="7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Remaining Service Period</w:t>
            </w:r>
          </w:p>
        </w:tc>
        <w:tc>
          <w:tcPr>
            <w:tcW w:w="0" w:type="dxa"/>
            <w:vAlign w:val="bottom"/>
          </w:tcPr>
          <w:p>
            <w:pPr>
              <w:spacing w:after="0"/>
              <w:rPr>
                <w:sz w:val="1"/>
                <w:szCs w:val="1"/>
                <w:color w:val="auto"/>
              </w:rPr>
            </w:pPr>
          </w:p>
        </w:tc>
      </w:tr>
      <w:tr>
        <w:trPr>
          <w:trHeight w:val="25"/>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6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Incentive Units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6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6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Tax Receivable Agreements</w:t>
      </w:r>
    </w:p>
    <w:p>
      <w:pPr>
        <w:spacing w:after="0" w:line="16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During the three months ended December 31, 2021, all remaining units subjects to the Exchange Tax Receivable Agreement had been converted into Class A common stock. The Reorganization Tax Receivable Agreement provides for the payment by ZoomInfo Intermediate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14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the tax basis in the net assets of ZoomInfo HoldCo when OpCo Units are exchanged by Pre-IPO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2022, the Company had a liability of $3,052.2 million related to its projected obligations under the Tax Receivable Agreements in connection with the Reorganization Transactions and OpCo Units exchanged. Tax Receivable Agreements related liabilities are classified as current or noncurrent based on the expected date of payment and are included on our Condensed Consolidated Balance Sheets under the captions </w:t>
      </w:r>
      <w:r>
        <w:rPr>
          <w:rFonts w:ascii="Times New Roman" w:cs="Times New Roman" w:eastAsia="Times New Roman" w:hAnsi="Times New Roman"/>
          <w:sz w:val="18"/>
          <w:szCs w:val="18"/>
          <w:i w:val="1"/>
          <w:iCs w:val="1"/>
          <w:color w:val="auto"/>
        </w:rPr>
        <w:t>Current portion of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agreements 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w:t>
      </w:r>
      <w:r>
        <w:rPr>
          <w:rFonts w:ascii="Times New Roman" w:cs="Times New Roman" w:eastAsia="Times New Roman" w:hAnsi="Times New Roman"/>
          <w:sz w:val="18"/>
          <w:szCs w:val="18"/>
          <w:color w:val="auto"/>
        </w:rPr>
        <w:t>, respectively. During the six months ended June 30, 2022,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paid a total of $5.0 million pursuant to the Tax Receivable Agreements. During the six months ended June 30, 2022, we recognized a TRA measurement loss of $0.9 million due to legislation passed in Q1 2022 that impact our blended state tax rate within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on our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recorded $10.5 million of income tax expense and $6.2 million of income tax expense for the three months ended June 30, 2022 and 2021, respectively, and $23.5 million of income tax expense and $55.9 million of income tax expense for the six months ended June 30, 2022 and 2021, respectively. The Company’s estimated effective tax rate for the six months ended June 30, 2022 was 51.6%. The Company’s estimated annual effective tax rate differs from the statutory rate of 21.0% primarily due to certain compensation expenses that will not have a corresponding deduction for tax.</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does not believe it has any significant uncertain tax positions and therefore has no unrecognized tax benefits as of June 30, 2022,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included in our 2021 Form 10-K, the information included under “Management’s Discussion and Analysis of Financial Condition and Results of Operations” in Part II, Item 7 of our 2021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2021 Form 10-K.</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professionals.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RevOS – our modern, cloud-based operating system for revenue professionals – allows sales, marketing, operations, and recruiting teams to shorten sales cycles and increase win rates by delivering the right message to the right person at the right time, in the right way. We do this by delivering timely competitive intelligence and offering services that make reaching prospects fast and easy.</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ZoomInfo, formerly known as DiscoverOrg, was co-founded in 2007 by Founder and CEO Henry Schuck. He has led the company’s growth by developing innovative ways of gathering and improving our data and insights, and using intelligent automation to put those insights into action.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Today, our company defines the modern go-to-market technology stack across three distinct layers that build upon each other:</w:t>
      </w:r>
    </w:p>
    <w:p>
      <w:pPr>
        <w:spacing w:after="0" w:line="164" w:lineRule="exact"/>
        <w:rPr>
          <w:sz w:val="20"/>
          <w:szCs w:val="20"/>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Intelligence Layer is the foundation of our data-driven strategies. Our best-in-class data, curated through first- and third-party sources, includes billions of data points about companies and contacts, such as intent, hierarchy, location, and financial information.</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Orchestration Layer stitches together and enriches our data sources. At this stage, our products assign and route data, leads, and insights to the appropriate people. This creates a “living” dataset that is continuously updated and can be used to power automated business workflows. Our services connect with major CRM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0" w:hanging="316"/>
        <w:spacing w:after="0" w:line="266"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Engagement Layer allows sales, marketing, operations, and recruiting professionals to put data-driven insights into action to identify and communicate with prospects and customers. In SalesOS, frontline teams, managers, and leaders use Engage for multi-touch and multi-channel sales engagement, as well as Chorus for call and web meeting recording, transcription, insight generation, and coaching. In MarketingOS, marketers drive awareness, lead generation, and deal acceleration campaigns through account-based marketing, advertising, and onsite conversion optimization solutions, along with ZoomInfo Chat for intelligent onsite experiences through live conversation and chatbots. In TalentOS, recruiters and talent acquisition professionals access a database that helps them find the needles in the haystack. Recruiters can filter and reach more good-fit candidates, use pipeline management tools to collaborate and organize the hiring process, and automate the candidate outreach process. In Operations OS, our sales operations customers use a suite of products, services, and solutions to ingest, match, enrich, and connect data feeds into multiple systems.</w:t>
      </w:r>
    </w:p>
    <w:p>
      <w:pPr>
        <w:spacing w:after="0" w:line="1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platforms and access to customer support. Subscriptions generally range from one to three years in length. More than 35% of customer contracts (based on annualized value) are multi-year agreements. We typically bill our customers at the beginning of each annual, semi-annual, or quarterly period and recognize revenue ratably over the term of the subscription period.</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our software to both new and existing customers. We price our subscriptions based on the functionality, users, and records under management that are included in each product edition. Our paid platforms are SalesOS, MarketingOS, OperationsOS, and TalentOS (with add-on options for some platforms), and we have a free Community Edition.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ongoing COVID-19 pandemic continues to have unpredictable and rapidly shifting impacts on global financial markets, economies, and business practices. The extent and continued impact of the pandemic on our operational and financial condition will depend on certain developments, including, but not limited to: the duration and spread of the outbreak, including the impact of new variants of the COVID-19 virus; global government responses to the pandemic, including continued vaccine availability, deployment, and efficacy; the impact on the health and welfare of our employees and their families; the impact on our customers and our sales cycles; the impact on customer, industry, or employee events; delays in hiring and onboarding new employees; and the effects on our partners, vendors, the labor market, and supply chains, all of which are uncertain and cannot be predicted. Furthermore, because of our largely subscription-based business model, the effect of the pandemic may not be fully reflected in our results of operations and overall financial condition until future periods, if at all.</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address the safety and health of our employees during the pandemic, in the first quarter of 2020 we temporarily closed all of our offices and enabled our entire workforce to work remotely. Throughout 2021 and the first and second quarters of 2022, most of our workforce continued to work remotely.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Simplification Transactions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ZoomInfo HoldCo.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UP-C Corporate Structure and Multi-Class Voting Structure Elimination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2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After the consummation of the Holding Company Reorganization, the only class of common stock of the New ZoomInfo remaining issued and outstanding was the Class A common stock and all shares of Class B common stock were cancelled and all shares of Class C common stock were converted to Class A common stock. In May 2022, following approval by the Company’s stockholders, the Company further amended and restated its Amended and Restated Certification of Incorporation to eliminate the multiple classes of common stock and to rename the Company’s Class A common stock as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April 1, 2022, the Company acquired all of the outstanding equity interests of Comparably and acquired substantially all the assets and certain specified liabilities of Dogpatch for a total purchase consideration of $150.5 million in cash and $10.0 million in a convertible note receivable. The Company has included the financial results of these businesses in the consolidated financial statements from the date of acquisition. The purchase accounting for both transactions is not finalized. Refer to Note 4 - Business Combinations for additional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to Acquire New Customers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The majority of revenue growth when comparing the three months ended June 30, 2022 to the three months ended June 30, 2021 was the result of new customers added over the last 12 months. Our operating results and growth prospects will depend in part on our ability to continue to attract new customers. Additionally, acquiring new customers strengthens the power of our contributory network. We plan to continue to invest in our efficient go-to-market effort to acquire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Delivering Additional High-Value Solutions to Our Existing Customers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Relationships with Existing Customers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an annual metric that we calculate based on customers that were contracted for services at the beginning of the year, or, for those that became customers through an acquisition, at the time of the acquisition. Net revenue retention is calculated as: (a) the annual contract value ("ACV") for those customers at the end of the year divided by (b) ZoomInfo ACV at the beginning of the year plus the ACV of acquired companies at the time of acquisition. Our net annual retention rate was 116% for the year ended December 31, 2021. We also measure our success in expanding relationships with existing customers by the number of customers that contract for more than $100,000 in ACV. As of June 30, 2022, we had 1,763 customers with over $100,000 in ACV.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6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the IPO, we entered into the tax receivable agreements described in Note 17 - Income Taxes to our unaudited consolidated financial statements included in Part I, Item 1 of this Form 10-Q.</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2020, the Company completed its IPO which significantly impacted our cash, first and second lien indebtedness, and temporary and permanent equity balances. See “—Recent Developments.” The IPO, which enabled the associated first and second lien term loan repayments, significantly reduced our interest expense relative to historical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seek to grow through both internal development and the acquisition of businesses that broaden and strengthen our platform. Our recent acquisitions include Insent in June 2021, Chorus.ai in July 2021, RingLead in September 2021, and Comparably, Inc. and Dogpatch Advisors, LLC in April 2022. As discussed below under “—Results of Operations,” these acquisitions have been a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Holding Company Reorganization</w:t>
      </w:r>
    </w:p>
    <w:p>
      <w:pPr>
        <w:spacing w:after="0" w:line="168"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In September 2021, the Board of Directors unanimously approved streamlining the Company’s corporate structure and governance by eliminating the Company’s UP-C and multi-class voting structure. In October 2021, the Company implemented the Holding Company Reorganization. As a result of the Holding Company Reorganization, New ZoomInfo became the successor issuer and reporting company to Old ZoomInfo pursuant to Rule 12g-3(a) under the Exchange Act, and replaced Old ZoomInfo as the public company trading on the Nasdaq under Old ZoomInfo’s ticker symbol “ZI.” In addition, New ZoomInfo changed its name to “ZoomInfo Technologies Inc.” and Old ZoomInfo changed its name to “ZoomInfo Intermediate Inc.”</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Accordingly, upon consummation of the Holding Company Reorganization, Old ZoomInfo stockholders automatically became stockholders of New ZoomInfo, on a one-for-one basis, with the same number and ownership percentage of shares they held in Old ZoomInfo immediately prior to the effective time of the Holding Company Reorganization.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Old ZoomInfo is the predecessor of New ZoomInfo for financial reporting purposes. As a result, the consolidated financial statements of New ZoomInfo recognize the assets and liabilities received in the reorganization at their historical carrying amounts, as reflected in the historical consolidated financial statements of Old ZoomInfo, the accounting predecessor.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to Adjusted Net Income and </w:t>
      </w: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(less): Expense (benefit) from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Loss on debt modification and extinguishment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(less): Other expense (income), net</w:t>
            </w:r>
            <w:r>
              <w:rPr>
                <w:rFonts w:ascii="Times New Roman" w:cs="Times New Roman" w:eastAsia="Times New Roman" w:hAnsi="Times New Roman"/>
                <w:sz w:val="22"/>
                <w:szCs w:val="22"/>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3"/>
        </w:trPr>
        <w:tc>
          <w:tcPr>
            <w:tcW w:w="5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Impact of fair value adjustments to acquired unearned revenue</w:t>
            </w:r>
            <w:r>
              <w:rPr>
                <w:rFonts w:ascii="Times New Roman" w:cs="Times New Roman" w:eastAsia="Times New Roman" w:hAnsi="Times New Roman"/>
                <w:sz w:val="22"/>
                <w:szCs w:val="22"/>
                <w:color w:val="auto"/>
                <w:vertAlign w:val="superscript"/>
              </w:rPr>
              <w:t>(b)</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Amortization of acquired technology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Amortization of other acquired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Restructuring and transaction-related expenses</w:t>
            </w:r>
            <w:r>
              <w:rPr>
                <w:rFonts w:ascii="Times New Roman" w:cs="Times New Roman" w:eastAsia="Times New Roman" w:hAnsi="Times New Roman"/>
                <w:sz w:val="22"/>
                <w:szCs w:val="22"/>
                <w:color w:val="auto"/>
                <w:vertAlign w:val="superscript"/>
              </w:rPr>
              <w:t>(c)</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65"/>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Integration costs and acquisition-related expenses</w:t>
            </w:r>
            <w:r>
              <w:rPr>
                <w:rFonts w:ascii="Times New Roman" w:cs="Times New Roman" w:eastAsia="Times New Roman" w:hAnsi="Times New Roman"/>
                <w:sz w:val="22"/>
                <w:szCs w:val="22"/>
                <w:color w:val="auto"/>
                <w:vertAlign w:val="superscript"/>
              </w:rPr>
              <w:t>(d)</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3"/>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(add): Other expense (income), net, excluding TRA liability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remeasurement (benefit) expense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(less): Benefit (expense) from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Tax impacts of adjustments to net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5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 Adjusted Net Income Per Share</w:t>
            </w:r>
            <w:r>
              <w:rPr>
                <w:rFonts w:ascii="Times New Roman" w:cs="Times New Roman" w:eastAsia="Times New Roman" w:hAnsi="Times New Roman"/>
                <w:sz w:val="22"/>
                <w:szCs w:val="22"/>
                <w:color w:val="auto"/>
                <w:vertAlign w:val="superscript"/>
              </w:rPr>
              <w:t>(e)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5"/>
        </w:trPr>
        <w:tc>
          <w:tcPr>
            <w:tcW w:w="5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6"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5" w:lineRule="auto"/>
        <w:tabs>
          <w:tab w:leader="none" w:pos="31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three and six months ended June 30, 2022, this expense related primarily to transition and retention payments related to 2021 and 2022 acquisitions. For the three and six months ended June 30, 2021, this expense related primarily to cost incurred related to 2021 acquisitions, as well as impairment and accelerated depreciation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61"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three and six months ended June 30, 2022, this expense related to retention awards from the acquisitions of Clickagy, Everstring, and Insent, and professional fees relating to integration projects. For the three and six months ended June 30, 2021, this expense related to retention awards from the acquisitions of Clickagy and Everstring, as well as cash vesting payments from the acquisition of Pre-Acquisition ZI. This expense is included in cost of service, sales and marketing expense, research and development expense, and general and administrative expense as follows:</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38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60" w:type="dxa"/>
            <w:vAlign w:val="bottom"/>
            <w:vMerge w:val="continue"/>
          </w:tcPr>
          <w:p>
            <w:pPr>
              <w:spacing w:after="0"/>
              <w:rPr>
                <w:sz w:val="15"/>
                <w:szCs w:val="15"/>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47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8"/>
        </w:trPr>
        <w:tc>
          <w:tcPr>
            <w:tcW w:w="4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8"/>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8"/>
        </w:trPr>
        <w:tc>
          <w:tcPr>
            <w:tcW w:w="47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both"/>
        <w:ind w:left="320" w:hanging="314"/>
        <w:spacing w:after="0" w:line="261" w:lineRule="auto"/>
        <w:tabs>
          <w:tab w:leader="none" w:pos="31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is computed by giving effect to all potential weighted average Common Stock, and any securities that are convertible into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Shares and grants issued in conjunction with the IPO were assumed to be issued at the beginning of the period.</w:t>
      </w:r>
    </w:p>
    <w:p>
      <w:pPr>
        <w:spacing w:after="0" w:line="1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define Adjusted Operating Income Margin as Adjusted Operating Income divided by the sum of revenue and the impact of fair value adjustments to acquired unearned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4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8"/>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for adjusted operating margin calculation</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Margin</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0" w:type="dxa"/>
            <w:vAlign w:val="bottom"/>
          </w:tcPr>
          <w:p>
            <w:pPr>
              <w:spacing w:after="0"/>
              <w:rPr>
                <w:sz w:val="1"/>
                <w:szCs w:val="1"/>
                <w:color w:val="auto"/>
              </w:rPr>
            </w:pPr>
          </w:p>
        </w:tc>
      </w:tr>
      <w:tr>
        <w:trPr>
          <w:trHeight w:val="24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Margin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Adjusted Operating Income for the three months ended June 30, 2022 was $106.9 million and represented an Adjusted Operating Income Margin of 40%. Adjusted Operating Income for the three months ended June 30, 2021 was $75.8 million and represented an Adjusted Operating Income Margin of 43%. The increase of $31.1 million, or 41%, was driven primarily from the growth in revenue driven by additional customers and increasing revenue from existing customers. Adjusted Operating Income Margin decreased to 40% in the three months ended June 30, 2022 from 43% in the three months ended June 30, 2021 due to incremental investment in research &amp; development relative to sales related to new services and acquisitions and incremental investment in sales &amp; marketing capacity that has helped accelerate revenue growth, as well as general and administration costs to support incremental public company related requirements.</w:t>
      </w:r>
    </w:p>
    <w:p>
      <w:pPr>
        <w:spacing w:after="0" w:line="14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Adjusted Operating Income for the six months ended June 30, 2022 was $202.5 million and represented an Adjusted Operating Income Margin of 40%. Adjusted Operating Income for the six months ended June 30, 2021 was $141.9 million and represented an Adjusted Operating Income Margin of 43%. The increase of $60.6 million, or 43%, was driven primarily from the growth in revenue driven by additional customers and increasing revenue from existing customers. Adjusted Operating Income Margin decreased to 40% in the six months ended June 30, 2022 from 43% in the six months ended June 30, 2021 due to incremental investment in research &amp; development relative to sales related to new services and acquisitions and incremental investment in sales &amp; marketing capacity that has helped accelerate revenue growth, as well as general and administration costs to support incremental public company related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(less): Expense (benefit) from income taxes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Loss on debt modification and extinguishment</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Amortization of acquired technology</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Amortization of other acquired intangibles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5"/>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(less): Other expense (income), net</w:t>
            </w:r>
            <w:r>
              <w:rPr>
                <w:rFonts w:ascii="Times New Roman" w:cs="Times New Roman" w:eastAsia="Times New Roman" w:hAnsi="Times New Roman"/>
                <w:sz w:val="22"/>
                <w:szCs w:val="22"/>
                <w:color w:val="auto"/>
                <w:vertAlign w:val="superscript"/>
              </w:rPr>
              <w:t>(a)</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5"/>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Impact of fair value adjustments to acquired unearned revenue</w:t>
            </w:r>
            <w:r>
              <w:rPr>
                <w:rFonts w:ascii="Times New Roman" w:cs="Times New Roman" w:eastAsia="Times New Roman" w:hAnsi="Times New Roman"/>
                <w:sz w:val="22"/>
                <w:szCs w:val="22"/>
                <w:color w:val="auto"/>
                <w:vertAlign w:val="superscript"/>
              </w:rPr>
              <w:t>(b)</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Equity-based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7"/>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Restructuring and transaction related expenses (excluding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2"/>
                <w:szCs w:val="22"/>
                <w:color w:val="auto"/>
                <w:vertAlign w:val="superscript"/>
              </w:rPr>
              <w:t>(c)</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65"/>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Integration costs and acquisition-related expenses</w:t>
            </w:r>
            <w:r>
              <w:rPr>
                <w:rFonts w:ascii="Times New Roman" w:cs="Times New Roman" w:eastAsia="Times New Roman" w:hAnsi="Times New Roman"/>
                <w:sz w:val="22"/>
                <w:szCs w:val="22"/>
                <w:color w:val="auto"/>
                <w:vertAlign w:val="superscript"/>
              </w:rPr>
              <w:t>(d)</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6"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5" w:lineRule="auto"/>
        <w:tabs>
          <w:tab w:leader="none" w:pos="318"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three and six months ended June 30, 2022, this expense related primarily to transition and retention payments related to 2021 and 2022 acquisitions. For the three and six months ended June 30, 2021, this expense related primarily to cost incurred related to 2021 acquisitions, as well as impairment and accelerated depreciation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61" w:lineRule="auto"/>
        <w:tabs>
          <w:tab w:leader="none" w:pos="3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three and six months June 30, 2022, this expense related to retention awards from the acquisitions of Clickagy, Everstring, and Insent, and professional fees relating to integration projects. For the three and six months ended June 30, 2021, this expense related to retention awards from the acquisitions of Clickagy and Everstring, as well as cash vesting payments from the acquisition of Pre-Acquisition ZI. This expense is included in cost of service, sales and marketing expense, research and development expense, and general and administrative expense as follows:</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0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8"/>
        </w:trPr>
        <w:tc>
          <w:tcPr>
            <w:tcW w:w="5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8"/>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8"/>
        </w:trPr>
        <w:tc>
          <w:tcPr>
            <w:tcW w:w="5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EBITDA for the three months ended June 30, 2022 was $111.5 million, an increase of $33.0 million, or 42%, relative to the three months ended June 30, 2021. This increase was driven primarily from the growth in revenue and additional customers in 2022 and 2021.</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EBITDA for the six months ended June 30, 2022 was $210.6 million, an increase of $63.3 million, or 43%, relative to the six months ended June 30, 2021. This increase was driven primarily from the growth in revenue and additional customers in 2022 and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99%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excluding amortization of acquired technology. </w:t>
      </w:r>
      <w:r>
        <w:rPr>
          <w:rFonts w:ascii="Times New Roman" w:cs="Times New Roman" w:eastAsia="Times New Roman" w:hAnsi="Times New Roman"/>
          <w:sz w:val="18"/>
          <w:szCs w:val="18"/>
          <w:color w:val="auto"/>
        </w:rPr>
        <w:t>Cost of service, excluding amortization of acquired technology includes direct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08"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2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sales and marketing capacity to enable future growth.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12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general and administrative expenses as a percentage of revenue to stay consistent or modestly decrease as we realize operating leverage in the business.</w:t>
      </w:r>
    </w:p>
    <w:p>
      <w:pPr>
        <w:spacing w:after="0" w:line="10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Amortization of other acquired intangibles</w:t>
      </w:r>
      <w:r>
        <w:rPr>
          <w:rFonts w:ascii="Times New Roman" w:cs="Times New Roman" w:eastAsia="Times New Roman" w:hAnsi="Times New Roman"/>
          <w:sz w:val="18"/>
          <w:szCs w:val="18"/>
          <w:color w:val="auto"/>
        </w:rPr>
        <w:t>. Amortization of acquired intangibles primarily consists of amortization of customer relationships,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brand portfolios.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16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transaction-related expenses. </w:t>
      </w:r>
      <w:r>
        <w:rPr>
          <w:rFonts w:ascii="Times New Roman" w:cs="Times New Roman" w:eastAsia="Times New Roman" w:hAnsi="Times New Roman"/>
          <w:sz w:val="18"/>
          <w:szCs w:val="18"/>
          <w:color w:val="auto"/>
        </w:rPr>
        <w:t>Restructuring and transaction expenses primarily consist of various restructuring and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2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represents the interest payable on our debt obligations and the amortization of debt discounts and debt issuance costs, less interest income.</w:t>
      </w:r>
    </w:p>
    <w:p>
      <w:pPr>
        <w:spacing w:after="0" w:line="110" w:lineRule="exact"/>
        <w:rPr>
          <w:sz w:val="20"/>
          <w:szCs w:val="20"/>
          <w:color w:val="auto"/>
        </w:rPr>
      </w:pPr>
    </w:p>
    <w:p>
      <w:pPr>
        <w:ind w:right="2140" w:firstLine="318"/>
        <w:spacing w:after="0" w:line="429" w:lineRule="auto"/>
        <w:rPr>
          <w:sz w:val="20"/>
          <w:szCs w:val="20"/>
          <w:color w:val="auto"/>
        </w:rPr>
      </w:pPr>
      <w:r>
        <w:rPr>
          <w:rFonts w:ascii="Times New Roman" w:cs="Times New Roman" w:eastAsia="Times New Roman" w:hAnsi="Times New Roman"/>
          <w:sz w:val="18"/>
          <w:szCs w:val="18"/>
          <w:color w:val="auto"/>
        </w:rPr>
        <w:t xml:space="preserve">We anticipate that interest expense could be impacted by changes in variable interest rates or the issuance of additional debt. </w:t>
      </w:r>
      <w:r>
        <w:rPr>
          <w:rFonts w:ascii="Times New Roman" w:cs="Times New Roman" w:eastAsia="Times New Roman" w:hAnsi="Times New Roman"/>
          <w:sz w:val="18"/>
          <w:szCs w:val="18"/>
          <w:b w:val="1"/>
          <w:bCs w:val="1"/>
          <w:i w:val="1"/>
          <w:iCs w:val="1"/>
          <w:color w:val="auto"/>
        </w:rPr>
        <w:t>Loss on Debt Modification and Extinguishment</w:t>
      </w: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consists of prepayment penalties and impairment of deferred financing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or extinguishment of debt, as well as new fees incurred with third parties in connection with debt modifications.</w:t>
      </w:r>
    </w:p>
    <w:p>
      <w:pPr>
        <w:spacing w:after="0" w:line="109" w:lineRule="exact"/>
        <w:rPr>
          <w:sz w:val="20"/>
          <w:szCs w:val="20"/>
          <w:color w:val="auto"/>
        </w:rPr>
      </w:pPr>
    </w:p>
    <w:p>
      <w:pPr>
        <w:ind w:right="920" w:firstLine="318"/>
        <w:spacing w:after="0" w:line="429" w:lineRule="auto"/>
        <w:rPr>
          <w:sz w:val="20"/>
          <w:szCs w:val="20"/>
          <w:color w:val="auto"/>
        </w:rPr>
      </w:pPr>
      <w:r>
        <w:rPr>
          <w:rFonts w:ascii="Times New Roman" w:cs="Times New Roman" w:eastAsia="Times New Roman" w:hAnsi="Times New Roman"/>
          <w:sz w:val="18"/>
          <w:szCs w:val="18"/>
          <w:color w:val="auto"/>
        </w:rPr>
        <w:t xml:space="preserve">We anticipate that losses related to debt extinguishment will only occur if we extinguish indebtedness before the contractual repayment dates. </w:t>
      </w:r>
      <w:r>
        <w:rPr>
          <w:rFonts w:ascii="Times New Roman" w:cs="Times New Roman" w:eastAsia="Times New Roman" w:hAnsi="Times New Roman"/>
          <w:sz w:val="18"/>
          <w:szCs w:val="18"/>
          <w:b w:val="1"/>
          <w:bCs w:val="1"/>
          <w:i w:val="1"/>
          <w:iCs w:val="1"/>
          <w:color w:val="auto"/>
        </w:rPr>
        <w:t>Other (Income) Expense, Net</w:t>
      </w: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consists primarily of the revaluation of tax receivable agreement liabilities and foreign currency realized and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related to the impact of transactions denominated in a foreign currency.</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Changes to existing tax law including changes to the corporate income tax rates and the Company’s state tax footprint could lead to substantial revaluations of the tax receivable agreement liability recorded through other income and expense, net.</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magnitude of other income and expenses, net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 xml:space="preserve">ZoomInfo OpCo is currently treated as a pass-through entity for U.S. federal income tax purposes and most applicable state and local income tax purposes. </w:t>
      </w:r>
      <w:r>
        <w:rPr>
          <w:rFonts w:ascii="Times New Roman" w:cs="Times New Roman" w:eastAsia="Times New Roman" w:hAnsi="Times New Roman"/>
          <w:sz w:val="17"/>
          <w:szCs w:val="17"/>
          <w:i w:val="1"/>
          <w:iCs w:val="1"/>
          <w:color w:val="auto"/>
        </w:rPr>
        <w:t>Income tax expense (benefit)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Deferred tax assets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Deferred tax liabilities</w:t>
      </w:r>
      <w:r>
        <w:rPr>
          <w:rFonts w:ascii="Times New Roman" w:cs="Times New Roman" w:eastAsia="Times New Roman" w:hAnsi="Times New Roman"/>
          <w:sz w:val="17"/>
          <w:szCs w:val="17"/>
          <w:color w:val="auto"/>
        </w:rPr>
        <w:t>,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subsidiary, RKSI Acquisition Corporation, was subject to income taxes in the United States and held a noncontrolling interests in our subsidiary, ZoomInfo Technologies LLC. ZoomInfo Technologies LLC was treated as a partnership for U.S. federal and most applicable state and local income tax purposes. Any taxable income or loss generated by ZoomInfo Technologies LLC is passed through to and included in the taxable income or loss of its partners, including ZoomInfo LLC and RKSI Acquisition Corporation. However, because RKSI Acquisition Corporation is subject to income taxes in the United States, income allocated to such corporate subsidiary for tax purposes reduced the taxable income allocated to and distributions made to ZoomInfo OpCo. During the three months ended September 30, 2021, RKSI Acquisition Corporation was distributed up to ZoomInfo HoldCo followed by the merger of RKSI Acquisition Corporation with and into ZoomInfo HoldCo and the merger of ZoomInfo HoldCo with and into ZoomInfo Technologies Inc. Significant judgments and estimates are required in determining our consolidated income tax expense. Refer to Note 2 - Basis of Presentation and Summary of Significant Accounting Policies to our unaudited consolidated financial statements included in Part I, Item 1 of this Form 10-Q for additional information. During the three months ended December 31, 2021, ZoomInfo Technologies LLC made an election to be taxed as a corporation. Therefore, taxable income from the operations will no longer flow up to ZoomInfo Intermediate Inc.</w:t>
      </w:r>
    </w:p>
    <w:p>
      <w:pPr>
        <w:spacing w:after="0" w:line="12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After consummation of the Reorganization Transactions, ZoomInfo Intermediate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In addition, because RKSI Acquisition Corporation (prior to its merger with and into ZoomInfo HoldCo) and Zebra Acquisition Corporation (prior to its merger with RKSI Acquisition Corporation) will continue to be subject to income taxes in the United States, income allocated to such corporate subsidiaries for tax purposes will reduce the distributions made to ZoomInfo OpCo, thereby reducing our allocable share of U.S. taxable income of ZoomInfo OpCo. See “Risk Factors - Risks Related to Our Organizational Structure” in Part I, Item 1A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three and six months ended June 30,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65"/>
        </w:trPr>
        <w:tc>
          <w:tcPr>
            <w:tcW w:w="5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65"/>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5"/>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65"/>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65"/>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40"/>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transaction-related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3"/>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45"/>
        </w:trPr>
        <w:tc>
          <w:tcPr>
            <w:tcW w:w="55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0"/>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33"/>
        </w:trPr>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5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ZoomInfo Technologies Inc.</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equity-based compensation expense as follows:</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44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340" w:type="dxa"/>
            <w:vAlign w:val="bottom"/>
            <w:vMerge w:val="continue"/>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43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8"/>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38"/>
        </w:trPr>
        <w:tc>
          <w:tcPr>
            <w:tcW w:w="4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8"/>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38"/>
        </w:trPr>
        <w:tc>
          <w:tcPr>
            <w:tcW w:w="43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and Three Months Ended June 30, 2021</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$267.1 million for the three months ended June 30, 2022, an increase of $93.1 million, or 54%, as compared to $174.0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2021. This increase was primarily due to the addition of new customers over the past 12 months and net expansion with existing customers. Products acquired within the last 12 months contributed $19.9 million for the three months ended June 30, 2022.</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$47.0 million for the three months ended June 30, 2022, an increase of $16.7 million, or 55%,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$30.3 million for the three months ended June 30, 2021. The increase was primarily due to additional headcount and related salaries and benefit expenses, increased hosting expense to support new and growing customers, increased amortization of acquired technology related to 2021 and 2022 acquisitions, and increased equity-based compensation expense.</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$180.6 million for the three months ended June 30, 2022, an increase of $77.8 million, or 76%,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$102.8 million for the three months ended June 30, 2021. Excluding equity-based compensation expenses, operating expenses were $138.6 million for the three months ended June 30, 2022, an increase of $49.7 million, or 56%, as compared to $88.9 million for the three months ended June 30, 2021. The increase excluding equity-based compensation was primarily due to:</w:t>
      </w:r>
    </w:p>
    <w:p>
      <w:pPr>
        <w:spacing w:after="0" w:line="126" w:lineRule="exact"/>
        <w:rPr>
          <w:sz w:val="20"/>
          <w:szCs w:val="20"/>
          <w:color w:val="auto"/>
        </w:rPr>
      </w:pPr>
    </w:p>
    <w:p>
      <w:pPr>
        <w:jc w:val="both"/>
        <w:ind w:left="640" w:hanging="316"/>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(excluding equity-based compensation) of $32.1 million, or 75%, to $74.8 million for the three months ended June 30, 2022, due primarily to additional headcount and related salaries and benefits expenses added to drive continued incremental sales and support acquired products, as well as additional commission expense and amortization of deferred commissions related to obtaining contracts with customers, and advertising expenses;</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(excluding equity-based compensation) of $13.4 million, or 64%, to $34.2 million for the three months ended June 30, 2022, due primarily to additional headcount and related salaries and benefits expenses added to support continued innovation of our services and acquired products;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general and administrative expense (excluding equity-based compensation) of $4.5 million, or 24%, to $22.9 million for the three months ended June 30, 2022, due primarily to additional headcount and related salaries and benefits expenses to support the larger organization;</w:t>
      </w:r>
    </w:p>
    <w:p>
      <w:pPr>
        <w:spacing w:after="0" w:line="110"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$0.8 million, or 17%, to $5.6 million for the three months ended June 30, 2022, due to amortization expense related to intangible assets from 2021 and 2022 acquisitions; and</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transaction-related expense of $1.1 million for the three months ended June 30, 2022, primarily due to transition and retention payments and other costs incurred related to 2021 and 2022 acquisitions. This represented a decrease of $1.1 million, or 50%, as compared to expense of $2.2 million for the three months ended June 30, 2021, which largely represented impairment and accelerated depreciation related to the Company’s Waltham office relocation.</w:t>
      </w:r>
    </w:p>
    <w:p>
      <w:pPr>
        <w:spacing w:after="0" w:line="12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$11.7 million for the three months ended June 30, 2022, an increase of $1.6 million, or 16%,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$10.1 million for the three months ended June 30, 2021. The increase was primarily due to increases in the amount of total debt, attributable to the July 2021 issuances of Senior Notes and additional First Lien principal.</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 Expense from income taxes for the three months ended June 30, 2022 was $10.5 million, representing an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39.8%, as compared to expense from income taxes of $6.2 million for the three months ended June 30, 2021, representing an effective tax rate of 20.2%. The increase in the effective tax rate was primarily due to the elimination of the non-controlling interest as a result of the UP-C Corporate Structure Elimination.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Six Months Ended June 30, 2021</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$508.8 million for the six months ended June 30, 2022, an increase of $181.5 million, or 55%, as compared to $327.3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 This increase was primarily due to the addition of new customers over the past 12 months and net expansion with existing customers. Products acquired within the last 12 months contributed $32.9 million for the six months ended June 30, 2022.</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Service. </w:t>
      </w:r>
      <w:r>
        <w:rPr>
          <w:rFonts w:ascii="Times New Roman" w:cs="Times New Roman" w:eastAsia="Times New Roman" w:hAnsi="Times New Roman"/>
          <w:sz w:val="18"/>
          <w:szCs w:val="18"/>
          <w:color w:val="auto"/>
        </w:rPr>
        <w:t>Cost of service was $91.0 million for the six months ended June 30, 2022, an increase of $32.6 million, or 56%,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$58.4 million for the six months ended June 30, 2021. The increase was primarily due to additional headcount and related salaries and benefit expenses, increased hosting expense to support new and growing customers, increased amortization of acquired technology related to 2021 and 2022 acquisitions, and increased equity-based compensation expense.</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$345.9 million for the six months ended June 30, 2022, an increase of $145.9 million, or 73%,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$200.0 million for the six months ended June 30, 2021. Excluding equity-based compensation expenses, operating expenses were $266.0 million for the six months ended June 30, 2022, an increase of $94.5 million, or 55%, as compared to $171.5 million for the six months ended June 30, 2021. The increase excluding equity-based compensation was primarily due to:</w:t>
      </w:r>
    </w:p>
    <w:p>
      <w:pPr>
        <w:spacing w:after="0" w:line="126" w:lineRule="exact"/>
        <w:rPr>
          <w:sz w:val="20"/>
          <w:szCs w:val="20"/>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(excluding equity-based compensation) of $59.7 million, or 72%, to $142.8 million for the six months ended June 30, 2022, due primarily to additional headcount and related salaries and benefits expenses added to drive continued incremental sales and support acquired products, as well as additional commission expense and amortization of deferred commissions related to obtaining contracts with customers, and advertising expenses;</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research and development expense (excluding equity-based compensation) of $25.6 million, or 66%, to $64.2 million for the six months ended June 30, 2022, due primarily to additional headcount and related salaries and benefits expenses added to support continued innovation of our services and acquired products;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general and administrative expense (excluding equity-based compensation) of $10.9 million, or 32%, to $44.5 million for the six months ended June 30, 2022, due primarily to additional headcount and related salaries and benefits expenses to support the larger organization;</w:t>
      </w:r>
    </w:p>
    <w:p>
      <w:pPr>
        <w:spacing w:after="0" w:line="110" w:lineRule="exact"/>
        <w:rPr>
          <w:rFonts w:ascii="Times New Roman" w:cs="Times New Roman" w:eastAsia="Times New Roman" w:hAnsi="Times New Roman"/>
          <w:sz w:val="18"/>
          <w:szCs w:val="18"/>
          <w:i w:val="1"/>
          <w:iCs w:val="1"/>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of acquired intangibles expense of $1.3 million, or 14%, to $10.9 million for the six months ended June 30, 2022, due to amortization expense related to intangible assets from 2021 and 2022 acquisitions; and</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transaction-related expense of $3.6 million for the six months ended June 30, 2022, primarily due to transition and retention payments and other costs incurred related to 2021 and 2022 acquisitions. This represented a decrease of $3.0 million, or 45%, as compared to expense of $6.6 million for the six months ended June 30, 2021, which largely represented impairment and accelerated depreciation related to the Company’s Waltham office relocation.</w:t>
      </w:r>
    </w:p>
    <w:p>
      <w:pPr>
        <w:spacing w:after="0" w:line="125"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$23.5 million for the six months ended June 30, 2022, an increase of $6.9 million, or 42%,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$16.6 million for the six months ended June 30, 2021. The increase was primarily due to increases in the amount of total debt, attributable to the July 2021 issuances of Senior Notes and additional First Lien principal.</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 Expense from income taxes for the six months ended June 30, 2022 was $23.5 million, representing an effective tax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51.6%, as compared to expense from income taxes of $55.9 million for the six months ended June 30, 2021, representing an effective tax rate of 120.2%. The decrease in the effective tax rate was primarily due to the recognition of non-cash tax expense in Q1 2021 resulting from a shift in GAAP basis from a non-taxable entity to a taxable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2022, we had $352.7 million of cash and cash equivalents, $12.9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invoice our subscription customers annually, semi-annually, or quarterly in advance of our subscription services. Therefore, a substantial source of our cash is from such prepayments, which are included on our Condensed Consolidated Balance Sheets as unearned revenue. Unearned revenue consists of billed fees for our subscriptions, prior to satisfying the criteria for revenue recognition, which are subsequently recognized as revenue in accordance with our revenue recognition policy. As of June 30, 2022, we had unearned revenue of $411.8 million, of which $410.1 million was recorded as a current liability and is expected to be recorded as revenue in the next 12 months, provided all other revenue recognition criteria have been met.</w:t>
      </w:r>
    </w:p>
    <w:p>
      <w:pPr>
        <w:spacing w:after="0" w:line="132"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After the consummation of the Reorganization Transactions, ZoomInfo Intermediate Inc. (formerly known as ZoomInfo Technologies Inc.) became a holding company with no material assets other than its ownership of HoldCo Units, and ZoomInfo HoldCo became a holding company with no material assets other than its ownership of ZoomInfo OpCo Units. During the quarter ended September 20, 2021, ZoomInfo HoldCo was merged with and into ZoomInfo Intermediate Inc. During the quarter ended December 31, 2021, ZoomInfo Intermediate Inc. became a wholly owned subsidiary of ZoomInfo Technologies Inc. ZoomInfo Technologies Inc. and ZoomInfo Intermediate Inc. have no independent means of generating revenue. In the event ZoomInfo Technologies Inc. declares any cash dividend, we expect that ZoomInfo Technologies Inc to cause ZoomInfo MidCo LLC to make distributions to ZoomInfo Technologies Inc. in part through distributions to ZoomInfo Intermediate Inc. and ZoomInfo OpCo, in an amount sufficient to cover such cash dividends declared by us. Deterioration in the financial condition, earnings, or cash flow of ZoomInfo MidCo LLC and its subsidiaries for any reason could limit or impair their ability to pay such distributions. In addition, the terms of our financing arrangements contain covenants that may restrict ZoomInfo MidCo LLC and its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Risks Related to Our Organizational Structure” in Part I, Item 1A of our 2021 Form 10-K.</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8"/>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8"/>
        </w:trPr>
        <w:tc>
          <w:tcPr>
            <w:tcW w:w="80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4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5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Operating Activities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cash provided by operations was $211.2 million for the six months ended June 30, 2022 as a result of net income of $22.1 million, adjusted by non-cash charges of $183.5 million and the change in our operating assets net of operating liabilities of $5.6 million. The non-cash charges are primarily comprised of equity-based compensation of $89.5 million, depreciation and amortization of $42.5 million, amortization of deferred commission costs of $30.0 million, and a decrease in deferred tax assets net of deferred tax liabilities of $18.5 million. The change in operating assets net of operating liabilities was primarily the result of an increase in unearned revenue of $40.8 million, and a decrease in accounts receivable of $26.8 million, partially offset by an increase in deferred costs and other assets of $38.5 million, and a decrease in accrued expenses and other liabilities of $22.7 million.</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cash provided by operations was $181.6 million for the six months ended June 30, 2021 as a result of a net loss of $9.4 million, adjusted by non-cash charges of $144.3 million and partially offset by the change in our operating assets net of operating liabilities of $46.7 million. The non-cash charges were primarily comprised of a decrease in deferred tax assets net of deferred tax liabilities of $48.1 million, equity-based compensation of $35.2 million, depreciation and amortization of $30.6 million, and amortization of deferred commission costs of $18.5 million. The change in operating assets net of operating liabilities was primarily the result of an increase in unearned revenue of $53.3 million, an increase in accounts payable of $12.1 million, and a decrease in accounts receivable of $7.8 million, partially offset by an increase in deferred costs and other assets of $22.1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Restructuring and transaction-related cash costs for the six months ended June 30, 2022 primarily related to transaction costs related to 2021 and 2022 acquisitions and tax payments related to entity conversions, which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six months ended June 30, 2022, and 2021, we incurred the following cash expenditures: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7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0" w:type="dxa"/>
            <w:vAlign w:val="bottom"/>
            <w:vMerge w:val="continue"/>
          </w:tcPr>
          <w:p>
            <w:pPr>
              <w:spacing w:after="0"/>
              <w:rPr>
                <w:sz w:val="15"/>
                <w:szCs w:val="15"/>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65"/>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(a)</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3"/>
                <w:szCs w:val="23"/>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6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 and acquisition-related compensation paid in cash</w:t>
            </w:r>
            <w:r>
              <w:rPr>
                <w:rFonts w:ascii="Times New Roman" w:cs="Times New Roman" w:eastAsia="Times New Roman" w:hAnsi="Times New Roman"/>
                <w:sz w:val="22"/>
                <w:szCs w:val="22"/>
                <w:color w:val="auto"/>
                <w:vertAlign w:val="superscript"/>
              </w:rPr>
              <w:t>(b)</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320" w:hanging="314"/>
        <w:spacing w:after="0" w:line="262" w:lineRule="auto"/>
        <w:tabs>
          <w:tab w:leader="none" w:pos="31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acquisition or disposal activities, including employee severance and termination benefits, contract termination fees and penalties, and other exit or disposal costs. For the six months ended June 30, 2022, these payments related primarily to transition bonuses paid related to 2021 and 2022 acquisitions. For the six months ended June 30, 2021, these payments related primarily to settlement of accrued accretion on the Pre-Acquisition ZI deferred consideration balance.</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5" w:lineRule="auto"/>
        <w:tabs>
          <w:tab w:leader="none" w:pos="3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directly associated with integration activities for acquisitions and acquisition-related compensation, which includes transaction bonuses and retention awards. For the six months ended June 30, 2022, these payments related to retention awards from the acquisitions of Clickagy, Everstring, and Insent, and professional fees relating to integration projects. For the six months ended June 30, 2021, these payments related primarily to cash vesting payments from the acquisition of Pre-Acquisition ZI.</w:t>
      </w:r>
    </w:p>
    <w:p>
      <w:pPr>
        <w:spacing w:after="0" w:line="14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(used in) Investing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was $153.0 million, consisting of cash paid for acquisitions of $143.6 million, purchases of short-term investments of $15.2 million, purchases of property and equipment and other assets of $14.8 million, partially offset by maturities of short-term investments of $20.6 million.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2021 was $79.0 million, consisting of purchases of short-term investments of $119.8 million, cash paid for acquisitions of $31.8 million, and purchases of property and equipment and other assets of $11.0 million, partially offset by maturities of short-term investments of $41.5 million, and proceeds from sales of short-term investments of $42.1 million.</w:t>
      </w:r>
    </w:p>
    <w:p>
      <w:pPr>
        <w:spacing w:after="0" w:line="125" w:lineRule="exact"/>
        <w:rPr>
          <w:sz w:val="20"/>
          <w:szCs w:val="20"/>
          <w:color w:val="auto"/>
        </w:rPr>
      </w:pPr>
    </w:p>
    <w:p>
      <w:pPr>
        <w:ind w:right="180" w:firstLine="318"/>
        <w:spacing w:after="0" w:line="430" w:lineRule="auto"/>
        <w:rPr>
          <w:sz w:val="20"/>
          <w:szCs w:val="20"/>
          <w:color w:val="auto"/>
        </w:rPr>
      </w:pPr>
      <w:r>
        <w:rPr>
          <w:rFonts w:ascii="Times New Roman" w:cs="Times New Roman" w:eastAsia="Times New Roman" w:hAnsi="Times New Roman"/>
          <w:sz w:val="18"/>
          <w:szCs w:val="18"/>
          <w:color w:val="auto"/>
        </w:rPr>
        <w:t xml:space="preserve">As we continue to grow and invest in our business, we expect to continue to invest in property and equipment and opportunistically pursue acquisitions. </w:t>
      </w:r>
      <w:r>
        <w:rPr>
          <w:rFonts w:ascii="Times New Roman" w:cs="Times New Roman" w:eastAsia="Times New Roman" w:hAnsi="Times New Roman"/>
          <w:sz w:val="18"/>
          <w:szCs w:val="18"/>
          <w:i w:val="1"/>
          <w:iCs w:val="1"/>
          <w:color w:val="auto"/>
        </w:rPr>
        <w:t>Cash Flows from (used in) Financing Activities</w:t>
      </w: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2022 was $13.8 million, primarily comprised of payments of taxes related to net share settlement of equity awards of $7.6 million, payments related to our tax receivable agreements of $5.0 million, payments of deferred consideration of $1.1 million, payments of issuance fees from prior transactions of $0.7 million, partially offset by proceeds from exercise of stock options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2021 was $39.0 million, consisting of payments on long-term debt of $356.4 million, tax distributions to equity partners of $15.3 million, payments of deferred consideration of $9.4 million, and payments of debt issuance and modification costs of $5.8 million, partially offset by proceeds from debt of $350.0 million.</w:t>
      </w:r>
    </w:p>
    <w:p>
      <w:pPr>
        <w:spacing w:after="0" w:line="125" w:lineRule="exact"/>
        <w:rPr>
          <w:sz w:val="20"/>
          <w:szCs w:val="20"/>
          <w:color w:val="auto"/>
        </w:rPr>
      </w:pPr>
    </w:p>
    <w:p>
      <w:pPr>
        <w:ind w:right="740" w:firstLine="318"/>
        <w:spacing w:after="0" w:line="430" w:lineRule="auto"/>
        <w:rPr>
          <w:sz w:val="20"/>
          <w:szCs w:val="20"/>
          <w:color w:val="auto"/>
        </w:rPr>
      </w:pPr>
      <w:r>
        <w:rPr>
          <w:rFonts w:ascii="Times New Roman" w:cs="Times New Roman" w:eastAsia="Times New Roman" w:hAnsi="Times New Roman"/>
          <w:sz w:val="18"/>
          <w:szCs w:val="18"/>
          <w:color w:val="auto"/>
        </w:rPr>
        <w:t xml:space="preserve">Refer to Note 8 - Financing Arrangements of our consolidated financial statements for additional information related to each of our borrowings. </w:t>
      </w:r>
      <w:r>
        <w:rPr>
          <w:rFonts w:ascii="Times New Roman" w:cs="Times New Roman" w:eastAsia="Times New Roman" w:hAnsi="Times New Roman"/>
          <w:sz w:val="18"/>
          <w:szCs w:val="18"/>
          <w:b w:val="1"/>
          <w:bCs w:val="1"/>
          <w:i w:val="1"/>
          <w:iCs w:val="1"/>
          <w:color w:val="auto"/>
        </w:rPr>
        <w:t>Debt Obligations</w:t>
      </w: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2022, the aggregate remaining balance of $600.0 million of first lien term loans is due, in its entirety, at the contractual maturity date of February 1, 2026. As of June 30, 2022, the aggregate remaining balance of $650.0 million of 3.875% Senior Notes is due, in its entirety, at the contractual maturity date of February 1, 2029. Interest on the Senior Notes is payable semi-annually in arrears beginning on August 1, 2021. The foregoing currently represent the only existing required future debt principal repayment obligations that will require future uses of the Company’s cash.</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first lien term debt has a variable interest rate whereby the Company can elect to use a Base Rate or LIBOR plus an applicable rate. The applicable rate is 2.00% for Base Rate loans or 3.00% for LIBOR Based Loans, depending on the Company’s leverage. The first lien revolving debt has a variable interest rate whereby the Company can elect to use a Base Rate or LIBOR plus an applicable rate. The applicable margin is 1.00% to 1.25% for Base Rate loans or 2.00% to 2.25% for LIBOR Based Loans, depending on the Company’s leverage. The effective interest rate on the first lien debt was 4.36% and 3.41% as of June 30, 2022 and December 31, 2021, respectively.</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June 30, 2022 was $381.5 million. Our total net leverage ratio to Adjusted EBITDA as of June 30, 2022 was 2.3x.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except leverage ratios)</w:t>
            </w: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8"/>
        </w:trPr>
        <w:tc>
          <w:tcPr>
            <w:tcW w:w="8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18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5"/>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our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June 30, 2022 was $498.2 million. Our consolidated first lien net leverage ratio as of June 30, 2022 was 0.5x.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except leverage ratios)</w:t>
            </w:r>
          </w:p>
        </w:tc>
        <w:tc>
          <w:tcPr>
            <w:tcW w:w="1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8"/>
        </w:trPr>
        <w:tc>
          <w:tcPr>
            <w:tcW w:w="8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short-term investments</w:t>
            </w:r>
          </w:p>
        </w:tc>
        <w:tc>
          <w:tcPr>
            <w:tcW w:w="1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5"/>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240" w:type="dxa"/>
            <w:vAlign w:val="bottom"/>
            <w:tcBorders>
              <w:top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5"/>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June 30, 2022 was $498.2 million. Our total net leverage ratio to Cash EBITDA as of June 30, 2022 was 1.8x.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except leverage ratios)</w:t>
            </w:r>
          </w:p>
        </w:tc>
        <w:tc>
          <w:tcPr>
            <w:tcW w:w="34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8"/>
        </w:trPr>
        <w:tc>
          <w:tcPr>
            <w:tcW w:w="8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500" w:type="dxa"/>
            <w:vAlign w:val="bottom"/>
          </w:tcPr>
          <w:p>
            <w:pPr>
              <w:spacing w:after="0"/>
              <w:rPr>
                <w:sz w:val="3"/>
                <w:szCs w:val="3"/>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4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restricted cash, and short-term investments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5"/>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5"/>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34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r>
        <w:trPr>
          <w:trHeight w:val="439"/>
        </w:trPr>
        <w:tc>
          <w:tcPr>
            <w:tcW w:w="8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Trailing Twelve Months as of</w:t>
            </w:r>
          </w:p>
        </w:tc>
      </w:tr>
      <w:tr>
        <w:trPr>
          <w:trHeight w:val="22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9"/>
                <w:szCs w:val="19"/>
                <w:color w:val="auto"/>
              </w:rPr>
            </w:pPr>
          </w:p>
        </w:tc>
        <w:tc>
          <w:tcPr>
            <w:tcW w:w="250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38"/>
        </w:trPr>
        <w:tc>
          <w:tcPr>
            <w:tcW w:w="84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(less): Expense (benefit) from income taxes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5"/>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Loss on debt modification and extinguishment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Amortization of acquired technology</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Amortization of other acquired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5"/>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(less): Other expense (income), net</w:t>
            </w:r>
            <w:r>
              <w:rPr>
                <w:rFonts w:ascii="Times New Roman" w:cs="Times New Roman" w:eastAsia="Times New Roman" w:hAnsi="Times New Roman"/>
                <w:sz w:val="22"/>
                <w:szCs w:val="22"/>
                <w:color w:val="auto"/>
                <w:vertAlign w:val="superscript"/>
              </w:rPr>
              <w:t>(a)</w:t>
            </w:r>
          </w:p>
        </w:tc>
        <w:tc>
          <w:tcPr>
            <w:tcW w:w="340" w:type="dxa"/>
            <w:vAlign w:val="bottom"/>
            <w:shd w:val="clear" w:color="auto" w:fill="CCEEFF"/>
          </w:tcPr>
          <w:p>
            <w:pPr>
              <w:spacing w:after="0"/>
              <w:rPr>
                <w:sz w:val="23"/>
                <w:szCs w:val="23"/>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6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Impact of fair value adjustments to acquired unearned revenue</w:t>
            </w:r>
            <w:r>
              <w:rPr>
                <w:rFonts w:ascii="Times New Roman" w:cs="Times New Roman" w:eastAsia="Times New Roman" w:hAnsi="Times New Roman"/>
                <w:sz w:val="22"/>
                <w:szCs w:val="22"/>
                <w:color w:val="auto"/>
                <w:vertAlign w:val="superscript"/>
              </w:rPr>
              <w:t>(b)</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Equity-based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65"/>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Restructuring and transaction related expenses (excluding depreciation)</w:t>
            </w:r>
            <w:r>
              <w:rPr>
                <w:rFonts w:ascii="Times New Roman" w:cs="Times New Roman" w:eastAsia="Times New Roman" w:hAnsi="Times New Roman"/>
                <w:sz w:val="22"/>
                <w:szCs w:val="22"/>
                <w:color w:val="auto"/>
                <w:vertAlign w:val="superscript"/>
              </w:rPr>
              <w:t>(c)</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65"/>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Integration costs and acquisition-related expenses</w:t>
            </w:r>
            <w:r>
              <w:rPr>
                <w:rFonts w:ascii="Times New Roman" w:cs="Times New Roman" w:eastAsia="Times New Roman" w:hAnsi="Times New Roman"/>
                <w:sz w:val="22"/>
                <w:szCs w:val="22"/>
                <w:color w:val="auto"/>
                <w:vertAlign w:val="superscript"/>
              </w:rPr>
              <w:t>(d)</w:t>
            </w:r>
          </w:p>
        </w:tc>
        <w:tc>
          <w:tcPr>
            <w:tcW w:w="340" w:type="dxa"/>
            <w:vAlign w:val="bottom"/>
            <w:tcBorders>
              <w:bottom w:val="single" w:sz="8" w:color="auto"/>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5"/>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Unearned revenue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(less): Cash rent adjustment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(less): Pre-Acquisition EBITDA</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(less): Other lender adjustments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EBITDA</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revaluations on tax receivable agreement liability and foreign exchange remeasurement gains and losses.</w:t>
      </w:r>
    </w:p>
    <w:p>
      <w:pPr>
        <w:spacing w:after="0" w:line="11" w:lineRule="exact"/>
        <w:rPr>
          <w:rFonts w:ascii="Times New Roman" w:cs="Times New Roman" w:eastAsia="Times New Roman" w:hAnsi="Times New Roman"/>
          <w:sz w:val="14"/>
          <w:szCs w:val="14"/>
          <w:color w:val="auto"/>
        </w:rPr>
      </w:pPr>
    </w:p>
    <w:p>
      <w:pPr>
        <w:jc w:val="both"/>
        <w:ind w:left="320" w:hanging="314"/>
        <w:spacing w:after="0" w:line="252" w:lineRule="auto"/>
        <w:tabs>
          <w:tab w:leader="none" w:pos="3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4"/>
        <w:spacing w:after="0" w:line="267" w:lineRule="auto"/>
        <w:tabs>
          <w:tab w:leader="none" w:pos="31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acquisition or disposal activities, including employee severance and termination benefits, contract termination fees and penalties, and other exit or disposal costs. For the trailing twelve months ended June 30, 2022, this expense related primarily to cost incurred to the 2021 and 2022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61"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directly associated with integration activities for acquisitions and acquisition-related compensation, which includes transaction bonuses and retention awards. For the trailing twelve months ended June 30, 2022, this expense related primarily to retention awards from the acquisitions of Clickagy, Everstring, and Insent, professional fees relating to integration projects, and cash vesting payments from the acquisition of Pre-Acquisition ZI. This expense is included in cost of service, sales and marketing expense, research and development expense, and general and administrative expense as follows:</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Trailing Twelve Months as of</w:t>
            </w:r>
          </w:p>
        </w:tc>
      </w:tr>
      <w:tr>
        <w:trPr>
          <w:trHeight w:val="22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9"/>
                <w:szCs w:val="19"/>
                <w:color w:val="auto"/>
              </w:rPr>
            </w:pPr>
          </w:p>
        </w:tc>
        <w:tc>
          <w:tcPr>
            <w:tcW w:w="15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38"/>
        </w:trPr>
        <w:tc>
          <w:tcPr>
            <w:tcW w:w="5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service</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8"/>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5"/>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8"/>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38"/>
        </w:trPr>
        <w:tc>
          <w:tcPr>
            <w:tcW w:w="5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3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integration costs and acquisition-related compensation</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ZoomInfo Tax Group’s allocable share of existing tax basis acquired in the IPO and the increase in the ZoomInfo Tax Group’s allocable share of existing tax basis and the tax basis adjustments upon exchanges of OpCo Units for shares of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w:t>
      </w:r>
    </w:p>
    <w:p>
      <w:pPr>
        <w:spacing w:after="0" w:line="132"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Intermediate Inc. not entered into the tax receivable agreements. The term of each tax receivable agreement will continue until all such tax benefits have been utilized or expired, unless (i) ZoomInfo Intermediate Inc. exercises its right to terminate one or both tax receivable agreements for an amount based on the agreed payments remaining to be made under the agreement, (ii) ZoomInfo Intermediate Inc. breaches any of its material obligations under one or both tax receivable agreements in which case all obligations (including any additional interest due relating to any deferred payments) generally will be accelerated and due as if ZoomInfo Intermediate Inc. had exercised its right to terminate the tax receivable agreements, or (iii) there is a change of control of ZoomInfo Intermediate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and the amount and timing of our income.</w:t>
      </w:r>
    </w:p>
    <w:p>
      <w:pPr>
        <w:spacing w:after="0" w:line="14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Common Stock and our possible utilization of certain tax attributes, the payments that ZoomInfo Intermediate Inc. may make under the tax receivable agreements will be substantial. As of June 30, 2022, the Company had a liability of $3,052.2 million related to its projected obligations under the Tax Receivable Agreements in connection with the Reorganization Transactions and OpCo Units. During the six months ended June 30, 2022, we paid a total of $5.0 million pursuant to the Tax Receivable Agreements. There were no payments in the six months ended June 30, 2021. The payments under the tax receivable agreements are not conditioned upon continued ownership of us by the exchanging holders of OpCo Units. Refer to Note 16 - Tax Receivable Agreements to our unaudited consolidated financial statements included in Part I, Item 1 of this Form 10-Q for additional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2022, we had additional operating leases for office space that have not yet commenced with anticipated undiscounted future lease payments of $339.7 million. Refer to Note 14 - Leases of the notes to our unaudited consolidated financial statements included elsewhere in this Quarterly Report on Form 10-Q for further details.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Annual Report on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2021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operating results are subject to market risk from interest rate fluctuations on our First Lien Term Loan, which bears a variable interest rate based on LIBOR. As of June 30, 2022, the total principal balance outstanding was $600.0 million. We have implemented a hedging strategy to mitigate the interest rate risk by entering into certain derivative instruments (refer to Note 8 - Financing Arrangements of our consolidated financial statements included in Part I, Item 1 of this Form 10-Q). Based on the outstanding balances and interest rates of our debt as of June 30, 2022, a hypothetical relative increase or decrease in our effective interest rate by 100 basis points or 1% would have caused an immaterial corresponding change in interest expense over the next 12 months.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Additionally, from time to time, we have dedesignated certain cash flow hedging relationships due to repricing of the terms and partial prepayment of the outstanding principal of our First Lien Term Loan since loan inception. As of June 30, 2022, $400.0 million of the notional amount of the interest rate cap contract is not designated as an accounting hedge. Future fair value adjustments on this dedesignated instrument are recorded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on our Consolidated Statements of Operations. A hypothetical 1% relative increase or decrease in interest rates would cause a decrease in interest expense of $3.9 million and an increase in interest expense of $1.3 million, respectively, due to changes in the fair value of these instruments.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United Kingdom, India and Australia. The functional currency of these foreign subsidiaries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June 30, 2022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quarter ended June 30, 2022,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2021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2021 Form 10-K.</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Number (or</w:t>
            </w: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 of Shares that May</w:t>
            </w: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Yet be Purchased Under</w:t>
            </w:r>
          </w:p>
        </w:tc>
        <w:tc>
          <w:tcPr>
            <w:tcW w:w="0" w:type="dxa"/>
            <w:vAlign w:val="bottom"/>
          </w:tcPr>
          <w:p>
            <w:pPr>
              <w:spacing w:after="0"/>
              <w:rPr>
                <w:sz w:val="1"/>
                <w:szCs w:val="1"/>
                <w:color w:val="auto"/>
              </w:rPr>
            </w:pPr>
          </w:p>
        </w:tc>
      </w:tr>
      <w:tr>
        <w:trPr>
          <w:trHeight w:val="241"/>
        </w:trPr>
        <w:tc>
          <w:tcPr>
            <w:tcW w:w="37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 xml:space="preserve">Purchased </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8"/>
              </w:rPr>
              <w:t>Price Paid Per Share</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or Programs</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Plan or Programs</w:t>
            </w:r>
          </w:p>
        </w:tc>
        <w:tc>
          <w:tcPr>
            <w:tcW w:w="0" w:type="dxa"/>
            <w:vAlign w:val="bottom"/>
          </w:tcPr>
          <w:p>
            <w:pPr>
              <w:spacing w:after="0"/>
              <w:rPr>
                <w:sz w:val="1"/>
                <w:szCs w:val="1"/>
                <w:color w:val="auto"/>
              </w:rPr>
            </w:pPr>
          </w:p>
        </w:tc>
      </w:tr>
      <w:tr>
        <w:trPr>
          <w:trHeight w:val="232"/>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through April 30, 2022</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through May 31, 2022</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6,395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120" w:type="dxa"/>
            <w:vAlign w:val="bottom"/>
          </w:tcPr>
          <w:p>
            <w:pPr>
              <w:spacing w:after="0"/>
              <w:rPr>
                <w:sz w:val="19"/>
                <w:szCs w:val="19"/>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through June 30, 2022</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2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6"/>
        <w:spacing w:after="0" w:line="290" w:lineRule="auto"/>
        <w:tabs>
          <w:tab w:leader="none" w:pos="20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these shares were acquired through the withholding of shares to satisfy tax withholding obligations incurred upon the vesting of HSKB Phantom Units awarded under the HSKB Funds, LLC 2019 Phantom Unit Plan.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July 28, 2022 (the “Effective Date”), the Company’s Board of Directors re-appointed Patrick McCarter as a Class III director on the Board with a term expiring at the Company’s Annual Meeting of Stockholders in 2023 and reclassified Ashley Evans as a Class II director with a term expiring at the Company’s Annual Meeting of Stockholders in 2025. Mr. McCarter’s re-appointment coincided with the replacement of Ms. Evans with Mr. McCarter as the Board designee of the Carlyle Group (“Carlyle”) pursuant to that certain Stockholders Agreement, dated June 3, 2020, by and among the Company and certain of its stockholders (the “Stockholders Agreement”), in light of Ms. Evans’ departure as an employee of Carlyle, as set forth in further detail below. Ms. Evans and Mr. McCarter are herein referred to collectively as the “Directors.”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the Effective Date and following her departure as an employee of Carlyle in July 2022, Ms. Evans, then a Carlyle designee to the Board, delivered her resignation to the Board effective as of the Effective Date. Carlyle was provided director nomination rights based on the percentage of the Company’s Combined Voting Power (as defined in the Stockholders Agreement) beneficially owned by Carlyle. Based on the ownership of Carlyle as of the Effective Date, Carlyle was entitled to designate one director for election to the Board. In light of Ms. Evans’ resignation from the Board, Mr. McCarter was appointed to the Board as the sole Carlyle designee on the Effective Date. Mr. McCarter rejoins the Board following his departure as a director on March 21, 2022, which departure occurred in connection with a decrease in the percentage of the Company’s Combined Voting Power beneficially owned by Carlyle such that Carlyle was no longer entitled to two designated directors on the Board. Additionally, pursuant to the terms of the Stockholders Agreement applicable to replacement Carlyle designees, Mr. McCarter succeeds Ms. Evans as a Class III director. In connection with his appointment to the Board, the Board also appointed Mr. McCarter as the chair of the Board’s Nominating and Corporate Governance Committee, and as a member of each of the Board’s Compensation Committee and Privacy, Security, and Technology Committee.</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Ms. Evans’ resignation from the Board was effected as a technical matter pursuant to Delaware General Corporation Law and the Company’s Bylaws to rebalance the Board’s classes following Mr. McCarter’s assumption of her Class III position pursuant to the Stockholders Agreement. Accordingly, on the Effective Date, the Board increased the number of directors constituting the whole Board from eight (8) to nine (9) and re-appointed Ms. Evans as a Class II director on the Board. In connection with her reappointment to the Board, Ms. Evans is expected to serve as a member of the Board’s Audit Committee, subject to further review and approval by the Board. Ms. Evans’ service on the Board is deemed to have continued uninterrupted. Ms. Evans’ technical resignation from the Board was not the result of (i) any disagreement with the Company, the Company’s management, or any other member of the Board or (ii) any disagreement on any matter relating to the Company’s operations, policies, or practices.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re-appointment of Mr. McCarter to the Board, the Company intends to enter into an indemnification agreement with him in substantially the same form as the Company has entered into with each of the Company’s existing directors and as previously disclosed in the Company’s public filings.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 director nominated pursuant to the Stockholders Agreement, Mr. McCarter will not receive any compensation in connection with his appointment to the Board. Because she is no longer a director nominated pursuant to the Stockholders Agreement, Ms. Evans will now participate in the Company’s non-employee director compensation program. A summary of the compensation payable to the Company’s non-employee directors was included in the Company’s Form 10-K filed with the SEC on February 24, 2022 and in the Company’s proxy statement for its 2022 Annual Meeting of Stockholders filed with the SEC on March 29, 2022. The initial annual retainer and initial annual restricted stock unit grant to be received by Ms. Evans will be prorated to reflect services beginning on the Effective Date.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as set forth above in respect of the Stockholders Agreement, there were no arrangements or understandings between the Directors and any other persons pursuant to which either Director was selected as a director. In addition, the Directors are not party to any transaction, or any proposed transaction, required to be disclosed pursuant to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foregoing is a summary only and does not purport to be a complete description of all of the terms, provisions, covenants, and agreements contained in the Stockholders Agreement, and is subject to and qualified in its entirety by reference to the full text of the Stockholders Agreement, which is filed as Exhibit 10.6 to the Company’s Current Report on Form 8-K filed with the Securities and Exchange Commission on June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3" w:lineRule="exact"/>
        <w:rPr>
          <w:sz w:val="20"/>
          <w:szCs w:val="20"/>
          <w:color w:val="auto"/>
        </w:rPr>
      </w:pPr>
    </w:p>
    <w:p>
      <w:pPr>
        <w:ind w:left="200"/>
        <w:spacing w:after="0"/>
        <w:tabs>
          <w:tab w:leader="none" w:pos="6860" w:val="left"/>
          <w:tab w:leader="none" w:pos="8980" w:val="left"/>
          <w:tab w:leader="none" w:pos="103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Report or Registration</w:t>
      </w:r>
      <w:r>
        <w:rPr>
          <w:sz w:val="20"/>
          <w:szCs w:val="20"/>
          <w:color w:val="auto"/>
        </w:rPr>
        <w:tab/>
      </w:r>
      <w:r>
        <w:rPr>
          <w:rFonts w:ascii="Times New Roman" w:cs="Times New Roman" w:eastAsia="Times New Roman" w:hAnsi="Times New Roman"/>
          <w:sz w:val="18"/>
          <w:szCs w:val="18"/>
          <w:b w:val="1"/>
          <w:bCs w:val="1"/>
          <w:color w:val="auto"/>
        </w:rPr>
        <w:t>SEC File or</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6" w:lineRule="exact"/>
        <w:rPr>
          <w:sz w:val="20"/>
          <w:szCs w:val="20"/>
          <w:color w:val="auto"/>
        </w:rPr>
      </w:pPr>
    </w:p>
    <w:p>
      <w:pPr>
        <w:ind w:left="160"/>
        <w:spacing w:after="0"/>
        <w:tabs>
          <w:tab w:leader="none" w:pos="7340" w:val="left"/>
          <w:tab w:leader="none" w:pos="8960" w:val="left"/>
          <w:tab w:leader="none" w:pos="102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Statement</w:t>
      </w:r>
      <w:r>
        <w:rPr>
          <w:sz w:val="20"/>
          <w:szCs w:val="20"/>
          <w:color w:val="auto"/>
        </w:rPr>
        <w:tab/>
      </w:r>
      <w:r>
        <w:rPr>
          <w:rFonts w:ascii="Times New Roman" w:cs="Times New Roman" w:eastAsia="Times New Roman" w:hAnsi="Times New Roman"/>
          <w:sz w:val="18"/>
          <w:szCs w:val="18"/>
          <w:b w:val="1"/>
          <w:bCs w:val="1"/>
          <w:color w:val="auto"/>
        </w:rPr>
        <w:t>Registration</w:t>
      </w:r>
      <w:r>
        <w:rPr>
          <w:sz w:val="20"/>
          <w:szCs w:val="20"/>
          <w:color w:val="auto"/>
        </w:rPr>
        <w:tab/>
      </w:r>
      <w:r>
        <w:rPr>
          <w:rFonts w:ascii="Times New Roman" w:cs="Times New Roman" w:eastAsia="Times New Roman" w:hAnsi="Times New Roman"/>
          <w:sz w:val="17"/>
          <w:szCs w:val="17"/>
          <w:b w:val="1"/>
          <w:bCs w:val="1"/>
          <w:color w:val="auto"/>
        </w:rPr>
        <w:t>Reference</w:t>
      </w:r>
    </w:p>
    <w:p>
      <w:pPr>
        <w:ind w:left="3400"/>
        <w:spacing w:after="0"/>
        <w:tabs>
          <w:tab w:leader="none" w:pos="910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Number</w:t>
      </w:r>
    </w:p>
    <w:p>
      <w:pPr>
        <w:sectPr>
          <w:pgSz w:w="11900" w:h="16838" w:orient="portrait"/>
          <w:cols w:equalWidth="0" w:num="1">
            <w:col w:w="11240"/>
          </w:cols>
          <w:pgMar w:left="320" w:top="118" w:right="339" w:bottom="1440" w:gutter="0" w:footer="0" w:header="0"/>
        </w:sectPr>
      </w:pPr>
    </w:p>
    <w:p>
      <w:pPr>
        <w:spacing w:after="0" w:line="193" w:lineRule="exact"/>
        <w:rPr>
          <w:sz w:val="20"/>
          <w:szCs w:val="20"/>
          <w:color w:val="auto"/>
        </w:rPr>
      </w:pPr>
    </w:p>
    <w:p>
      <w:pPr>
        <w:ind w:left="380"/>
        <w:spacing w:after="0"/>
        <w:tabs>
          <w:tab w:leader="none" w:pos="9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100">
        <w:r>
          <w:rPr>
            <w:rFonts w:ascii="Times New Roman" w:cs="Times New Roman" w:eastAsia="Times New Roman" w:hAnsi="Times New Roman"/>
            <w:sz w:val="14"/>
            <w:szCs w:val="14"/>
            <w:u w:val="single" w:color="auto"/>
            <w:color w:val="0000FF"/>
          </w:rPr>
          <w:t>Second Amended and Restated Certificate of Incorporation of ZoomInfo Technologies Inc.</w:t>
        </w:r>
      </w:hyperlink>
    </w:p>
    <w:p>
      <w:pPr>
        <w:spacing w:after="0" w:line="23" w:lineRule="exact"/>
        <w:rPr>
          <w:sz w:val="20"/>
          <w:szCs w:val="20"/>
          <w:color w:val="auto"/>
        </w:rPr>
      </w:pPr>
    </w:p>
    <w:p>
      <w:pPr>
        <w:ind w:left="380"/>
        <w:spacing w:after="0"/>
        <w:tabs>
          <w:tab w:leader="none" w:pos="940" w:val="left"/>
        </w:tabs>
        <w:rPr>
          <w:rFonts w:ascii="Times New Roman" w:cs="Times New Roman" w:eastAsia="Times New Roman" w:hAnsi="Times New Roman"/>
          <w:sz w:val="14"/>
          <w:szCs w:val="14"/>
          <w:u w:val="single" w:color="auto"/>
          <w:color w:val="0000FF"/>
        </w:rPr>
      </w:pPr>
      <w:hyperlink r:id="rId101"/>
      <w:r>
        <w:rPr>
          <w:rFonts w:ascii="Times New Roman" w:cs="Times New Roman" w:eastAsia="Times New Roman" w:hAnsi="Times New Roman"/>
          <w:sz w:val="28"/>
          <w:szCs w:val="28"/>
          <w:color w:val="000000"/>
          <w:vertAlign w:val="superscript"/>
        </w:rPr>
        <w:t>3.2</w:t>
      </w:r>
      <w:r>
        <w:rPr>
          <w:rFonts w:ascii="Times New Roman" w:cs="Times New Roman" w:eastAsia="Times New Roman" w:hAnsi="Times New Roman"/>
          <w:sz w:val="14"/>
          <w:szCs w:val="14"/>
          <w:color w:val="0000FF"/>
        </w:rPr>
        <w:tab/>
      </w:r>
      <w:hyperlink r:id="rId101">
        <w:r>
          <w:rPr>
            <w:rFonts w:ascii="Times New Roman" w:cs="Times New Roman" w:eastAsia="Times New Roman" w:hAnsi="Times New Roman"/>
            <w:sz w:val="14"/>
            <w:szCs w:val="14"/>
            <w:u w:val="single" w:color="auto"/>
            <w:color w:val="0000FF"/>
          </w:rPr>
          <w:t>Amended and Restated Bylaws of ZoomInfo New</w:t>
        </w:r>
        <w:r>
          <w:rPr>
            <w:rFonts w:ascii="Times New Roman" w:cs="Times New Roman" w:eastAsia="Times New Roman" w:hAnsi="Times New Roman"/>
            <w:sz w:val="17"/>
            <w:szCs w:val="17"/>
            <w:u w:val="single" w:color="auto"/>
            <w:color w:val="0000FF"/>
          </w:rPr>
          <w:t>C</w:t>
        </w:r>
        <w:r>
          <w:rPr>
            <w:rFonts w:ascii="Times New Roman" w:cs="Times New Roman" w:eastAsia="Times New Roman" w:hAnsi="Times New Roman"/>
            <w:sz w:val="14"/>
            <w:szCs w:val="14"/>
            <w:u w:val="single" w:color="auto"/>
            <w:color w:val="0000FF"/>
          </w:rPr>
          <w:t>o Inc.</w:t>
        </w:r>
      </w:hyperlink>
    </w:p>
    <w:p>
      <w:pPr>
        <w:ind w:left="960" w:hanging="575"/>
        <w:spacing w:after="0" w:line="261" w:lineRule="auto"/>
        <w:tabs>
          <w:tab w:leader="none" w:pos="9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102">
        <w:r>
          <w:rPr>
            <w:rFonts w:ascii="Times New Roman" w:cs="Times New Roman" w:eastAsia="Times New Roman" w:hAnsi="Times New Roman"/>
            <w:sz w:val="14"/>
            <w:szCs w:val="14"/>
            <w:u w:val="single" w:color="auto"/>
            <w:color w:val="0000FF"/>
          </w:rPr>
          <w:t>Indenture, dated as of February 2, 2021, by and among ZoomInfo Technologies LLC, ZoomInfo</w:t>
        </w:r>
      </w:hyperlink>
      <w:r>
        <w:rPr>
          <w:rFonts w:ascii="Times New Roman" w:cs="Times New Roman" w:eastAsia="Times New Roman" w:hAnsi="Times New Roman"/>
          <w:sz w:val="14"/>
          <w:szCs w:val="14"/>
          <w:u w:val="single" w:color="auto"/>
          <w:color w:val="0000FF"/>
        </w:rPr>
        <w:t xml:space="preserve"> </w:t>
      </w:r>
      <w:hyperlink r:id="rId102">
        <w:r>
          <w:rPr>
            <w:rFonts w:ascii="Times New Roman" w:cs="Times New Roman" w:eastAsia="Times New Roman" w:hAnsi="Times New Roman"/>
            <w:sz w:val="14"/>
            <w:szCs w:val="14"/>
            <w:u w:val="single" w:color="auto"/>
            <w:color w:val="0000FF"/>
          </w:rPr>
          <w:t>Finance Corp., the guarantors named on the signature pages thereto, and Wells Fargo National</w:t>
        </w:r>
      </w:hyperlink>
      <w:r>
        <w:rPr>
          <w:rFonts w:ascii="Times New Roman" w:cs="Times New Roman" w:eastAsia="Times New Roman" w:hAnsi="Times New Roman"/>
          <w:sz w:val="14"/>
          <w:szCs w:val="14"/>
          <w:u w:val="single" w:color="auto"/>
          <w:color w:val="0000FF"/>
        </w:rPr>
        <w:t xml:space="preserve"> </w:t>
      </w:r>
      <w:hyperlink r:id="rId102">
        <w:r>
          <w:rPr>
            <w:rFonts w:ascii="Times New Roman" w:cs="Times New Roman" w:eastAsia="Times New Roman" w:hAnsi="Times New Roman"/>
            <w:sz w:val="14"/>
            <w:szCs w:val="14"/>
            <w:u w:val="single" w:color="auto"/>
            <w:color w:val="0000FF"/>
          </w:rPr>
          <w:t>Association, as trustee</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spacing w:after="0" w:line="173" w:lineRule="exact"/>
        <w:rPr>
          <w:rFonts w:ascii="Times New Roman" w:cs="Times New Roman" w:eastAsia="Times New Roman" w:hAnsi="Times New Roman"/>
          <w:sz w:val="14"/>
          <w:szCs w:val="14"/>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19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8-K filed May 19, 2022</w:t>
            </w:r>
          </w:p>
        </w:tc>
        <w:tc>
          <w:tcPr>
            <w:tcW w:w="13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001-39310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25"/>
        </w:trPr>
        <w:tc>
          <w:tcPr>
            <w:tcW w:w="19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001-39310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65"/>
        </w:trPr>
        <w:tc>
          <w:tcPr>
            <w:tcW w:w="190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 filed July 15, 2021</w:t>
            </w:r>
          </w:p>
        </w:tc>
        <w:tc>
          <w:tcPr>
            <w:tcW w:w="13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001-39310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bl>
    <w:p>
      <w:pPr>
        <w:spacing w:after="0" w:line="366" w:lineRule="exact"/>
        <w:rPr>
          <w:rFonts w:ascii="Times New Roman" w:cs="Times New Roman" w:eastAsia="Times New Roman" w:hAnsi="Times New Roman"/>
          <w:sz w:val="14"/>
          <w:szCs w:val="14"/>
          <w:u w:val="single" w:color="auto"/>
          <w:color w:val="0000FF"/>
        </w:rPr>
      </w:pPr>
    </w:p>
    <w:p>
      <w:pPr>
        <w:sectPr>
          <w:pgSz w:w="11900" w:h="16838" w:orient="portrait"/>
          <w:cols w:equalWidth="0" w:num="2">
            <w:col w:w="6440" w:space="500"/>
            <w:col w:w="4300"/>
          </w:cols>
          <w:pgMar w:left="320" w:top="118" w:right="339" w:bottom="1440" w:gutter="0" w:footer="0" w:header="0"/>
          <w:type w:val="continuous"/>
        </w:sectPr>
      </w:pPr>
    </w:p>
    <w:tbl>
      <w:tblPr>
        <w:tblLayout w:type="fixed"/>
        <w:tblInd w:w="180" w:type="dxa"/>
        <w:tblCellMar>
          <w:top w:w="0" w:type="dxa"/>
          <w:left w:w="0" w:type="dxa"/>
          <w:bottom w:w="0" w:type="dxa"/>
          <w:right w:w="0" w:type="dxa"/>
        </w:tblCellMar>
      </w:tblPr>
      <w:tr>
        <w:trPr>
          <w:trHeight w:val="161"/>
        </w:trPr>
        <w:tc>
          <w:tcPr>
            <w:tcW w:w="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4.2</w:t>
            </w:r>
          </w:p>
        </w:tc>
        <w:tc>
          <w:tcPr>
            <w:tcW w:w="5920" w:type="dxa"/>
            <w:vAlign w:val="bottom"/>
            <w:gridSpan w:val="12"/>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Supplemental Indenture, dated as of July 15, 2021, by and among ZoomInfo Technologies LLC,</w:t>
              </w:r>
            </w:hyperlink>
          </w:p>
        </w:tc>
        <w:tc>
          <w:tcPr>
            <w:tcW w:w="1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8-K filed July 15, 2021</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001-39310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52"/>
        </w:trPr>
        <w:tc>
          <w:tcPr>
            <w:tcW w:w="780" w:type="dxa"/>
            <w:vAlign w:val="bottom"/>
          </w:tcPr>
          <w:p>
            <w:pPr>
              <w:spacing w:after="0"/>
              <w:rPr>
                <w:sz w:val="13"/>
                <w:szCs w:val="13"/>
                <w:color w:val="auto"/>
              </w:rPr>
            </w:pPr>
          </w:p>
        </w:tc>
        <w:tc>
          <w:tcPr>
            <w:tcW w:w="5440" w:type="dxa"/>
            <w:vAlign w:val="bottom"/>
            <w:tcBorders>
              <w:top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ZoomInfo Finance Corp., the guarantors named on the signature pages thereto, and Wells Fargo</w:t>
              </w:r>
            </w:hyperlink>
          </w:p>
        </w:tc>
        <w:tc>
          <w:tcPr>
            <w:tcW w:w="480" w:type="dxa"/>
            <w:vAlign w:val="bottom"/>
            <w:gridSpan w:val="4"/>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2"/>
        </w:trPr>
        <w:tc>
          <w:tcPr>
            <w:tcW w:w="78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National Association, as trustee</w:t>
              </w:r>
            </w:hyperlink>
          </w:p>
        </w:tc>
        <w:tc>
          <w:tcPr>
            <w:tcW w:w="3600" w:type="dxa"/>
            <w:vAlign w:val="bottom"/>
            <w:tcBorders>
              <w:top w:val="single" w:sz="8" w:color="0000FF"/>
            </w:tcBorders>
            <w:gridSpan w:val="4"/>
          </w:tcPr>
          <w:p>
            <w:pPr>
              <w:spacing w:after="0"/>
              <w:rPr>
                <w:sz w:val="13"/>
                <w:szCs w:val="13"/>
                <w:color w:val="auto"/>
              </w:rPr>
            </w:pPr>
          </w:p>
        </w:tc>
        <w:tc>
          <w:tcPr>
            <w:tcW w:w="520" w:type="dxa"/>
            <w:vAlign w:val="bottom"/>
            <w:gridSpan w:val="6"/>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1"/>
        </w:trPr>
        <w:tc>
          <w:tcPr>
            <w:tcW w:w="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4.3</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of 3.875% Senior Note due 2029 (included in Exhibit 4.1)</w:t>
            </w:r>
          </w:p>
        </w:tc>
        <w:tc>
          <w:tcPr>
            <w:tcW w:w="1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8-K filed July 15, 2021</w:t>
            </w:r>
          </w:p>
        </w:tc>
        <w:tc>
          <w:tcPr>
            <w:tcW w:w="14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001-39310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7"/>
        </w:trPr>
        <w:tc>
          <w:tcPr>
            <w:tcW w:w="7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+10.1†</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Restricted Stock Unit Grant Notice under the ZoomInfo Technologies Inc. 2020 Omnibus Incentive</w:t>
            </w: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78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w w:val="96"/>
              </w:rPr>
              <w:t>Plan</w:t>
            </w:r>
          </w:p>
        </w:tc>
        <w:tc>
          <w:tcPr>
            <w:tcW w:w="5360" w:type="dxa"/>
            <w:vAlign w:val="bottom"/>
            <w:tcBorders>
              <w:top w:val="single" w:sz="8" w:color="0000FF"/>
            </w:tcBorders>
            <w:gridSpan w:val="9"/>
          </w:tcPr>
          <w:p>
            <w:pPr>
              <w:spacing w:after="0"/>
              <w:rPr>
                <w:sz w:val="13"/>
                <w:szCs w:val="13"/>
                <w:color w:val="auto"/>
              </w:rPr>
            </w:pPr>
          </w:p>
        </w:tc>
        <w:tc>
          <w:tcPr>
            <w:tcW w:w="30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5"/>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+31.1</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 and 15d-</w:t>
            </w: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780" w:type="dxa"/>
            <w:vAlign w:val="bottom"/>
          </w:tcPr>
          <w:p>
            <w:pPr>
              <w:spacing w:after="0"/>
              <w:rPr>
                <w:sz w:val="13"/>
                <w:szCs w:val="13"/>
                <w:color w:val="auto"/>
              </w:rPr>
            </w:pPr>
          </w:p>
        </w:tc>
        <w:tc>
          <w:tcPr>
            <w:tcW w:w="5420" w:type="dxa"/>
            <w:vAlign w:val="bottom"/>
            <w:tcBorders>
              <w:top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4"/>
                <w:szCs w:val="14"/>
                <w:color w:val="0000FF"/>
              </w:rPr>
              <w:t>14(a), as adopted pursuant to Section 302 of the Sarbanes-Oxley Act of 2002.</w:t>
            </w:r>
          </w:p>
        </w:tc>
        <w:tc>
          <w:tcPr>
            <w:tcW w:w="500" w:type="dxa"/>
            <w:vAlign w:val="bottom"/>
            <w:gridSpan w:val="5"/>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5"/>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+31.2</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 15d-14(a),</w:t>
            </w: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78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700" w:type="dxa"/>
            <w:vAlign w:val="bottom"/>
            <w:tcBorders>
              <w:top w:val="single" w:sz="8" w:color="0000FF"/>
            </w:tcBorders>
            <w:gridSpan w:val="8"/>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5"/>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+32.1*</w:t>
            </w:r>
          </w:p>
        </w:tc>
        <w:tc>
          <w:tcPr>
            <w:tcW w:w="5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 Officer pursuant to 18 U.S.C.</w:t>
            </w:r>
          </w:p>
        </w:tc>
        <w:tc>
          <w:tcPr>
            <w:tcW w:w="360" w:type="dxa"/>
            <w:vAlign w:val="bottom"/>
            <w:gridSpan w:val="3"/>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52"/>
        </w:trPr>
        <w:tc>
          <w:tcPr>
            <w:tcW w:w="780" w:type="dxa"/>
            <w:vAlign w:val="bottom"/>
          </w:tcPr>
          <w:p>
            <w:pPr>
              <w:spacing w:after="0"/>
              <w:rPr>
                <w:sz w:val="13"/>
                <w:szCs w:val="13"/>
                <w:color w:val="auto"/>
              </w:rPr>
            </w:pPr>
          </w:p>
        </w:tc>
        <w:tc>
          <w:tcPr>
            <w:tcW w:w="4840" w:type="dxa"/>
            <w:vAlign w:val="bottom"/>
            <w:tcBorders>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1080" w:type="dxa"/>
            <w:vAlign w:val="bottom"/>
            <w:gridSpan w:val="7"/>
          </w:tcPr>
          <w:p>
            <w:pPr>
              <w:spacing w:after="0"/>
              <w:rPr>
                <w:sz w:val="13"/>
                <w:szCs w:val="13"/>
                <w:color w:val="auto"/>
              </w:rPr>
            </w:pPr>
          </w:p>
        </w:tc>
        <w:tc>
          <w:tcPr>
            <w:tcW w:w="1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34"/>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+101.INS</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5"/>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+101.SCH</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+101.CAL</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+101.DEF</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+101.LAB</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9"/>
              </w:rPr>
              <w:t>+101.PRE</w:t>
            </w:r>
          </w:p>
        </w:tc>
        <w:tc>
          <w:tcPr>
            <w:tcW w:w="59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41" w:lineRule="exact"/>
        <w:rPr>
          <w:sz w:val="20"/>
          <w:szCs w:val="20"/>
          <w:color w:val="auto"/>
        </w:rPr>
      </w:pPr>
    </w:p>
    <w:p>
      <w:pPr>
        <w:ind w:left="960" w:hanging="590"/>
        <w:spacing w:after="0"/>
        <w:tabs>
          <w:tab w:leader="none" w:pos="9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89"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74" w:lineRule="exact"/>
        <w:rPr>
          <w:sz w:val="20"/>
          <w:szCs w:val="20"/>
          <w:color w:val="auto"/>
        </w:rPr>
      </w:pPr>
    </w:p>
    <w:p>
      <w:pPr>
        <w:ind w:left="140" w:hanging="134"/>
        <w:spacing w:after="0"/>
        <w:tabs>
          <w:tab w:leader="none" w:pos="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spacing w:after="0" w:line="147" w:lineRule="exact"/>
        <w:rPr>
          <w:sz w:val="20"/>
          <w:szCs w:val="20"/>
          <w:color w:val="auto"/>
        </w:rPr>
      </w:pPr>
    </w:p>
    <w:p>
      <w:pPr>
        <w:jc w:val="both"/>
        <w:ind w:firstLine="6"/>
        <w:spacing w:after="0" w:line="273" w:lineRule="auto"/>
        <w:tabs>
          <w:tab w:leader="none" w:pos="11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57" w:lineRule="exact"/>
        <w:rPr>
          <w:sz w:val="20"/>
          <w:szCs w:val="20"/>
          <w:color w:val="auto"/>
        </w:rPr>
      </w:pPr>
    </w:p>
    <w:p>
      <w:pPr>
        <w:ind w:left="692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31750</wp:posOffset>
            </wp:positionV>
            <wp:extent cx="24314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5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Name: P. Cameron Hyzer</w:t>
      </w:r>
    </w:p>
    <w:p>
      <w:pPr>
        <w:spacing w:after="0" w:line="2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Officer and Authorized</w:t>
      </w:r>
    </w:p>
    <w:p>
      <w:pPr>
        <w:spacing w:after="0" w:line="1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Signatory)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August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GRANT NOTICE</w:t>
      </w:r>
    </w:p>
    <w:p>
      <w:pPr>
        <w:jc w:val="center"/>
        <w:spacing w:after="0" w:line="210" w:lineRule="auto"/>
        <w:rPr>
          <w:sz w:val="20"/>
          <w:szCs w:val="20"/>
          <w:color w:val="auto"/>
        </w:rPr>
      </w:pPr>
      <w:r>
        <w:rPr>
          <w:rFonts w:ascii="Times New Roman" w:cs="Times New Roman" w:eastAsia="Times New Roman" w:hAnsi="Times New Roman"/>
          <w:sz w:val="21"/>
          <w:szCs w:val="21"/>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1"/>
          <w:szCs w:val="21"/>
          <w:b w:val="1"/>
          <w:bCs w:val="1"/>
          <w:color w:val="auto"/>
        </w:rPr>
        <w:t>ZOOMINFO TECHNOLOGIES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2020 OMNIBUS INCENTIVE PLAN</w:t>
      </w:r>
    </w:p>
    <w:p>
      <w:pPr>
        <w:spacing w:after="0" w:line="159"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ZoomInfo Technologies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ectPr>
          <w:pgSz w:w="11900" w:h="16838" w:orient="portrait"/>
          <w:cols w:equalWidth="0" w:num="1">
            <w:col w:w="11240"/>
          </w:cols>
          <w:pgMar w:left="320" w:top="108" w:right="339" w:bottom="1440" w:gutter="0" w:footer="0" w:header="0"/>
        </w:sectPr>
      </w:pP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First Name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Last Name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Date of Grant: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w:t>
      </w:r>
    </w:p>
    <w:p>
      <w:pPr>
        <w:spacing w:after="0" w:line="46"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[_____]</w:t>
      </w:r>
    </w:p>
    <w:p>
      <w:pPr>
        <w:spacing w:after="0" w:line="35"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1"/>
          <w:szCs w:val="21"/>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Number of Restricted Stock Units Granted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21"/>
          <w:szCs w:val="21"/>
          <w:color w:val="auto"/>
        </w:rPr>
        <w:t>Subject to the Participant’s continued service with the Service Recipient on each applicable vesting date, the Restricted Stock Units shall vest as follows: [</w:t>
      </w:r>
      <w:r>
        <w:rPr>
          <w:rFonts w:ascii="Times New Roman" w:cs="Times New Roman" w:eastAsia="Times New Roman" w:hAnsi="Times New Roman"/>
          <w:sz w:val="21"/>
          <w:szCs w:val="21"/>
          <w:b w:val="1"/>
          <w:bCs w:val="1"/>
          <w:color w:val="auto"/>
        </w:rPr>
        <w:t>insert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vesting schedule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 w:lineRule="exact"/>
        <w:rPr>
          <w:sz w:val="20"/>
          <w:szCs w:val="20"/>
          <w:color w:val="auto"/>
        </w:rPr>
      </w:pPr>
    </w:p>
    <w:p>
      <w:pPr>
        <w:jc w:val="both"/>
        <w:ind w:left="4140" w:right="20"/>
        <w:spacing w:after="0" w:line="223" w:lineRule="auto"/>
        <w:rPr>
          <w:sz w:val="20"/>
          <w:szCs w:val="20"/>
          <w:color w:val="auto"/>
        </w:rPr>
      </w:pPr>
      <w:r>
        <w:rPr>
          <w:rFonts w:ascii="Times New Roman" w:cs="Times New Roman" w:eastAsia="Times New Roman" w:hAnsi="Times New Roman"/>
          <w:sz w:val="21"/>
          <w:szCs w:val="21"/>
          <w:color w:val="auto"/>
        </w:rPr>
        <w:t>If a Change in Control occurs and during the 12-month period following such Change in Control, the Participant’s service is terminated by the Service Recipient without Cause or due to the Participant’s resignation for Good Reason (as defined below), all unvested Restricted Stock Units shall become fully vested upon the date of the Participant’s Termination.</w:t>
      </w:r>
    </w:p>
    <w:p>
      <w:pPr>
        <w:sectPr>
          <w:pgSz w:w="11900" w:h="16838" w:orient="portrait"/>
          <w:cols w:equalWidth="0" w:num="1">
            <w:col w:w="11240"/>
          </w:cols>
          <w:pgMar w:left="320" w:top="108" w:right="339" w:bottom="1440" w:gutter="0" w:footer="0" w:header="0"/>
          <w:type w:val="continuous"/>
        </w:sectPr>
      </w:pPr>
    </w:p>
    <w:bookmarkStart w:id="86" w:name="page87"/>
    <w:bookmarkEnd w:id="86"/>
    <w:p>
      <w:pPr>
        <w:jc w:val="both"/>
        <w:ind w:left="4100" w:right="40"/>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have the meaning given to such term in any employment or consulting agreement between the Participant and the Service Recipient in effect at the time of the Participant’s Termination. In the absence of any such employment or consulting agreement or the absence of any definition of “Good Reason” contained therein, “Good Reason” means the occurrence of one or more of the following events arising without the express written consent of the Participant, but only if the Participant notifies the Service Recipient in writing of the event within 60 days following the occurrence of the event, the event remains uncured after the expiration of 30 days from receipt of such notice, and the Participant resigns effective no later than 30 days following the Service Recipient’s failure to cure the event: (i) a material diminution in the Participant’s base salary or target bonus opportunity, (ii) a material diminution in the Participant’s authority, duties or responsibilities, (iii) a material change in geographic location at which the Participant performs services, or (iv) any material breach by the Company of this Restricted Stock Unit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1"/>
                <w:szCs w:val="21"/>
                <w:color w:val="auto"/>
              </w:rPr>
            </w:pPr>
          </w:p>
        </w:tc>
        <w:tc>
          <w:tcPr>
            <w:tcW w:w="81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In the event of the Participant’s Termination due to death or Disability, all of the</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Times New Roman" w:cs="Times New Roman" w:eastAsia="Times New Roman" w:hAnsi="Times New Roman"/>
                <w:sz w:val="21"/>
                <w:szCs w:val="21"/>
                <w:color w:val="auto"/>
              </w:rPr>
              <w:t>unvested Restricted Stock Units then held by the Participant, covering up to a</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Times New Roman" w:cs="Times New Roman" w:eastAsia="Times New Roman" w:hAnsi="Times New Roman"/>
                <w:sz w:val="21"/>
                <w:szCs w:val="21"/>
                <w:color w:val="auto"/>
              </w:rPr>
              <w:t>maximum of 5,000 shares of Common Stock (inclusive of the number of shares</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Times New Roman" w:cs="Times New Roman" w:eastAsia="Times New Roman" w:hAnsi="Times New Roman"/>
                <w:sz w:val="21"/>
                <w:szCs w:val="21"/>
                <w:color w:val="auto"/>
              </w:rPr>
              <w:t>covered by other unvested awards held by the Participant at the time of such death</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Times New Roman" w:cs="Times New Roman" w:eastAsia="Times New Roman" w:hAnsi="Times New Roman"/>
                <w:sz w:val="21"/>
                <w:szCs w:val="21"/>
                <w:color w:val="auto"/>
              </w:rPr>
              <w:t>or Disability), shall become fully vested. This acceleration shall not occur if the</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Times New Roman" w:cs="Times New Roman" w:eastAsia="Times New Roman" w:hAnsi="Times New Roman"/>
                <w:sz w:val="21"/>
                <w:szCs w:val="21"/>
                <w:color w:val="auto"/>
              </w:rPr>
              <w:t>Participant’s  death  was  caused  by  suicide  or  by  murder  by  an  immediate</w:t>
            </w:r>
          </w:p>
        </w:tc>
        <w:tc>
          <w:tcPr>
            <w:tcW w:w="0" w:type="dxa"/>
            <w:vAlign w:val="bottom"/>
          </w:tcPr>
          <w:p>
            <w:pPr>
              <w:spacing w:after="0"/>
              <w:rPr>
                <w:sz w:val="1"/>
                <w:szCs w:val="1"/>
                <w:color w:val="auto"/>
              </w:rPr>
            </w:pPr>
          </w:p>
        </w:tc>
      </w:tr>
      <w:tr>
        <w:trPr>
          <w:trHeight w:val="264"/>
        </w:trPr>
        <w:tc>
          <w:tcPr>
            <w:tcW w:w="304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Dividend Equivalents:</w:t>
            </w:r>
          </w:p>
        </w:tc>
        <w:tc>
          <w:tcPr>
            <w:tcW w:w="81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beneficiary of the Participant.</w:t>
            </w:r>
          </w:p>
        </w:tc>
        <w:tc>
          <w:tcPr>
            <w:tcW w:w="0" w:type="dxa"/>
            <w:vAlign w:val="bottom"/>
          </w:tcPr>
          <w:p>
            <w:pPr>
              <w:spacing w:after="0"/>
              <w:rPr>
                <w:sz w:val="1"/>
                <w:szCs w:val="1"/>
                <w:color w:val="auto"/>
              </w:rPr>
            </w:pPr>
          </w:p>
        </w:tc>
      </w:tr>
      <w:tr>
        <w:trPr>
          <w:trHeight w:val="213"/>
        </w:trPr>
        <w:tc>
          <w:tcPr>
            <w:tcW w:w="3040" w:type="dxa"/>
            <w:vAlign w:val="bottom"/>
            <w:vMerge w:val="continue"/>
          </w:tcPr>
          <w:p>
            <w:pPr>
              <w:spacing w:after="0"/>
              <w:rPr>
                <w:sz w:val="18"/>
                <w:szCs w:val="18"/>
                <w:color w:val="auto"/>
              </w:rPr>
            </w:pPr>
          </w:p>
        </w:tc>
        <w:tc>
          <w:tcPr>
            <w:tcW w:w="8100" w:type="dxa"/>
            <w:vAlign w:val="bottom"/>
          </w:tcPr>
          <w:p>
            <w:pPr>
              <w:ind w:left="1020"/>
              <w:spacing w:after="0" w:line="213" w:lineRule="exact"/>
              <w:rPr>
                <w:sz w:val="20"/>
                <w:szCs w:val="20"/>
                <w:color w:val="auto"/>
              </w:rPr>
            </w:pPr>
            <w:r>
              <w:rPr>
                <w:rFonts w:ascii="Times New Roman" w:cs="Times New Roman" w:eastAsia="Times New Roman" w:hAnsi="Times New Roman"/>
                <w:sz w:val="21"/>
                <w:szCs w:val="21"/>
                <w:color w:val="auto"/>
              </w:rPr>
              <w:t>The Restricted Stock Units shall be credited with dividend equivalent payments to</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8100" w:type="dxa"/>
            <w:vAlign w:val="bottom"/>
          </w:tcPr>
          <w:p>
            <w:pPr>
              <w:ind w:left="1020"/>
              <w:spacing w:after="0" w:line="212" w:lineRule="exact"/>
              <w:rPr>
                <w:sz w:val="20"/>
                <w:szCs w:val="20"/>
                <w:color w:val="auto"/>
              </w:rPr>
            </w:pPr>
            <w:r>
              <w:rPr>
                <w:rFonts w:ascii="Times New Roman" w:cs="Times New Roman" w:eastAsia="Times New Roman" w:hAnsi="Times New Roman"/>
                <w:sz w:val="21"/>
                <w:szCs w:val="21"/>
                <w:color w:val="auto"/>
              </w:rPr>
              <w:t>be paid in cash (without interest) on the corresponding vesting dates, as provided in</w:t>
            </w:r>
          </w:p>
        </w:tc>
        <w:tc>
          <w:tcPr>
            <w:tcW w:w="0" w:type="dxa"/>
            <w:vAlign w:val="bottom"/>
          </w:tcPr>
          <w:p>
            <w:pPr>
              <w:spacing w:after="0"/>
              <w:rPr>
                <w:sz w:val="1"/>
                <w:szCs w:val="1"/>
                <w:color w:val="auto"/>
              </w:rPr>
            </w:pPr>
          </w:p>
        </w:tc>
      </w:tr>
      <w:tr>
        <w:trPr>
          <w:trHeight w:val="277"/>
        </w:trPr>
        <w:tc>
          <w:tcPr>
            <w:tcW w:w="3040" w:type="dxa"/>
            <w:vAlign w:val="bottom"/>
          </w:tcPr>
          <w:p>
            <w:pPr>
              <w:spacing w:after="0"/>
              <w:rPr>
                <w:sz w:val="24"/>
                <w:szCs w:val="24"/>
                <w:color w:val="auto"/>
              </w:rPr>
            </w:pPr>
          </w:p>
        </w:tc>
        <w:tc>
          <w:tcPr>
            <w:tcW w:w="81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Section 14(c)(iii) of the Plan.</w:t>
            </w:r>
          </w:p>
        </w:tc>
        <w:tc>
          <w:tcPr>
            <w:tcW w:w="0" w:type="dxa"/>
            <w:vAlign w:val="bottom"/>
          </w:tcPr>
          <w:p>
            <w:pPr>
              <w:spacing w:after="0"/>
              <w:rPr>
                <w:sz w:val="1"/>
                <w:szCs w:val="1"/>
                <w:color w:val="auto"/>
              </w:rPr>
            </w:pPr>
          </w:p>
        </w:tc>
      </w:tr>
    </w:tbl>
    <w:p>
      <w:pPr>
        <w:sectPr>
          <w:pgSz w:w="11900" w:h="16838" w:orient="portrait"/>
          <w:cols w:equalWidth="0" w:num="1">
            <w:col w:w="11140"/>
          </w:cols>
          <w:pgMar w:left="400" w:top="142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1"/>
          <w:szCs w:val="21"/>
          <w:color w:val="auto"/>
        </w:rPr>
        <w:t>ZOOMINFO TECHNOLOGIES INC.</w:t>
      </w:r>
    </w:p>
    <w:p>
      <w:pPr>
        <w:spacing w:after="0" w:line="38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By:</w:t>
        <w:tab/>
        <w:t>_____________________________</w:t>
      </w: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Title:</w:t>
        <w:tab/>
        <w:t>_____________________________</w:t>
      </w:r>
    </w:p>
    <w:p>
      <w:pPr>
        <w:spacing w:after="0" w:line="3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r>
        <w:rPr>
          <w:rFonts w:ascii="Times New Roman" w:cs="Times New Roman" w:eastAsia="Times New Roman" w:hAnsi="Times New Roman"/>
          <w:sz w:val="27"/>
          <w:szCs w:val="27"/>
          <w:color w:val="auto"/>
          <w:vertAlign w:val="superscript"/>
        </w:rPr>
        <w:t>1</w:t>
      </w:r>
    </w:p>
    <w:p>
      <w:pPr>
        <w:spacing w:after="0" w:line="32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1"/>
          <w:szCs w:val="21"/>
          <w:color w:val="auto"/>
        </w:rPr>
        <w:t>By:</w:t>
        <w:tab/>
        <w:t>______________________________</w:t>
      </w: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Title:</w:t>
        <w:tab/>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395605</wp:posOffset>
            </wp:positionV>
            <wp:extent cx="16827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right="60" w:hanging="314"/>
        <w:spacing w:after="0" w:line="212" w:lineRule="auto"/>
        <w:tabs>
          <w:tab w:leader="none" w:pos="277"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37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jc w:val="center"/>
        <w:spacing w:after="0" w:line="210" w:lineRule="auto"/>
        <w:rPr>
          <w:sz w:val="20"/>
          <w:szCs w:val="20"/>
          <w:color w:val="auto"/>
        </w:rPr>
      </w:pPr>
      <w:r>
        <w:rPr>
          <w:rFonts w:ascii="Times New Roman" w:cs="Times New Roman" w:eastAsia="Times New Roman" w:hAnsi="Times New Roman"/>
          <w:sz w:val="21"/>
          <w:szCs w:val="21"/>
          <w:b w:val="1"/>
          <w:bCs w:val="1"/>
          <w:color w:val="auto"/>
        </w:rPr>
        <w:t>UNDER THE</w:t>
      </w:r>
    </w:p>
    <w:p>
      <w:pPr>
        <w:ind w:left="3880"/>
        <w:spacing w:after="0" w:line="211" w:lineRule="auto"/>
        <w:rPr>
          <w:sz w:val="20"/>
          <w:szCs w:val="20"/>
          <w:color w:val="auto"/>
        </w:rPr>
      </w:pPr>
      <w:r>
        <w:rPr>
          <w:rFonts w:ascii="Times New Roman" w:cs="Times New Roman" w:eastAsia="Times New Roman" w:hAnsi="Times New Roman"/>
          <w:sz w:val="21"/>
          <w:szCs w:val="21"/>
          <w:b w:val="1"/>
          <w:bCs w:val="1"/>
          <w:color w:val="auto"/>
        </w:rPr>
        <w:t>ZOOMINFO TECHNOLOGIES INC.</w:t>
      </w:r>
    </w:p>
    <w:p>
      <w:pPr>
        <w:ind w:left="3940"/>
        <w:spacing w:after="0"/>
        <w:rPr>
          <w:sz w:val="20"/>
          <w:szCs w:val="20"/>
          <w:color w:val="auto"/>
        </w:rPr>
      </w:pPr>
      <w:r>
        <w:rPr>
          <w:rFonts w:ascii="Times New Roman" w:cs="Times New Roman" w:eastAsia="Times New Roman" w:hAnsi="Times New Roman"/>
          <w:sz w:val="21"/>
          <w:szCs w:val="21"/>
          <w:b w:val="1"/>
          <w:bCs w:val="1"/>
          <w:color w:val="auto"/>
        </w:rPr>
        <w:t>2020 OMNIBUS INCENTIVE PLAN</w:t>
      </w:r>
    </w:p>
    <w:p>
      <w:pPr>
        <w:spacing w:after="0" w:line="159"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Pursuant to the Restricted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1"/>
          <w:szCs w:val="21"/>
          <w:color w:val="auto"/>
        </w:rPr>
        <w:t>”) delivered to the Participant (as defined in the Grant Notice), and subject to the terms of this Restricted Stock Unit Agreement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1"/>
          <w:szCs w:val="21"/>
          <w:color w:val="auto"/>
        </w:rPr>
        <w:t>”) and the ZoomInfo Technologies Inc.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ZoomInfo Technologies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Participant agree as follows. Capitalized terms not otherwise defined herein shall have the same meaning as set forth in the Plan.</w:t>
      </w:r>
    </w:p>
    <w:p>
      <w:pPr>
        <w:spacing w:after="0" w:line="146" w:lineRule="exact"/>
        <w:rPr>
          <w:sz w:val="20"/>
          <w:szCs w:val="20"/>
          <w:color w:val="auto"/>
        </w:rPr>
      </w:pPr>
    </w:p>
    <w:p>
      <w:pPr>
        <w:jc w:val="both"/>
        <w:ind w:firstLine="6"/>
        <w:spacing w:after="0" w:line="220" w:lineRule="auto"/>
        <w:tabs>
          <w:tab w:leader="none" w:pos="63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and in the Plan, the Company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46" w:lineRule="exact"/>
        <w:rPr>
          <w:rFonts w:ascii="Times New Roman" w:cs="Times New Roman" w:eastAsia="Times New Roman" w:hAnsi="Times New Roman"/>
          <w:sz w:val="21"/>
          <w:szCs w:val="21"/>
          <w:color w:val="auto"/>
        </w:rPr>
      </w:pPr>
    </w:p>
    <w:p>
      <w:pPr>
        <w:ind w:firstLine="6"/>
        <w:spacing w:after="0" w:line="249" w:lineRule="auto"/>
        <w:tabs>
          <w:tab w:leader="none" w:pos="63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Subject to the conditions contained herein and in the Plan, the Restricted Stock Units shall vest as provided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Notice.</w:t>
      </w:r>
    </w:p>
    <w:p>
      <w:pPr>
        <w:spacing w:after="0" w:line="134" w:lineRule="exact"/>
        <w:rPr>
          <w:rFonts w:ascii="Times New Roman" w:cs="Times New Roman" w:eastAsia="Times New Roman" w:hAnsi="Times New Roman"/>
          <w:sz w:val="21"/>
          <w:szCs w:val="21"/>
          <w:color w:val="auto"/>
        </w:rPr>
      </w:pPr>
    </w:p>
    <w:p>
      <w:pPr>
        <w:jc w:val="both"/>
        <w:ind w:firstLine="6"/>
        <w:spacing w:after="0" w:line="217" w:lineRule="auto"/>
        <w:tabs>
          <w:tab w:leader="none" w:pos="63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of Restricted Stock Units</w:t>
      </w:r>
      <w:r>
        <w:rPr>
          <w:rFonts w:ascii="Times New Roman" w:cs="Times New Roman" w:eastAsia="Times New Roman" w:hAnsi="Times New Roman"/>
          <w:sz w:val="21"/>
          <w:szCs w:val="21"/>
          <w:color w:val="auto"/>
        </w:rPr>
        <w:t>. Subject to any election by the Committee pursuant to Section 8(d)(ii) of the Plan,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48" w:lineRule="exact"/>
        <w:rPr>
          <w:rFonts w:ascii="Times New Roman" w:cs="Times New Roman" w:eastAsia="Times New Roman" w:hAnsi="Times New Roman"/>
          <w:sz w:val="21"/>
          <w:szCs w:val="21"/>
          <w:color w:val="auto"/>
        </w:rPr>
      </w:pPr>
    </w:p>
    <w:p>
      <w:pPr>
        <w:ind w:firstLine="6"/>
        <w:spacing w:after="0" w:line="249" w:lineRule="auto"/>
        <w:tabs>
          <w:tab w:leader="none" w:pos="63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Treatment of Restricted Stock Units Upon Termination</w:t>
      </w:r>
      <w:r>
        <w:rPr>
          <w:rFonts w:ascii="Times New Roman" w:cs="Times New Roman" w:eastAsia="Times New Roman" w:hAnsi="Times New Roman"/>
          <w:sz w:val="21"/>
          <w:szCs w:val="21"/>
          <w:color w:val="auto"/>
        </w:rPr>
        <w:t>. The provisions of Section 8(c)(ii) of the Plan are incorporated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 by reference and made a part hereof.</w:t>
      </w:r>
    </w:p>
    <w:p>
      <w:pPr>
        <w:spacing w:after="0" w:line="134"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Company; Participant</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firstLine="642"/>
        <w:spacing w:after="0" w:line="245" w:lineRule="auto"/>
        <w:tabs>
          <w:tab w:leader="none" w:pos="1269"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“Company” as used in this Restricted Stock Unit Agreement with reference to employment shall include the Company and its Subsidiaries.</w:t>
      </w:r>
    </w:p>
    <w:p>
      <w:pPr>
        <w:spacing w:after="0" w:line="142" w:lineRule="exact"/>
        <w:rPr>
          <w:rFonts w:ascii="Times New Roman" w:cs="Times New Roman" w:eastAsia="Times New Roman" w:hAnsi="Times New Roman"/>
          <w:sz w:val="21"/>
          <w:szCs w:val="21"/>
          <w:color w:val="auto"/>
        </w:rPr>
      </w:pPr>
    </w:p>
    <w:p>
      <w:pPr>
        <w:jc w:val="both"/>
        <w:ind w:firstLine="642"/>
        <w:spacing w:after="0" w:line="226" w:lineRule="auto"/>
        <w:tabs>
          <w:tab w:leader="none" w:pos="1267"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ectPr>
          <w:pgSz w:w="11900" w:h="16838" w:orient="portrait"/>
          <w:cols w:equalWidth="0" w:num="1">
            <w:col w:w="11240"/>
          </w:cols>
          <w:pgMar w:left="320" w:top="1365" w:right="339" w:bottom="1440" w:gutter="0" w:footer="0" w:header="0"/>
        </w:sectPr>
      </w:pPr>
    </w:p>
    <w:bookmarkStart w:id="89" w:name="page90"/>
    <w:bookmarkEnd w:id="89"/>
    <w:p>
      <w:pPr>
        <w:jc w:val="both"/>
        <w:ind w:left="-6" w:firstLine="6"/>
        <w:spacing w:after="0" w:line="224" w:lineRule="auto"/>
        <w:tabs>
          <w:tab w:leader="none" w:pos="63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Restricted Stock Units are not transferable by the Participant except to Permitted Transferees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45" w:lineRule="exact"/>
        <w:rPr>
          <w:rFonts w:ascii="Times New Roman" w:cs="Times New Roman" w:eastAsia="Times New Roman" w:hAnsi="Times New Roman"/>
          <w:sz w:val="21"/>
          <w:szCs w:val="21"/>
          <w:color w:val="auto"/>
        </w:rPr>
      </w:pPr>
    </w:p>
    <w:p>
      <w:pPr>
        <w:jc w:val="both"/>
        <w:ind w:left="-6" w:firstLine="6"/>
        <w:spacing w:after="0" w:line="224" w:lineRule="auto"/>
        <w:tabs>
          <w:tab w:leader="none" w:pos="63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Rights as Shareholder</w:t>
      </w:r>
      <w:r>
        <w:rPr>
          <w:rFonts w:ascii="Times New Roman" w:cs="Times New Roman" w:eastAsia="Times New Roman" w:hAnsi="Times New Roman"/>
          <w:sz w:val="21"/>
          <w:szCs w:val="21"/>
          <w:color w:val="auto"/>
        </w:rPr>
        <w:t>. The Participant or a Permitted Transferee of the Restricted Stock Units shall have no rights as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45" w:lineRule="exact"/>
        <w:rPr>
          <w:rFonts w:ascii="Times New Roman" w:cs="Times New Roman" w:eastAsia="Times New Roman" w:hAnsi="Times New Roman"/>
          <w:sz w:val="21"/>
          <w:szCs w:val="21"/>
          <w:color w:val="auto"/>
        </w:rPr>
      </w:pPr>
    </w:p>
    <w:p>
      <w:pPr>
        <w:jc w:val="both"/>
        <w:ind w:left="-6" w:firstLine="6"/>
        <w:spacing w:after="0" w:line="224" w:lineRule="auto"/>
        <w:tabs>
          <w:tab w:leader="none" w:pos="63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 part 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limiting the Company’s rights to satisfy withholding obligations as described under Section 14(d) of the Plan, the Participant hereby authorizes the Company to satisfy the applicable tax withholding obligations from proceeds of the sale of shares of Common Stock issuable in respect of the Restricted Stock Units through a mandatory sale arranged by the Company (on Participant’s behalf pursuant to this authorization).</w:t>
      </w:r>
    </w:p>
    <w:p>
      <w:pPr>
        <w:spacing w:after="0" w:line="145" w:lineRule="exact"/>
        <w:rPr>
          <w:rFonts w:ascii="Times New Roman" w:cs="Times New Roman" w:eastAsia="Times New Roman" w:hAnsi="Times New Roman"/>
          <w:sz w:val="21"/>
          <w:szCs w:val="21"/>
          <w:color w:val="auto"/>
        </w:rPr>
      </w:pPr>
    </w:p>
    <w:p>
      <w:pPr>
        <w:jc w:val="both"/>
        <w:ind w:left="-6" w:firstLine="6"/>
        <w:spacing w:after="0" w:line="217" w:lineRule="auto"/>
        <w:tabs>
          <w:tab w:leader="none" w:pos="63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Restricted Stock Unit Agreement between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48" w:lineRule="exact"/>
        <w:rPr>
          <w:rFonts w:ascii="Times New Roman" w:cs="Times New Roman" w:eastAsia="Times New Roman" w:hAnsi="Times New Roman"/>
          <w:sz w:val="21"/>
          <w:szCs w:val="21"/>
          <w:color w:val="auto"/>
        </w:rPr>
      </w:pPr>
    </w:p>
    <w:p>
      <w:pPr>
        <w:ind w:left="-6" w:firstLine="6"/>
        <w:spacing w:after="0" w:line="249" w:lineRule="auto"/>
        <w:tabs>
          <w:tab w:leader="none" w:pos="63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Right to Continued Service</w:t>
      </w:r>
      <w:r>
        <w:rPr>
          <w:rFonts w:ascii="Times New Roman" w:cs="Times New Roman" w:eastAsia="Times New Roman" w:hAnsi="Times New Roman"/>
          <w:sz w:val="21"/>
          <w:szCs w:val="21"/>
          <w:color w:val="auto"/>
        </w:rPr>
        <w:t>. This Restricted Stock Unit Agreement does not confer upon the Participant any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 as an employee or other service provider to the Company.</w:t>
      </w:r>
    </w:p>
    <w:p>
      <w:pPr>
        <w:spacing w:after="0" w:line="134" w:lineRule="exact"/>
        <w:rPr>
          <w:rFonts w:ascii="Times New Roman" w:cs="Times New Roman" w:eastAsia="Times New Roman" w:hAnsi="Times New Roman"/>
          <w:sz w:val="21"/>
          <w:szCs w:val="21"/>
          <w:color w:val="auto"/>
        </w:rPr>
      </w:pPr>
    </w:p>
    <w:p>
      <w:pPr>
        <w:ind w:left="-6" w:firstLine="6"/>
        <w:spacing w:after="0" w:line="249" w:lineRule="auto"/>
        <w:tabs>
          <w:tab w:leader="none" w:pos="62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Restricted Stock Unit Agreement shall be binding upon the heirs, executors, administrators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of the parties hereto.</w:t>
      </w:r>
    </w:p>
    <w:p>
      <w:pPr>
        <w:spacing w:after="0" w:line="134" w:lineRule="exact"/>
        <w:rPr>
          <w:rFonts w:ascii="Times New Roman" w:cs="Times New Roman" w:eastAsia="Times New Roman" w:hAnsi="Times New Roman"/>
          <w:sz w:val="21"/>
          <w:szCs w:val="21"/>
          <w:color w:val="auto"/>
        </w:rPr>
      </w:pPr>
    </w:p>
    <w:p>
      <w:pPr>
        <w:jc w:val="both"/>
        <w:ind w:left="-6" w:firstLine="6"/>
        <w:spacing w:after="0" w:line="222" w:lineRule="auto"/>
        <w:tabs>
          <w:tab w:leader="none" w:pos="63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and Amendments</w:t>
      </w:r>
      <w:r>
        <w:rPr>
          <w:rFonts w:ascii="Times New Roman" w:cs="Times New Roman" w:eastAsia="Times New Roman" w:hAnsi="Times New Roman"/>
          <w:sz w:val="21"/>
          <w:szCs w:val="21"/>
          <w:color w:val="auto"/>
        </w:rPr>
        <w:t>. Except as otherwise set forth in Section 13 of the Plan, any waiver, alteration, amendment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ectPr>
          <w:pgSz w:w="11900" w:h="16838" w:orient="portrait"/>
          <w:cols w:equalWidth="0" w:num="1">
            <w:col w:w="11234"/>
          </w:cols>
          <w:pgMar w:left="326" w:top="1367" w:right="339" w:bottom="1440" w:gutter="0" w:footer="0" w:header="0"/>
        </w:sectPr>
      </w:pPr>
    </w:p>
    <w:bookmarkStart w:id="90" w:name="page91"/>
    <w:bookmarkEnd w:id="90"/>
    <w:p>
      <w:pPr>
        <w:jc w:val="both"/>
        <w:ind w:left="-6" w:firstLine="6"/>
        <w:spacing w:after="0" w:line="218" w:lineRule="auto"/>
        <w:tabs>
          <w:tab w:leader="none" w:pos="6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Clawback/Forfeiture</w:t>
      </w:r>
      <w:r>
        <w:rPr>
          <w:rFonts w:ascii="Times New Roman" w:cs="Times New Roman" w:eastAsia="Times New Roman" w:hAnsi="Times New Roman"/>
          <w:sz w:val="21"/>
          <w:szCs w:val="21"/>
          <w:color w:val="auto"/>
        </w:rPr>
        <w:t>. Notwithstanding anything to the contrary contained herein or in the Plan, if the Participant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w:t>
      </w:r>
    </w:p>
    <w:p>
      <w:pPr>
        <w:spacing w:after="0" w:line="145" w:lineRule="exact"/>
        <w:rPr>
          <w:rFonts w:ascii="Times New Roman" w:cs="Times New Roman" w:eastAsia="Times New Roman" w:hAnsi="Times New Roman"/>
          <w:sz w:val="21"/>
          <w:szCs w:val="21"/>
          <w:color w:val="auto"/>
        </w:rPr>
      </w:pPr>
    </w:p>
    <w:p>
      <w:pPr>
        <w:ind w:left="-6" w:firstLine="6"/>
        <w:spacing w:after="0" w:line="249" w:lineRule="auto"/>
        <w:tabs>
          <w:tab w:leader="none" w:pos="6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Prior Agreements; Restrictive Covenants</w:t>
      </w:r>
      <w:r>
        <w:rPr>
          <w:rFonts w:ascii="Times New Roman" w:cs="Times New Roman" w:eastAsia="Times New Roman" w:hAnsi="Times New Roman"/>
          <w:sz w:val="21"/>
          <w:szCs w:val="21"/>
          <w:color w:val="auto"/>
        </w:rPr>
        <w:t>. The Participant shall execute and return to the Company a copy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Restrictive Covenant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jc w:val="both"/>
        <w:ind w:left="-6" w:firstLine="6"/>
        <w:spacing w:after="0" w:line="224" w:lineRule="auto"/>
        <w:tabs>
          <w:tab w:leader="none" w:pos="6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Restricted Stock Unit Agreement shall be construed and interpreted in accordance with the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45" w:lineRule="exact"/>
        <w:rPr>
          <w:rFonts w:ascii="Times New Roman" w:cs="Times New Roman" w:eastAsia="Times New Roman" w:hAnsi="Times New Roman"/>
          <w:sz w:val="21"/>
          <w:szCs w:val="21"/>
          <w:color w:val="auto"/>
        </w:rPr>
      </w:pPr>
    </w:p>
    <w:p>
      <w:pPr>
        <w:jc w:val="both"/>
        <w:ind w:left="-6" w:firstLine="6"/>
        <w:spacing w:after="0" w:line="233" w:lineRule="auto"/>
        <w:tabs>
          <w:tab w:leader="none" w:pos="6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The terms and provisions of the Plan are incorporated herein by reference. In the event of a conflict or inconsistency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terms and provisions of the Plan and the provisions of this Restricted Stock Unit Agreement (including the Grant Notice), the Plan shall govern and control.</w:t>
      </w:r>
    </w:p>
    <w:p>
      <w:pPr>
        <w:spacing w:after="0" w:line="144" w:lineRule="exact"/>
        <w:rPr>
          <w:rFonts w:ascii="Times New Roman" w:cs="Times New Roman" w:eastAsia="Times New Roman" w:hAnsi="Times New Roman"/>
          <w:sz w:val="21"/>
          <w:szCs w:val="21"/>
          <w:color w:val="auto"/>
        </w:rPr>
      </w:pPr>
    </w:p>
    <w:p>
      <w:pPr>
        <w:jc w:val="both"/>
        <w:ind w:left="-6" w:firstLine="6"/>
        <w:spacing w:after="0" w:line="233" w:lineRule="auto"/>
        <w:tabs>
          <w:tab w:leader="none" w:pos="6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It is intended that the Restricted Stock Units granted hereunder shall be exempt from Section 409A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 if applicable, pursuant to the “short-term deferral” rule applicable to such section, as set forth in the regulations or other guidance published by the Internal Revenue Service thereunder.</w:t>
      </w:r>
    </w:p>
    <w:p>
      <w:pPr>
        <w:spacing w:after="0" w:line="144" w:lineRule="exact"/>
        <w:rPr>
          <w:rFonts w:ascii="Times New Roman" w:cs="Times New Roman" w:eastAsia="Times New Roman" w:hAnsi="Times New Roman"/>
          <w:sz w:val="21"/>
          <w:szCs w:val="21"/>
          <w:color w:val="auto"/>
        </w:rPr>
      </w:pPr>
    </w:p>
    <w:p>
      <w:pPr>
        <w:jc w:val="both"/>
        <w:ind w:left="-6" w:firstLine="6"/>
        <w:spacing w:after="0" w:line="227" w:lineRule="auto"/>
        <w:tabs>
          <w:tab w:leader="none" w:pos="6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the Participant’s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46" w:lineRule="exact"/>
        <w:rPr>
          <w:rFonts w:ascii="Times New Roman" w:cs="Times New Roman" w:eastAsia="Times New Roman" w:hAnsi="Times New Roman"/>
          <w:sz w:val="21"/>
          <w:szCs w:val="21"/>
          <w:color w:val="auto"/>
        </w:rPr>
      </w:pPr>
    </w:p>
    <w:p>
      <w:pPr>
        <w:jc w:val="both"/>
        <w:ind w:left="-6" w:firstLine="6"/>
        <w:spacing w:after="0" w:line="227" w:lineRule="auto"/>
        <w:tabs>
          <w:tab w:leader="none" w:pos="6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Delivery and Acceptance</w:t>
      </w:r>
      <w:r>
        <w:rPr>
          <w:rFonts w:ascii="Times New Roman" w:cs="Times New Roman" w:eastAsia="Times New Roman" w:hAnsi="Times New Roman"/>
          <w:sz w:val="21"/>
          <w:szCs w:val="21"/>
          <w:color w:val="auto"/>
        </w:rPr>
        <w:t>. The Company may, in its sole discretion, decide to deliver any documents related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ectPr>
          <w:pgSz w:w="11900" w:h="16838" w:orient="portrait"/>
          <w:cols w:equalWidth="0" w:num="1">
            <w:col w:w="11234"/>
          </w:cols>
          <w:pgMar w:left="326" w:top="1367" w:right="339" w:bottom="1440" w:gutter="0" w:footer="0" w:header="0"/>
        </w:sectPr>
      </w:pPr>
    </w:p>
    <w:bookmarkStart w:id="91" w:name="page92"/>
    <w:bookmarkEnd w:id="91"/>
    <w:p>
      <w:pPr>
        <w:jc w:val="both"/>
        <w:ind w:left="-6" w:firstLine="6"/>
        <w:spacing w:after="0" w:line="217" w:lineRule="auto"/>
        <w:tabs>
          <w:tab w:leader="none" w:pos="63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Additional Terms for Non-U.S. Participants</w:t>
      </w:r>
      <w:r>
        <w:rPr>
          <w:rFonts w:ascii="Times New Roman" w:cs="Times New Roman" w:eastAsia="Times New Roman" w:hAnsi="Times New Roman"/>
          <w:sz w:val="21"/>
          <w:szCs w:val="21"/>
          <w:color w:val="auto"/>
        </w:rPr>
        <w:t>. Notwithstanding anything to the contrary herein, if the Participant resides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and/or works outside of the United States, the Participant shall be subject to the Additional Terms and Conditions for Non-U.S. Participants attached hereto as </w:t>
      </w:r>
      <w:r>
        <w:rPr>
          <w:rFonts w:ascii="Times New Roman" w:cs="Times New Roman" w:eastAsia="Times New Roman" w:hAnsi="Times New Roman"/>
          <w:sz w:val="21"/>
          <w:szCs w:val="21"/>
          <w:u w:val="single" w:color="auto"/>
          <w:color w:val="auto"/>
        </w:rPr>
        <w:t>Addendum A</w:t>
      </w:r>
      <w:r>
        <w:rPr>
          <w:rFonts w:ascii="Times New Roman" w:cs="Times New Roman" w:eastAsia="Times New Roman" w:hAnsi="Times New Roman"/>
          <w:sz w:val="21"/>
          <w:szCs w:val="21"/>
          <w:color w:val="auto"/>
        </w:rPr>
        <w:t xml:space="preserve"> and to any Country-Specific Terms and Conditions attached hereto as </w:t>
      </w:r>
      <w:r>
        <w:rPr>
          <w:rFonts w:ascii="Times New Roman" w:cs="Times New Roman" w:eastAsia="Times New Roman" w:hAnsi="Times New Roman"/>
          <w:sz w:val="21"/>
          <w:szCs w:val="21"/>
          <w:u w:val="single" w:color="auto"/>
          <w:color w:val="auto"/>
        </w:rPr>
        <w:t>Addendum B</w:t>
      </w:r>
      <w:r>
        <w:rPr>
          <w:rFonts w:ascii="Times New Roman" w:cs="Times New Roman" w:eastAsia="Times New Roman" w:hAnsi="Times New Roman"/>
          <w:sz w:val="21"/>
          <w:szCs w:val="21"/>
          <w:color w:val="auto"/>
        </w:rPr>
        <w:t>. If the Participant is a citizen or resident of a country (or is considered as such for local law purposes) other than the one in which the Participant is currently residing or working or if the Participant relocates to one of the countries included in the Country-Specific Terms and Conditions after the grant of the Restricted Stock Units, the special terms and conditions for such country will apply to the Participant to the extent the Company determines that the application of such terms and conditions is necessary or advisable in order to comply with local law or facilitate the administration of the Plan. The Additional Terms and Conditions for Non-U.S. Participants and the Country-Specific Terms and Conditions constitute part of this Restricted Stock Unit Agreement and are incorporated herein by reference.</w:t>
      </w:r>
    </w:p>
    <w:p>
      <w:pPr>
        <w:spacing w:after="0" w:line="148" w:lineRule="exact"/>
        <w:rPr>
          <w:rFonts w:ascii="Times New Roman" w:cs="Times New Roman" w:eastAsia="Times New Roman" w:hAnsi="Times New Roman"/>
          <w:sz w:val="21"/>
          <w:szCs w:val="21"/>
          <w:color w:val="auto"/>
        </w:rPr>
      </w:pPr>
    </w:p>
    <w:p>
      <w:pPr>
        <w:jc w:val="both"/>
        <w:ind w:left="-6" w:firstLine="6"/>
        <w:spacing w:after="0" w:line="233" w:lineRule="auto"/>
        <w:tabs>
          <w:tab w:leader="none" w:pos="63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Restricted Stock Unit Agreement, the Grant Notice and the Plan constitute the entire agreement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34"/>
          </w:cols>
          <w:pgMar w:left="326" w:top="1367" w:right="339" w:bottom="1440" w:gutter="0" w:footer="0" w:header="0"/>
        </w:sectPr>
      </w:pPr>
    </w:p>
    <w:bookmarkStart w:id="92" w:name="page93"/>
    <w:bookmarkEnd w:id="92"/>
    <w:p>
      <w:pPr>
        <w:ind w:left="5200"/>
        <w:spacing w:after="0"/>
        <w:rPr>
          <w:sz w:val="20"/>
          <w:szCs w:val="20"/>
          <w:color w:val="auto"/>
        </w:rPr>
      </w:pPr>
      <w:r>
        <w:rPr>
          <w:rFonts w:ascii="Times New Roman" w:cs="Times New Roman" w:eastAsia="Times New Roman" w:hAnsi="Times New Roman"/>
          <w:sz w:val="21"/>
          <w:szCs w:val="21"/>
          <w:b w:val="1"/>
          <w:bCs w:val="1"/>
          <w:color w:val="auto"/>
        </w:rPr>
        <w:t>ADDENDUM A</w:t>
      </w:r>
    </w:p>
    <w:p>
      <w:pPr>
        <w:spacing w:after="0" w:line="20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color w:val="auto"/>
        </w:rPr>
        <w:t>ADDITIONAL TERMS AND CONDITIONS FOR NON-U.S. PARTICIPANTS</w:t>
      </w:r>
    </w:p>
    <w:p>
      <w:pPr>
        <w:spacing w:after="0" w:line="213"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This Addendum A includes additional terms and conditions that govern the Restricted Stock Units granted to the Participant if the Participant works or resides outside of the United States.</w:t>
      </w:r>
    </w:p>
    <w:p>
      <w:pPr>
        <w:spacing w:after="0" w:line="143"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Capitalized terms used but not defined herein are defined in the Plan or the Restricted Stock Unit Agreement and have the meanings set forth therein.</w:t>
      </w:r>
    </w:p>
    <w:p>
      <w:pPr>
        <w:spacing w:after="0" w:line="139" w:lineRule="exact"/>
        <w:rPr>
          <w:sz w:val="20"/>
          <w:szCs w:val="20"/>
          <w:color w:val="auto"/>
        </w:rPr>
      </w:pPr>
    </w:p>
    <w:p>
      <w:pPr>
        <w:jc w:val="both"/>
        <w:ind w:firstLine="6"/>
        <w:spacing w:after="0" w:line="219" w:lineRule="auto"/>
        <w:tabs>
          <w:tab w:leader="none" w:pos="63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 For purposes of the Restricted Stock Unit Agreement and the Plan, including Section 4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Stock Unit Agreement and Section 8(c)(ii) of the Plan, the date of the Participant’s Termination shall be deemed to be the date on which the Participant ceases to be actively employed by the Service Recipient, which shall not be extended by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an employee of the Service Recipient for purposes of the Restricted Stock Unit Agreement without reference to any other agreement, written or oral, including the Participant’s contract of employment, if applicable.</w:t>
      </w:r>
    </w:p>
    <w:p>
      <w:pPr>
        <w:spacing w:after="0" w:line="145"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Acquired Right</w:t>
      </w:r>
      <w:r>
        <w:rPr>
          <w:rFonts w:ascii="Times New Roman" w:cs="Times New Roman" w:eastAsia="Times New Roman" w:hAnsi="Times New Roman"/>
          <w:sz w:val="21"/>
          <w:szCs w:val="21"/>
          <w:color w:val="auto"/>
        </w:rPr>
        <w:t>. The Participant acknowledges and agrees that:</w:t>
      </w:r>
    </w:p>
    <w:p>
      <w:pPr>
        <w:spacing w:after="0" w:line="186" w:lineRule="exact"/>
        <w:rPr>
          <w:rFonts w:ascii="Times New Roman" w:cs="Times New Roman" w:eastAsia="Times New Roman" w:hAnsi="Times New Roman"/>
          <w:sz w:val="21"/>
          <w:szCs w:val="21"/>
          <w:color w:val="auto"/>
        </w:rPr>
      </w:pPr>
    </w:p>
    <w:p>
      <w:pPr>
        <w:jc w:val="both"/>
        <w:ind w:firstLine="642"/>
        <w:spacing w:after="0" w:line="232" w:lineRule="auto"/>
        <w:tabs>
          <w:tab w:leader="none" w:pos="126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spacing w:after="0" w:line="147"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is voluntarily participating in the Plan.</w:t>
      </w:r>
    </w:p>
    <w:p>
      <w:pPr>
        <w:spacing w:after="0" w:line="182" w:lineRule="exact"/>
        <w:rPr>
          <w:rFonts w:ascii="Times New Roman" w:cs="Times New Roman" w:eastAsia="Times New Roman" w:hAnsi="Times New Roman"/>
          <w:sz w:val="21"/>
          <w:szCs w:val="21"/>
          <w:color w:val="auto"/>
        </w:rPr>
      </w:pPr>
    </w:p>
    <w:p>
      <w:pPr>
        <w:jc w:val="both"/>
        <w:ind w:firstLine="642"/>
        <w:spacing w:after="0" w:line="217" w:lineRule="auto"/>
        <w:tabs>
          <w:tab w:leader="none" w:pos="126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any similar awards the Company may in the future grant to the Participant, even if such awards are made repeatedly or regularly, and regardless of their amount) and the shares of Common Stock acquired under the Plan (i) are wholly discretionary and occasional, are not a term or condition of employment and do not form part of a contract of employment, or any other working arrangement, between the Participant and the Company, the Service Recipient or any Subsidiary, (ii) do not create any contractual entitlement to receive future awards under the Plan or benefits in lieu thereof and are not intended to replace any pension rights or compensation, as applicable, and (iii) do not form part of normal or expected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or similar payments, if applicable.</w:t>
      </w:r>
    </w:p>
    <w:p>
      <w:pPr>
        <w:spacing w:after="0" w:line="154" w:lineRule="exact"/>
        <w:rPr>
          <w:rFonts w:ascii="Times New Roman" w:cs="Times New Roman" w:eastAsia="Times New Roman" w:hAnsi="Times New Roman"/>
          <w:sz w:val="21"/>
          <w:szCs w:val="21"/>
          <w:color w:val="auto"/>
        </w:rPr>
      </w:pPr>
    </w:p>
    <w:p>
      <w:pPr>
        <w:ind w:firstLine="642"/>
        <w:spacing w:after="0" w:line="245" w:lineRule="auto"/>
        <w:tabs>
          <w:tab w:leader="none" w:pos="1267"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Restricted Stock Units and the shares of Common Stock acquired under the Plan are not intended to replace any pension rights or compensation.</w:t>
      </w:r>
    </w:p>
    <w:p>
      <w:pPr>
        <w:spacing w:after="0" w:line="142" w:lineRule="exact"/>
        <w:rPr>
          <w:rFonts w:ascii="Times New Roman" w:cs="Times New Roman" w:eastAsia="Times New Roman" w:hAnsi="Times New Roman"/>
          <w:sz w:val="21"/>
          <w:szCs w:val="21"/>
          <w:color w:val="auto"/>
        </w:rPr>
      </w:pPr>
    </w:p>
    <w:p>
      <w:pPr>
        <w:jc w:val="both"/>
        <w:ind w:firstLine="642"/>
        <w:spacing w:after="0" w:line="223" w:lineRule="auto"/>
        <w:tabs>
          <w:tab w:leader="none" w:pos="126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Participant is an employee and the Participant’s employer is not the Company, the grant of the Restricted Stock Units and any similar awards the Company may grant in the future to the Participant will not be interpreted to form an employment contract or relationship with the Company and, furthermore, the grant of the Restricted Stock Units and any similar awards the Company may grant in the future to the Participant will not be interpreted to form an employment contract with the Service Recipient or any Subsidiary.</w:t>
      </w:r>
    </w:p>
    <w:p>
      <w:pPr>
        <w:sectPr>
          <w:pgSz w:w="11900" w:h="16838" w:orient="portrait"/>
          <w:cols w:equalWidth="0" w:num="1">
            <w:col w:w="11240"/>
          </w:cols>
          <w:pgMar w:left="320" w:top="1367" w:right="339" w:bottom="1440" w:gutter="0" w:footer="0" w:header="0"/>
        </w:sectPr>
      </w:pPr>
    </w:p>
    <w:bookmarkStart w:id="93" w:name="page94"/>
    <w:bookmarkEnd w:id="93"/>
    <w:p>
      <w:pPr>
        <w:jc w:val="both"/>
        <w:ind w:left="-642" w:firstLine="642"/>
        <w:spacing w:after="0" w:line="232" w:lineRule="auto"/>
        <w:tabs>
          <w:tab w:leader="none" w:pos="63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underlying shares of Common Stock is unknown and cannot be predicted with certainty. The Company shall not be liable for any foreign exchange rate fluctuation between the Participant’s local currency and the United States Dollar that may affect the value of the Restricted Stock Units or the shares of Common Stock.</w:t>
      </w:r>
    </w:p>
    <w:p>
      <w:pPr>
        <w:spacing w:after="0" w:line="147" w:lineRule="exact"/>
        <w:rPr>
          <w:rFonts w:ascii="Times New Roman" w:cs="Times New Roman" w:eastAsia="Times New Roman" w:hAnsi="Times New Roman"/>
          <w:sz w:val="21"/>
          <w:szCs w:val="21"/>
          <w:color w:val="auto"/>
        </w:rPr>
      </w:pPr>
    </w:p>
    <w:p>
      <w:pPr>
        <w:jc w:val="both"/>
        <w:ind w:left="-642" w:firstLine="642"/>
        <w:spacing w:after="0" w:line="218" w:lineRule="auto"/>
        <w:tabs>
          <w:tab w:leader="none" w:pos="62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have no rights, claim or entitlement to compensation or damages as a result of the Participant’s cessation of employment or service for any reason whatsoever, whether or not later found to be invalid or in breach of contract or local labor law, insofar as these rights, claim or entitlement arise or may arise from the Participant’s ceasing to have rights under the Restricted Stock Units as a result of such cessation or loss or diminution in value of the Restricted Stock Units or any of the shares of Common Stock issuable under the Restricted Stock Units as a result of such cessation, and the Participant irrevocably releases the Company and its Subsidiaries from any such rights, entitlement or claim that may arise. If, notwithstanding the foregoing, any such right or claim is found by a court of competent jurisdiction to have arisen, then, by signing the Restricted Stock Unit Agreement, the Participant shall be deemed to have irrevocably waived the Participant’s entitlement to pursue such rights or claim.</w:t>
      </w:r>
    </w:p>
    <w:p>
      <w:pPr>
        <w:spacing w:after="0" w:line="149" w:lineRule="exact"/>
        <w:rPr>
          <w:sz w:val="20"/>
          <w:szCs w:val="20"/>
          <w:color w:val="auto"/>
        </w:rPr>
      </w:pPr>
    </w:p>
    <w:p>
      <w:pPr>
        <w:jc w:val="both"/>
        <w:ind w:left="-642" w:firstLine="642"/>
        <w:spacing w:after="0" w:line="215" w:lineRule="auto"/>
        <w:tabs>
          <w:tab w:leader="none" w:pos="63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Foreign Asset/Account and Tax Reporting Requirements; Exchange Controls</w:t>
      </w:r>
      <w:r>
        <w:rPr>
          <w:rFonts w:ascii="Times New Roman" w:cs="Times New Roman" w:eastAsia="Times New Roman" w:hAnsi="Times New Roman"/>
          <w:sz w:val="21"/>
          <w:szCs w:val="21"/>
          <w:color w:val="auto"/>
        </w:rPr>
        <w:t>. The Participant may be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foreign asset/account, exchange control and/or tax reporting requirements as a result of the vesting of the Restricted Stock Units, the acquisition, holding and/or transfer of shares of Common Stock or cash (including dividends and the proceeds arising from the sale of shares) from the Participant’s participation in the Plan and/or the opening and maintaining of a brokerage or bank account in connection with the Plan. The Participant may be required to report such assets, accounts, account balances and values, any cross-border transactions, and/or related transactions to the applicable authorities in the Participant’s country and the Participant may be required to report any acquisition or sale of shares of Common Stock and any taxable income attributable to the Restricted Stock Units to the applicable tax authority or other authority in the Participant’s country (including on the Participant’s annual tax return, if applicable). The Participant may also be required to repatriate sales proceeds or other funds received as a result of the Participant’s participation in the Plan to the Participant’s country through a designated bank or broker and/or within a certain period of time after receipt. The Participant acknowledges that the Participant is responsible for ensuring compliance with any applicable foreign asset/account, exchange control and tax reporting and other requirements and should consult the Participant’s own personal tax and legal advisors, as applicable, on these matters.</w:t>
      </w:r>
    </w:p>
    <w:p>
      <w:pPr>
        <w:sectPr>
          <w:pgSz w:w="11900" w:h="16838" w:orient="portrait"/>
          <w:cols w:equalWidth="0" w:num="1">
            <w:col w:w="10598"/>
          </w:cols>
          <w:pgMar w:left="962" w:top="1371" w:right="339" w:bottom="1440" w:gutter="0" w:footer="0" w:header="0"/>
        </w:sectPr>
      </w:pPr>
    </w:p>
    <w:bookmarkStart w:id="94" w:name="page95"/>
    <w:bookmarkEnd w:id="94"/>
    <w:p>
      <w:pPr>
        <w:ind w:left="638" w:hanging="638"/>
        <w:spacing w:after="0"/>
        <w:tabs>
          <w:tab w:leader="none" w:pos="63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Data Protection (Jurisdictions other than European Union/European Economic Area/United Kingdom)</w:t>
      </w:r>
      <w:r>
        <w:rPr>
          <w:rFonts w:ascii="Times New Roman" w:cs="Times New Roman" w:eastAsia="Times New Roman" w:hAnsi="Times New Roman"/>
          <w:sz w:val="21"/>
          <w:szCs w:val="21"/>
          <w:b w:val="1"/>
          <w:bCs w:val="1"/>
          <w:color w:val="auto"/>
        </w:rPr>
        <w:t>.</w:t>
      </w:r>
    </w:p>
    <w:p>
      <w:pPr>
        <w:spacing w:after="0" w:line="183" w:lineRule="exact"/>
        <w:rPr>
          <w:sz w:val="20"/>
          <w:szCs w:val="20"/>
          <w:color w:val="auto"/>
        </w:rPr>
      </w:pPr>
    </w:p>
    <w:p>
      <w:pPr>
        <w:jc w:val="both"/>
        <w:ind w:left="-642" w:firstLine="642"/>
        <w:spacing w:after="0" w:line="214" w:lineRule="auto"/>
        <w:tabs>
          <w:tab w:leader="none" w:pos="62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 order to facilitate the Participant’s participation in the Plan and the administration of the Restricted Stock Units, it will be necessary for contractual and legal purposes for the Company (or the Service Recipient or their payroll administrators) to collect, hold and process certain personal information and sensitive personal information about the Participant (including, without limitation, the Participant’s name, home address, telephone number, date of birth, nationality, social insurance or other identification number and job title and details of the Restricted Stock Units and other awards granted, cancelled, exercised, vested, unvested or outstanding and shares of Common Stock held by the Participant). The Participant consents explicitly, willingly, and unambiguously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 Subsidiaries and other third parties (collectively, the “</w:t>
      </w:r>
      <w:r>
        <w:rPr>
          <w:rFonts w:ascii="Times New Roman" w:cs="Times New Roman" w:eastAsia="Times New Roman" w:hAnsi="Times New Roman"/>
          <w:sz w:val="21"/>
          <w:szCs w:val="21"/>
          <w:b w:val="1"/>
          <w:bCs w:val="1"/>
          <w:u w:val="single" w:color="auto"/>
          <w:color w:val="auto"/>
        </w:rPr>
        <w:t>Data Recipients</w:t>
      </w:r>
      <w:r>
        <w:rPr>
          <w:rFonts w:ascii="Times New Roman" w:cs="Times New Roman" w:eastAsia="Times New Roman" w:hAnsi="Times New Roman"/>
          <w:sz w:val="21"/>
          <w:szCs w:val="21"/>
          <w:b w:val="1"/>
          <w:bCs w:val="1"/>
          <w:color w:val="auto"/>
        </w:rPr>
        <w:t>”) insofar as is reasonably necessary to implement, administer and manage the Plan and the Restricted Stock Units. The Participant authorizes the Data Recipients to receive, possess, use, retain and transfer the data for the purposes of implementing, administering and managing the Plan and the Restricted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lower standard of data privacy laws and protections than the Participant’s country.</w:t>
      </w:r>
    </w:p>
    <w:p>
      <w:pPr>
        <w:spacing w:after="0" w:line="158" w:lineRule="exact"/>
        <w:rPr>
          <w:rFonts w:ascii="Times New Roman" w:cs="Times New Roman" w:eastAsia="Times New Roman" w:hAnsi="Times New Roman"/>
          <w:sz w:val="21"/>
          <w:szCs w:val="21"/>
          <w:color w:val="auto"/>
        </w:rPr>
      </w:pPr>
    </w:p>
    <w:p>
      <w:pPr>
        <w:jc w:val="both"/>
        <w:ind w:left="-642" w:firstLine="642"/>
        <w:spacing w:after="0" w:line="224" w:lineRule="auto"/>
        <w:tabs>
          <w:tab w:leader="none" w:pos="62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Data Recipients will treat the Participant’s personal data as private and confidential and will not disclose such data for purposes other than the management and administration of the Plan and the Restricted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w:t>
      </w:r>
    </w:p>
    <w:p>
      <w:pPr>
        <w:spacing w:after="0" w:line="145" w:lineRule="exact"/>
        <w:rPr>
          <w:rFonts w:ascii="Times New Roman" w:cs="Times New Roman" w:eastAsia="Times New Roman" w:hAnsi="Times New Roman"/>
          <w:sz w:val="21"/>
          <w:szCs w:val="21"/>
          <w:color w:val="auto"/>
        </w:rPr>
      </w:pPr>
    </w:p>
    <w:p>
      <w:pPr>
        <w:jc w:val="both"/>
        <w:ind w:left="-642" w:firstLine="642"/>
        <w:spacing w:after="0" w:line="222" w:lineRule="auto"/>
        <w:tabs>
          <w:tab w:leader="none" w:pos="62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Participant understands that the Participant may, at any time, make a request to view the Participant’s personal data, require any necessary corrections to it or withdraw the consents herein in writing by contacting the Company and that these rights are subject to legal restrictions but acknowledges that without the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Restricted Stock Units or any future awards under the Plan.</w:t>
      </w:r>
    </w:p>
    <w:p>
      <w:pPr>
        <w:sectPr>
          <w:pgSz w:w="11900" w:h="16838" w:orient="portrait"/>
          <w:cols w:equalWidth="0" w:num="1">
            <w:col w:w="10598"/>
          </w:cols>
          <w:pgMar w:left="962" w:top="1367" w:right="339" w:bottom="1440" w:gutter="0" w:footer="0" w:header="0"/>
        </w:sectPr>
      </w:pPr>
    </w:p>
    <w:bookmarkStart w:id="95" w:name="page96"/>
    <w:bookmarkEnd w:id="95"/>
    <w:p>
      <w:pPr>
        <w:ind w:left="634" w:hanging="634"/>
        <w:spacing w:after="0"/>
        <w:tabs>
          <w:tab w:leader="none" w:pos="63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Data Protection (European Union/European Economic Area/United Kingdom)</w:t>
      </w:r>
      <w:r>
        <w:rPr>
          <w:rFonts w:ascii="Times New Roman" w:cs="Times New Roman" w:eastAsia="Times New Roman" w:hAnsi="Times New Roman"/>
          <w:sz w:val="21"/>
          <w:szCs w:val="21"/>
          <w:b w:val="1"/>
          <w:bCs w:val="1"/>
          <w:color w:val="auto"/>
        </w:rPr>
        <w:t>.</w:t>
      </w:r>
    </w:p>
    <w:p>
      <w:pPr>
        <w:spacing w:after="0" w:line="182" w:lineRule="exact"/>
        <w:rPr>
          <w:rFonts w:ascii="Times New Roman" w:cs="Times New Roman" w:eastAsia="Times New Roman" w:hAnsi="Times New Roman"/>
          <w:sz w:val="21"/>
          <w:szCs w:val="21"/>
          <w:color w:val="auto"/>
        </w:rPr>
      </w:pPr>
    </w:p>
    <w:p>
      <w:pPr>
        <w:jc w:val="both"/>
        <w:ind w:left="-6" w:firstLine="642"/>
        <w:spacing w:after="0" w:line="227" w:lineRule="auto"/>
        <w:tabs>
          <w:tab w:leader="none" w:pos="126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 order to facilitate the Participant’s participation in the Plan and the administration of the Restricted Stock Units, it will be necessary for contractual, legitimate interest and legal purposes for the Company (or the Service Recipient or their payroll administrators) to collect, hold and process certain personal data and, where required for legal purposes with the Participant’s freely given consent, any special category personal data about the Participant. Such personal data includes, without limitation, the Participant’s name, home address, telephone number, date of birth, nationality, social insurance or other identification number and job title and details of the Restricted Stock Units and other awards granted, cancelled, exercised, vested, unvested or outstanding and shares of Common Stock held by the Participant. The Participant hereby acknowledges and agrees to the Company and the Service Recipient (and their Subsidiaries and payroll administrators) collecting, holding and processing the Participant’s personal data and transferring this data (in electronic or other form) by and among, as applicable, the Company, the Service Recipient and their Subsidiaries and other third parties (collectively, the “</w:t>
      </w:r>
      <w:r>
        <w:rPr>
          <w:rFonts w:ascii="Times New Roman" w:cs="Times New Roman" w:eastAsia="Times New Roman" w:hAnsi="Times New Roman"/>
          <w:sz w:val="21"/>
          <w:szCs w:val="21"/>
          <w:b w:val="1"/>
          <w:bCs w:val="1"/>
          <w:u w:val="single" w:color="auto"/>
          <w:color w:val="auto"/>
        </w:rPr>
        <w:t>Data Recipients</w:t>
      </w:r>
      <w:r>
        <w:rPr>
          <w:rFonts w:ascii="Times New Roman" w:cs="Times New Roman" w:eastAsia="Times New Roman" w:hAnsi="Times New Roman"/>
          <w:sz w:val="21"/>
          <w:szCs w:val="21"/>
          <w:b w:val="1"/>
          <w:bCs w:val="1"/>
          <w:color w:val="auto"/>
        </w:rPr>
        <w:t>”) insofar as is reasonably necessary to implement, administer and manage the Plan and the Restricted Stock Units. The Participant understands that the Data Recipients will receive, possess, use, retain and transfer the data for the purposes of implementing, administering and managing the Plan and the Restricted Stock Units. The Participant understands that the data may be transferred to a broker or third party as may be selected by the Company in the future which is assisting the Company with the implementation, administration and management of the Plan. The Participant understands that the Data Recipients may be located in the United States or elsewhere, and that the Data Recipient’s country may have a different or lower standard of data privacy laws and protections than the Participant’s country.</w:t>
      </w:r>
    </w:p>
    <w:p>
      <w:pPr>
        <w:spacing w:after="0" w:line="145" w:lineRule="exact"/>
        <w:rPr>
          <w:rFonts w:ascii="Times New Roman" w:cs="Times New Roman" w:eastAsia="Times New Roman" w:hAnsi="Times New Roman"/>
          <w:sz w:val="21"/>
          <w:szCs w:val="21"/>
          <w:color w:val="auto"/>
        </w:rPr>
      </w:pPr>
    </w:p>
    <w:p>
      <w:pPr>
        <w:jc w:val="both"/>
        <w:ind w:left="-6" w:firstLine="642"/>
        <w:spacing w:after="0" w:line="222" w:lineRule="auto"/>
        <w:tabs>
          <w:tab w:leader="none" w:pos="126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Data Recipients will treat the Participant’s personal data as private and confidential and will not disclose such data for purposes other than the management and administration of the Plan and the Restricted Stock Units and will take reasonable measures to keep the Participant’s personal data private, confidential, accurate and current. The Participant understands that the data will be held only as long as is necessary to implement, administer and manage the Participant’s participation in the Plan and for legal requirements thereafter. The Participant shall notify the Company of any changes to the Participant’s personal data.</w:t>
      </w:r>
    </w:p>
    <w:p>
      <w:pPr>
        <w:spacing w:after="0" w:line="143" w:lineRule="exact"/>
        <w:rPr>
          <w:rFonts w:ascii="Times New Roman" w:cs="Times New Roman" w:eastAsia="Times New Roman" w:hAnsi="Times New Roman"/>
          <w:sz w:val="21"/>
          <w:szCs w:val="21"/>
          <w:color w:val="auto"/>
        </w:rPr>
      </w:pPr>
    </w:p>
    <w:p>
      <w:pPr>
        <w:jc w:val="both"/>
        <w:ind w:left="-6" w:firstLine="642"/>
        <w:spacing w:after="0" w:line="216" w:lineRule="auto"/>
        <w:tabs>
          <w:tab w:leader="none" w:pos="126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Participant understands that the Participant may, at any time, exercise the rights granted to the Participant by the Data Protection Laws (as defined below) and other applicable data protection laws including the right to make a request to access or be provided with a copy of the Participant’s personal data, request additional information about the storage and processing of the data, request that the personal data is restricted or otherwise object to its processing by the Company, require any necessary corrections to it or withdraw any consents provided by the Participant in writing by contacting the Company and that these rights are subject to legal restrictions. The Participant acknowledges that without the Company’s use of such data it may not be practicable for the Company to administer the Participant’s involvement in the Plan in a timely fashion or at all and this may be detrimental to the Participant and may result in the possible exclusion of the Participant from continued participation with respect to the Restricted Stock Units or any future awards under the Plan. The Participant is referred to the privacy notice provided by the employing Subsidiary for further information about the processing of the Participant’s personal data and rights under applicable data protection laws.</w:t>
      </w:r>
    </w:p>
    <w:p>
      <w:pPr>
        <w:sectPr>
          <w:pgSz w:w="11900" w:h="16838" w:orient="portrait"/>
          <w:cols w:equalWidth="0" w:num="1">
            <w:col w:w="11234"/>
          </w:cols>
          <w:pgMar w:left="326" w:top="1367" w:right="339" w:bottom="1440" w:gutter="0" w:footer="0" w:header="0"/>
        </w:sectPr>
      </w:pPr>
    </w:p>
    <w:bookmarkStart w:id="96" w:name="page97"/>
    <w:bookmarkEnd w:id="96"/>
    <w:p>
      <w:pPr>
        <w:jc w:val="both"/>
        <w:ind w:firstLine="642"/>
        <w:spacing w:after="0" w:line="219" w:lineRule="auto"/>
        <w:tabs>
          <w:tab w:leader="none" w:pos="126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For the purpose of this Section 5, “</w:t>
      </w:r>
      <w:r>
        <w:rPr>
          <w:rFonts w:ascii="Times New Roman" w:cs="Times New Roman" w:eastAsia="Times New Roman" w:hAnsi="Times New Roman"/>
          <w:sz w:val="21"/>
          <w:szCs w:val="21"/>
          <w:b w:val="1"/>
          <w:bCs w:val="1"/>
          <w:u w:val="single" w:color="auto"/>
          <w:color w:val="auto"/>
        </w:rPr>
        <w:t>Data Protection Laws</w:t>
      </w:r>
      <w:r>
        <w:rPr>
          <w:rFonts w:ascii="Times New Roman" w:cs="Times New Roman" w:eastAsia="Times New Roman" w:hAnsi="Times New Roman"/>
          <w:sz w:val="21"/>
          <w:szCs w:val="21"/>
          <w:b w:val="1"/>
          <w:bCs w:val="1"/>
          <w:color w:val="auto"/>
        </w:rPr>
        <w:t>” means any law, enactment, regulation or order concerning the processing of personal data including the Data Protection Act 2018 (“</w:t>
      </w:r>
      <w:r>
        <w:rPr>
          <w:rFonts w:ascii="Times New Roman" w:cs="Times New Roman" w:eastAsia="Times New Roman" w:hAnsi="Times New Roman"/>
          <w:sz w:val="21"/>
          <w:szCs w:val="21"/>
          <w:b w:val="1"/>
          <w:bCs w:val="1"/>
          <w:u w:val="single" w:color="auto"/>
          <w:color w:val="auto"/>
        </w:rPr>
        <w:t>DPA</w:t>
      </w:r>
      <w:r>
        <w:rPr>
          <w:rFonts w:ascii="Times New Roman" w:cs="Times New Roman" w:eastAsia="Times New Roman" w:hAnsi="Times New Roman"/>
          <w:sz w:val="21"/>
          <w:szCs w:val="21"/>
          <w:b w:val="1"/>
          <w:bCs w:val="1"/>
          <w:color w:val="auto"/>
        </w:rPr>
        <w:t>”), the General Data Protection Regulation (Regulation (EU) 2016/679) (the “</w:t>
      </w:r>
      <w:r>
        <w:rPr>
          <w:rFonts w:ascii="Times New Roman" w:cs="Times New Roman" w:eastAsia="Times New Roman" w:hAnsi="Times New Roman"/>
          <w:sz w:val="21"/>
          <w:szCs w:val="21"/>
          <w:b w:val="1"/>
          <w:bCs w:val="1"/>
          <w:u w:val="single" w:color="auto"/>
          <w:color w:val="auto"/>
        </w:rPr>
        <w:t>GDPR</w:t>
      </w:r>
      <w:r>
        <w:rPr>
          <w:rFonts w:ascii="Times New Roman" w:cs="Times New Roman" w:eastAsia="Times New Roman" w:hAnsi="Times New Roman"/>
          <w:sz w:val="21"/>
          <w:szCs w:val="21"/>
          <w:b w:val="1"/>
          <w:bCs w:val="1"/>
          <w:color w:val="auto"/>
        </w:rPr>
        <w:t>”), the GDPR as it forms part of retained EU law (as defined in the European Union (Withdrawal) Act 2018), the Privacy and Electronic Communications Regulations (EC Directive) Regulations 2003 (“</w:t>
      </w:r>
      <w:r>
        <w:rPr>
          <w:rFonts w:ascii="Times New Roman" w:cs="Times New Roman" w:eastAsia="Times New Roman" w:hAnsi="Times New Roman"/>
          <w:sz w:val="21"/>
          <w:szCs w:val="21"/>
          <w:b w:val="1"/>
          <w:bCs w:val="1"/>
          <w:u w:val="single" w:color="auto"/>
          <w:color w:val="auto"/>
        </w:rPr>
        <w:t>PECR</w:t>
      </w:r>
      <w:r>
        <w:rPr>
          <w:rFonts w:ascii="Times New Roman" w:cs="Times New Roman" w:eastAsia="Times New Roman" w:hAnsi="Times New Roman"/>
          <w:sz w:val="21"/>
          <w:szCs w:val="21"/>
          <w:b w:val="1"/>
          <w:bCs w:val="1"/>
          <w:color w:val="auto"/>
        </w:rPr>
        <w:t>”), and any subordinate legislation or statutory codes of practice implemented in connection with the DPA, GDPR, PECR and any law that is intended to supplement, amend or replace the foregoing together with any other applicable law in any jurisdiction that regulates the collection, protection or processing of personal data as may come into effect from time to time.</w:t>
      </w:r>
    </w:p>
    <w:p>
      <w:pPr>
        <w:spacing w:after="0" w:line="145" w:lineRule="exact"/>
        <w:rPr>
          <w:rFonts w:ascii="Times New Roman" w:cs="Times New Roman" w:eastAsia="Times New Roman" w:hAnsi="Times New Roman"/>
          <w:sz w:val="21"/>
          <w:szCs w:val="21"/>
          <w:color w:val="auto"/>
        </w:rPr>
      </w:pPr>
    </w:p>
    <w:p>
      <w:pPr>
        <w:ind w:firstLine="6"/>
        <w:spacing w:after="0" w:line="249" w:lineRule="auto"/>
        <w:tabs>
          <w:tab w:leader="none" w:pos="63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 Responsibility for Taxes</w:t>
      </w:r>
      <w:r>
        <w:rPr>
          <w:rFonts w:ascii="Times New Roman" w:cs="Times New Roman" w:eastAsia="Times New Roman" w:hAnsi="Times New Roman"/>
          <w:sz w:val="21"/>
          <w:szCs w:val="21"/>
          <w:color w:val="auto"/>
        </w:rPr>
        <w:t>. This provision supplements Section 8 of the Restricted Stock Unit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14(d) of the Plan.</w:t>
      </w:r>
    </w:p>
    <w:p>
      <w:pPr>
        <w:spacing w:after="0" w:line="139" w:lineRule="exact"/>
        <w:rPr>
          <w:sz w:val="20"/>
          <w:szCs w:val="20"/>
          <w:color w:val="auto"/>
        </w:rPr>
      </w:pPr>
    </w:p>
    <w:p>
      <w:pPr>
        <w:jc w:val="both"/>
        <w:ind w:firstLine="636"/>
        <w:spacing w:after="0" w:line="215" w:lineRule="auto"/>
        <w:rPr>
          <w:sz w:val="20"/>
          <w:szCs w:val="20"/>
          <w:color w:val="auto"/>
        </w:rPr>
      </w:pPr>
      <w:r>
        <w:rPr>
          <w:rFonts w:ascii="Times New Roman" w:cs="Times New Roman" w:eastAsia="Times New Roman" w:hAnsi="Times New Roman"/>
          <w:sz w:val="21"/>
          <w:szCs w:val="21"/>
          <w:color w:val="auto"/>
        </w:rPr>
        <w:t>For purposes of Section 8 of the Restricted Stock Unit Agreement, applicable tax withholding obligations shall include applicable income taxes, employment taxes, social insurance, social security, national insurance contribution, payroll taxes, contributions, levies, payment on account obligations or other amounts (collectively, “</w:t>
      </w:r>
      <w:r>
        <w:rPr>
          <w:rFonts w:ascii="Times New Roman" w:cs="Times New Roman" w:eastAsia="Times New Roman" w:hAnsi="Times New Roman"/>
          <w:sz w:val="21"/>
          <w:szCs w:val="21"/>
          <w:u w:val="single" w:color="auto"/>
          <w:color w:val="auto"/>
        </w:rPr>
        <w:t>Applicable Taxes</w:t>
      </w:r>
      <w:r>
        <w:rPr>
          <w:rFonts w:ascii="Times New Roman" w:cs="Times New Roman" w:eastAsia="Times New Roman" w:hAnsi="Times New Roman"/>
          <w:sz w:val="21"/>
          <w:szCs w:val="21"/>
          <w:color w:val="auto"/>
        </w:rPr>
        <w:t>”) required to be collected, withheld or accounted for with respect to the grant or vesting of the Restricted Stock Units. The Participant acknowledges that regardless of any action the Company (or the Service Recipient) takes, the ultimate liability for the Applicable Taxes is and remains the Participant’s responsibility and that the Company (and the Service Recipient) (i) make no representations or undertakings regarding the treatment of any Applicable Taxes in connection with any aspect of the Restricted Stock Units, including the grant, vesting or settlement of the Restricted Stock Units, and the subsequent sale of any shares of Common Stock acquired at settlement; and (ii) do not commit to structure the terms of the grant or any aspect of the Restricted Stock Units to reduce or eliminate the Participant’s liability for any Applicable Taxes. Further, if the Participant is subject to taxation in more than one jurisdiction between the Date of Grant and the date of any relevant taxable or tax withholding event, as applicable, the Participant acknowledges that the Company and/or the Service Recipient (or former Service Recipient, as applicable) may be required to withhold or account for Applicable Taxes (if any) in more than one jurisdiction.</w:t>
      </w:r>
    </w:p>
    <w:p>
      <w:pPr>
        <w:sectPr>
          <w:pgSz w:w="11900" w:h="16838" w:orient="portrait"/>
          <w:cols w:equalWidth="0" w:num="1">
            <w:col w:w="11240"/>
          </w:cols>
          <w:pgMar w:left="320" w:top="136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1"/>
          <w:szCs w:val="21"/>
          <w:b w:val="1"/>
          <w:bCs w:val="1"/>
          <w:color w:val="auto"/>
        </w:rPr>
        <w:t>ADDENDUM B</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COUNTRY-SPECIFIC TERMS AND CONDITIONS</w:t>
      </w:r>
    </w:p>
    <w:p>
      <w:pPr>
        <w:spacing w:after="0" w:line="187"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These Country-Specific Terms and Conditions include additional terms and conditions and disclosures (if any) that govern the Restricted Stock Units granted to the Participant under the Plan if the Participant resides or works in one of the countries listed below. Capitalized terms used but not defined in these Country-Specific Terms and Conditions are defined in the Plan or the Restricted Stock Unit Agreement and have the meanings set forth therein.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Australia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Offer Document</w:t>
      </w:r>
    </w:p>
    <w:p>
      <w:pPr>
        <w:spacing w:after="0" w:line="183" w:lineRule="exact"/>
        <w:rPr>
          <w:sz w:val="20"/>
          <w:szCs w:val="20"/>
          <w:color w:val="auto"/>
        </w:rPr>
      </w:pPr>
    </w:p>
    <w:p>
      <w:pPr>
        <w:jc w:val="both"/>
        <w:ind w:firstLine="221"/>
        <w:spacing w:after="0" w:line="245" w:lineRule="auto"/>
        <w:rPr>
          <w:sz w:val="20"/>
          <w:szCs w:val="20"/>
          <w:color w:val="auto"/>
        </w:rPr>
      </w:pPr>
      <w:r>
        <w:rPr>
          <w:rFonts w:ascii="Times New Roman" w:cs="Times New Roman" w:eastAsia="Times New Roman" w:hAnsi="Times New Roman"/>
          <w:sz w:val="21"/>
          <w:szCs w:val="21"/>
          <w:color w:val="auto"/>
        </w:rPr>
        <w:t>The information below (the “</w:t>
      </w:r>
      <w:r>
        <w:rPr>
          <w:rFonts w:ascii="Times New Roman" w:cs="Times New Roman" w:eastAsia="Times New Roman" w:hAnsi="Times New Roman"/>
          <w:sz w:val="21"/>
          <w:szCs w:val="21"/>
          <w:u w:val="single" w:color="auto"/>
          <w:color w:val="auto"/>
        </w:rPr>
        <w:t>Offer Document</w:t>
      </w:r>
      <w:r>
        <w:rPr>
          <w:rFonts w:ascii="Times New Roman" w:cs="Times New Roman" w:eastAsia="Times New Roman" w:hAnsi="Times New Roman"/>
          <w:sz w:val="21"/>
          <w:szCs w:val="21"/>
          <w:color w:val="auto"/>
        </w:rPr>
        <w:t>”) sets out information regarding the participation of Australian resident employees of the Company and its Australian subsidiaries in the Plan.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Offer Document</w:t>
      </w:r>
    </w:p>
    <w:p>
      <w:pPr>
        <w:spacing w:after="0" w:line="245" w:lineRule="exact"/>
        <w:rPr>
          <w:sz w:val="20"/>
          <w:szCs w:val="20"/>
          <w:color w:val="auto"/>
        </w:rPr>
      </w:pPr>
    </w:p>
    <w:p>
      <w:pPr>
        <w:jc w:val="both"/>
        <w:ind w:left="380" w:right="60"/>
        <w:spacing w:after="0" w:line="227" w:lineRule="auto"/>
        <w:rPr>
          <w:sz w:val="20"/>
          <w:szCs w:val="20"/>
          <w:color w:val="auto"/>
        </w:rPr>
      </w:pPr>
      <w:r>
        <w:rPr>
          <w:rFonts w:ascii="Times New Roman" w:cs="Times New Roman" w:eastAsia="Times New Roman" w:hAnsi="Times New Roman"/>
          <w:sz w:val="21"/>
          <w:szCs w:val="21"/>
          <w:b w:val="1"/>
          <w:bCs w:val="1"/>
          <w:color w:val="auto"/>
        </w:rPr>
        <w:t>Investment in securities involves a degree of risk and there is no guarantee of the future value of, or returns from, securities the Participant may acquire under the Plan. Employees who elect to participate in the Plan should consider all risk factors relevant to the acquisition of securities under the Plan as set out in this document and any associated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-576580</wp:posOffset>
            </wp:positionV>
            <wp:extent cx="7143115" cy="1396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3115" cy="1396365"/>
                    </a:xfrm>
                    <a:prstGeom prst="rect">
                      <a:avLst/>
                    </a:prstGeom>
                    <a:noFill/>
                  </pic:spPr>
                </pic:pic>
              </a:graphicData>
            </a:graphic>
          </wp:anchor>
        </w:drawing>
      </w:r>
    </w:p>
    <w:p>
      <w:pPr>
        <w:spacing w:after="0" w:line="126" w:lineRule="exact"/>
        <w:rPr>
          <w:sz w:val="20"/>
          <w:szCs w:val="20"/>
          <w:color w:val="auto"/>
        </w:rPr>
      </w:pPr>
    </w:p>
    <w:p>
      <w:pPr>
        <w:jc w:val="both"/>
        <w:ind w:left="380" w:right="60"/>
        <w:spacing w:after="0" w:line="227" w:lineRule="auto"/>
        <w:rPr>
          <w:sz w:val="20"/>
          <w:szCs w:val="20"/>
          <w:color w:val="auto"/>
        </w:rPr>
      </w:pPr>
      <w:r>
        <w:rPr>
          <w:rFonts w:ascii="Times New Roman" w:cs="Times New Roman" w:eastAsia="Times New Roman" w:hAnsi="Times New Roman"/>
          <w:sz w:val="21"/>
          <w:szCs w:val="21"/>
          <w:b w:val="1"/>
          <w:bCs w:val="1"/>
          <w:color w:val="auto"/>
        </w:rPr>
        <w:t>The information contained in this document and any associated documents is general information only. It is not advice or information specific to the Participant’s objectives, financial situation or needs. Australian employees should consider obtaining their own financial product advice from an independent person who is licensed by the Australian Securities and Investments Commission to give advice about participation in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40" w:hanging="634"/>
        <w:spacing w:after="0"/>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OFFER AND TERMS OF PARTICIPATION</w:t>
      </w:r>
    </w:p>
    <w:p>
      <w:pPr>
        <w:spacing w:after="0" w:line="186"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Offer Document relates to an invitation by the Company to eligible employees in Australia to participate in the Plan.</w:t>
      </w:r>
    </w:p>
    <w:p>
      <w:pPr>
        <w:spacing w:after="0" w:line="183"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The terms of the Participant’s participation are set out in the Plan, the Prospectus, the Restricted Stock Unit Agreement and this Offer Document.</w:t>
      </w:r>
    </w:p>
    <w:p>
      <w:pPr>
        <w:spacing w:after="0" w:line="143" w:lineRule="exact"/>
        <w:rPr>
          <w:sz w:val="20"/>
          <w:szCs w:val="20"/>
          <w:color w:val="auto"/>
        </w:rPr>
      </w:pPr>
    </w:p>
    <w:p>
      <w:pPr>
        <w:ind w:firstLine="636"/>
        <w:spacing w:after="0" w:line="245" w:lineRule="auto"/>
        <w:rPr>
          <w:sz w:val="20"/>
          <w:szCs w:val="20"/>
          <w:color w:val="auto"/>
        </w:rPr>
      </w:pPr>
      <w:r>
        <w:rPr>
          <w:rFonts w:ascii="Times New Roman" w:cs="Times New Roman" w:eastAsia="Times New Roman" w:hAnsi="Times New Roman"/>
          <w:sz w:val="21"/>
          <w:szCs w:val="21"/>
          <w:color w:val="auto"/>
        </w:rPr>
        <w:t>By participating in the Plan, the Participant will be bound by terms set out in the Plan, the Prospectus, the Restricted Stock Unit Agreement and this Offer Document.</w:t>
      </w:r>
    </w:p>
    <w:p>
      <w:pPr>
        <w:sectPr>
          <w:pgSz w:w="11900" w:h="16838" w:orient="portrait"/>
          <w:cols w:equalWidth="0" w:num="1">
            <w:col w:w="11240"/>
          </w:cols>
          <w:pgMar w:left="320" w:top="1367" w:right="339" w:bottom="1440" w:gutter="0" w:footer="0" w:header="0"/>
        </w:sectPr>
      </w:pPr>
    </w:p>
    <w:bookmarkStart w:id="98" w:name="page99"/>
    <w:bookmarkEnd w:id="98"/>
    <w:p>
      <w:pPr>
        <w:ind w:firstLine="6"/>
        <w:spacing w:after="0" w:line="249" w:lineRule="auto"/>
        <w:tabs>
          <w:tab w:leader="none" w:pos="63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HOW CAN A PARTICIPANT ASCERTAIN THE CURRENT MARKET PRICE OF SHARES UNDERLYING THE RESTRICTED STOCK UNIT AWARD IN AUSTRALIAN DOLLARS?</w:t>
      </w:r>
    </w:p>
    <w:p>
      <w:pPr>
        <w:spacing w:after="0" w:line="139"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The Participant could, from time to time, ascertain the market price of a share of Common Stock by obtaining that price from the NASDAQ website, the Company website or The Wall Street Journal, and multiplying that price by a published exchange rate to convert U.S. Dollars into Australian Dollars, to determine the Australian dollar equivalent of that current market price.</w:t>
      </w:r>
    </w:p>
    <w:p>
      <w:pPr>
        <w:spacing w:after="0" w:line="144" w:lineRule="exact"/>
        <w:rPr>
          <w:sz w:val="20"/>
          <w:szCs w:val="20"/>
          <w:color w:val="auto"/>
        </w:rPr>
      </w:pPr>
    </w:p>
    <w:p>
      <w:pPr>
        <w:ind w:left="640" w:hanging="634"/>
        <w:spacing w:after="0"/>
        <w:tabs>
          <w:tab w:leader="none" w:pos="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RISKS OF ACQUIRING AND HOLDING SHARES</w:t>
      </w:r>
    </w:p>
    <w:p>
      <w:pPr>
        <w:spacing w:after="0" w:line="186"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Acquiring and holding shares of Common Stock involves risk. These risks include that:</w:t>
      </w:r>
    </w:p>
    <w:p>
      <w:pPr>
        <w:spacing w:after="0" w:line="182" w:lineRule="exact"/>
        <w:rPr>
          <w:rFonts w:ascii="Times New Roman" w:cs="Times New Roman" w:eastAsia="Times New Roman" w:hAnsi="Times New Roman"/>
          <w:sz w:val="21"/>
          <w:szCs w:val="21"/>
          <w:color w:val="auto"/>
        </w:rPr>
      </w:pPr>
    </w:p>
    <w:p>
      <w:pPr>
        <w:jc w:val="both"/>
        <w:ind w:firstLine="642"/>
        <w:spacing w:after="0" w:line="232" w:lineRule="auto"/>
        <w:tabs>
          <w:tab w:leader="none" w:pos="126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guarantee that the shares of Common Stock will grow in value - they may decline in value. Stock markets are subject to fluctuations and the price of shares can rise and fall, depending upon the Company’s performance and other internal and external factors.</w:t>
      </w:r>
    </w:p>
    <w:p>
      <w:pPr>
        <w:spacing w:after="0" w:line="147"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assurance that the Company will pay dividends even if its earnings increase.</w:t>
      </w:r>
    </w:p>
    <w:p>
      <w:pPr>
        <w:spacing w:after="0" w:line="182" w:lineRule="exact"/>
        <w:rPr>
          <w:rFonts w:ascii="Times New Roman" w:cs="Times New Roman" w:eastAsia="Times New Roman" w:hAnsi="Times New Roman"/>
          <w:sz w:val="21"/>
          <w:szCs w:val="21"/>
          <w:color w:val="auto"/>
        </w:rPr>
      </w:pPr>
    </w:p>
    <w:p>
      <w:pPr>
        <w:ind w:right="20" w:firstLine="642"/>
        <w:spacing w:after="0" w:line="245" w:lineRule="auto"/>
        <w:tabs>
          <w:tab w:leader="none" w:pos="126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tax implications involved in acquiring and holding shares of Common Stock and the tax regime applying to the Participant may change.</w:t>
      </w:r>
    </w:p>
    <w:p>
      <w:pPr>
        <w:spacing w:after="0" w:line="143"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21"/>
          <w:szCs w:val="21"/>
          <w:u w:val="single" w:color="auto"/>
          <w:color w:val="auto"/>
        </w:rPr>
        <w:t>Tax Deferred Scheme</w:t>
      </w:r>
      <w:r>
        <w:rPr>
          <w:rFonts w:ascii="Times New Roman" w:cs="Times New Roman" w:eastAsia="Times New Roman" w:hAnsi="Times New Roman"/>
          <w:sz w:val="21"/>
          <w:szCs w:val="21"/>
          <w:color w:val="auto"/>
        </w:rPr>
        <w:t>. Subdivision 83A-C of the Income Tax Assessment Act 1997 (Cth) applies to the scheme (subject to the requirements of applicable Australian tax legislation).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The following supplements Section 4 of Addendum A of the Restricted Stock Unit Agreement:</w:t>
      </w:r>
    </w:p>
    <w:p>
      <w:pPr>
        <w:spacing w:after="0" w:line="183" w:lineRule="exact"/>
        <w:rPr>
          <w:sz w:val="20"/>
          <w:szCs w:val="20"/>
          <w:color w:val="auto"/>
        </w:rPr>
      </w:pPr>
    </w:p>
    <w:p>
      <w:pPr>
        <w:ind w:firstLine="721"/>
        <w:spacing w:after="0" w:line="245" w:lineRule="auto"/>
        <w:tabs>
          <w:tab w:leader="none" w:pos="987"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understands that recipients of the data described in Section 4 of Addendum A of the Restricted Stock Unit Agreement (the “</w:t>
      </w:r>
      <w:r>
        <w:rPr>
          <w:rFonts w:ascii="Times New Roman" w:cs="Times New Roman" w:eastAsia="Times New Roman" w:hAnsi="Times New Roman"/>
          <w:sz w:val="21"/>
          <w:szCs w:val="21"/>
          <w:u w:val="single" w:color="auto"/>
          <w:color w:val="auto"/>
        </w:rPr>
        <w:t>Data</w:t>
      </w:r>
      <w:r>
        <w:rPr>
          <w:rFonts w:ascii="Times New Roman" w:cs="Times New Roman" w:eastAsia="Times New Roman" w:hAnsi="Times New Roman"/>
          <w:sz w:val="21"/>
          <w:szCs w:val="21"/>
          <w:color w:val="auto"/>
        </w:rPr>
        <w:t>”) may be located in the United States.</w:t>
      </w:r>
    </w:p>
    <w:p>
      <w:pPr>
        <w:spacing w:after="0" w:line="142" w:lineRule="exact"/>
        <w:rPr>
          <w:rFonts w:ascii="Times New Roman" w:cs="Times New Roman" w:eastAsia="Times New Roman" w:hAnsi="Times New Roman"/>
          <w:sz w:val="21"/>
          <w:szCs w:val="21"/>
          <w:color w:val="auto"/>
        </w:rPr>
      </w:pPr>
    </w:p>
    <w:p>
      <w:pPr>
        <w:jc w:val="both"/>
        <w:ind w:firstLine="721"/>
        <w:spacing w:after="0" w:line="226" w:lineRule="auto"/>
        <w:tabs>
          <w:tab w:leader="none" w:pos="10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understands that, by consenting to the disclosure of the Data to recipients located overseas, Australian Privacy Principle (“</w:t>
      </w:r>
      <w:r>
        <w:rPr>
          <w:rFonts w:ascii="Times New Roman" w:cs="Times New Roman" w:eastAsia="Times New Roman" w:hAnsi="Times New Roman"/>
          <w:sz w:val="21"/>
          <w:szCs w:val="21"/>
          <w:u w:val="single" w:color="auto"/>
          <w:color w:val="auto"/>
        </w:rPr>
        <w:t>APP</w:t>
      </w:r>
      <w:r>
        <w:rPr>
          <w:rFonts w:ascii="Times New Roman" w:cs="Times New Roman" w:eastAsia="Times New Roman" w:hAnsi="Times New Roman"/>
          <w:sz w:val="21"/>
          <w:szCs w:val="21"/>
          <w:color w:val="auto"/>
        </w:rPr>
        <w:t>”) 8.1 will not apply to the disclosure and as a result the Company and the Service Recipient will not be accountable under the Privacy Act 1988 (Cth) and the Participant may not be able to seek redress under the Privacy Act 1988 (Cth) in respect of this Data.</w:t>
      </w:r>
    </w:p>
    <w:p>
      <w:pPr>
        <w:spacing w:after="0" w:line="150" w:lineRule="exact"/>
        <w:rPr>
          <w:rFonts w:ascii="Times New Roman" w:cs="Times New Roman" w:eastAsia="Times New Roman" w:hAnsi="Times New Roman"/>
          <w:sz w:val="21"/>
          <w:szCs w:val="21"/>
          <w:color w:val="auto"/>
        </w:rPr>
      </w:pPr>
    </w:p>
    <w:p>
      <w:pPr>
        <w:jc w:val="both"/>
        <w:ind w:firstLine="721"/>
        <w:spacing w:after="0" w:line="232" w:lineRule="auto"/>
        <w:tabs>
          <w:tab w:leader="none" w:pos="11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the privacy policy of the Service Recipient contains information about how the Participant may access the Data about the Participant that it holds and seek the correction of such Data. It also contains information about how the Participant may complain about a breach of the APPs and how the Service Recipient will deal with such a complaint.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Canada (Ontario)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Award Payable Only in Shares</w:t>
      </w:r>
    </w:p>
    <w:p>
      <w:pPr>
        <w:spacing w:after="0" w:line="18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Notwithstanding any discretion in the Plan or anything to the contrary in the Restricted Stock Unit Agreement, including Section 8(d) of the Plan, the grant of the Restricted Stock Units does not provide the Participant any right to receive a cash payment and the Restricted Stock Units may be settled only by delivery of shares of Common Stock.</w:t>
      </w:r>
    </w:p>
    <w:p>
      <w:pPr>
        <w:sectPr>
          <w:pgSz w:w="11900" w:h="16838" w:orient="portrait"/>
          <w:cols w:equalWidth="0" w:num="1">
            <w:col w:w="11240"/>
          </w:cols>
          <w:pgMar w:left="320" w:top="136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u w:val="single" w:color="auto"/>
          <w:color w:val="auto"/>
        </w:rPr>
        <w:t>Securities Law Information</w:t>
      </w:r>
    </w:p>
    <w:p>
      <w:pPr>
        <w:spacing w:after="0" w:line="183"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21"/>
          <w:szCs w:val="21"/>
          <w:color w:val="auto"/>
        </w:rPr>
        <w:t>Shares of Common Stock acquired under the Plan are subject to certain restrictions on resale imposed by Canadian provincial and territorial securities laws, as applicable. Notwithstanding any other provision of the Plan to the contrary, any transfer or resale of any shares of Common Stock acquired by the Participant pursuant to the Plan must be in accordance with the resale rules under applicable Canadian provincial and territorial securities laws, including Ontario Securities Commission Rule 72-503 Distributions Outside Canada (“</w:t>
      </w:r>
      <w:r>
        <w:rPr>
          <w:rFonts w:ascii="Times New Roman" w:cs="Times New Roman" w:eastAsia="Times New Roman" w:hAnsi="Times New Roman"/>
          <w:sz w:val="21"/>
          <w:szCs w:val="21"/>
          <w:u w:val="single" w:color="auto"/>
          <w:color w:val="auto"/>
        </w:rPr>
        <w:t>72-503</w:t>
      </w:r>
      <w:r>
        <w:rPr>
          <w:rFonts w:ascii="Times New Roman" w:cs="Times New Roman" w:eastAsia="Times New Roman" w:hAnsi="Times New Roman"/>
          <w:sz w:val="21"/>
          <w:szCs w:val="21"/>
          <w:color w:val="auto"/>
        </w:rPr>
        <w:t xml:space="preserve"> ”), if the Participant is a resident in the Province of Ontario. In Ontario, the prospectus requirement does not apply to the first trade of shares of Common Stock issued in connection with the Restricted Stock Units, provided the conditions set forth in section 2.8 of 72-503 are satisfied. The shares of Common Stock acquired under the Plan may not be transferred or sold in Canada or to a Canadian resident other than in accordance with applicable provincial or territorial securities laws. The Participant is advised to consult the Participant’s own legal advisor prior to any resale of shares of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Data Protection</w:t>
      </w:r>
    </w:p>
    <w:p>
      <w:pPr>
        <w:spacing w:after="0" w:line="18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Section 3 of Addendum A of the Restricted Stock Unit Agreement is amended to add the following to the end of Section 4(a): In connection therewith, it is possible that personal data may be disclosed to governments, courts or law enforcement or regulatory agencies in that other country in accordance with the laws of that country.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Termination</w:t>
      </w:r>
    </w:p>
    <w:p>
      <w:pPr>
        <w:spacing w:after="0" w:line="183" w:lineRule="exact"/>
        <w:rPr>
          <w:sz w:val="20"/>
          <w:szCs w:val="20"/>
          <w:color w:val="auto"/>
        </w:rPr>
      </w:pPr>
    </w:p>
    <w:p>
      <w:pPr>
        <w:jc w:val="both"/>
        <w:ind w:firstLine="636"/>
        <w:spacing w:after="0" w:line="217" w:lineRule="auto"/>
        <w:rPr>
          <w:sz w:val="20"/>
          <w:szCs w:val="20"/>
          <w:color w:val="auto"/>
        </w:rPr>
      </w:pPr>
      <w:r>
        <w:rPr>
          <w:rFonts w:ascii="Times New Roman" w:cs="Times New Roman" w:eastAsia="Times New Roman" w:hAnsi="Times New Roman"/>
          <w:sz w:val="21"/>
          <w:szCs w:val="21"/>
          <w:color w:val="auto"/>
        </w:rPr>
        <w:t>For purposes of the Restricted Stock Unit Agreement and the Plan, including Section 4 of the Restricted Stock Unit Agreement and Section 8(c)(ii) of the Plan, the date of the Participant’s Termination shall be deemed to be the date on which the Participant ceases to be actively employed by the Service Recipient, which term “actively employed” shall include any period for which the Participant is deemed to be actively employed for purposes of applicable employment standards legislation, and shall exclude any other period of non-working notice of termination or any notice period, whether mandated or implied under local law during which the Participant is not actually employed (e.g., garden leave or similar leave) or during or for which the Participant receives pay in lieu of notice or severance pay. The Company shall have the sole discretion to determine when the Participant is no longer actively employed for purposes of the Restricted Stock Unit Agreement and the Plan without reference to any other agreement, written or oral, including the Participant’s contract of employment, if applicable.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India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Exchange Control Notification</w:t>
      </w:r>
    </w:p>
    <w:p>
      <w:pPr>
        <w:spacing w:after="0" w:line="18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The Participant’s participation in the Plan and purchase of shares of Common Stock is subject to and conditional upon the Participant’s compliance with all applicable laws including but not limited to the (Indian) Foreign Exchange Management Act, 1999 and the regulations thereunder, as amended.</w:t>
      </w:r>
    </w:p>
    <w:p>
      <w:pPr>
        <w:spacing w:after="0" w:line="148"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The Participant must repatriate any proceeds from the sale of shares of Common Stock acquired under the Plan and any dividends on such shares to India within the stipulated period. The Participant should consult the Participant’s own advisor with respect to such requirements.</w:t>
      </w:r>
    </w:p>
    <w:p>
      <w:pPr>
        <w:sectPr>
          <w:pgSz w:w="11900" w:h="16838" w:orient="portrait"/>
          <w:cols w:equalWidth="0" w:num="1">
            <w:col w:w="11240"/>
          </w:cols>
          <w:pgMar w:left="320" w:top="137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1"/>
          <w:szCs w:val="21"/>
          <w:b w:val="1"/>
          <w:bCs w:val="1"/>
          <w:u w:val="single" w:color="auto"/>
          <w:color w:val="auto"/>
        </w:rPr>
        <w:t>Israel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Additional Terms and Conditions</w:t>
      </w:r>
    </w:p>
    <w:p>
      <w:pPr>
        <w:spacing w:after="0" w:line="183" w:lineRule="exact"/>
        <w:rPr>
          <w:sz w:val="20"/>
          <w:szCs w:val="20"/>
          <w:color w:val="auto"/>
        </w:rPr>
      </w:pPr>
    </w:p>
    <w:p>
      <w:pPr>
        <w:jc w:val="both"/>
        <w:ind w:firstLine="636"/>
        <w:spacing w:after="0" w:line="226" w:lineRule="auto"/>
        <w:rPr>
          <w:sz w:val="20"/>
          <w:szCs w:val="20"/>
          <w:color w:val="auto"/>
        </w:rPr>
      </w:pPr>
      <w:r>
        <w:rPr>
          <w:rFonts w:ascii="Times New Roman" w:cs="Times New Roman" w:eastAsia="Times New Roman" w:hAnsi="Times New Roman"/>
          <w:sz w:val="21"/>
          <w:szCs w:val="21"/>
          <w:color w:val="auto"/>
        </w:rPr>
        <w:t>The Restricted Stock Units are granted to the Participant pursuant to the Israeli Appendix to the Plan (the “</w:t>
      </w:r>
      <w:r>
        <w:rPr>
          <w:rFonts w:ascii="Times New Roman" w:cs="Times New Roman" w:eastAsia="Times New Roman" w:hAnsi="Times New Roman"/>
          <w:sz w:val="21"/>
          <w:szCs w:val="21"/>
          <w:u w:val="single" w:color="auto"/>
          <w:color w:val="auto"/>
        </w:rPr>
        <w:t>Israel Appendix</w:t>
      </w:r>
      <w:r>
        <w:rPr>
          <w:rFonts w:ascii="Times New Roman" w:cs="Times New Roman" w:eastAsia="Times New Roman" w:hAnsi="Times New Roman"/>
          <w:sz w:val="21"/>
          <w:szCs w:val="21"/>
          <w:color w:val="auto"/>
        </w:rPr>
        <w:t>”) and are subject to the terms and conditions as stated in the Israel Appendix, the Plan and the Restricted Stock Unit Agreement, including this Addendum B. All capitalized terms that are not defined herein shall have the meanings defined in the Plan and the Israel Appendix.</w:t>
      </w:r>
    </w:p>
    <w:p>
      <w:pPr>
        <w:spacing w:after="0" w:line="150" w:lineRule="exact"/>
        <w:rPr>
          <w:sz w:val="20"/>
          <w:szCs w:val="20"/>
          <w:color w:val="auto"/>
        </w:rPr>
      </w:pPr>
    </w:p>
    <w:p>
      <w:pPr>
        <w:jc w:val="both"/>
        <w:ind w:firstLine="636"/>
        <w:spacing w:after="0" w:line="218" w:lineRule="auto"/>
        <w:rPr>
          <w:sz w:val="20"/>
          <w:szCs w:val="20"/>
          <w:color w:val="auto"/>
        </w:rPr>
      </w:pPr>
      <w:r>
        <w:rPr>
          <w:rFonts w:ascii="Times New Roman" w:cs="Times New Roman" w:eastAsia="Times New Roman" w:hAnsi="Times New Roman"/>
          <w:sz w:val="21"/>
          <w:szCs w:val="21"/>
          <w:color w:val="auto"/>
        </w:rPr>
        <w:t>The Participant agrees to be bound by the terms of the Israel Appendix, which describes the requirements for compliance with the “capital gains track” under Section 102 of the Israeli Income Tax Ordinance (New Version) 1961, as now in effect or as hereafter amended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and the rules promulgated thereunder. The Participant agrees that the Participant’s participation in the Plan is subject to the provisions of Section 102, the Trust Agreement entered into between the Company and the Trustee and the provisions of any ruling obtained by the Company from the ITA; provided however, that notwithstanding the foregoing, the Company, its affiliates and successors are under no duty to take any action or ensure, and no representation or commitment is made, with respect to the qualification of the shares of Common Stock received under the Plan for any particular tax treatment, including as a Capital Gain Award.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Data Privacy</w:t>
      </w:r>
    </w:p>
    <w:p>
      <w:pPr>
        <w:spacing w:after="0" w:line="183"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The Participant understands and agrees that the Participant's consent to the data privacy provisions in the General (All Countries) Section also expressly includes possible further transfers of Data thereafter to the recipients described in such section.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UK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Sub-Plan</w:t>
      </w:r>
    </w:p>
    <w:p>
      <w:pPr>
        <w:spacing w:after="0" w:line="183"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21"/>
          <w:szCs w:val="21"/>
          <w:color w:val="auto"/>
        </w:rPr>
        <w:t>The Restricted Stock Units are granted subject to the Sub-Plan for U.K. Employees and all references to the Plan shall include the Sub-Plan.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Award Payable Only in Common Stock</w:t>
      </w:r>
    </w:p>
    <w:p>
      <w:pPr>
        <w:spacing w:after="0" w:line="18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Notwithstanding any discretion in the Plan or anything to the contrary in the Restricted Stock Unit Agreement or the Plan, including Section 8(d) of the Plan, the grant of the Restricted Stock Units does not provide the Participant any right to receive a cash payment and the Restricted Stock Units may be settled only in shares of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Termination of Service</w:t>
      </w:r>
    </w:p>
    <w:p>
      <w:pPr>
        <w:spacing w:after="0" w:line="183" w:lineRule="exact"/>
        <w:rPr>
          <w:sz w:val="20"/>
          <w:szCs w:val="20"/>
          <w:color w:val="auto"/>
        </w:rPr>
      </w:pPr>
    </w:p>
    <w:p>
      <w:pPr>
        <w:jc w:val="both"/>
        <w:ind w:firstLine="636"/>
        <w:spacing w:after="0" w:line="223" w:lineRule="auto"/>
        <w:rPr>
          <w:sz w:val="20"/>
          <w:szCs w:val="20"/>
          <w:color w:val="auto"/>
        </w:rPr>
      </w:pPr>
      <w:r>
        <w:rPr>
          <w:rFonts w:ascii="Times New Roman" w:cs="Times New Roman" w:eastAsia="Times New Roman" w:hAnsi="Times New Roman"/>
          <w:sz w:val="21"/>
          <w:szCs w:val="21"/>
          <w:color w:val="auto"/>
        </w:rPr>
        <w:t>The Participant has no right to compensation or damages on account of any loss in respect of Restricted Stock Units under the Plan where the loss arises or is claimed to arise in whole or part from: (a) the termination of the Participant’s office or employment; or (b) notice to terminate the Participant’s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p>
    <w:p>
      <w:pPr>
        <w:sectPr>
          <w:pgSz w:w="11900" w:h="16838" w:orient="portrait"/>
          <w:cols w:equalWidth="0" w:num="1">
            <w:col w:w="11240"/>
          </w:cols>
          <w:pgMar w:left="320" w:top="136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1"/>
          <w:szCs w:val="21"/>
          <w:u w:val="single" w:color="auto"/>
          <w:color w:val="auto"/>
        </w:rPr>
        <w:t>Taxes</w:t>
      </w:r>
    </w:p>
    <w:p>
      <w:pPr>
        <w:spacing w:after="0" w:line="183"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21"/>
          <w:szCs w:val="21"/>
          <w:color w:val="auto"/>
        </w:rPr>
        <w:t>The Participant agrees to indemnify the Company and the Service Recipient (as applicable) for any Applicable Taxes that may be payable with respect to the full number of shares of Common Stock vested and issued (including those shares of Common Stock that are deemed issued).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Employer NIC</w:t>
      </w:r>
    </w:p>
    <w:p>
      <w:pPr>
        <w:spacing w:after="0" w:line="183" w:lineRule="exact"/>
        <w:rPr>
          <w:sz w:val="20"/>
          <w:szCs w:val="20"/>
          <w:color w:val="auto"/>
        </w:rPr>
      </w:pPr>
    </w:p>
    <w:p>
      <w:pPr>
        <w:jc w:val="both"/>
        <w:ind w:firstLine="306"/>
        <w:spacing w:after="0" w:line="216" w:lineRule="auto"/>
        <w:rPr>
          <w:sz w:val="20"/>
          <w:szCs w:val="20"/>
          <w:color w:val="auto"/>
        </w:rPr>
      </w:pPr>
      <w:r>
        <w:rPr>
          <w:rFonts w:ascii="Times New Roman" w:cs="Times New Roman" w:eastAsia="Times New Roman" w:hAnsi="Times New Roman"/>
          <w:sz w:val="21"/>
          <w:szCs w:val="21"/>
          <w:color w:val="auto"/>
        </w:rPr>
        <w:t>As a condition to the issuance of shares of Common Stock under the Restricted Stock Units, the Company may require the Participant to agree to accept all liability for and pay all secondary Class 1 National Insurance Contributions, and (and to the extent lawful for the Participant to bear the cost) any employer’s health and social care levy or similar payments, which would otherwise be payable by the Company or the Service Recipient (or any successor or any affiliate employing or previously employing the Participant) with respect to the issuance of shares of Common stock under the Restricted Stock Units or any other event giving rise to taxation under the Restricted Stock Units (the “</w:t>
      </w:r>
      <w:r>
        <w:rPr>
          <w:rFonts w:ascii="Times New Roman" w:cs="Times New Roman" w:eastAsia="Times New Roman" w:hAnsi="Times New Roman"/>
          <w:sz w:val="21"/>
          <w:szCs w:val="21"/>
          <w:u w:val="single" w:color="auto"/>
          <w:color w:val="auto"/>
        </w:rPr>
        <w:t>Employer NIC</w:t>
      </w:r>
      <w:r>
        <w:rPr>
          <w:rFonts w:ascii="Times New Roman" w:cs="Times New Roman" w:eastAsia="Times New Roman" w:hAnsi="Times New Roman"/>
          <w:sz w:val="21"/>
          <w:szCs w:val="21"/>
          <w:color w:val="auto"/>
        </w:rPr>
        <w:t>”). The Participant agrees that the Participant will execute, within the time period specified by the Company, a joint election (the “</w:t>
      </w:r>
      <w:r>
        <w:rPr>
          <w:rFonts w:ascii="Times New Roman" w:cs="Times New Roman" w:eastAsia="Times New Roman" w:hAnsi="Times New Roman"/>
          <w:sz w:val="21"/>
          <w:szCs w:val="21"/>
          <w:u w:val="single" w:color="auto"/>
          <w:color w:val="auto"/>
        </w:rPr>
        <w:t>Joint Election</w:t>
      </w:r>
      <w:r>
        <w:rPr>
          <w:rFonts w:ascii="Times New Roman" w:cs="Times New Roman" w:eastAsia="Times New Roman" w:hAnsi="Times New Roman"/>
          <w:sz w:val="21"/>
          <w:szCs w:val="21"/>
          <w:color w:val="auto"/>
        </w:rPr>
        <w:t>”) provided by the Company and any other consent or elections required to effect the transfer of the Employer NIC. The Participant further agrees to execute such other joint elections and any other consent or elections as may be required between the Participant and any successor to the Company and/or the Service Recipient. The Participant further agrees that the Company and/or the Service Recipient may collect the Employer NIC by any of the means set forth in the Joint Election or other applicable consent or election.</w:t>
      </w:r>
    </w:p>
    <w:p>
      <w:pPr>
        <w:sectPr>
          <w:pgSz w:w="11900" w:h="16838" w:orient="portrait"/>
          <w:cols w:equalWidth="0" w:num="1">
            <w:col w:w="11240"/>
          </w:cols>
          <w:pgMar w:left="320" w:top="1371"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RESTRICTIVE COVENANT AGREEMENT</w:t>
      </w:r>
    </w:p>
    <w:p>
      <w:pPr>
        <w:sectPr>
          <w:pgSz w:w="11900" w:h="16838" w:orient="portrait"/>
          <w:cols w:equalWidth="0" w:num="1">
            <w:col w:w="9019"/>
          </w:cols>
          <w:pgMar w:left="1440" w:top="1367"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120" w:hanging="318"/>
        <w:spacing w:after="0" w:line="274" w:lineRule="auto"/>
        <w:tabs>
          <w:tab w:leader="none" w:pos="9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3" w:right="339" w:bottom="1440" w:gutter="0" w:footer="0" w:header="0"/>
        </w:sectPr>
      </w:pPr>
    </w:p>
    <w:bookmarkStart w:id="104" w:name="page105"/>
    <w:bookmarkEnd w:id="104"/>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August 1, 2022</w:t>
      </w:r>
      <w:r>
        <w:rPr>
          <w:sz w:val="20"/>
          <w:szCs w:val="20"/>
          <w:color w:val="auto"/>
        </w:rPr>
        <w:tab/>
      </w:r>
      <w:r>
        <w:rPr>
          <w:rFonts w:ascii="Times New Roman" w:cs="Times New Roman" w:eastAsia="Times New Roman" w:hAnsi="Times New Roman"/>
          <w:sz w:val="17"/>
          <w:szCs w:val="17"/>
          <w:color w:val="auto"/>
        </w:rPr>
        <w:t>Henry Schuck</w:t>
      </w:r>
    </w:p>
    <w:p>
      <w:pPr>
        <w:spacing w:after="0" w:line="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Cameron Hyzer, certify that:</w:t>
      </w:r>
    </w:p>
    <w:p>
      <w:pPr>
        <w:spacing w:after="0" w:line="244" w:lineRule="exact"/>
        <w:rPr>
          <w:sz w:val="20"/>
          <w:szCs w:val="20"/>
          <w:color w:val="auto"/>
        </w:rPr>
      </w:pPr>
    </w:p>
    <w:p>
      <w:pPr>
        <w:ind w:left="180" w:hanging="174"/>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ZoomInfo Technologies Inc.;</w:t>
      </w:r>
    </w:p>
    <w:p>
      <w:pPr>
        <w:spacing w:after="0" w:line="243"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60" w:firstLine="6"/>
        <w:spacing w:after="0" w:line="259"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960" w:right="340" w:hanging="318"/>
        <w:spacing w:after="0" w:line="259" w:lineRule="auto"/>
        <w:tabs>
          <w:tab w:leader="none" w:pos="8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8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960" w:right="740" w:hanging="318"/>
        <w:spacing w:after="0" w:line="304" w:lineRule="auto"/>
        <w:tabs>
          <w:tab w:leader="none" w:pos="88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960" w:right="320" w:hanging="318"/>
        <w:spacing w:after="0" w:line="259" w:lineRule="auto"/>
        <w:tabs>
          <w:tab w:leader="none" w:pos="8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right="680" w:firstLine="6"/>
        <w:spacing w:after="0" w:line="27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960" w:right="200" w:hanging="318"/>
        <w:spacing w:after="0" w:line="274" w:lineRule="auto"/>
        <w:tabs>
          <w:tab w:leader="none" w:pos="8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3" w:right="339" w:bottom="1440" w:gutter="0" w:footer="0" w:header="0"/>
        </w:sectPr>
      </w:pPr>
    </w:p>
    <w:bookmarkStart w:id="106" w:name="page107"/>
    <w:bookmarkEnd w:id="106"/>
    <w:p>
      <w:pPr>
        <w:spacing w:after="0" w:line="200" w:lineRule="exact"/>
        <w:rPr>
          <w:sz w:val="20"/>
          <w:szCs w:val="20"/>
          <w:color w:val="auto"/>
        </w:rPr>
      </w:pPr>
    </w:p>
    <w:p>
      <w:pPr>
        <w:spacing w:after="0" w:line="337"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August 1, 2022</w:t>
      </w:r>
      <w:r>
        <w:rPr>
          <w:sz w:val="20"/>
          <w:szCs w:val="20"/>
          <w:color w:val="auto"/>
        </w:rPr>
        <w:tab/>
      </w:r>
      <w:r>
        <w:rPr>
          <w:rFonts w:ascii="Times New Roman" w:cs="Times New Roman" w:eastAsia="Times New Roman" w:hAnsi="Times New Roman"/>
          <w:sz w:val="17"/>
          <w:szCs w:val="17"/>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40005</wp:posOffset>
            </wp:positionV>
            <wp:extent cx="3079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 Cameron Hyzer</w:t>
      </w:r>
    </w:p>
    <w:p>
      <w:pPr>
        <w:spacing w:after="0" w:line="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4" w:lineRule="exact"/>
        <w:rPr>
          <w:sz w:val="20"/>
          <w:szCs w:val="20"/>
          <w:color w:val="auto"/>
        </w:rPr>
      </w:pPr>
    </w:p>
    <w:p>
      <w:pPr>
        <w:ind w:right="20" w:firstLine="636"/>
        <w:spacing w:after="0" w:line="291" w:lineRule="auto"/>
        <w:rPr>
          <w:sz w:val="20"/>
          <w:szCs w:val="20"/>
          <w:color w:val="auto"/>
        </w:rPr>
      </w:pPr>
      <w:r>
        <w:rPr>
          <w:rFonts w:ascii="Times New Roman" w:cs="Times New Roman" w:eastAsia="Times New Roman" w:hAnsi="Times New Roman"/>
          <w:sz w:val="18"/>
          <w:szCs w:val="18"/>
          <w:color w:val="auto"/>
        </w:rPr>
        <w:t>In connection with the Quarterly Report on Form 10-Q of ZoomInfo Technologies Inc. (the “Company”) for the quarterly period ended June 30, 2022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02" w:lineRule="exact"/>
        <w:rPr>
          <w:sz w:val="20"/>
          <w:szCs w:val="20"/>
          <w:color w:val="auto"/>
        </w:rPr>
      </w:pPr>
    </w:p>
    <w:p>
      <w:pPr>
        <w:ind w:left="900" w:hanging="25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40005</wp:posOffset>
            </wp:positionV>
            <wp:extent cx="3096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 Cameron Hyzer</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4"/>
    </w:lvl>
  </w:abstractNum>
  <w:abstractNum w:abstractNumId="18">
    <w:nsid w:val="419AC241"/>
    <w:multiLevelType w:val="hybridMultilevel"/>
    <w:lvl w:ilvl="0">
      <w:lvlJc w:val="left"/>
      <w:lvlText w:val="(%1)"/>
      <w:numFmt w:val="lowerLetter"/>
      <w:start w:val="5"/>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4"/>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4"/>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lvl w:ilvl="1">
      <w:lvlJc w:val="left"/>
      <w:lvlText w:val="%2"/>
      <w:numFmt w:val="decimal"/>
      <w:start w:val="104"/>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bullet"/>
      <w:start w:val="1"/>
    </w:lvl>
  </w:abstractNum>
  <w:abstractNum w:abstractNumId="31">
    <w:nsid w:val="153EA438"/>
    <w:multiLevelType w:val="hybridMultilevel"/>
    <w:lvl w:ilvl="0">
      <w:lvlJc w:val="left"/>
      <w:lvlText w:val="%1."/>
      <w:numFmt w:val="decimal"/>
      <w:start w:val="1"/>
    </w:lvl>
    <w:lvl w:ilvl="1">
      <w:lvlJc w:val="left"/>
      <w:lvlText w:val="(%2)"/>
      <w:numFmt w:val="lowerLetter"/>
      <w:start w:val="1"/>
    </w:lvl>
  </w:abstractNum>
  <w:abstractNum w:abstractNumId="32">
    <w:nsid w:val="3855585C"/>
    <w:multiLevelType w:val="hybridMultilevel"/>
    <w:lvl w:ilvl="0">
      <w:lvlJc w:val="left"/>
      <w:lvlText w:val="%1."/>
      <w:numFmt w:val="decimal"/>
      <w:start w:val="6"/>
    </w:lvl>
  </w:abstractNum>
  <w:abstractNum w:abstractNumId="33">
    <w:nsid w:val="70A64E2A"/>
    <w:multiLevelType w:val="hybridMultilevel"/>
    <w:lvl w:ilvl="0">
      <w:lvlJc w:val="left"/>
      <w:lvlText w:val="%1."/>
      <w:numFmt w:val="decimal"/>
      <w:start w:val="13"/>
    </w:lvl>
  </w:abstractNum>
  <w:abstractNum w:abstractNumId="34">
    <w:nsid w:val="6A2342EC"/>
    <w:multiLevelType w:val="hybridMultilevel"/>
    <w:lvl w:ilvl="0">
      <w:lvlJc w:val="left"/>
      <w:lvlText w:val="%1."/>
      <w:numFmt w:val="decimal"/>
      <w:start w:val="20"/>
    </w:lvl>
  </w:abstractNum>
  <w:abstractNum w:abstractNumId="35">
    <w:nsid w:val="2A487CB0"/>
    <w:multiLevelType w:val="hybridMultilevel"/>
    <w:lvl w:ilvl="0">
      <w:lvlJc w:val="left"/>
      <w:lvlText w:val="%1."/>
      <w:numFmt w:val="decimal"/>
      <w:start w:val="1"/>
    </w:lvl>
    <w:lvl w:ilvl="1">
      <w:lvlJc w:val="left"/>
      <w:lvlText w:val="(%2)"/>
      <w:numFmt w:val="lowerLetter"/>
      <w:start w:val="1"/>
    </w:lvl>
  </w:abstractNum>
  <w:abstractNum w:abstractNumId="36">
    <w:nsid w:val="1D4ED43B"/>
    <w:multiLevelType w:val="hybridMultilevel"/>
    <w:lvl w:ilvl="0">
      <w:lvlJc w:val="left"/>
      <w:lvlText w:val="(%1)"/>
      <w:numFmt w:val="lowerLetter"/>
      <w:start w:val="6"/>
    </w:lvl>
  </w:abstractNum>
  <w:abstractNum w:abstractNumId="37">
    <w:nsid w:val="725A06FB"/>
    <w:multiLevelType w:val="hybridMultilevel"/>
    <w:lvl w:ilvl="0">
      <w:lvlJc w:val="left"/>
      <w:lvlText w:val="%1."/>
      <w:numFmt w:val="decimal"/>
      <w:start w:val="3"/>
    </w:lvl>
  </w:abstractNum>
  <w:abstractNum w:abstractNumId="38">
    <w:nsid w:val="2CD89A32"/>
    <w:multiLevelType w:val="hybridMultilevel"/>
    <w:lvl w:ilvl="0">
      <w:lvlJc w:val="left"/>
      <w:lvlText w:val="%1."/>
      <w:numFmt w:val="decimal"/>
      <w:start w:val="4"/>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decimal"/>
      <w:start w:val="5"/>
    </w:lvl>
    <w:lvl w:ilvl="1">
      <w:lvlJc w:val="left"/>
      <w:lvlText w:val="(%2)"/>
      <w:numFmt w:val="lowerLetter"/>
      <w:start w:val="1"/>
    </w:lvl>
  </w:abstractNum>
  <w:abstractNum w:abstractNumId="41">
    <w:nsid w:val="4B588F54"/>
    <w:multiLevelType w:val="hybridMultilevel"/>
    <w:lvl w:ilvl="0">
      <w:lvlJc w:val="left"/>
      <w:lvlText w:val="%1"/>
      <w:numFmt w:val="decimal"/>
      <w:start w:val="1"/>
    </w:lvl>
    <w:lvl w:ilvl="1">
      <w:lvlJc w:val="left"/>
      <w:lvlText w:val="(%2)"/>
      <w:numFmt w:val="lowerLetter"/>
      <w:start w:val="4"/>
    </w:lvl>
  </w:abstractNum>
  <w:abstractNum w:abstractNumId="42">
    <w:nsid w:val="542289EC"/>
    <w:multiLevelType w:val="hybridMultilevel"/>
    <w:lvl w:ilvl="0">
      <w:lvlJc w:val="left"/>
      <w:lvlText w:val="%1."/>
      <w:numFmt w:val="decimal"/>
      <w:start w:val="6"/>
    </w:lvl>
    <w:lvl w:ilvl="1">
      <w:lvlJc w:val="left"/>
      <w:lvlText w:val="%2"/>
      <w:numFmt w:val="lowerLetter"/>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2"/>
    </w:lvl>
  </w:abstractNum>
  <w:abstractNum w:abstractNumId="45">
    <w:nsid w:val="7644A45C"/>
    <w:multiLevelType w:val="hybridMultilevel"/>
    <w:lvl w:ilvl="0">
      <w:lvlJc w:val="left"/>
      <w:lvlText w:val="%1."/>
      <w:numFmt w:val="decimal"/>
      <w:start w:val="3"/>
    </w:lvl>
    <w:lvl w:ilvl="1">
      <w:lvlJc w:val="left"/>
      <w:lvlText w:val="(%2)"/>
      <w:numFmt w:val="lowerLetter"/>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00" Type="http://schemas.openxmlformats.org/officeDocument/2006/relationships/hyperlink" Target="https://www.sec.gov/Archives/edgar/data/1794515/000179451522000095/zi-ex31x20220518.htm" TargetMode="External"/><Relationship Id="rId101" Type="http://schemas.openxmlformats.org/officeDocument/2006/relationships/hyperlink" Target="https://www.sec.gov/Archives/edgar/data/0001794515/000179451521000307/a32amendedandrestatedbylaw.htm" TargetMode="External"/><Relationship Id="rId102" Type="http://schemas.openxmlformats.org/officeDocument/2006/relationships/hyperlink" Target="https://www.sec.gov/Archives/edgar/data/0001794515/000179451521000034/exhibit041xclosingxindent.htm" TargetMode="External"/><Relationship Id="rId103" Type="http://schemas.openxmlformats.org/officeDocument/2006/relationships/hyperlink" Target="https://www.sec.gov/Archives/edgar/data/0001794515/000179451521000174/zi-8kex42x202107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2022-08-01T16:28:36Z</dcterms:created>
  <dcterms:modified xsi:type="dcterms:W3CDTF">2022-08-01T16:28:36Z</dcterms:modified>
</cp:coreProperties>
</file>