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180"/>
        <w:ind w:left="0" w:right="0" w:firstLine="360"/>
        <w:jc w:val="both"/>
        <w:rPr/>
      </w:pPr>
      <w:r>
        <w:rPr/>
      </w:r>
    </w:p>
    <w:p>
      <w:pPr>
        <w:pStyle w:val="TextBody"/>
        <w:bidi w:val="0"/>
        <w:spacing w:before="300" w:after="18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SECURITIES AND EXCHANGE COMMISSION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center"/>
        <w:rPr>
          <w:rFonts w:ascii="Times New Roman;serif" w:hAnsi="Times New Roman;serif"/>
          <w:b/>
          <w:color w:val="000000"/>
          <w:sz w:val="28"/>
        </w:rPr>
      </w:pPr>
      <w:r>
        <w:rPr>
          <w:rFonts w:ascii="Times New Roman;serif" w:hAnsi="Times New Roman;serif"/>
          <w:b/>
          <w:color w:val="000000"/>
          <w:sz w:val="28"/>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80"/>
        <w:ind w:left="0" w:right="0" w:firstLine="360"/>
        <w:jc w:val="left"/>
        <w:rPr>
          <w:color w:val="000000"/>
        </w:rPr>
      </w:pPr>
      <w:r>
        <w:rPr>
          <w:color w:val="000000"/>
        </w:rPr>
        <w:t>☒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300" w:after="180"/>
        <w:ind w:left="0" w:right="0" w:firstLine="360"/>
        <w:jc w:val="left"/>
        <w:rPr>
          <w:color w:val="000000"/>
        </w:rPr>
      </w:pPr>
      <w:r>
        <w:rPr>
          <w:color w:val="000000"/>
        </w:rPr>
        <w:t>☐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Commission File Number 001-39310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ZoomInfo Technologies Inc.</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62" w:type="dxa"/>
        <w:jc w:val="center"/>
        <w:tblInd w:w="0" w:type="dxa"/>
        <w:tblLayout w:type="fixed"/>
        <w:tblCellMar>
          <w:top w:w="28" w:type="dxa"/>
          <w:left w:w="28" w:type="dxa"/>
          <w:bottom w:w="28" w:type="dxa"/>
          <w:right w:w="28" w:type="dxa"/>
        </w:tblCellMar>
      </w:tblPr>
      <w:tblGrid>
        <w:gridCol w:w="1090"/>
        <w:gridCol w:w="955"/>
        <w:gridCol w:w="961"/>
        <w:gridCol w:w="112"/>
        <w:gridCol w:w="112"/>
        <w:gridCol w:w="112"/>
        <w:gridCol w:w="821"/>
        <w:gridCol w:w="821"/>
        <w:gridCol w:w="1178"/>
      </w:tblGrid>
      <w:tr>
        <w:trPr/>
        <w:tc>
          <w:tcPr>
            <w:tcW w:w="109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87-3037521</w:t>
            </w:r>
          </w:p>
        </w:tc>
      </w:tr>
      <w:tr>
        <w:trPr/>
        <w:tc>
          <w:tcPr>
            <w:tcW w:w="3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330 W Columbia Way, Floor 8</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Vancouver, Washington </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98660</w:t>
            </w:r>
          </w:p>
        </w:tc>
      </w:tr>
      <w:tr>
        <w:trPr/>
        <w:tc>
          <w:tcPr>
            <w:tcW w:w="3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61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(800) 914-1220</w:t>
            </w:r>
          </w:p>
        </w:tc>
      </w:tr>
      <w:tr>
        <w:trPr/>
        <w:tc>
          <w:tcPr>
            <w:tcW w:w="61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r>
        <w:trPr/>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w:t>
            </w:r>
          </w:p>
        </w:tc>
      </w:tr>
      <w:tr>
        <w:trPr/>
        <w:tc>
          <w:tcPr>
            <w:tcW w:w="61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678" w:type="dxa"/>
        <w:jc w:val="left"/>
        <w:tblInd w:w="0" w:type="dxa"/>
        <w:tblLayout w:type="fixed"/>
        <w:tblCellMar>
          <w:top w:w="28" w:type="dxa"/>
          <w:left w:w="28" w:type="dxa"/>
          <w:bottom w:w="28" w:type="dxa"/>
          <w:right w:w="28" w:type="dxa"/>
        </w:tblCellMar>
      </w:tblPr>
      <w:tblGrid>
        <w:gridCol w:w="1099"/>
        <w:gridCol w:w="965"/>
        <w:gridCol w:w="965"/>
        <w:gridCol w:w="473"/>
        <w:gridCol w:w="473"/>
        <w:gridCol w:w="478"/>
        <w:gridCol w:w="941"/>
        <w:gridCol w:w="941"/>
        <w:gridCol w:w="1343"/>
      </w:tblGrid>
      <w:tr>
        <w:trPr/>
        <w:tc>
          <w:tcPr>
            <w:tcW w:w="109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ind w:left="0" w:right="0" w:hanging="360"/>
              <w:jc w:val="left"/>
              <w:rPr>
                <w:sz w:val="4"/>
                <w:szCs w:val="4"/>
              </w:rPr>
            </w:pPr>
            <w:r>
              <w:rPr>
                <w:sz w:val="4"/>
                <w:szCs w:val="4"/>
              </w:rPr>
            </w:r>
          </w:p>
        </w:tc>
      </w:tr>
      <w:tr>
        <w:trPr/>
        <w:tc>
          <w:tcPr>
            <w:tcW w:w="30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ind w:left="0" w:right="0" w:hanging="360"/>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0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ind w:left="0" w:right="0" w:hanging="360"/>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14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ind w:left="0" w:right="0" w:hanging="360"/>
              <w:jc w:val="center"/>
              <w:rPr>
                <w:rFonts w:ascii="Times New Roman;serif" w:hAnsi="Times New Roman;serif"/>
                <w:b w:val="false"/>
                <w:color w:val="000000"/>
                <w:sz w:val="16"/>
              </w:rPr>
            </w:pPr>
            <w:r>
              <w:rPr>
                <w:rFonts w:ascii="Times New Roman;serif" w:hAnsi="Times New Roman;serif"/>
                <w:b w:val="false"/>
                <w:color w:val="000000"/>
                <w:sz w:val="16"/>
              </w:rPr>
              <w:t>GTM</w:t>
            </w:r>
          </w:p>
        </w:tc>
        <w:tc>
          <w:tcPr>
            <w:tcW w:w="32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0" w:after="18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7" w:type="dxa"/>
        <w:jc w:val="center"/>
        <w:tblInd w:w="0" w:type="dxa"/>
        <w:tblLayout w:type="fixed"/>
        <w:tblCellMar>
          <w:top w:w="28" w:type="dxa"/>
          <w:left w:w="28" w:type="dxa"/>
          <w:bottom w:w="28" w:type="dxa"/>
          <w:right w:w="28" w:type="dxa"/>
        </w:tblCellMar>
      </w:tblPr>
      <w:tblGrid>
        <w:gridCol w:w="601"/>
        <w:gridCol w:w="528"/>
        <w:gridCol w:w="535"/>
        <w:gridCol w:w="109"/>
        <w:gridCol w:w="109"/>
        <w:gridCol w:w="109"/>
        <w:gridCol w:w="673"/>
        <w:gridCol w:w="673"/>
        <w:gridCol w:w="678"/>
        <w:gridCol w:w="109"/>
        <w:gridCol w:w="109"/>
        <w:gridCol w:w="154"/>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color w:val="000000"/>
              </w:rPr>
            </w:pPr>
            <w:r>
              <w:rPr>
                <w:color w:val="000000"/>
              </w:rPr>
              <w:t>☐</w:t>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8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by Rule 12b-2 of the Exchange Act).  Yes ☐   No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As of July 31, 2026, there were 291,110,046 shares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180"/>
                        <w:ind w:left="0" w:right="0" w:firstLine="360"/>
                        <w:jc w:val="both"/>
                        <w:rPr/>
                      </w:pPr>
                      <w:r>
                        <w:rPr/>
                      </w:r>
                    </w:p>
                  </w:txbxContent>
                </v:textbox>
                <w10:wrap type="none"/>
              </v:rect>
            </w:pict>
          </mc:Fallback>
        </mc:AlternateContent>
      </w:r>
    </w:p>
    <w:p>
      <w:pPr>
        <w:pStyle w:val="TextBody"/>
        <w:bidi w:val="0"/>
        <w:spacing w:before="180" w:after="180"/>
        <w:ind w:left="0" w:right="0" w:firstLine="360"/>
        <w:jc w:val="both"/>
        <w:rPr/>
      </w:pPr>
      <w:r>
        <w:rPr/>
      </w:r>
    </w:p>
    <w:p>
      <w:pPr>
        <w:pStyle w:val="TextBody"/>
        <w:bidi w:val="0"/>
        <w:spacing w:lineRule="auto" w:line="288" w:before="300" w:after="180"/>
        <w:ind w:left="0" w:right="0" w:firstLine="360"/>
        <w:jc w:val="center"/>
        <w:rPr>
          <w:rFonts w:ascii="Times New Roman;serif" w:hAnsi="Times New Roman;serif"/>
          <w:b/>
          <w:color w:val="000000"/>
          <w:sz w:val="20"/>
        </w:rPr>
      </w:pPr>
      <w:r>
        <w:rPr>
          <w:rFonts w:ascii="Times New Roman;serif" w:hAnsi="Times New Roman;serif"/>
          <w:b/>
          <w:color w:val="000000"/>
          <w:sz w:val="20"/>
        </w:rPr>
        <w:t>ZoomInfo Technologies Inc.</w:t>
      </w:r>
    </w:p>
    <w:p>
      <w:pPr>
        <w:pStyle w:val="TextBody"/>
        <w:bidi w:val="0"/>
        <w:spacing w:lineRule="auto" w:line="288" w:before="300" w:after="180"/>
        <w:ind w:left="0" w:right="0" w:firstLine="36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TABLE OF CONTENTS</w:t>
      </w:r>
    </w:p>
    <w:tbl>
      <w:tblPr>
        <w:tblW w:w="8551" w:type="dxa"/>
        <w:jc w:val="center"/>
        <w:tblInd w:w="0" w:type="dxa"/>
        <w:tblLayout w:type="fixed"/>
        <w:tblCellMar>
          <w:top w:w="28" w:type="dxa"/>
          <w:left w:w="28" w:type="dxa"/>
          <w:bottom w:w="28" w:type="dxa"/>
          <w:right w:w="28" w:type="dxa"/>
        </w:tblCellMar>
      </w:tblPr>
      <w:tblGrid>
        <w:gridCol w:w="2891"/>
        <w:gridCol w:w="2540"/>
        <w:gridCol w:w="2549"/>
        <w:gridCol w:w="167"/>
        <w:gridCol w:w="167"/>
        <w:gridCol w:w="237"/>
      </w:tblGrid>
      <w:tr>
        <w:trPr/>
        <w:tc>
          <w:tcPr>
            <w:tcW w:w="2891"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10">
              <w:r>
                <w:rPr>
                  <w:rStyle w:val="InternetLink"/>
                  <w:rFonts w:ascii="Times New Roman;serif" w:hAnsi="Times New Roman;serif"/>
                  <w:b w:val="false"/>
                  <w:color w:val="0000FF"/>
                  <w:sz w:val="20"/>
                  <w:u w:val="single"/>
                </w:rPr>
                <w:t>Cautionary</w:t>
              </w:r>
            </w:hyperlink>
            <w:r>
              <w:rPr>
                <w:color w:val="000000"/>
                <w:u w:val="single"/>
              </w:rPr>
              <w:t xml:space="preserve"> </w:t>
            </w:r>
            <w:hyperlink w:anchor="i09270d9b522f4202b170aaae4a69cfb8_10">
              <w:r>
                <w:rPr>
                  <w:rStyle w:val="InternetLink"/>
                  <w:rFonts w:ascii="Times New Roman;serif" w:hAnsi="Times New Roman;serif"/>
                  <w:b w:val="false"/>
                  <w:color w:val="0000FF"/>
                  <w:sz w:val="20"/>
                  <w:u w:val="single"/>
                </w:rPr>
                <w:t>Statement Regarding Forward-Looking Statements</w:t>
              </w:r>
            </w:hyperlink>
          </w:p>
        </w:tc>
        <w:tc>
          <w:tcPr>
            <w:tcW w:w="5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09270d9b522f4202b170aaae4a69cfb8_10">
              <w:r>
                <w:rPr>
                  <w:rStyle w:val="InternetLink"/>
                  <w:rFonts w:ascii="Times New Roman;serif" w:hAnsi="Times New Roman;serif"/>
                  <w:b w:val="false"/>
                  <w:color w:val="0000FF"/>
                  <w:sz w:val="20"/>
                  <w:u w:val="single"/>
                </w:rPr>
                <w:t>ii</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13">
              <w:r>
                <w:rPr>
                  <w:rStyle w:val="InternetLink"/>
                  <w:rFonts w:ascii="Times New Roman;serif" w:hAnsi="Times New Roman;serif"/>
                  <w:b w:val="false"/>
                  <w:color w:val="0000FF"/>
                  <w:sz w:val="20"/>
                  <w:u w:val="single"/>
                </w:rPr>
                <w:t>PART I - FINANCIAL INFORMATION</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16">
              <w:r>
                <w:rPr>
                  <w:rStyle w:val="InternetLink"/>
                  <w:rFonts w:ascii="Times New Roman;serif" w:hAnsi="Times New Roman;serif"/>
                  <w:b w:val="false"/>
                  <w:color w:val="0000FF"/>
                  <w:sz w:val="20"/>
                  <w:u w:val="single"/>
                </w:rPr>
                <w:t>Item 1. 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16">
              <w:r>
                <w:rPr>
                  <w:rStyle w:val="InternetLink"/>
                  <w:rFonts w:ascii="Times New Roman;serif" w:hAnsi="Times New Roman;serif"/>
                  <w:b w:val="false"/>
                  <w:color w:val="0000FF"/>
                  <w:sz w:val="20"/>
                  <w:u w:val="single"/>
                </w:rPr>
                <w:t>1</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09270d9b522f4202b170aaae4a69cfb8_25">
              <w:r>
                <w:rPr>
                  <w:rStyle w:val="InternetLink"/>
                  <w:rFonts w:ascii="Times New Roman;serif" w:hAnsi="Times New Roman;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25">
              <w:r>
                <w:rPr>
                  <w:rStyle w:val="InternetLink"/>
                  <w:rFonts w:ascii="Times New Roman;serif" w:hAnsi="Times New Roman;serif"/>
                  <w:b w:val="false"/>
                  <w:color w:val="0000FF"/>
                  <w:sz w:val="20"/>
                  <w:u w:val="single"/>
                </w:rPr>
                <w:t>2</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09270d9b522f4202b170aaae4a69cfb8_28">
              <w:r>
                <w:rPr>
                  <w:rStyle w:val="InternetLink"/>
                  <w:rFonts w:ascii="Times New Roman;serif" w:hAnsi="Times New Roman;serif"/>
                  <w:b w:val="false"/>
                  <w:color w:val="0000FF"/>
                  <w:sz w:val="20"/>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28">
              <w:r>
                <w:rPr>
                  <w:rStyle w:val="InternetLink"/>
                  <w:rFonts w:ascii="Times New Roman;serif" w:hAnsi="Times New Roman;serif"/>
                  <w:b w:val="false"/>
                  <w:color w:val="0000FF"/>
                  <w:sz w:val="20"/>
                  <w:u w:val="single"/>
                </w:rPr>
                <w:t>3</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09270d9b522f4202b170aaae4a69cfb8_31">
              <w:r>
                <w:rPr>
                  <w:rStyle w:val="InternetLink"/>
                  <w:rFonts w:ascii="Times New Roman;serif" w:hAnsi="Times New Roman;serif"/>
                  <w:b w:val="false"/>
                  <w:color w:val="0000FF"/>
                  <w:sz w:val="20"/>
                  <w:u w:val="single"/>
                </w:rPr>
                <w:t>Consolidated Statements of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31">
              <w:r>
                <w:rPr>
                  <w:rStyle w:val="InternetLink"/>
                  <w:rFonts w:ascii="Times New Roman;serif" w:hAnsi="Times New Roman;serif"/>
                  <w:b w:val="false"/>
                  <w:color w:val="0000FF"/>
                  <w:sz w:val="20"/>
                  <w:u w:val="single"/>
                </w:rPr>
                <w:t>4</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09270d9b522f4202b170aaae4a69cfb8_34">
              <w:r>
                <w:rPr>
                  <w:rStyle w:val="InternetLink"/>
                  <w:rFonts w:ascii="Times New Roman;serif" w:hAnsi="Times New Roman;serif"/>
                  <w:b w:val="false"/>
                  <w:color w:val="0000FF"/>
                  <w:sz w:val="20"/>
                  <w:u w:val="single"/>
                </w:rPr>
                <w:t>Consolidated Statements of Changes in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34">
              <w:r>
                <w:rPr>
                  <w:rStyle w:val="InternetLink"/>
                  <w:rFonts w:ascii="Times New Roman;serif" w:hAnsi="Times New Roman;serif"/>
                  <w:b w:val="false"/>
                  <w:color w:val="0000FF"/>
                  <w:sz w:val="20"/>
                  <w:u w:val="single"/>
                </w:rPr>
                <w:t>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09270d9b522f4202b170aaae4a69cfb8_37">
              <w:r>
                <w:rPr>
                  <w:rStyle w:val="InternetLink"/>
                  <w:rFonts w:ascii="Times New Roman;serif" w:hAnsi="Times New Roman;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37">
              <w:r>
                <w:rPr>
                  <w:rStyle w:val="InternetLink"/>
                  <w:rFonts w:ascii="Times New Roman;serif" w:hAnsi="Times New Roman;serif"/>
                  <w:b w:val="false"/>
                  <w:color w:val="0000FF"/>
                  <w:sz w:val="20"/>
                  <w:u w:val="single"/>
                </w:rPr>
                <w:t>7</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09270d9b522f4202b170aaae4a69cfb8_40">
              <w:r>
                <w:rPr>
                  <w:rStyle w:val="InternetLink"/>
                  <w:rFonts w:ascii="Times New Roman;serif" w:hAnsi="Times New Roman;serif"/>
                  <w:b w:val="false"/>
                  <w:color w:val="0000FF"/>
                  <w:sz w:val="20"/>
                  <w:u w:val="single"/>
                </w:rPr>
                <w:t>Notes to the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40">
              <w:r>
                <w:rPr>
                  <w:rStyle w:val="InternetLink"/>
                  <w:rFonts w:ascii="Times New Roman;serif" w:hAnsi="Times New Roman;serif"/>
                  <w:b w:val="false"/>
                  <w:color w:val="0000FF"/>
                  <w:sz w:val="20"/>
                  <w:u w:val="single"/>
                </w:rPr>
                <w:t>9</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97">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97">
              <w:r>
                <w:rPr>
                  <w:rStyle w:val="InternetLink"/>
                  <w:rFonts w:ascii="Times New Roman;serif" w:hAnsi="Times New Roman;serif"/>
                  <w:b w:val="false"/>
                  <w:color w:val="0000FF"/>
                  <w:sz w:val="20"/>
                  <w:u w:val="single"/>
                </w:rPr>
                <w:t>29</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133">
              <w:r>
                <w:rPr>
                  <w:rStyle w:val="InternetLink"/>
                  <w:rFonts w:ascii="Times New Roman;serif" w:hAnsi="Times New Roman;serif"/>
                  <w:b w:val="false"/>
                  <w:color w:val="0000FF"/>
                  <w:sz w:val="20"/>
                  <w:u w:val="singl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133">
              <w:r>
                <w:rPr>
                  <w:rStyle w:val="InternetLink"/>
                  <w:rFonts w:ascii="Times New Roman;serif" w:hAnsi="Times New Roman;serif"/>
                  <w:b w:val="false"/>
                  <w:color w:val="0000FF"/>
                  <w:sz w:val="20"/>
                  <w:u w:val="single"/>
                </w:rPr>
                <w:t>53</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136">
              <w:r>
                <w:rPr>
                  <w:rStyle w:val="InternetLink"/>
                  <w:rFonts w:ascii="Times New Roman;serif" w:hAnsi="Times New Roman;serif"/>
                  <w:b w:val="false"/>
                  <w:color w:val="0000FF"/>
                  <w:sz w:val="20"/>
                  <w:u w:val="singl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136">
              <w:r>
                <w:rPr>
                  <w:rStyle w:val="InternetLink"/>
                  <w:rFonts w:ascii="Times New Roman;serif" w:hAnsi="Times New Roman;serif"/>
                  <w:b w:val="false"/>
                  <w:color w:val="0000FF"/>
                  <w:sz w:val="20"/>
                  <w:u w:val="single"/>
                </w:rPr>
                <w:t>54</w:t>
              </w:r>
            </w:hyperlink>
          </w:p>
        </w:tc>
      </w:tr>
      <w:tr>
        <w:trPr/>
        <w:tc>
          <w:tcPr>
            <w:tcW w:w="8551"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139">
              <w:r>
                <w:rPr>
                  <w:rStyle w:val="InternetLink"/>
                  <w:rFonts w:ascii="Times New Roman;serif" w:hAnsi="Times New Roman;serif"/>
                  <w:b w:val="false"/>
                  <w:color w:val="0000FF"/>
                  <w:sz w:val="20"/>
                  <w:u w:val="single"/>
                </w:rPr>
                <w:t>PART II - OTHER INFORMATION</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142">
              <w:r>
                <w:rPr>
                  <w:rStyle w:val="InternetLink"/>
                  <w:rFonts w:ascii="Times New Roman;serif" w:hAnsi="Times New Roman;serif"/>
                  <w:b w:val="false"/>
                  <w:color w:val="0000FF"/>
                  <w:sz w:val="20"/>
                  <w:u w:val="singl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142">
              <w:r>
                <w:rPr>
                  <w:rStyle w:val="InternetLink"/>
                  <w:rFonts w:ascii="Times New Roman;serif" w:hAnsi="Times New Roman;serif"/>
                  <w:b w:val="false"/>
                  <w:color w:val="0000FF"/>
                  <w:sz w:val="20"/>
                  <w:u w:val="single"/>
                </w:rPr>
                <w:t>55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145">
              <w:r>
                <w:rPr>
                  <w:rStyle w:val="InternetLink"/>
                  <w:rFonts w:ascii="Times New Roman;serif" w:hAnsi="Times New Roman;serif"/>
                  <w:b w:val="false"/>
                  <w:color w:val="0000FF"/>
                  <w:sz w:val="20"/>
                  <w:u w:val="single"/>
                </w:rPr>
                <w:t>Item 1A. 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145">
              <w:r>
                <w:rPr>
                  <w:rStyle w:val="InternetLink"/>
                  <w:rFonts w:ascii="Times New Roman;serif" w:hAnsi="Times New Roman;serif"/>
                  <w:b w:val="false"/>
                  <w:color w:val="0000FF"/>
                  <w:sz w:val="20"/>
                  <w:u w:val="single"/>
                </w:rPr>
                <w:t>55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148">
              <w:r>
                <w:rPr>
                  <w:rStyle w:val="InternetLink"/>
                  <w:rFonts w:ascii="Times New Roman;serif" w:hAnsi="Times New Roman;serif"/>
                  <w:b w:val="false"/>
                  <w:color w:val="0000FF"/>
                  <w:sz w:val="20"/>
                  <w:u w:val="single"/>
                </w:rPr>
                <w:t>Item 2. 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148">
              <w:r>
                <w:rPr>
                  <w:rStyle w:val="InternetLink"/>
                  <w:rFonts w:ascii="Times New Roman;serif" w:hAnsi="Times New Roman;serif"/>
                  <w:b w:val="false"/>
                  <w:color w:val="0000FF"/>
                  <w:sz w:val="20"/>
                  <w:u w:val="single"/>
                </w:rPr>
                <w:t>56</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151">
              <w:r>
                <w:rPr>
                  <w:rStyle w:val="InternetLink"/>
                  <w:rFonts w:ascii="Times New Roman;serif" w:hAnsi="Times New Roman;serif"/>
                  <w:b w:val="false"/>
                  <w:color w:val="0000FF"/>
                  <w:sz w:val="20"/>
                  <w:u w:val="single"/>
                </w:rPr>
                <w:t>Item 3. 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151">
              <w:r>
                <w:rPr>
                  <w:rStyle w:val="InternetLink"/>
                  <w:rFonts w:ascii="Times New Roman;serif" w:hAnsi="Times New Roman;serif"/>
                  <w:b w:val="false"/>
                  <w:color w:val="0000FF"/>
                  <w:sz w:val="20"/>
                  <w:u w:val="single"/>
                </w:rPr>
                <w:t>56</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154">
              <w:r>
                <w:rPr>
                  <w:rStyle w:val="InternetLink"/>
                  <w:rFonts w:ascii="Times New Roman;serif" w:hAnsi="Times New Roman;serif"/>
                  <w:b w:val="false"/>
                  <w:color w:val="0000FF"/>
                  <w:sz w:val="20"/>
                  <w:u w:val="single"/>
                </w:rPr>
                <w:t>Item 4. 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154">
              <w:r>
                <w:rPr>
                  <w:rStyle w:val="InternetLink"/>
                  <w:rFonts w:ascii="Times New Roman;serif" w:hAnsi="Times New Roman;serif"/>
                  <w:b w:val="false"/>
                  <w:color w:val="0000FF"/>
                  <w:sz w:val="20"/>
                  <w:u w:val="single"/>
                </w:rPr>
                <w:t>56</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157">
              <w:r>
                <w:rPr>
                  <w:rStyle w:val="InternetLink"/>
                  <w:rFonts w:ascii="Times New Roman;serif" w:hAnsi="Times New Roman;serif"/>
                  <w:b w:val="false"/>
                  <w:color w:val="0000FF"/>
                  <w:sz w:val="20"/>
                  <w:u w:val="single"/>
                </w:rPr>
                <w:t>Item 5.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157">
              <w:r>
                <w:rPr>
                  <w:rStyle w:val="InternetLink"/>
                  <w:rFonts w:ascii="Times New Roman;serif" w:hAnsi="Times New Roman;serif"/>
                  <w:b w:val="false"/>
                  <w:color w:val="0000FF"/>
                  <w:sz w:val="20"/>
                  <w:u w:val="single"/>
                </w:rPr>
                <w:t>56</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163">
              <w:r>
                <w:rPr>
                  <w:rStyle w:val="InternetLink"/>
                  <w:rFonts w:ascii="Times New Roman;serif" w:hAnsi="Times New Roman;serif"/>
                  <w:b w:val="false"/>
                  <w:color w:val="0000FF"/>
                  <w:sz w:val="20"/>
                  <w:u w:val="singl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163">
              <w:r>
                <w:rPr>
                  <w:rStyle w:val="InternetLink"/>
                  <w:rFonts w:ascii="Times New Roman;serif" w:hAnsi="Times New Roman;serif"/>
                  <w:b w:val="false"/>
                  <w:color w:val="0000FF"/>
                  <w:sz w:val="20"/>
                  <w:u w:val="single"/>
                </w:rPr>
                <w:t>57</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166">
              <w:r>
                <w:rPr>
                  <w:rStyle w:val="InternetLink"/>
                  <w:rFonts w:ascii="Times New Roman;serif" w:hAnsi="Times New Roman;serif"/>
                  <w:b w:val="false"/>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166">
              <w:r>
                <w:rPr>
                  <w:rStyle w:val="InternetLink"/>
                  <w:rFonts w:ascii="Times New Roman;serif" w:hAnsi="Times New Roman;serif"/>
                  <w:b w:val="false"/>
                  <w:color w:val="0000FF"/>
                  <w:sz w:val="20"/>
                  <w:u w:val="single"/>
                </w:rPr>
                <w:t>58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This Quarterly Report on Form 10-Q (this “Form 10-Q”) contains forward-looking statements that reflect our current views with respect to, among other things, our operations and financial performance. These forward-looking statements are included throughout this Form 10-Q, including in the section entitled “Management’s Discussion and Analysis of Financial Condition and Results of Operations,”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based our forward-looking statements on beliefs and assumptions based on information available to us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are some of the factors that could cause actual results to differ from those expressed or implied by our forward-looking statements, including forward-looking statements contained in this Quarterly Report on Form 10-Q, other factors described under “Risk Factors” in Part I, Item 1A of our Annual Report on Form 10-K of ZoomInfo Technologies Inc. for the fiscal year ended December 31, 2025 as filed with the Securities and Exchange Commission (the “SEC”) on February 12, 2026 (the “2025 Form 10-K”), and in other reports we file from time to time with the SEC:</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Risks Related to Our Business and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current and potential customers may reduce spending on sales, marketing, recruiting and other technology and information as a result of weaker economic conditions, which could harm our revenue, results of operations, and cash flows;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Over time, we expect to introduce products, features, and services, or otherwise implement pricing and packaging models, which could adversely affect our business, operating results, financial condition, and future prospects;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unable to attract new customers, renew existing subscriptions, expand subscriptions of current customers, and collect revenue from our customers, which could harm our revenue growth, cash flows, and profitability;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are not able to obtain and maintain accurate, comprehensive, or reliable data, we could experience reduced demand for our products and services, which would have a material adverse effect on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technology companies, including various small and medium-sized businesses who focus on B2B sales and marketing intelligence, have become, and larger and better-funded companies with significant resources may shift their existing business models to become, more competitive with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experience competition from other companies and technologies that allow businesses to gather and aggregate sales, marketing, recruiting, and other data, and we may in the future face competition from prominent large-language-model (LLM) providers and generative AI companies, and any of their competing products and services could provide greater appeal to our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is, and the markets in which we compete are, rapidly evolving, including with respect to AI and AI-enabled products, which makes it difficult to forecast demand for our services and achieve an optimal resource allocation strategy, as we may not be able to effectively monetize our AI investments;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platform integrates or otherwise works with third-party systems that we do not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could be negatively affected by changes in search engine algorithms, including search engine optimization (SEO), artificial intelligence optimization (AIO) and other traffic-generating arrangements and dynamics;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depend on our executive officers and other key employees, and the loss of one or more of these employees or an inability to attract, integrate, and retain these and other highly skilled employees could harm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previous and any future restructuring efforts may not result in the anticipated savings or operational efficiencies we expected, could result in greater total costs and expenses than we estimated, and could disrupt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fail to maintain, upgrade, or implement adequate operational and financial resources, including our IT systems, we may be unable to execute our business plan;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 we acquire and invest in companies or technologies, we may not realize expected business or financial benefits and the acquisitions or investments could prove difficult to integrate, disrupt our business, dilute stockholder value, and adversely affect our business, results of operations, and financial condition;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Sustainability and related reporting obligations expose us to risks that could adversely affect our reputation and performance.</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Risks Related to Privacy, Technology, and Security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subject to litigation for any variety of claims, which could harm our reputation and adversely affect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New or changing laws and regulations may diminish the demand for our platform, restrict access to our platform, constrain the range of services we can provide, or require us to disclose or provide access to information in our possession, which could harm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be able to adequately protect or enforce our proprietary and intellectual property rights in our data or technology;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Investing in our AI capability introduces risks, which, if realized, could adversely impact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customers or unauthorized parties could use our products and services in a manner that is contrary to our values or applicable law, which could harm our relationships with consumers, customers, or employees or expose us to litigation or harm our reputation;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Cyber-attacks and security vulnerabilities could result in serious harm to our reputation, business, and financial condition;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Technical problems or disruptions that affect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Risks Related to Financial, Accounting and Credit Matters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generate revenue from sales of subscriptions to our platform and data, and any decline in demand for the types of products and services we offer would negatively impact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raise additional capital or generate cash flows necessary to expand our operations and invest in new technologies in the future could reduce our ability to compete successfully and harm our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maintain effective internal controls over financial reporting in accordance with Section 404 of SOX could impair our ability to produce timely and accurate financial statements or comply with applicable regulations and have a material adverse effect on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Because we recognize subscription revenue over the subscription term, downturns or upturns in new sales and renewals are not immediately reflected in full within our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anticipate increasing operating expenses in the future, and we may not be able to maintain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a significant amount of goodwill and intangible assets on our balance sheet, and our results of operations may be adversely affected if we fail to realize the full value of our goodwill and intangible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a substantial amount of debt, which could adversely affect our financial condition and our ability to raise additional capital and prevent us from fulfilling our obligations;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be able to generate sufficient cash to service all of our indebtedness, and may be forced to take other actions to satisfy our obligations under our indebtedness, which may not be successful;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Interest rate fluctuations may affect our results of operations and financial condition;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our credit and other ratings could adversely impact our operations and lower our profitability.</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Risks Related to Taxation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a multinational organization faced with increasingly complex tax issues in many jurisdictions, and global tax developments may have a material impact to our business, cash flows, tax liabilities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tax laws or regulations applicable to our business, including for example, the enactment of the One Big Beautiful Bill Act on July 4, 2025, have in the past, and may in the future, result in a material adverse effect on our results of operations, cash flows and financial condition;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results of operations may be adversely affected if we are required to collect sales or other related taxes for purchases of our products and services in jurisdictions where we have not historically done so.</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Risks Related to Geopolitical and Macroeconomic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Operations and sales outside the United States expose us to risks inherent in international operations;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Global economic uncertainty and catastrophic events, including global pandemics, continued hostilities between the United States and Iran, Russia and Ukraine, and Israel and Hamas, as well as other geopolitical conflicts, have and may disrupt our business and adversely impact our business and future results of operations and financial condition.</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Risks Related to Our Organizational Structure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ZoomInfo Technologies Inc. is a holding company whose only material assets are its ownership interests in ZoomInfo Intermediate Inc. and ZoomInfo Holdings LLC, and accordingly, ZoomInfo Technologies Inc. is dependent upon distributions from ZoomInfo Intermediate Inc. and its subsidiaries to pay taxes, make payments under the Tax Receivable Agreements, and pay dividends;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ZoomInfo Technologies Inc. is required to pay our Pre-IPO Owners for most of the benefits relating to any additional tax deductions and tax attributes that we may claim as a result of the ZoomInfo Tax Group’s share of existing tax basis acquired in the IPO and increases in its share of existing tax basis, including tax basis received in connection with sales or exchanges of units of ZoomInfo Holdings LLC that occurred after the IPO;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certain cases, payments under our Tax Receivable Agreements may be accelerated and/or significantly exceed the actual benefits the ZoomInfo Tax Group realizes in respect of the tax attributes subject to such agreements;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acceleration of payments under our Tax Receivable Agreements in the case of certain changes of control may impair our ability to consummate change of control transactions or negatively impact the value received by owners of our common stock. </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Risks Related to Ownership of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Certain parties to our stockholders agreement continue to have influence over us, and their interests may conflict with ours or yours in the future;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Anti-takeover provisions in our organizational documents and Delaware law might discourage or delay acquisition attempts for us that you might consider favorable.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factors should not be construed as exhaustive and should be read in conjunction with the other cautionary statements that are included in this Form 10-Q and our other filings with the SEC. Should one or more of these risks or uncertainties materialize, or should any of our assumptions prove incorrect, our actual results may vary in material respects from those projected in our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w:t>
      </w:r>
    </w:p>
    <w:p>
      <w:pPr>
        <w:pStyle w:val="TextBody"/>
        <w:bidi w:val="0"/>
        <w:spacing w:lineRule="auto" w:line="300" w:before="18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not place undue reliance on our forward-looking statements. 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Website Disclosure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intends to use its website as a distribution channel of material company information. Financial and other important information regarding the Company is routinely posted on and accessible through the Company’s website. Accordingly, we encourage investors and other interested persons to monitor the investor relations portion of our website at https://ir.zoominfo.com and to follow our press releases, SEC filings, and public conference calls and webcasts (which are not incorporated herein or otherwise a part of this Form 10-Q). In addition, you may automatically receive email alerts and other information about the Company when you enroll your email address by visiting the “Email Alerts” section of our investor relations page at https://ir.zoominfo.com. The information on or that can be accessed through our website is not incorporated herein or otherwise a part of this Form 10-Q, and the inclusion of our website address is an inactive textual reference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before="18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INDEX TO FINANCIAL STATEMENTS</w:t>
      </w:r>
    </w:p>
    <w:tbl>
      <w:tblPr>
        <w:tblW w:w="8412" w:type="dxa"/>
        <w:jc w:val="left"/>
        <w:tblInd w:w="0" w:type="dxa"/>
        <w:tblLayout w:type="fixed"/>
        <w:tblCellMar>
          <w:top w:w="28" w:type="dxa"/>
          <w:left w:w="28" w:type="dxa"/>
          <w:bottom w:w="28" w:type="dxa"/>
          <w:right w:w="28" w:type="dxa"/>
        </w:tblCellMar>
      </w:tblPr>
      <w:tblGrid>
        <w:gridCol w:w="2911"/>
        <w:gridCol w:w="2557"/>
        <w:gridCol w:w="2572"/>
        <w:gridCol w:w="109"/>
        <w:gridCol w:w="109"/>
        <w:gridCol w:w="154"/>
      </w:tblGrid>
      <w:tr>
        <w:trPr/>
        <w:tc>
          <w:tcPr>
            <w:tcW w:w="2911"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Unaudited Consolidated Financial Statements of ZoomInfo Technologies Inc. and Subsidiaries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25">
              <w:r>
                <w:rPr>
                  <w:rStyle w:val="InternetLink"/>
                  <w:rFonts w:ascii="Times New Roman;serif" w:hAnsi="Times New Roman;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25">
              <w:r>
                <w:rPr>
                  <w:rStyle w:val="InternetLink"/>
                  <w:rFonts w:ascii="Times New Roman;serif" w:hAnsi="Times New Roman;serif"/>
                  <w:b w:val="false"/>
                  <w:color w:val="0000FF"/>
                  <w:sz w:val="20"/>
                  <w:u w:val="single"/>
                </w:rPr>
                <w:t>2</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28">
              <w:r>
                <w:rPr>
                  <w:rStyle w:val="InternetLink"/>
                  <w:rFonts w:ascii="Times New Roman;serif" w:hAnsi="Times New Roman;serif"/>
                  <w:b w:val="false"/>
                  <w:color w:val="0000FF"/>
                  <w:sz w:val="20"/>
                  <w:u w:val="single"/>
                </w:rPr>
                <w:t>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28">
              <w:r>
                <w:rPr>
                  <w:rStyle w:val="InternetLink"/>
                  <w:rFonts w:ascii="Times New Roman;serif" w:hAnsi="Times New Roman;serif"/>
                  <w:b w:val="false"/>
                  <w:color w:val="0000FF"/>
                  <w:sz w:val="20"/>
                  <w:u w:val="single"/>
                </w:rPr>
                <w:t>3</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31">
              <w:r>
                <w:rPr>
                  <w:rStyle w:val="InternetLink"/>
                  <w:rFonts w:ascii="Times New Roman;serif" w:hAnsi="Times New Roman;serif"/>
                  <w:b w:val="false"/>
                  <w:color w:val="0000FF"/>
                  <w:sz w:val="20"/>
                  <w:u w:val="single"/>
                </w:rPr>
                <w:t>Consolidated Statements of Comprehensive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31">
              <w:r>
                <w:rPr>
                  <w:rStyle w:val="InternetLink"/>
                  <w:rFonts w:ascii="Times New Roman;serif" w:hAnsi="Times New Roman;serif"/>
                  <w:b w:val="false"/>
                  <w:color w:val="0000FF"/>
                  <w:sz w:val="20"/>
                  <w:u w:val="single"/>
                </w:rPr>
                <w:t>4</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34">
              <w:r>
                <w:rPr>
                  <w:rStyle w:val="InternetLink"/>
                  <w:rFonts w:ascii="Times New Roman;serif" w:hAnsi="Times New Roman;serif"/>
                  <w:b w:val="false"/>
                  <w:color w:val="0000FF"/>
                  <w:sz w:val="20"/>
                  <w:u w:val="single"/>
                </w:rPr>
                <w:t>Consolidated Statements of Changes in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34">
              <w:r>
                <w:rPr>
                  <w:rStyle w:val="InternetLink"/>
                  <w:rFonts w:ascii="Times New Roman;serif" w:hAnsi="Times New Roman;serif"/>
                  <w:b w:val="false"/>
                  <w:color w:val="0000FF"/>
                  <w:sz w:val="20"/>
                  <w:u w:val="single"/>
                </w:rPr>
                <w:t>5</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37">
              <w:r>
                <w:rPr>
                  <w:rStyle w:val="InternetLink"/>
                  <w:rFonts w:ascii="Times New Roman;serif" w:hAnsi="Times New Roman;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37">
              <w:r>
                <w:rPr>
                  <w:rStyle w:val="InternetLink"/>
                  <w:rFonts w:ascii="Times New Roman;serif" w:hAnsi="Times New Roman;serif"/>
                  <w:b w:val="false"/>
                  <w:color w:val="0000FF"/>
                  <w:sz w:val="20"/>
                  <w:u w:val="single"/>
                </w:rPr>
                <w:t>7</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40">
              <w:r>
                <w:rPr>
                  <w:rStyle w:val="InternetLink"/>
                  <w:rFonts w:ascii="Times New Roman;serif" w:hAnsi="Times New Roman;serif"/>
                  <w:b w:val="false"/>
                  <w:color w:val="0000FF"/>
                  <w:sz w:val="20"/>
                  <w:u w:val="single"/>
                </w:rPr>
                <w:t>Notes to the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40">
              <w:r>
                <w:rPr>
                  <w:rStyle w:val="InternetLink"/>
                  <w:rFonts w:ascii="Times New Roman;serif" w:hAnsi="Times New Roman;serif"/>
                  <w:b w:val="false"/>
                  <w:color w:val="0000FF"/>
                  <w:sz w:val="20"/>
                  <w:u w:val="single"/>
                </w:rPr>
                <w:t>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before="300" w:after="18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932"/>
        <w:gridCol w:w="2393"/>
        <w:gridCol w:w="2371"/>
        <w:gridCol w:w="196"/>
        <w:gridCol w:w="708"/>
        <w:gridCol w:w="109"/>
        <w:gridCol w:w="109"/>
        <w:gridCol w:w="109"/>
        <w:gridCol w:w="109"/>
        <w:gridCol w:w="216"/>
        <w:gridCol w:w="779"/>
        <w:gridCol w:w="174"/>
      </w:tblGrid>
      <w:tr>
        <w:trPr/>
        <w:tc>
          <w:tcPr>
            <w:tcW w:w="2932"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ZoomInfo Technologies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millions, except share data)</w:t>
            </w:r>
          </w:p>
        </w:tc>
      </w:tr>
      <w:tr>
        <w:trPr/>
        <w:tc>
          <w:tcPr>
            <w:tcW w:w="7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current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of $11.4 and $11.3, respectively</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454.0 </w:t>
            </w:r>
          </w:p>
        </w:tc>
        <w:tc>
          <w:tcPr>
            <w:tcW w:w="1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1,692.7 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3,662.3 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costs and other assets, net of current portion</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5,678.5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6,439.5</w:t>
            </w:r>
            <w:r>
              <w:rPr>
                <w:color w:val="000000"/>
              </w:rPr>
              <w:t>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 current portion</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tax receivable agreements liability</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632.9 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 net of current portion</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 agreements liability, net of current portion</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2,731.9 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net of current portion</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portion</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1,318.1 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4,849.8</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4,930.8</w:t>
            </w:r>
            <w:r>
              <w:rPr>
                <w:color w:val="000000"/>
              </w:rPr>
              <w:t>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9)</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Common stock, par value $0.01; 3,300,000,000 shares authorized as of June 30, 2026 and December 31, 2025; 292,312,307 and 307,293,985 issued and outstanding as of June 30, 2026 and December 31, 2025, respectively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Preferred stock, par value $0.01; 200,000,000 shares authorized as of June 30, 2026 and December 31, 2025; zero issued and outstanding as of June 30, 2026 and December 31, 2025</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 (“APIC”)</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1,068.1 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Accumulated other comprehensive income (</w:t>
            </w:r>
            <w:r>
              <w:rPr>
                <w:color w:val="000000"/>
              </w:rPr>
              <w:t>“</w:t>
            </w:r>
            <w:r>
              <w:rPr>
                <w:rFonts w:ascii="Times New Roman;serif" w:hAnsi="Times New Roman;serif"/>
                <w:b w:val="false"/>
                <w:color w:val="000000"/>
                <w:sz w:val="18"/>
              </w:rPr>
              <w:t>AOCI”)</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 (deficit)</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828.7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1,508.7</w:t>
            </w:r>
            <w:r>
              <w:rPr>
                <w:color w:val="000000"/>
              </w:rPr>
              <w:t>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5,678.5</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6,439.5</w:t>
            </w:r>
            <w:r>
              <w:rPr>
                <w:color w:val="000000"/>
              </w:rPr>
              <w:t> </w:t>
            </w:r>
          </w:p>
        </w:tc>
        <w:tc>
          <w:tcPr>
            <w:tcW w:w="1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221105"/>
                <wp:effectExtent l="0" t="0" r="0" b="0"/>
                <wp:wrapNone/>
                <wp:docPr id="8" name="Frame8"/>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9270d9b522f4202b170aaae4a69cfb8_7">
        <w:r>
          <w:rPr>
            <w:rStyle w:val="InternetLink"/>
            <w:rFonts w:ascii="Times New Roman;serif" w:hAnsi="Times New Roman;serif"/>
            <w:b w:val="false"/>
            <w:color w:val="0000FF"/>
            <w:sz w:val="16"/>
            <w:u w:val="single"/>
          </w:rPr>
          <w:t>Table of Contents</w:t>
        </w:r>
      </w:hyperlink>
    </w:p>
    <w:tbl>
      <w:tblPr>
        <w:tblW w:w="8957" w:type="dxa"/>
        <w:jc w:val="center"/>
        <w:tblInd w:w="0" w:type="dxa"/>
        <w:tblLayout w:type="fixed"/>
        <w:tblCellMar>
          <w:top w:w="28" w:type="dxa"/>
          <w:left w:w="28" w:type="dxa"/>
          <w:bottom w:w="28" w:type="dxa"/>
          <w:right w:w="28" w:type="dxa"/>
        </w:tblCellMar>
      </w:tblPr>
      <w:tblGrid>
        <w:gridCol w:w="1297"/>
        <w:gridCol w:w="1141"/>
        <w:gridCol w:w="1147"/>
        <w:gridCol w:w="243"/>
        <w:gridCol w:w="797"/>
        <w:gridCol w:w="125"/>
        <w:gridCol w:w="125"/>
        <w:gridCol w:w="125"/>
        <w:gridCol w:w="125"/>
        <w:gridCol w:w="243"/>
        <w:gridCol w:w="711"/>
        <w:gridCol w:w="125"/>
        <w:gridCol w:w="109"/>
        <w:gridCol w:w="109"/>
        <w:gridCol w:w="109"/>
        <w:gridCol w:w="214"/>
        <w:gridCol w:w="777"/>
        <w:gridCol w:w="110"/>
        <w:gridCol w:w="110"/>
        <w:gridCol w:w="110"/>
        <w:gridCol w:w="110"/>
        <w:gridCol w:w="214"/>
        <w:gridCol w:w="625"/>
        <w:gridCol w:w="156"/>
      </w:tblGrid>
      <w:tr>
        <w:trPr/>
        <w:tc>
          <w:tcPr>
            <w:tcW w:w="129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957" w:type="dxa"/>
            <w:gridSpan w:val="24"/>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ZoomInfo Technologies Inc.</w:t>
            </w:r>
          </w:p>
        </w:tc>
      </w:tr>
      <w:tr>
        <w:trPr/>
        <w:tc>
          <w:tcPr>
            <w:tcW w:w="8957"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tc>
      </w:tr>
      <w:tr>
        <w:trPr/>
        <w:tc>
          <w:tcPr>
            <w:tcW w:w="8957" w:type="dxa"/>
            <w:gridSpan w:val="24"/>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 unaudited)</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620.6 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Cost of service</w:t>
            </w:r>
            <w:r>
              <w:rPr>
                <w:rFonts w:ascii="Times New Roman;serif" w:hAnsi="Times New Roman;serif"/>
                <w:b w:val="false"/>
                <w:color w:val="000000"/>
                <w:sz w:val="13"/>
              </w:rPr>
              <w:t>(1)</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878.8 </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1,080.1 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(622.0)</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(564.1)</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(618.5)</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(574.2)</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(643.7)</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24.0</w:t>
            </w:r>
            <w:r>
              <w:rPr>
                <w:color w:val="000000"/>
              </w:rPr>
              <w:t>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(614.4)</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50.8</w:t>
            </w:r>
            <w:r>
              <w:rPr>
                <w:color w:val="000000"/>
              </w:rPr>
              <w:t>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 of common stock:</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jc w:val="both"/>
        <w:rPr/>
      </w:pPr>
      <w:r>
        <w:rPr>
          <w:rFonts w:ascii="Times New Roman;serif" w:hAnsi="Times New Roman;serif"/>
          <w:b w:val="false"/>
          <w:color w:val="000000"/>
          <w:sz w:val="18"/>
        </w:rPr>
        <w:t>(1)</w:t>
      </w:r>
      <w:r>
        <w:rPr>
          <w:rFonts w:ascii="Times New Roman;serif" w:hAnsi="Times New Roman;serif"/>
          <w:b w:val="false"/>
          <w:color w:val="000000"/>
          <w:sz w:val="18"/>
        </w:rPr>
        <w:t>Amounts include equity-based compensation expense, as follows:</w:t>
      </w:r>
    </w:p>
    <w:tbl>
      <w:tblPr>
        <w:tblW w:w="8101" w:type="dxa"/>
        <w:jc w:val="left"/>
        <w:tblInd w:w="0" w:type="dxa"/>
        <w:tblLayout w:type="fixed"/>
        <w:tblCellMar>
          <w:top w:w="28" w:type="dxa"/>
          <w:left w:w="28" w:type="dxa"/>
          <w:bottom w:w="28" w:type="dxa"/>
          <w:right w:w="28" w:type="dxa"/>
        </w:tblCellMar>
      </w:tblPr>
      <w:tblGrid>
        <w:gridCol w:w="1105"/>
        <w:gridCol w:w="971"/>
        <w:gridCol w:w="983"/>
        <w:gridCol w:w="256"/>
        <w:gridCol w:w="609"/>
        <w:gridCol w:w="142"/>
        <w:gridCol w:w="142"/>
        <w:gridCol w:w="142"/>
        <w:gridCol w:w="142"/>
        <w:gridCol w:w="256"/>
        <w:gridCol w:w="609"/>
        <w:gridCol w:w="142"/>
        <w:gridCol w:w="109"/>
        <w:gridCol w:w="109"/>
        <w:gridCol w:w="109"/>
        <w:gridCol w:w="233"/>
        <w:gridCol w:w="555"/>
        <w:gridCol w:w="129"/>
        <w:gridCol w:w="129"/>
        <w:gridCol w:w="129"/>
        <w:gridCol w:w="129"/>
        <w:gridCol w:w="233"/>
        <w:gridCol w:w="555"/>
        <w:gridCol w:w="183"/>
      </w:tblGrid>
      <w:tr>
        <w:trPr/>
        <w:tc>
          <w:tcPr>
            <w:tcW w:w="110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equity-based compensation expense</w:t>
            </w:r>
          </w:p>
        </w:tc>
        <w:tc>
          <w:tcPr>
            <w:tcW w:w="2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221105"/>
                <wp:effectExtent l="0" t="0" r="0" b="0"/>
                <wp:wrapNone/>
                <wp:docPr id="9" name="Frame9"/>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9270d9b522f4202b170aaae4a69cfb8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25"/>
        <w:gridCol w:w="1592"/>
        <w:gridCol w:w="1576"/>
        <w:gridCol w:w="243"/>
        <w:gridCol w:w="786"/>
        <w:gridCol w:w="126"/>
        <w:gridCol w:w="126"/>
        <w:gridCol w:w="126"/>
        <w:gridCol w:w="126"/>
        <w:gridCol w:w="243"/>
        <w:gridCol w:w="608"/>
        <w:gridCol w:w="126"/>
        <w:gridCol w:w="109"/>
        <w:gridCol w:w="109"/>
        <w:gridCol w:w="109"/>
        <w:gridCol w:w="225"/>
        <w:gridCol w:w="726"/>
        <w:gridCol w:w="116"/>
        <w:gridCol w:w="116"/>
        <w:gridCol w:w="116"/>
        <w:gridCol w:w="116"/>
        <w:gridCol w:w="225"/>
        <w:gridCol w:w="562"/>
        <w:gridCol w:w="173"/>
      </w:tblGrid>
      <w:tr>
        <w:trPr/>
        <w:tc>
          <w:tcPr>
            <w:tcW w:w="182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ZoomInfo Technologies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millions; unaudited)</w:t>
            </w:r>
          </w:p>
        </w:tc>
      </w:tr>
      <w:tr>
        <w:trPr/>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93"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4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(643.7)</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(614.4)</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cash flow hedges</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realized loss (gain) on settlement of cash flow hedges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3"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4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tax</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4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(642.0)</w:t>
            </w:r>
          </w:p>
        </w:tc>
        <w:tc>
          <w:tcPr>
            <w:tcW w:w="1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22.6</w:t>
            </w:r>
            <w:r>
              <w:rPr>
                <w:color w:val="000000"/>
              </w:rPr>
              <w:t> </w:t>
            </w:r>
          </w:p>
        </w:tc>
        <w:tc>
          <w:tcPr>
            <w:tcW w:w="1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(611.9)</w:t>
            </w:r>
          </w:p>
        </w:tc>
        <w:tc>
          <w:tcPr>
            <w:tcW w:w="1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45.8</w:t>
            </w:r>
            <w:r>
              <w:rPr>
                <w:color w:val="000000"/>
              </w:rPr>
              <w:t> </w:t>
            </w:r>
          </w:p>
        </w:tc>
        <w:tc>
          <w:tcPr>
            <w:tcW w:w="17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221105"/>
                <wp:effectExtent l="0" t="0" r="0" b="0"/>
                <wp:wrapNone/>
                <wp:docPr id="10" name="Frame10"/>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0205" w:type="dxa"/>
        <w:jc w:val="left"/>
        <w:tblInd w:w="0" w:type="dxa"/>
        <w:tblLayout w:type="fixed"/>
        <w:tblCellMar>
          <w:top w:w="28" w:type="dxa"/>
          <w:left w:w="28" w:type="dxa"/>
          <w:bottom w:w="28" w:type="dxa"/>
          <w:right w:w="28" w:type="dxa"/>
        </w:tblCellMar>
      </w:tblPr>
      <w:tblGrid>
        <w:gridCol w:w="872"/>
        <w:gridCol w:w="374"/>
        <w:gridCol w:w="377"/>
        <w:gridCol w:w="593"/>
        <w:gridCol w:w="593"/>
        <w:gridCol w:w="226"/>
        <w:gridCol w:w="109"/>
        <w:gridCol w:w="109"/>
        <w:gridCol w:w="109"/>
        <w:gridCol w:w="222"/>
        <w:gridCol w:w="443"/>
        <w:gridCol w:w="116"/>
        <w:gridCol w:w="109"/>
        <w:gridCol w:w="109"/>
        <w:gridCol w:w="109"/>
        <w:gridCol w:w="211"/>
        <w:gridCol w:w="781"/>
        <w:gridCol w:w="109"/>
        <w:gridCol w:w="109"/>
        <w:gridCol w:w="109"/>
        <w:gridCol w:w="109"/>
        <w:gridCol w:w="211"/>
        <w:gridCol w:w="421"/>
        <w:gridCol w:w="109"/>
        <w:gridCol w:w="109"/>
        <w:gridCol w:w="109"/>
        <w:gridCol w:w="109"/>
        <w:gridCol w:w="238"/>
        <w:gridCol w:w="727"/>
        <w:gridCol w:w="123"/>
        <w:gridCol w:w="109"/>
        <w:gridCol w:w="109"/>
        <w:gridCol w:w="109"/>
        <w:gridCol w:w="109"/>
        <w:gridCol w:w="109"/>
        <w:gridCol w:w="109"/>
        <w:gridCol w:w="109"/>
        <w:gridCol w:w="258"/>
        <w:gridCol w:w="937"/>
        <w:gridCol w:w="193"/>
      </w:tblGrid>
      <w:tr>
        <w:trPr/>
        <w:tc>
          <w:tcPr>
            <w:tcW w:w="8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8490" w:type="dxa"/>
            <w:gridSpan w:val="34"/>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ZoomInfo Technologies Inc.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share data; unaudited)</w:t>
            </w:r>
          </w:p>
        </w:tc>
        <w:tc>
          <w:tcPr>
            <w:tcW w:w="1715" w:type="dxa"/>
            <w:gridSpan w:val="6"/>
            <w:tcBorders/>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170" w:type="dxa"/>
            <w:gridSpan w:val="34"/>
            <w:tcBorders/>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APIC</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AOCI</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 earnings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307,293,985 </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436.6 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1,508.7 </w:t>
            </w:r>
          </w:p>
        </w:tc>
        <w:tc>
          <w:tcPr>
            <w:tcW w:w="19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1,995,507 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(110,159)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(13,099,790)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March 31, 2026</w:t>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296,079,543 </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465.9 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1,473.6 </w:t>
            </w:r>
          </w:p>
        </w:tc>
        <w:tc>
          <w:tcPr>
            <w:tcW w:w="19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2,585,598 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(99,321)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(6,253,513)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June 30, 2026</w:t>
            </w:r>
          </w:p>
        </w:tc>
        <w:tc>
          <w:tcPr>
            <w:tcW w:w="1412"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292,312,307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w:t>
            </w:r>
            <w:r>
              <w:rPr>
                <w:color w:val="000000"/>
              </w:rPr>
              <w:t> </w:t>
            </w:r>
          </w:p>
        </w:tc>
        <w:tc>
          <w:tcPr>
            <w:tcW w:w="1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1,000.1</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(177.8)</w:t>
            </w:r>
          </w:p>
        </w:tc>
        <w:tc>
          <w:tcPr>
            <w:tcW w:w="1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828.7</w:t>
            </w:r>
            <w:r>
              <w:rPr>
                <w:color w:val="000000"/>
              </w:rPr>
              <w:t> </w:t>
            </w:r>
          </w:p>
        </w:tc>
        <w:tc>
          <w:tcPr>
            <w:tcW w:w="1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8582" w:type="dxa"/>
            <w:gridSpan w:val="37"/>
            <w:tcBorders/>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5" w:type="dxa"/>
            <w:gridSpan w:val="6"/>
            <w:tcBorders/>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6062" w:type="dxa"/>
            <w:gridSpan w:val="28"/>
            <w:tcBorders/>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221105"/>
                <wp:effectExtent l="0" t="0" r="0" b="0"/>
                <wp:wrapNone/>
                <wp:docPr id="11" name="Frame11"/>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9270d9b522f4202b170aaae4a69cfb8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34"/>
        <w:gridCol w:w="317"/>
        <w:gridCol w:w="319"/>
        <w:gridCol w:w="600"/>
        <w:gridCol w:w="601"/>
        <w:gridCol w:w="226"/>
        <w:gridCol w:w="109"/>
        <w:gridCol w:w="109"/>
        <w:gridCol w:w="109"/>
        <w:gridCol w:w="222"/>
        <w:gridCol w:w="443"/>
        <w:gridCol w:w="116"/>
        <w:gridCol w:w="109"/>
        <w:gridCol w:w="109"/>
        <w:gridCol w:w="109"/>
        <w:gridCol w:w="211"/>
        <w:gridCol w:w="781"/>
        <w:gridCol w:w="109"/>
        <w:gridCol w:w="109"/>
        <w:gridCol w:w="109"/>
        <w:gridCol w:w="109"/>
        <w:gridCol w:w="211"/>
        <w:gridCol w:w="511"/>
        <w:gridCol w:w="109"/>
        <w:gridCol w:w="109"/>
        <w:gridCol w:w="109"/>
        <w:gridCol w:w="109"/>
        <w:gridCol w:w="217"/>
        <w:gridCol w:w="651"/>
        <w:gridCol w:w="112"/>
        <w:gridCol w:w="109"/>
        <w:gridCol w:w="109"/>
        <w:gridCol w:w="109"/>
        <w:gridCol w:w="109"/>
        <w:gridCol w:w="109"/>
        <w:gridCol w:w="109"/>
        <w:gridCol w:w="109"/>
        <w:gridCol w:w="109"/>
        <w:gridCol w:w="109"/>
        <w:gridCol w:w="242"/>
        <w:gridCol w:w="901"/>
        <w:gridCol w:w="183"/>
      </w:tblGrid>
      <w:tr>
        <w:trPr/>
        <w:tc>
          <w:tcPr>
            <w:tcW w:w="83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8552" w:type="dxa"/>
            <w:gridSpan w:val="3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ZoomInfo Technologies Inc.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share data; unaudited) (continued)</w:t>
            </w:r>
          </w:p>
        </w:tc>
        <w:tc>
          <w:tcPr>
            <w:tcW w:w="1653" w:type="dxa"/>
            <w:gridSpan w:val="6"/>
            <w:tcBorders/>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7308" w:type="dxa"/>
            <w:gridSpan w:val="36"/>
            <w:tcBorders/>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APIC</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AOCI</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12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342,027,974 </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1,693.5 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1,417,178 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w:t>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(8,598,274)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March 31, 2025</w:t>
            </w:r>
          </w:p>
        </w:tc>
        <w:tc>
          <w:tcPr>
            <w:tcW w:w="12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334,344,186 </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339.2 </w:t>
            </w:r>
          </w:p>
        </w:tc>
        <w:tc>
          <w:tcPr>
            <w:tcW w:w="11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1,646.1 </w:t>
            </w:r>
          </w:p>
        </w:tc>
        <w:tc>
          <w:tcPr>
            <w:tcW w:w="18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2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2,155,151 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w:t>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(15,876,573)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w:t>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June 30, 2025</w:t>
            </w:r>
          </w:p>
        </w:tc>
        <w:tc>
          <w:tcPr>
            <w:tcW w:w="120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320,561,651</w:t>
            </w:r>
            <w:r>
              <w:rPr>
                <w:color w:val="000000"/>
              </w:rPr>
              <w:t> </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w:t>
            </w:r>
            <w:r>
              <w:rPr>
                <w:color w:val="000000"/>
              </w:rPr>
              <w:t> </w:t>
            </w:r>
          </w:p>
        </w:tc>
        <w:tc>
          <w:tcPr>
            <w:tcW w:w="1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1,175.9</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9.8</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363.2</w:t>
            </w:r>
            <w:r>
              <w:rPr>
                <w:color w:val="000000"/>
              </w:rPr>
              <w:t> </w:t>
            </w:r>
          </w:p>
        </w:tc>
        <w:tc>
          <w:tcPr>
            <w:tcW w:w="1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1,552.0</w:t>
            </w:r>
            <w:r>
              <w:rPr>
                <w:color w:val="000000"/>
              </w:rPr>
              <w:t> </w:t>
            </w:r>
          </w:p>
        </w:tc>
        <w:tc>
          <w:tcPr>
            <w:tcW w:w="1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221105"/>
                <wp:effectExtent l="0" t="0" r="0" b="0"/>
                <wp:wrapNone/>
                <wp:docPr id="12" name="Frame12"/>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9270d9b522f4202b170aaae4a69cfb8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05"/>
        <w:gridCol w:w="2284"/>
        <w:gridCol w:w="2299"/>
        <w:gridCol w:w="265"/>
        <w:gridCol w:w="870"/>
        <w:gridCol w:w="136"/>
        <w:gridCol w:w="136"/>
        <w:gridCol w:w="136"/>
        <w:gridCol w:w="136"/>
        <w:gridCol w:w="265"/>
        <w:gridCol w:w="870"/>
        <w:gridCol w:w="203"/>
      </w:tblGrid>
      <w:tr>
        <w:trPr/>
        <w:tc>
          <w:tcPr>
            <w:tcW w:w="2605"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ZoomInfo Technologies Inc.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unaudited)</w:t>
            </w:r>
          </w:p>
        </w:tc>
      </w:tr>
      <w:tr>
        <w:trPr/>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discounts and issuance costs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commissions costs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and lease abandonment charges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modification</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remeasurement</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bad debt expense</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disposal of property and equipment</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w:t>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and other assets, net of current portion</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20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investments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other assets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initial direct costs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6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20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and modification costs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loans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6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(174.0)</w:t>
            </w:r>
          </w:p>
        </w:tc>
        <w:tc>
          <w:tcPr>
            <w:tcW w:w="1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w:t>
            </w:r>
          </w:p>
        </w:tc>
        <w:tc>
          <w:tcPr>
            <w:tcW w:w="20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221105"/>
                <wp:effectExtent l="0" t="0" r="0" b="0"/>
                <wp:wrapNone/>
                <wp:docPr id="13" name="Frame13"/>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9270d9b522f4202b170aaae4a69cfb8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71"/>
        <w:gridCol w:w="2330"/>
        <w:gridCol w:w="2336"/>
        <w:gridCol w:w="269"/>
        <w:gridCol w:w="787"/>
        <w:gridCol w:w="139"/>
        <w:gridCol w:w="139"/>
        <w:gridCol w:w="139"/>
        <w:gridCol w:w="139"/>
        <w:gridCol w:w="269"/>
        <w:gridCol w:w="787"/>
        <w:gridCol w:w="200"/>
      </w:tblGrid>
      <w:tr>
        <w:trPr/>
        <w:tc>
          <w:tcPr>
            <w:tcW w:w="2671"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ZoomInfo Technologies Inc.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unaudited) (continued)</w:t>
            </w:r>
          </w:p>
        </w:tc>
      </w:tr>
      <w:tr>
        <w:trPr/>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3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20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3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20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in cash</w:t>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non-cash investing activities:</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included in accounts payable and accrued expenses and other current liabilities</w:t>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included in capitalized software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221105"/>
                <wp:effectExtent l="0" t="0" r="0" b="0"/>
                <wp:wrapNone/>
                <wp:docPr id="14" name="Frame14"/>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ZoomInfo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share/unit data and per share/unit amounts, unless otherwise noted)</w:t>
      </w:r>
    </w:p>
    <w:tbl>
      <w:tblPr>
        <w:tblW w:w="7797" w:type="dxa"/>
        <w:jc w:val="center"/>
        <w:tblInd w:w="0" w:type="dxa"/>
        <w:tblLayout w:type="fixed"/>
        <w:tblCellMar>
          <w:top w:w="28" w:type="dxa"/>
          <w:left w:w="28" w:type="dxa"/>
          <w:bottom w:w="28" w:type="dxa"/>
          <w:right w:w="28" w:type="dxa"/>
        </w:tblCellMar>
      </w:tblPr>
      <w:tblGrid>
        <w:gridCol w:w="277"/>
        <w:gridCol w:w="242"/>
        <w:gridCol w:w="246"/>
        <w:gridCol w:w="2218"/>
        <w:gridCol w:w="2218"/>
        <w:gridCol w:w="2224"/>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43">
              <w:r>
                <w:rPr>
                  <w:rStyle w:val="InternetLink"/>
                  <w:rFonts w:ascii="Times New Roman;serif" w:hAnsi="Times New Roman;serif"/>
                  <w:b w:val="false"/>
                  <w:color w:val="0000FF"/>
                  <w:sz w:val="20"/>
                  <w:u w:val="single"/>
                </w:rPr>
                <w:t>Note 1</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43">
              <w:r>
                <w:rPr>
                  <w:rStyle w:val="InternetLink"/>
                  <w:rFonts w:ascii="Times New Roman;serif" w:hAnsi="Times New Roman;serif"/>
                  <w:b w:val="false"/>
                  <w:color w:val="0000FF"/>
                  <w:sz w:val="20"/>
                  <w:u w:val="single"/>
                </w:rPr>
                <w:t>Business, Basis of Presentation, and Summary of Significant Accounting Policies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43">
              <w:r>
                <w:rPr>
                  <w:rStyle w:val="InternetLink"/>
                  <w:rFonts w:ascii="Times New Roman;serif" w:hAnsi="Times New Roman;serif"/>
                  <w:b w:val="false"/>
                  <w:color w:val="0000FF"/>
                  <w:sz w:val="20"/>
                  <w:u w:val="single"/>
                </w:rPr>
                <w:t>10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46">
              <w:r>
                <w:rPr>
                  <w:rStyle w:val="InternetLink"/>
                  <w:rFonts w:ascii="Times New Roman;serif" w:hAnsi="Times New Roman;serif"/>
                  <w:b w:val="false"/>
                  <w:color w:val="0000FF"/>
                  <w:sz w:val="20"/>
                  <w:u w:val="single"/>
                </w:rPr>
                <w:t>Note 2</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46">
              <w:r>
                <w:rPr>
                  <w:rStyle w:val="InternetLink"/>
                  <w:rFonts w:ascii="Times New Roman;serif" w:hAnsi="Times New Roman;serif"/>
                  <w:b w:val="false"/>
                  <w:color w:val="0000FF"/>
                  <w:sz w:val="20"/>
                  <w:u w:val="single"/>
                </w:rPr>
                <w:t>Revenue from Contracts with Customers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46">
              <w:r>
                <w:rPr>
                  <w:rStyle w:val="InternetLink"/>
                  <w:rFonts w:ascii="Times New Roman;serif" w:hAnsi="Times New Roman;serif"/>
                  <w:b w:val="false"/>
                  <w:color w:val="0000FF"/>
                  <w:sz w:val="20"/>
                  <w:u w:val="single"/>
                </w:rPr>
                <w:t>13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52">
              <w:r>
                <w:rPr>
                  <w:rStyle w:val="InternetLink"/>
                  <w:rFonts w:ascii="Times New Roman;serif" w:hAnsi="Times New Roman;serif"/>
                  <w:b w:val="false"/>
                  <w:color w:val="0000FF"/>
                  <w:sz w:val="20"/>
                  <w:u w:val="single"/>
                </w:rPr>
                <w:t>Note 3</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52">
              <w:r>
                <w:rPr>
                  <w:rStyle w:val="InternetLink"/>
                  <w:rFonts w:ascii="Times New Roman;serif" w:hAnsi="Times New Roman;serif"/>
                  <w:b w:val="false"/>
                  <w:color w:val="0000FF"/>
                  <w:sz w:val="20"/>
                  <w:u w:val="single"/>
                </w:rPr>
                <w:t>Investments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52">
              <w:r>
                <w:rPr>
                  <w:rStyle w:val="InternetLink"/>
                  <w:rFonts w:ascii="Times New Roman;serif" w:hAnsi="Times New Roman;serif"/>
                  <w:b w:val="false"/>
                  <w:color w:val="0000FF"/>
                  <w:sz w:val="20"/>
                  <w:u w:val="single"/>
                </w:rPr>
                <w:t>14</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55">
              <w:r>
                <w:rPr>
                  <w:rStyle w:val="InternetLink"/>
                  <w:rFonts w:ascii="Times New Roman;serif" w:hAnsi="Times New Roman;serif"/>
                  <w:b w:val="false"/>
                  <w:color w:val="0000FF"/>
                  <w:sz w:val="20"/>
                  <w:u w:val="single"/>
                </w:rPr>
                <w:t>Note 4</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55">
              <w:r>
                <w:rPr>
                  <w:rStyle w:val="InternetLink"/>
                  <w:rFonts w:ascii="Times New Roman;serif" w:hAnsi="Times New Roman;serif"/>
                  <w:b w:val="false"/>
                  <w:color w:val="0000FF"/>
                  <w:sz w:val="20"/>
                  <w:u w:val="single"/>
                </w:rPr>
                <w:t>Property and Equipment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55">
              <w:r>
                <w:rPr>
                  <w:rStyle w:val="InternetLink"/>
                  <w:rFonts w:ascii="Times New Roman;serif" w:hAnsi="Times New Roman;serif"/>
                  <w:b w:val="false"/>
                  <w:color w:val="0000FF"/>
                  <w:sz w:val="20"/>
                  <w:u w:val="single"/>
                </w:rPr>
                <w:t>15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58">
              <w:r>
                <w:rPr>
                  <w:rStyle w:val="InternetLink"/>
                  <w:rFonts w:ascii="Times New Roman;serif" w:hAnsi="Times New Roman;serif"/>
                  <w:b w:val="false"/>
                  <w:color w:val="0000FF"/>
                  <w:sz w:val="20"/>
                  <w:u w:val="single"/>
                </w:rPr>
                <w:t>Note 5</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58">
              <w:r>
                <w:rPr>
                  <w:rStyle w:val="InternetLink"/>
                  <w:rFonts w:ascii="Times New Roman;serif" w:hAnsi="Times New Roman;serif"/>
                  <w:b w:val="false"/>
                  <w:color w:val="0000FF"/>
                  <w:sz w:val="20"/>
                  <w:u w:val="single"/>
                </w:rPr>
                <w:t>Goodwill and Acquired Intangible Assets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58">
              <w:r>
                <w:rPr>
                  <w:rStyle w:val="InternetLink"/>
                  <w:rFonts w:ascii="Times New Roman;serif" w:hAnsi="Times New Roman;serif"/>
                  <w:b w:val="false"/>
                  <w:color w:val="0000FF"/>
                  <w:sz w:val="20"/>
                  <w:u w:val="single"/>
                </w:rPr>
                <w:t>15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61">
              <w:r>
                <w:rPr>
                  <w:rStyle w:val="InternetLink"/>
                  <w:rFonts w:ascii="Times New Roman;serif" w:hAnsi="Times New Roman;serif"/>
                  <w:b w:val="false"/>
                  <w:color w:val="0000FF"/>
                  <w:sz w:val="20"/>
                  <w:u w:val="single"/>
                </w:rPr>
                <w:t>Note 6</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61">
              <w:r>
                <w:rPr>
                  <w:rStyle w:val="InternetLink"/>
                  <w:rFonts w:ascii="Times New Roman;serif" w:hAnsi="Times New Roman;serif"/>
                  <w:b w:val="false"/>
                  <w:color w:val="0000FF"/>
                  <w:sz w:val="20"/>
                  <w:u w:val="single"/>
                </w:rPr>
                <w:t>Financing Arrangements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61">
              <w:r>
                <w:rPr>
                  <w:rStyle w:val="InternetLink"/>
                  <w:rFonts w:ascii="Times New Roman;serif" w:hAnsi="Times New Roman;serif"/>
                  <w:b w:val="false"/>
                  <w:color w:val="0000FF"/>
                  <w:sz w:val="20"/>
                  <w:u w:val="single"/>
                </w:rPr>
                <w:t>17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64">
              <w:r>
                <w:rPr>
                  <w:rStyle w:val="InternetLink"/>
                  <w:rFonts w:ascii="Times New Roman;serif" w:hAnsi="Times New Roman;serif"/>
                  <w:b w:val="false"/>
                  <w:color w:val="0000FF"/>
                  <w:sz w:val="20"/>
                  <w:u w:val="single"/>
                </w:rPr>
                <w:t>Note 7</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64">
              <w:r>
                <w:rPr>
                  <w:rStyle w:val="InternetLink"/>
                  <w:rFonts w:ascii="Times New Roman;serif" w:hAnsi="Times New Roman;serif"/>
                  <w:b w:val="false"/>
                  <w:color w:val="0000FF"/>
                  <w:sz w:val="20"/>
                  <w:u w:val="single"/>
                </w:rPr>
                <w:t>Derivatives and Hedging Activities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64">
              <w:r>
                <w:rPr>
                  <w:rStyle w:val="InternetLink"/>
                  <w:rFonts w:ascii="Times New Roman;serif" w:hAnsi="Times New Roman;serif"/>
                  <w:b w:val="false"/>
                  <w:color w:val="0000FF"/>
                  <w:sz w:val="20"/>
                  <w:u w:val="single"/>
                </w:rPr>
                <w:t>18</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67">
              <w:r>
                <w:rPr>
                  <w:rStyle w:val="InternetLink"/>
                  <w:rFonts w:ascii="Times New Roman;serif" w:hAnsi="Times New Roman;serif"/>
                  <w:b w:val="false"/>
                  <w:color w:val="0000FF"/>
                  <w:sz w:val="20"/>
                  <w:u w:val="single"/>
                </w:rPr>
                <w:t>Note 8</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67">
              <w:r>
                <w:rPr>
                  <w:rStyle w:val="InternetLink"/>
                  <w:rFonts w:ascii="Times New Roman;serif" w:hAnsi="Times New Roman;serif"/>
                  <w:b w:val="false"/>
                  <w:color w:val="0000FF"/>
                  <w:sz w:val="20"/>
                  <w:u w:val="single"/>
                </w:rPr>
                <w:t>Fair Value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67">
              <w:r>
                <w:rPr>
                  <w:rStyle w:val="InternetLink"/>
                  <w:rFonts w:ascii="Times New Roman;serif" w:hAnsi="Times New Roman;serif"/>
                  <w:b w:val="false"/>
                  <w:color w:val="0000FF"/>
                  <w:sz w:val="20"/>
                  <w:u w:val="single"/>
                </w:rPr>
                <w:t>19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70">
              <w:r>
                <w:rPr>
                  <w:rStyle w:val="InternetLink"/>
                  <w:rFonts w:ascii="Times New Roman;serif" w:hAnsi="Times New Roman;serif"/>
                  <w:b w:val="false"/>
                  <w:color w:val="0000FF"/>
                  <w:sz w:val="20"/>
                  <w:u w:val="single"/>
                </w:rPr>
                <w:t>Note 9</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70">
              <w:r>
                <w:rPr>
                  <w:rStyle w:val="InternetLink"/>
                  <w:rFonts w:ascii="Times New Roman;serif" w:hAnsi="Times New Roman;serif"/>
                  <w:b w:val="false"/>
                  <w:color w:val="0000FF"/>
                  <w:sz w:val="20"/>
                  <w:u w:val="single"/>
                </w:rPr>
                <w:t>Commitments and Contingencies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70">
              <w:r>
                <w:rPr>
                  <w:rStyle w:val="InternetLink"/>
                  <w:rFonts w:ascii="Times New Roman;serif" w:hAnsi="Times New Roman;serif"/>
                  <w:b w:val="false"/>
                  <w:color w:val="0000FF"/>
                  <w:sz w:val="20"/>
                  <w:u w:val="single"/>
                </w:rPr>
                <w:t>20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73">
              <w:r>
                <w:rPr>
                  <w:rStyle w:val="InternetLink"/>
                  <w:rFonts w:ascii="Times New Roman;serif" w:hAnsi="Times New Roman;serif"/>
                  <w:b w:val="false"/>
                  <w:color w:val="0000FF"/>
                  <w:sz w:val="20"/>
                  <w:u w:val="single"/>
                </w:rPr>
                <w:t>Note 10</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73">
              <w:r>
                <w:rPr>
                  <w:rStyle w:val="InternetLink"/>
                  <w:rFonts w:ascii="Times New Roman;serif" w:hAnsi="Times New Roman;serif"/>
                  <w:b w:val="false"/>
                  <w:color w:val="0000FF"/>
                  <w:sz w:val="20"/>
                  <w:u w:val="single"/>
                </w:rPr>
                <w:t>Earnings (Loss) Per Share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73">
              <w:r>
                <w:rPr>
                  <w:rStyle w:val="InternetLink"/>
                  <w:rFonts w:ascii="Times New Roman;serif" w:hAnsi="Times New Roman;serif"/>
                  <w:b w:val="false"/>
                  <w:color w:val="0000FF"/>
                  <w:sz w:val="20"/>
                  <w:u w:val="single"/>
                </w:rPr>
                <w:t>23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76">
              <w:r>
                <w:rPr>
                  <w:rStyle w:val="InternetLink"/>
                  <w:rFonts w:ascii="Times New Roman;serif" w:hAnsi="Times New Roman;serif"/>
                  <w:b w:val="false"/>
                  <w:color w:val="0000FF"/>
                  <w:sz w:val="20"/>
                  <w:u w:val="single"/>
                </w:rPr>
                <w:t>Note 11</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76">
              <w:r>
                <w:rPr>
                  <w:rStyle w:val="InternetLink"/>
                  <w:rFonts w:ascii="Times New Roman;serif" w:hAnsi="Times New Roman;serif"/>
                  <w:b w:val="false"/>
                  <w:color w:val="0000FF"/>
                  <w:sz w:val="20"/>
                  <w:u w:val="single"/>
                </w:rPr>
                <w:t>Leases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76">
              <w:r>
                <w:rPr>
                  <w:rStyle w:val="InternetLink"/>
                  <w:rFonts w:ascii="Times New Roman;serif" w:hAnsi="Times New Roman;serif"/>
                  <w:b w:val="false"/>
                  <w:color w:val="0000FF"/>
                  <w:sz w:val="20"/>
                  <w:u w:val="single"/>
                </w:rPr>
                <w:t>24</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79">
              <w:r>
                <w:rPr>
                  <w:rStyle w:val="InternetLink"/>
                  <w:rFonts w:ascii="Times New Roman;serif" w:hAnsi="Times New Roman;serif"/>
                  <w:b w:val="false"/>
                  <w:color w:val="0000FF"/>
                  <w:sz w:val="20"/>
                  <w:u w:val="single"/>
                </w:rPr>
                <w:t>Note 12</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79">
              <w:r>
                <w:rPr>
                  <w:rStyle w:val="InternetLink"/>
                  <w:rFonts w:ascii="Times New Roman;serif" w:hAnsi="Times New Roman;serif"/>
                  <w:b w:val="false"/>
                  <w:color w:val="0000FF"/>
                  <w:sz w:val="20"/>
                  <w:u w:val="single"/>
                </w:rPr>
                <w:t>Equity-based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79">
              <w:r>
                <w:rPr>
                  <w:rStyle w:val="InternetLink"/>
                  <w:rFonts w:ascii="Times New Roman;serif" w:hAnsi="Times New Roman;serif"/>
                  <w:b w:val="false"/>
                  <w:color w:val="0000FF"/>
                  <w:sz w:val="20"/>
                  <w:u w:val="single"/>
                </w:rPr>
                <w:t>25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82">
              <w:r>
                <w:rPr>
                  <w:rStyle w:val="InternetLink"/>
                  <w:rFonts w:ascii="Times New Roman;serif" w:hAnsi="Times New Roman;serif"/>
                  <w:b w:val="false"/>
                  <w:color w:val="0000FF"/>
                  <w:sz w:val="20"/>
                  <w:u w:val="single"/>
                </w:rPr>
                <w:t>Note 13</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82">
              <w:r>
                <w:rPr>
                  <w:rStyle w:val="InternetLink"/>
                  <w:rFonts w:ascii="Times New Roman;serif" w:hAnsi="Times New Roman;serif"/>
                  <w:b w:val="false"/>
                  <w:color w:val="0000FF"/>
                  <w:sz w:val="20"/>
                  <w:u w:val="single"/>
                </w:rPr>
                <w:t>Segment and Geographic Data</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82">
              <w:r>
                <w:rPr>
                  <w:rStyle w:val="InternetLink"/>
                  <w:rFonts w:ascii="Times New Roman;serif" w:hAnsi="Times New Roman;serif"/>
                  <w:b w:val="false"/>
                  <w:color w:val="0000FF"/>
                  <w:sz w:val="20"/>
                  <w:u w:val="single"/>
                </w:rPr>
                <w:t>26</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85">
              <w:r>
                <w:rPr>
                  <w:rStyle w:val="InternetLink"/>
                  <w:rFonts w:ascii="Times New Roman;serif" w:hAnsi="Times New Roman;serif"/>
                  <w:b w:val="false"/>
                  <w:color w:val="0000FF"/>
                  <w:sz w:val="20"/>
                  <w:u w:val="single"/>
                </w:rPr>
                <w:t>Note 14</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85">
              <w:r>
                <w:rPr>
                  <w:rStyle w:val="InternetLink"/>
                  <w:rFonts w:ascii="Times New Roman;serif" w:hAnsi="Times New Roman;serif"/>
                  <w:b w:val="false"/>
                  <w:color w:val="0000FF"/>
                  <w:sz w:val="20"/>
                  <w:u w:val="single"/>
                </w:rPr>
                <w:t>Tax Receivable Agreements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85">
              <w:r>
                <w:rPr>
                  <w:rStyle w:val="InternetLink"/>
                  <w:rFonts w:ascii="Times New Roman;serif" w:hAnsi="Times New Roman;serif"/>
                  <w:b w:val="false"/>
                  <w:color w:val="0000FF"/>
                  <w:sz w:val="20"/>
                  <w:u w:val="single"/>
                </w:rPr>
                <w:t>27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88">
              <w:r>
                <w:rPr>
                  <w:rStyle w:val="InternetLink"/>
                  <w:rFonts w:ascii="Times New Roman;serif" w:hAnsi="Times New Roman;serif"/>
                  <w:b w:val="false"/>
                  <w:color w:val="0000FF"/>
                  <w:sz w:val="20"/>
                  <w:u w:val="single"/>
                </w:rPr>
                <w:t>Note 15</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88">
              <w:r>
                <w:rPr>
                  <w:rStyle w:val="InternetLink"/>
                  <w:rFonts w:ascii="Times New Roman;serif" w:hAnsi="Times New Roman;serif"/>
                  <w:b w:val="false"/>
                  <w:color w:val="0000FF"/>
                  <w:sz w:val="20"/>
                  <w:u w:val="single"/>
                </w:rPr>
                <w:t>Income Taxes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88">
              <w:r>
                <w:rPr>
                  <w:rStyle w:val="InternetLink"/>
                  <w:rFonts w:ascii="Times New Roman;serif" w:hAnsi="Times New Roman;serif"/>
                  <w:b w:val="false"/>
                  <w:color w:val="0000FF"/>
                  <w:sz w:val="20"/>
                  <w:u w:val="single"/>
                </w:rPr>
                <w:t>28</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91">
              <w:r>
                <w:rPr>
                  <w:rStyle w:val="InternetLink"/>
                  <w:rFonts w:ascii="Times New Roman;serif" w:hAnsi="Times New Roman;serif"/>
                  <w:b w:val="false"/>
                  <w:color w:val="0000FF"/>
                  <w:sz w:val="20"/>
                  <w:u w:val="single"/>
                </w:rPr>
                <w:t>Note 16</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70d9b522f4202b170aaae4a69cfb8_91">
              <w:r>
                <w:rPr>
                  <w:rStyle w:val="InternetLink"/>
                  <w:rFonts w:ascii="Times New Roman;serif" w:hAnsi="Times New Roman;serif"/>
                  <w:b w:val="false"/>
                  <w:color w:val="0000FF"/>
                  <w:sz w:val="20"/>
                  <w:u w:val="single"/>
                </w:rPr>
                <w:t>Subsequent Events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70d9b522f4202b170aaae4a69cfb8_91">
              <w:r>
                <w:rPr>
                  <w:rStyle w:val="InternetLink"/>
                  <w:rFonts w:ascii="Times New Roman;serif" w:hAnsi="Times New Roman;serif"/>
                  <w:b w:val="false"/>
                  <w:color w:val="0000FF"/>
                  <w:sz w:val="20"/>
                  <w:u w:val="single"/>
                </w:rPr>
                <w:t>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221105"/>
                <wp:effectExtent l="0" t="0" r="0" b="0"/>
                <wp:wrapNone/>
                <wp:docPr id="15" name="Frame15"/>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Business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ZoomInfo Technologies Inc., through its operating subsidiaries, (the “Company,” “we,” “us,” “our,” and “ZoomInfo”) provides an all-in-one AI go-to-market intelligence and engagement platform for sales, marketing, operations, and recruiting professionals. The Company’s cloud-based platform provides workflow tools with integrated,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headquarters is located in Vancouver, Washington, and we have additional offices throughout the United States, and offices internationally in Israel, Canada, the United Kingdom, India, and Ireland.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of America (“U.S. GAAP”) has been condensed or omitted pursuant to those rules and regulations. The financial statements included in this report should be read in conjunction with the Company’s Annual Report on Form 10-K of ZoomInfo Technologies Inc. for the fiscal year ended December 31, 2025 as filed with the Securities and Exchange Commission (the “SEC”) on February 12, 2026 (the “2025 Form 10-K”).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six months ended June 30, 2026 are not necessarily indicative of the operating results that may be expected for the full fiscal year ending December 31, 2026 or any future period.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contain all adjustments necessary for a fair statement of financial position as of June 30, 2026, changes in stockholders’ equity and results of operations for the three and six months ended June 30, 2026 and 2025, and cash flows for the six months ended June 30, 2026 and 2025.</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ZoomInfo Technologies Inc. and its subsidiaries. All significant intercompany transactions and balances have been eliminated in consolidation.</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30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significant accounting policies from those described in Note 1 - Business, Basis of Presentation, and Summary of Significant Accounting Policies in our 2025 Form 10-K, except as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221105"/>
                <wp:effectExtent l="0" t="0" r="0" b="0"/>
                <wp:wrapNone/>
                <wp:docPr id="16" name="Frame16"/>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09270d9b522f4202b170aaae4a69cfb8_7">
        <w:r>
          <w:rPr>
            <w:rStyle w:val="InternetLink"/>
            <w:rFonts w:ascii="Times New Roman;serif" w:hAnsi="Times New Roman;serif"/>
            <w:b w:val="false"/>
            <w:color w:val="000080"/>
            <w:sz w:val="16"/>
            <w:u w:val="single"/>
          </w:rPr>
          <w:t xml:space="preserve">Table of </w:t>
        </w:r>
      </w:hyperlink>
      <w:hyperlink w:anchor="i09270d9b522f4202b170aaae4a69cfb8_7">
        <w:r>
          <w:rPr>
            <w:rStyle w:val="InternetLink"/>
            <w:rFonts w:ascii="Times New Roman;serif" w:hAnsi="Times New Roman;serif"/>
            <w:b w:val="false"/>
            <w:color w:val="000080"/>
            <w:sz w:val="16"/>
            <w:u w:val="single"/>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during the second quarter of 2026, the Company assessed the potential impairment of its long-lived assets under the ASC 360 recoverability test, concluding no impairment was necessary.</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Equity-Based Compensation Expense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Compensation expense for liability-classified awards, settled in a variable number of shares determined by dividing the value earned by each eligible employee by the Company’s stock price at settlement, is remeasured at estimated fair value at each reporting date from the service inception date through settlement, with changes in fair value recognized as compensation cost in the period of change. For liability-classified awards with performance conditions, compensation cost is accrued based on management’s assessment of the probable level of performance attainment at each reporting date and adjusted as estimates change. If no attainment level is probable, no compensation cost is recognized and previously recognized cost is reversed. Upon settlement, the cumulative liability is reclassified to equity.</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Supplemental Financial Statement Information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primarily consist of prepaid expenses, derivative assets, contract assets, and other current assets. Prepaid expenses were $25.0 million and $22.6 million as of June 30, 2026 and December 31, 2025, respectively.</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Commissions payable at June 30, 2026 were $14.4 million, of which the current portion of $14.1 million was included in </w:t>
      </w:r>
      <w:r>
        <w:rPr>
          <w:rFonts w:ascii="Times New Roman;serif" w:hAnsi="Times New Roman;serif"/>
          <w:b w:val="false"/>
          <w:i/>
          <w:color w:val="000000"/>
          <w:sz w:val="20"/>
        </w:rPr>
        <w:t>Accrued expenses and other current liabilities</w:t>
      </w:r>
      <w:r>
        <w:rPr>
          <w:color w:val="000000"/>
        </w:rPr>
        <w:t xml:space="preserve"> </w:t>
      </w:r>
      <w:r>
        <w:rPr>
          <w:rFonts w:ascii="Times New Roman;serif" w:hAnsi="Times New Roman;serif"/>
          <w:b w:val="false"/>
          <w:color w:val="000000"/>
          <w:sz w:val="20"/>
        </w:rPr>
        <w:t xml:space="preserve">on our Consolidated Balance Sheets and the long-term portion of $0.3 million was included in </w:t>
      </w:r>
      <w:r>
        <w:rPr>
          <w:rFonts w:ascii="Times New Roman;serif" w:hAnsi="Times New Roman;serif"/>
          <w:b w:val="false"/>
          <w:i/>
          <w:color w:val="000000"/>
          <w:sz w:val="20"/>
        </w:rPr>
        <w:t>Other long-term liabilities</w:t>
      </w:r>
      <w:r>
        <w:rPr>
          <w:color w:val="000000"/>
        </w:rPr>
        <w:t xml:space="preserve"> </w:t>
      </w:r>
      <w:r>
        <w:rPr>
          <w:rFonts w:ascii="Times New Roman;serif" w:hAnsi="Times New Roman;serif"/>
          <w:b w:val="false"/>
          <w:color w:val="000000"/>
          <w:sz w:val="20"/>
        </w:rPr>
        <w:t xml:space="preserve">on our Consolidated Balance Sheets. Commissions payable at December 31, 2025 were $26.3 million, of which the current portion of $25.7 million was included in </w:t>
      </w:r>
      <w:r>
        <w:rPr>
          <w:rFonts w:ascii="Times New Roman;serif" w:hAnsi="Times New Roman;serif"/>
          <w:b w:val="false"/>
          <w:i/>
          <w:color w:val="000000"/>
          <w:sz w:val="20"/>
        </w:rPr>
        <w:t>Accrued expenses and other current liabilities</w:t>
      </w:r>
      <w:r>
        <w:rPr>
          <w:color w:val="000000"/>
        </w:rPr>
        <w:t xml:space="preserve"> </w:t>
      </w:r>
      <w:r>
        <w:rPr>
          <w:rFonts w:ascii="Times New Roman;serif" w:hAnsi="Times New Roman;serif"/>
          <w:b w:val="false"/>
          <w:color w:val="000000"/>
          <w:sz w:val="20"/>
        </w:rPr>
        <w:t xml:space="preserve">on our Consolidated Balance Sheets and the long-term portion of $0.6 million was included in </w:t>
      </w:r>
      <w:r>
        <w:rPr>
          <w:rFonts w:ascii="Times New Roman;serif" w:hAnsi="Times New Roman;serif"/>
          <w:b w:val="false"/>
          <w:i/>
          <w:color w:val="000000"/>
          <w:sz w:val="20"/>
        </w:rPr>
        <w:t>Other long-term liabilities</w:t>
      </w:r>
      <w:r>
        <w:rPr>
          <w:color w:val="000000"/>
        </w:rPr>
        <w:t xml:space="preserve"> </w:t>
      </w:r>
      <w:r>
        <w:rPr>
          <w:rFonts w:ascii="Times New Roman;serif" w:hAnsi="Times New Roman;serif"/>
          <w:b w:val="false"/>
          <w:color w:val="000000"/>
          <w:sz w:val="20"/>
        </w:rPr>
        <w:t>on our Consolidated Balance Sheets.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2023, the Board authorized a program to repurchase the Company’s common stock (the “Share Repurchase Program”). In February 2026, the Board authorized an additional $1.0 billion bringing the aggregate total authorizations as of June 30, 2026 to $2.6 billion, of which $1,111.9 million remained available and authorized for repurchases.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repurchased and subsequently retired 6,253,513 shares of common stock at an average price of $4.51 per share, for an aggregate $28.2 million. During the six months ended June 30, 2026, the Company repurchased and subsequently retired 19,353,303 shares of common stock at an average price of $6.13 per share, for an aggregate $118.7 million. During the three months ended June 30, 2025, the Company repurchased and subsequently retired 15,876,573 shares of common stock at an average price of $9.22 per share, for an aggregate $146.3 million. During the six months ended June 30, 2025, the Company repurchased and subsequently retired 24,474,847 shares of common stock at an average price of $9.86 per share, for an aggregate $241.3 million.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and 2025, the Company recorded the associated excise taxes of $0.1 million and $1.3 million, respectively. During the six months ended June 30, 2026, and 2025, the Company recorded the associated excise taxes of $0.9 million and $2.1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221105"/>
                <wp:effectExtent l="0" t="0" r="0" b="0"/>
                <wp:wrapNone/>
                <wp:docPr id="17" name="Frame17"/>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09270d9b522f4202b170aaae4a69cfb8_7">
        <w:r>
          <w:rPr>
            <w:rStyle w:val="InternetLink"/>
            <w:rFonts w:ascii="Times New Roman;serif" w:hAnsi="Times New Roman;serif"/>
            <w:b w:val="false"/>
            <w:color w:val="000080"/>
            <w:sz w:val="16"/>
            <w:u w:val="single"/>
          </w:rPr>
          <w:t xml:space="preserve">Table of </w:t>
        </w:r>
      </w:hyperlink>
      <w:hyperlink w:anchor="i09270d9b522f4202b170aaae4a69cfb8_7">
        <w:r>
          <w:rPr>
            <w:rStyle w:val="InternetLink"/>
            <w:rFonts w:ascii="Times New Roman;serif" w:hAnsi="Times New Roman;serif"/>
            <w:b w:val="false"/>
            <w:color w:val="000080"/>
            <w:sz w:val="16"/>
            <w:u w:val="single"/>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in the consolidated financial statements to conform previously reported amounts to current year presentation. These reclassifications had no impact on the previously reported net income or comprehensive income.</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Restructuring</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2026, the Company’s Board of Directors approved a restructuring program (the “2026 Restructuring Program”) in order to reduce operating costs and drive stronger operating leverage. The 2026 Restructuring Program is anticipated to entail a global reduction in force of approximately 600 employees, impacting approximately 20% of the Company’s headcount as of the end of the first quarter of 2026. The 2026 Restructuring Program is expected to be substantially complete by the end of 2026.</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During the three and six months ended June 30, 2026, the Company incurred restructuring charges of $21.6 million related to the 2026 Restructuring Program, consisting primarily of severance and employee benefits as well as other associated costs. Restructuring costs are allocated to the respective financial statement line items on the Consolidated Statements of Operations. During the six months ended June 30, 2026, the Company made cash payments of $11.6 million related to the 2026 Restructuring Program. The remaining liability of $10.0 million is included within </w:t>
      </w:r>
      <w:r>
        <w:rPr>
          <w:rFonts w:ascii="Times New Roman;serif" w:hAnsi="Times New Roman;serif"/>
          <w:b w:val="false"/>
          <w:i/>
          <w:color w:val="000000"/>
          <w:sz w:val="20"/>
        </w:rPr>
        <w:t>Accrued expenses and other current liabilities</w:t>
      </w:r>
      <w:r>
        <w:rPr>
          <w:color w:val="000000"/>
        </w:rPr>
        <w:t xml:space="preserve"> </w:t>
      </w:r>
      <w:r>
        <w:rPr>
          <w:rFonts w:ascii="Times New Roman;serif" w:hAnsi="Times New Roman;serif"/>
          <w:b w:val="false"/>
          <w:color w:val="000000"/>
          <w:sz w:val="20"/>
        </w:rPr>
        <w:t>on our Consolidated Balance Sheets and expected to be paid through the first quarter of 2027.</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2025, the Financial Accounting Standards Board (“FASB”) issued Accounting Standards Update (“ASU”) 2025-09. Derivatives and Hedging (Topic 815). Hedge Accounting Improvements, which makes targeted improvements to the hedge accounting model. The amendments address five specific areas, including expanding the hedged risks permitted to be aggregated in groups of forecasted transactions, introducing an optional model for hedging choose-your-rate debt instruments, expanding hedge accounting for forecasted purchases and sales of nonfinancial assets, eliminating the net written option test in certain instances, and eliminating recognition and presentation mismatches for dual hedge strategies. The standard is effective for the Company for annual periods beginning January 1, 2027, and interim periods within those annual periods, with early adoption permitted. The Company does not expect this guidance to have a material impact on its consolidated financial statements.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 - Goodwill and Other - Internal-Use Software (Subtopic 350-40): Targeted Improvements to the Accounting for Internal-Use Software, </w:t>
      </w:r>
      <w:r>
        <w:rPr>
          <w:rFonts w:ascii="Times New Roman;serif" w:hAnsi="Times New Roman;serif"/>
          <w:b w:val="false"/>
          <w:color w:val="000000"/>
          <w:sz w:val="20"/>
        </w:rPr>
        <w:t>which removes all references to software development stages (referred to as “project stages”) throughout Subtopic 350-40. The standard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This standard is effective for the Company for the annual and interim periods beginning January 1, 2028, with early adoption permitted. The Company is currently evaluating the impacts of ASU 2025-06 on its consolidated financial statements as well as the impacts to its financial reporting process and related internal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221105"/>
                <wp:effectExtent l="0" t="0" r="0" b="0"/>
                <wp:wrapNone/>
                <wp:docPr id="18" name="Frame18"/>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09270d9b522f4202b170aaae4a69cfb8_7">
        <w:r>
          <w:rPr>
            <w:rStyle w:val="InternetLink"/>
            <w:rFonts w:ascii="Times New Roman;serif" w:hAnsi="Times New Roman;serif"/>
            <w:b w:val="false"/>
            <w:color w:val="000080"/>
            <w:sz w:val="16"/>
            <w:u w:val="single"/>
          </w:rPr>
          <w:t xml:space="preserve">Table of </w:t>
        </w:r>
      </w:hyperlink>
      <w:hyperlink w:anchor="i09270d9b522f4202b170aaae4a69cfb8_7">
        <w:r>
          <w:rPr>
            <w:rStyle w:val="InternetLink"/>
            <w:rFonts w:ascii="Times New Roman;serif" w:hAnsi="Times New Roman;serif"/>
            <w:b w:val="false"/>
            <w:color w:val="000080"/>
            <w:sz w:val="16"/>
            <w:u w:val="single"/>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xml:space="preserve">, which requires additional disclosure of the nature of expenses included in the income statement. The standard requires disaggregation of certain costs in a separate note to the financial statements, such as the amounts of employee compensation, depreciation, and intangible asset amortization, included in each relevant expense caption in annual and interim consolidated financial statements. This standard will be effective for the Company for the annual period beginning January 1, 2027 and interim period beginning January 1, 2028, with early adoption permitted. In January 2025, the FASB issued ASU 2025-01, </w:t>
      </w:r>
      <w:r>
        <w:rPr>
          <w:rFonts w:ascii="Times New Roman;serif" w:hAnsi="Times New Roman;serif"/>
          <w:b w:val="false"/>
          <w:i/>
          <w:color w:val="000000"/>
          <w:sz w:val="20"/>
        </w:rPr>
        <w:t>Income Statement - Reporting Comprehensive Income - Expense Disaggregation Disclosures (Subtopic 220-40): Clarifying the Effective Date</w:t>
      </w:r>
      <w:r>
        <w:rPr>
          <w:rFonts w:ascii="Times New Roman;serif" w:hAnsi="Times New Roman;serif"/>
          <w:b w:val="false"/>
          <w:color w:val="000000"/>
          <w:sz w:val="20"/>
        </w:rPr>
        <w:t>. The requirements should be applied on a prospective basis while retrospective application is permitted. The Company is currently evaluating the disclosure impacts of ASU 2024-03 on its consolidated financial statements as well as the impacts to its financial reporting process and related internal controls.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2 - Revenue from Contracts with Customers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comprised the following service offerings:</w:t>
      </w:r>
    </w:p>
    <w:tbl>
      <w:tblPr>
        <w:tblW w:w="6621" w:type="dxa"/>
        <w:jc w:val="left"/>
        <w:tblInd w:w="0" w:type="dxa"/>
        <w:tblLayout w:type="fixed"/>
        <w:tblCellMar>
          <w:top w:w="28" w:type="dxa"/>
          <w:left w:w="28" w:type="dxa"/>
          <w:bottom w:w="28" w:type="dxa"/>
          <w:right w:w="28" w:type="dxa"/>
        </w:tblCellMar>
      </w:tblPr>
      <w:tblGrid>
        <w:gridCol w:w="450"/>
        <w:gridCol w:w="396"/>
        <w:gridCol w:w="398"/>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608.2 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604.7 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Usage-based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620.6 </w:t>
            </w:r>
          </w:p>
        </w:tc>
        <w:tc>
          <w:tcPr>
            <w:tcW w:w="1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612.4 </w:t>
            </w:r>
          </w:p>
        </w:tc>
        <w:tc>
          <w:tcPr>
            <w:tcW w:w="1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Subscription revenue is comprised primarily of go-to-market business intelligence tools that allow our customers to access our software-as-a-service (“SaaS”) to support sales, marketing, and recruiting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Usage-based revenue is comprised largely of email verification and facilitation of online advertisements,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revenue is comprised largely of implementation and professional services fees and is recognized as revenue as services are delivered.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 the total revenue recognized in the three and six months ended June 30, 2026, $127.2 million and $367.6 million, respectively, were included in the unearned revenue balance as of December 31, 2025. Of the total revenue recognized in the three and six months ended June 30, 2025, $124.8 million and $367.5 million, respectively, were included in the unearned revenue balance as of December 31, 2024. Revenue recognized from performance obligations satisfied (or partially satisfied) in previous periods was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221105"/>
                <wp:effectExtent l="0" t="0" r="0" b="0"/>
                <wp:wrapNone/>
                <wp:docPr id="19" name="Frame19"/>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2 - Revenue from Contracts with Customers (continued)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Significant Customers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single customer accounted for 10% or more of our revenue for the three and six months ended June 30, 2026 and 2025, or accounted for more than 10% of accounts receivable as of June 30, 2026 and December 31, 2025.</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Contract Assets and Unearned Revenue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standard billing terms typically require payment at the beginning of each annual, semi-annual, or quarterly period.</w:t>
      </w:r>
    </w:p>
    <w:p>
      <w:pPr>
        <w:pStyle w:val="TextBody"/>
        <w:bidi w:val="0"/>
        <w:spacing w:lineRule="auto" w:line="288" w:before="180" w:after="180"/>
        <w:ind w:left="0" w:right="0" w:firstLine="360"/>
        <w:jc w:val="both"/>
        <w:rPr/>
      </w:pPr>
      <w:r>
        <w:rPr>
          <w:rFonts w:ascii="Times New Roman;serif" w:hAnsi="Times New Roman;serif"/>
          <w:b w:val="false"/>
          <w:color w:val="000000"/>
          <w:sz w:val="20"/>
        </w:rPr>
        <w:t>As of June 30, 2026 and December 31, 2025, the Company had contract assets of $5.1 million and $5.2 million, respectively, which are recorded within</w:t>
      </w:r>
      <w:r>
        <w:rPr>
          <w:color w:val="000000"/>
        </w:rPr>
        <w:t xml:space="preserve"> </w:t>
      </w:r>
      <w:r>
        <w:rPr>
          <w:rFonts w:ascii="Times New Roman;serif" w:hAnsi="Times New Roman;serif"/>
          <w:b w:val="false"/>
          <w:i/>
          <w:color w:val="000000"/>
          <w:sz w:val="20"/>
        </w:rPr>
        <w:t>Prepaid expenses and other current assets</w:t>
      </w:r>
      <w:r>
        <w:rPr>
          <w:color w:val="000000"/>
        </w:rPr>
        <w:t xml:space="preserve"> </w:t>
      </w:r>
      <w:r>
        <w:rPr>
          <w:rFonts w:ascii="Times New Roman;serif" w:hAnsi="Times New Roman;serif"/>
          <w:b w:val="false"/>
          <w:color w:val="000000"/>
          <w:sz w:val="20"/>
        </w:rPr>
        <w:t>on our Consolidated Balance Sheets.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unearned revenue of $464.7 million and $477.8 million, respectively. Changes in unearned revenue are primarily due to seasonality, the compounding effects of renewals, invoice duration, invoice timing, transaction size, and new business timing within the quarter.</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remaining performance obligations consisted of the following:</w:t>
      </w:r>
    </w:p>
    <w:tbl>
      <w:tblPr>
        <w:tblW w:w="7455" w:type="dxa"/>
        <w:jc w:val="left"/>
        <w:tblInd w:w="0" w:type="dxa"/>
        <w:tblLayout w:type="fixed"/>
        <w:tblCellMar>
          <w:top w:w="28" w:type="dxa"/>
          <w:left w:w="28" w:type="dxa"/>
          <w:bottom w:w="28" w:type="dxa"/>
          <w:right w:w="28" w:type="dxa"/>
        </w:tblCellMar>
      </w:tblPr>
      <w:tblGrid>
        <w:gridCol w:w="782"/>
        <w:gridCol w:w="688"/>
        <w:gridCol w:w="690"/>
        <w:gridCol w:w="546"/>
        <w:gridCol w:w="1598"/>
        <w:gridCol w:w="285"/>
        <w:gridCol w:w="109"/>
        <w:gridCol w:w="109"/>
        <w:gridCol w:w="109"/>
        <w:gridCol w:w="243"/>
        <w:gridCol w:w="711"/>
        <w:gridCol w:w="127"/>
        <w:gridCol w:w="109"/>
        <w:gridCol w:w="109"/>
        <w:gridCol w:w="109"/>
        <w:gridCol w:w="211"/>
        <w:gridCol w:w="76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Recognized within 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w:t>
            </w:r>
          </w:p>
        </w:tc>
        <w:tc>
          <w:tcPr>
            <w:tcW w:w="5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849.3 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3 - Investments</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Investments consisted of the following as of June 30, 2026:</w:t>
      </w:r>
    </w:p>
    <w:tbl>
      <w:tblPr>
        <w:tblW w:w="10205" w:type="dxa"/>
        <w:jc w:val="left"/>
        <w:tblInd w:w="0" w:type="dxa"/>
        <w:tblLayout w:type="fixed"/>
        <w:tblCellMar>
          <w:top w:w="28" w:type="dxa"/>
          <w:left w:w="28" w:type="dxa"/>
          <w:bottom w:w="28" w:type="dxa"/>
          <w:right w:w="28" w:type="dxa"/>
        </w:tblCellMar>
      </w:tblPr>
      <w:tblGrid>
        <w:gridCol w:w="1136"/>
        <w:gridCol w:w="974"/>
        <w:gridCol w:w="966"/>
        <w:gridCol w:w="391"/>
        <w:gridCol w:w="754"/>
        <w:gridCol w:w="203"/>
        <w:gridCol w:w="109"/>
        <w:gridCol w:w="109"/>
        <w:gridCol w:w="109"/>
        <w:gridCol w:w="429"/>
        <w:gridCol w:w="826"/>
        <w:gridCol w:w="222"/>
        <w:gridCol w:w="109"/>
        <w:gridCol w:w="109"/>
        <w:gridCol w:w="109"/>
        <w:gridCol w:w="443"/>
        <w:gridCol w:w="854"/>
        <w:gridCol w:w="229"/>
        <w:gridCol w:w="109"/>
        <w:gridCol w:w="109"/>
        <w:gridCol w:w="109"/>
        <w:gridCol w:w="490"/>
        <w:gridCol w:w="942"/>
        <w:gridCol w:w="365"/>
      </w:tblGrid>
      <w:tr>
        <w:trPr/>
        <w:tc>
          <w:tcPr>
            <w:tcW w:w="113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3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0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guaranteed by U.S. government</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221105"/>
                <wp:effectExtent l="0" t="0" r="0" b="0"/>
                <wp:wrapNone/>
                <wp:docPr id="20" name="Frame20"/>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300" w:after="180"/>
        <w:jc w:val="left"/>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3 - Investments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Investments consisted of the following as of December 31, 2025:</w:t>
      </w:r>
    </w:p>
    <w:tbl>
      <w:tblPr>
        <w:tblW w:w="10205" w:type="dxa"/>
        <w:jc w:val="left"/>
        <w:tblInd w:w="0" w:type="dxa"/>
        <w:tblLayout w:type="fixed"/>
        <w:tblCellMar>
          <w:top w:w="28" w:type="dxa"/>
          <w:left w:w="28" w:type="dxa"/>
          <w:bottom w:w="28" w:type="dxa"/>
          <w:right w:w="28" w:type="dxa"/>
        </w:tblCellMar>
      </w:tblPr>
      <w:tblGrid>
        <w:gridCol w:w="1136"/>
        <w:gridCol w:w="974"/>
        <w:gridCol w:w="966"/>
        <w:gridCol w:w="391"/>
        <w:gridCol w:w="754"/>
        <w:gridCol w:w="203"/>
        <w:gridCol w:w="109"/>
        <w:gridCol w:w="109"/>
        <w:gridCol w:w="109"/>
        <w:gridCol w:w="429"/>
        <w:gridCol w:w="826"/>
        <w:gridCol w:w="222"/>
        <w:gridCol w:w="109"/>
        <w:gridCol w:w="109"/>
        <w:gridCol w:w="109"/>
        <w:gridCol w:w="443"/>
        <w:gridCol w:w="854"/>
        <w:gridCol w:w="229"/>
        <w:gridCol w:w="109"/>
        <w:gridCol w:w="109"/>
        <w:gridCol w:w="109"/>
        <w:gridCol w:w="490"/>
        <w:gridCol w:w="942"/>
        <w:gridCol w:w="365"/>
      </w:tblGrid>
      <w:tr>
        <w:trPr/>
        <w:tc>
          <w:tcPr>
            <w:tcW w:w="113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3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0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guaranteed by U.S. government</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0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8 - Fair Value for further information regarding the fair value of our financial instruments.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following table summarizes the estimated fair value of our securities classified as </w:t>
      </w:r>
      <w:r>
        <w:rPr>
          <w:rFonts w:ascii="Times New Roman;serif" w:hAnsi="Times New Roman;serif"/>
          <w:b w:val="false"/>
          <w:i/>
          <w:color w:val="000000"/>
          <w:sz w:val="20"/>
        </w:rPr>
        <w:t>Short-term investments</w:t>
      </w:r>
      <w:r>
        <w:rPr>
          <w:color w:val="000000"/>
        </w:rPr>
        <w:t xml:space="preserve"> </w:t>
      </w:r>
      <w:r>
        <w:rPr>
          <w:rFonts w:ascii="Times New Roman;serif" w:hAnsi="Times New Roman;serif"/>
          <w:b w:val="false"/>
          <w:color w:val="000000"/>
          <w:sz w:val="20"/>
        </w:rPr>
        <w:t xml:space="preserve">or long-term investments (included in </w:t>
      </w:r>
      <w:r>
        <w:rPr>
          <w:rFonts w:ascii="Times New Roman;serif" w:hAnsi="Times New Roman;serif"/>
          <w:b w:val="false"/>
          <w:i/>
          <w:color w:val="000000"/>
          <w:sz w:val="20"/>
        </w:rPr>
        <w:t>Deferred costs and other assets, net of current portion</w:t>
      </w:r>
      <w:r>
        <w:rPr>
          <w:color w:val="000000"/>
        </w:rPr>
        <w:t xml:space="preserve"> </w:t>
      </w:r>
      <w:r>
        <w:rPr>
          <w:rFonts w:ascii="Times New Roman;serif" w:hAnsi="Times New Roman;serif"/>
          <w:b w:val="false"/>
          <w:color w:val="000000"/>
          <w:sz w:val="20"/>
        </w:rPr>
        <w:t>on our Consolidated Balance Sheets) based on stated effective maturities as of June 30, 2026 and December 31, 2025:</w:t>
      </w:r>
    </w:p>
    <w:tbl>
      <w:tblPr>
        <w:tblW w:w="5545" w:type="dxa"/>
        <w:jc w:val="left"/>
        <w:tblInd w:w="0" w:type="dxa"/>
        <w:tblLayout w:type="fixed"/>
        <w:tblCellMar>
          <w:top w:w="28" w:type="dxa"/>
          <w:left w:w="28" w:type="dxa"/>
          <w:bottom w:w="28" w:type="dxa"/>
          <w:right w:w="28" w:type="dxa"/>
        </w:tblCellMar>
      </w:tblPr>
      <w:tblGrid>
        <w:gridCol w:w="1123"/>
        <w:gridCol w:w="989"/>
        <w:gridCol w:w="992"/>
        <w:gridCol w:w="235"/>
        <w:gridCol w:w="453"/>
        <w:gridCol w:w="121"/>
        <w:gridCol w:w="109"/>
        <w:gridCol w:w="109"/>
        <w:gridCol w:w="109"/>
        <w:gridCol w:w="357"/>
        <w:gridCol w:w="686"/>
        <w:gridCol w:w="262"/>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 Property and Equipment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property and equipment consist of the following:</w:t>
      </w:r>
    </w:p>
    <w:tbl>
      <w:tblPr>
        <w:tblW w:w="5252" w:type="dxa"/>
        <w:jc w:val="left"/>
        <w:tblInd w:w="0" w:type="dxa"/>
        <w:tblLayout w:type="fixed"/>
        <w:tblCellMar>
          <w:top w:w="28" w:type="dxa"/>
          <w:left w:w="28" w:type="dxa"/>
          <w:bottom w:w="28" w:type="dxa"/>
          <w:right w:w="28" w:type="dxa"/>
        </w:tblCellMar>
      </w:tblPr>
      <w:tblGrid>
        <w:gridCol w:w="969"/>
        <w:gridCol w:w="852"/>
        <w:gridCol w:w="863"/>
        <w:gridCol w:w="211"/>
        <w:gridCol w:w="616"/>
        <w:gridCol w:w="109"/>
        <w:gridCol w:w="109"/>
        <w:gridCol w:w="109"/>
        <w:gridCol w:w="109"/>
        <w:gridCol w:w="280"/>
        <w:gridCol w:w="819"/>
        <w:gridCol w:w="206"/>
      </w:tblGrid>
      <w:tr>
        <w:trPr/>
        <w:tc>
          <w:tcPr>
            <w:tcW w:w="96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2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was $9.1 million and $6.6 million for the three months ended June 30, 2026 and 2025, respectively. Depreciation expense was $17.9 million and $14.0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5 - Goodwill and Acquired Intangible Assets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carrying amount of goodwill for the six months ended June 30, 2026:</w:t>
      </w:r>
    </w:p>
    <w:tbl>
      <w:tblPr>
        <w:tblW w:w="3725" w:type="dxa"/>
        <w:jc w:val="left"/>
        <w:tblInd w:w="0" w:type="dxa"/>
        <w:tblLayout w:type="fixed"/>
        <w:tblCellMar>
          <w:top w:w="28" w:type="dxa"/>
          <w:left w:w="28" w:type="dxa"/>
          <w:bottom w:w="28" w:type="dxa"/>
          <w:right w:w="28" w:type="dxa"/>
        </w:tblCellMar>
      </w:tblPr>
      <w:tblGrid>
        <w:gridCol w:w="939"/>
        <w:gridCol w:w="826"/>
        <w:gridCol w:w="829"/>
        <w:gridCol w:w="211"/>
        <w:gridCol w:w="76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1,042.2 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accumulated goodwill impairment losses were $650.5 million. There were no accumulated goodwill impairment losses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221105"/>
                <wp:effectExtent l="0" t="0" r="0" b="0"/>
                <wp:wrapNone/>
                <wp:docPr id="21" name="Frame21"/>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5 - Goodwill and Acquired Intangible Assets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assessed both the events that occurred and circumstances that changed since its latest annual impairment assessment. Based on the totality of those events and circumstances, which included a sustained decrease in share price, industry considerations, and a decline in planned revenues and earnings as a result of key changes in strategy, the Company concluded that, in accordance with ASC 350, a triggering event occurred during the second quarter of 2026 indicating that potential impairment existed. As a result, the Company was required to conduct an interim test.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subsequently determined that the carrying amount of its reporting unit exceeded its fair value, resulting in a goodwill impairment loss of $650.5 million for both the three and six months ended June 30, 2026, which is presented as a separate line item within operating expenses in the Consolidated Statements of Operations.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estimated the fair value of its reporting unit using an equal weighting of an income approach, employing a discounted cash flow model, and a market approach, employing a guideline public company approach. The discounted cash flow model required the Company to make various assumptions regarding the timing and amount of cash flows, including growth rates, operating margins and capital expenditures, as well as the terminal value, of the Company at the end of the projection period. The terminal value was estimated using a long-term growth rate, which was based on expected trends and inflation data. Additionally, a discount rate was determined for the reporting unit based on the risks of achieving the future cash flows, including risk applicable to the industry and market as a whole, as well as the capital structure of guideline public companies. Under the guideline public company approach, fair value was estimated by calculating operating data from guideline public companies. From the comparable companies, a representative market multiple is selected, which is applied to the Company’s financial metrics to estimate the fair value. Fair value estimates are based on a complex series of judgments about future events and rely heavily on estimates and assumptions that the Company believes are reasonable.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other than goodwill, consisted of the following as of June 30, 2026 and December 31, 2025, respectively:</w:t>
      </w:r>
    </w:p>
    <w:tbl>
      <w:tblPr>
        <w:tblW w:w="10205" w:type="dxa"/>
        <w:jc w:val="center"/>
        <w:tblInd w:w="0" w:type="dxa"/>
        <w:tblLayout w:type="fixed"/>
        <w:tblCellMar>
          <w:top w:w="28" w:type="dxa"/>
          <w:left w:w="28" w:type="dxa"/>
          <w:bottom w:w="28" w:type="dxa"/>
          <w:right w:w="28" w:type="dxa"/>
        </w:tblCellMar>
      </w:tblPr>
      <w:tblGrid>
        <w:gridCol w:w="1484"/>
        <w:gridCol w:w="1299"/>
        <w:gridCol w:w="1307"/>
        <w:gridCol w:w="477"/>
        <w:gridCol w:w="1394"/>
        <w:gridCol w:w="246"/>
        <w:gridCol w:w="109"/>
        <w:gridCol w:w="109"/>
        <w:gridCol w:w="109"/>
        <w:gridCol w:w="522"/>
        <w:gridCol w:w="1565"/>
        <w:gridCol w:w="272"/>
        <w:gridCol w:w="109"/>
        <w:gridCol w:w="109"/>
        <w:gridCol w:w="109"/>
        <w:gridCol w:w="211"/>
        <w:gridCol w:w="616"/>
        <w:gridCol w:w="158"/>
      </w:tblGrid>
      <w:tr>
        <w:trPr/>
        <w:tc>
          <w:tcPr>
            <w:tcW w:w="148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1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w:t>
            </w:r>
          </w:p>
        </w:tc>
        <w:tc>
          <w:tcPr>
            <w:tcW w:w="21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4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(163.3)</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1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 portfolio</w:t>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subject to amortization</w:t>
            </w:r>
          </w:p>
        </w:tc>
        <w:tc>
          <w:tcPr>
            <w:tcW w:w="4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(471.2)</w:t>
            </w:r>
          </w:p>
        </w:tc>
        <w:tc>
          <w:tcPr>
            <w:tcW w:w="2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not subject to amortization</w:t>
            </w:r>
          </w:p>
        </w:tc>
        <w:tc>
          <w:tcPr>
            <w:tcW w:w="2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Pre-Acquisition ZI brand portfolio</w:t>
            </w:r>
          </w:p>
        </w:tc>
        <w:tc>
          <w:tcPr>
            <w:tcW w:w="4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not subject to amortization</w:t>
            </w:r>
          </w:p>
        </w:tc>
        <w:tc>
          <w:tcPr>
            <w:tcW w:w="4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4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2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(471.2)</w:t>
            </w:r>
          </w:p>
        </w:tc>
        <w:tc>
          <w:tcPr>
            <w:tcW w:w="2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221105"/>
                <wp:effectExtent l="0" t="0" r="0" b="0"/>
                <wp:wrapNone/>
                <wp:docPr id="22" name="Frame22"/>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5 - Goodwill and Acquired Intangible Assets (continued)</w:t>
      </w:r>
    </w:p>
    <w:tbl>
      <w:tblPr>
        <w:tblW w:w="10205" w:type="dxa"/>
        <w:jc w:val="left"/>
        <w:tblInd w:w="0" w:type="dxa"/>
        <w:tblLayout w:type="fixed"/>
        <w:tblCellMar>
          <w:top w:w="28" w:type="dxa"/>
          <w:left w:w="28" w:type="dxa"/>
          <w:bottom w:w="28" w:type="dxa"/>
          <w:right w:w="28" w:type="dxa"/>
        </w:tblCellMar>
      </w:tblPr>
      <w:tblGrid>
        <w:gridCol w:w="1484"/>
        <w:gridCol w:w="1299"/>
        <w:gridCol w:w="1307"/>
        <w:gridCol w:w="477"/>
        <w:gridCol w:w="1394"/>
        <w:gridCol w:w="246"/>
        <w:gridCol w:w="109"/>
        <w:gridCol w:w="109"/>
        <w:gridCol w:w="109"/>
        <w:gridCol w:w="522"/>
        <w:gridCol w:w="1565"/>
        <w:gridCol w:w="272"/>
        <w:gridCol w:w="109"/>
        <w:gridCol w:w="109"/>
        <w:gridCol w:w="109"/>
        <w:gridCol w:w="211"/>
        <w:gridCol w:w="616"/>
        <w:gridCol w:w="158"/>
      </w:tblGrid>
      <w:tr>
        <w:trPr/>
        <w:tc>
          <w:tcPr>
            <w:tcW w:w="148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1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w:t>
            </w:r>
          </w:p>
        </w:tc>
        <w:tc>
          <w:tcPr>
            <w:tcW w:w="21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4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1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(284.2)</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 portfolio</w:t>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intangible assets subject to amortization</w:t>
            </w:r>
          </w:p>
        </w:tc>
        <w:tc>
          <w:tcPr>
            <w:tcW w:w="4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(446.6)</w:t>
            </w:r>
          </w:p>
        </w:tc>
        <w:tc>
          <w:tcPr>
            <w:tcW w:w="2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not subject to amortization:</w:t>
            </w:r>
          </w:p>
        </w:tc>
        <w:tc>
          <w:tcPr>
            <w:tcW w:w="2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Pre-Acquisition ZI brand portfolio</w:t>
            </w:r>
          </w:p>
        </w:tc>
        <w:tc>
          <w:tcPr>
            <w:tcW w:w="4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intangible assets not subject to amortization</w:t>
            </w:r>
          </w:p>
        </w:tc>
        <w:tc>
          <w:tcPr>
            <w:tcW w:w="4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4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2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(446.6)</w:t>
            </w:r>
          </w:p>
        </w:tc>
        <w:tc>
          <w:tcPr>
            <w:tcW w:w="2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interim test conducted during the second quarter of 2026, the Company first tested its indefinite-lived intangible assets for impairment in accordance with ASC 350, concluding no impairment was necessary.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events or circumstances indicating that indefinite-lived intangible assets might be impaired as of December 31, 2025.</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was $12.0 million and $14.7 million for the three months ended June 30, 2026 and 2025, respectively. Amortization expense was $24.6 million and $29.4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6 - Financing Arrangements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carrying values of the Company’s borrowings were as follows (in millions):</w:t>
      </w:r>
    </w:p>
    <w:tbl>
      <w:tblPr>
        <w:tblW w:w="10205" w:type="dxa"/>
        <w:jc w:val="left"/>
        <w:tblInd w:w="0" w:type="dxa"/>
        <w:tblLayout w:type="fixed"/>
        <w:tblCellMar>
          <w:top w:w="28" w:type="dxa"/>
          <w:left w:w="28" w:type="dxa"/>
          <w:bottom w:w="28" w:type="dxa"/>
          <w:right w:w="28" w:type="dxa"/>
        </w:tblCellMar>
      </w:tblPr>
      <w:tblGrid>
        <w:gridCol w:w="769"/>
        <w:gridCol w:w="674"/>
        <w:gridCol w:w="679"/>
        <w:gridCol w:w="109"/>
        <w:gridCol w:w="109"/>
        <w:gridCol w:w="109"/>
        <w:gridCol w:w="392"/>
        <w:gridCol w:w="392"/>
        <w:gridCol w:w="394"/>
        <w:gridCol w:w="109"/>
        <w:gridCol w:w="109"/>
        <w:gridCol w:w="109"/>
        <w:gridCol w:w="418"/>
        <w:gridCol w:w="418"/>
        <w:gridCol w:w="420"/>
        <w:gridCol w:w="109"/>
        <w:gridCol w:w="109"/>
        <w:gridCol w:w="109"/>
        <w:gridCol w:w="448"/>
        <w:gridCol w:w="448"/>
        <w:gridCol w:w="450"/>
        <w:gridCol w:w="109"/>
        <w:gridCol w:w="109"/>
        <w:gridCol w:w="109"/>
        <w:gridCol w:w="230"/>
        <w:gridCol w:w="838"/>
        <w:gridCol w:w="119"/>
        <w:gridCol w:w="109"/>
        <w:gridCol w:w="109"/>
        <w:gridCol w:w="109"/>
        <w:gridCol w:w="275"/>
        <w:gridCol w:w="998"/>
        <w:gridCol w:w="208"/>
      </w:tblGrid>
      <w:tr>
        <w:trPr/>
        <w:tc>
          <w:tcPr>
            <w:tcW w:w="76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1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 of Issuance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Elected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1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SOFR + 1.75%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576.6 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SOFR + 2.10%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1,264.0 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1,324.0 </w:t>
            </w:r>
          </w:p>
        </w:tc>
        <w:tc>
          <w:tcPr>
            <w:tcW w:w="20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1,258.1 </w:t>
            </w:r>
          </w:p>
        </w:tc>
        <w:tc>
          <w:tcPr>
            <w:tcW w:w="1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1,318.1 </w:t>
            </w:r>
          </w:p>
        </w:tc>
        <w:tc>
          <w:tcPr>
            <w:tcW w:w="20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interest rate on the First Lien Term Loan was 5.64% and 5.71% as of June 30, 2026 and December 31, 2025, respectively.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8, 2026, the Company entered into an amendment of its existing credit agreement that provided for, among other things, an increase to existing commitments under the First Lien Revolving Credit Facility by $26.0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221105"/>
                <wp:effectExtent l="0" t="0" r="0" b="0"/>
                <wp:wrapNone/>
                <wp:docPr id="23" name="Frame23"/>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6 - Financing Arrangements (continued)</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During the six months ended June 30, 2026, the Company repurchased $58.5 million in aggregate principal amount of its Senior Notes for $47.1 million (in addition to accrued interest of $0.8 million) in cash. During the three and six months ended June 30, 2026, the repurchases resulted in a gain on debt extinguishment of $11.0 million, recorded within </w:t>
      </w:r>
      <w:r>
        <w:rPr>
          <w:rFonts w:ascii="Times New Roman;serif" w:hAnsi="Times New Roman;serif"/>
          <w:b w:val="false"/>
          <w:i/>
          <w:color w:val="000000"/>
          <w:sz w:val="20"/>
        </w:rPr>
        <w:t xml:space="preserve">Gain on debt extinguishment </w:t>
      </w:r>
      <w:r>
        <w:rPr>
          <w:rFonts w:ascii="Times New Roman;serif" w:hAnsi="Times New Roman;serif"/>
          <w:b w:val="false"/>
          <w:color w:val="000000"/>
          <w:sz w:val="20"/>
        </w:rPr>
        <w:t>in the Consolidated Statements of Operations, representing the difference between the net carrying amount of the extinguished notes, inclusive of unamortized original issue discount and debt issuance costs, and the reacquisition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7 - Derivatives and Hedging Activities</w:t>
      </w:r>
    </w:p>
    <w:p>
      <w:pPr>
        <w:pStyle w:val="TextBody"/>
        <w:bidi w:val="0"/>
        <w:spacing w:lineRule="auto" w:line="288" w:before="30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description of our derivative instruments and hedging policies, refer to Note 7 – Derivatives and Hedging Activities in our 2025 Form 10-K.</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Interest Rate Hedges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risks from changes in interest rates related to the First Lien Term Loan (See Note 6 - Financing Arrangements).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the following outstanding interest rate derivatives that were designated as cash flow hedges of interest rate risk:</w:t>
      </w:r>
    </w:p>
    <w:tbl>
      <w:tblPr>
        <w:tblW w:w="10205" w:type="dxa"/>
        <w:jc w:val="left"/>
        <w:tblInd w:w="0" w:type="dxa"/>
        <w:tblLayout w:type="fixed"/>
        <w:tblCellMar>
          <w:top w:w="28" w:type="dxa"/>
          <w:left w:w="28" w:type="dxa"/>
          <w:bottom w:w="28" w:type="dxa"/>
          <w:right w:w="28" w:type="dxa"/>
        </w:tblCellMar>
      </w:tblPr>
      <w:tblGrid>
        <w:gridCol w:w="797"/>
        <w:gridCol w:w="701"/>
        <w:gridCol w:w="703"/>
        <w:gridCol w:w="551"/>
        <w:gridCol w:w="551"/>
        <w:gridCol w:w="552"/>
        <w:gridCol w:w="109"/>
        <w:gridCol w:w="109"/>
        <w:gridCol w:w="109"/>
        <w:gridCol w:w="664"/>
        <w:gridCol w:w="1944"/>
        <w:gridCol w:w="345"/>
        <w:gridCol w:w="109"/>
        <w:gridCol w:w="109"/>
        <w:gridCol w:w="109"/>
        <w:gridCol w:w="308"/>
        <w:gridCol w:w="308"/>
        <w:gridCol w:w="465"/>
        <w:gridCol w:w="109"/>
        <w:gridCol w:w="109"/>
        <w:gridCol w:w="109"/>
        <w:gridCol w:w="389"/>
        <w:gridCol w:w="389"/>
        <w:gridCol w:w="557"/>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 Rate Derivatives (Level 2)</w:t>
            </w:r>
          </w:p>
        </w:tc>
        <w:tc>
          <w:tcPr>
            <w:tcW w:w="1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Notional Aggregate Principal Amount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r>
      <w:tr>
        <w:trPr/>
        <w:tc>
          <w:tcPr>
            <w:tcW w:w="22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16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3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3.280 </w:t>
            </w:r>
          </w:p>
        </w:tc>
        <w:tc>
          <w:tcPr>
            <w:tcW w:w="4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28, 2028</w:t>
            </w:r>
          </w:p>
        </w:tc>
      </w:tr>
    </w:tbl>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Company expects to recognize approximately $2.8 million of net pre-tax gains from </w:t>
      </w:r>
      <w:r>
        <w:rPr>
          <w:rFonts w:ascii="Times New Roman;serif" w:hAnsi="Times New Roman;serif"/>
          <w:b w:val="false"/>
          <w:i/>
          <w:color w:val="000000"/>
          <w:sz w:val="20"/>
        </w:rPr>
        <w:t>Accumulated other comprehensive income (“AOCI”)</w:t>
      </w:r>
      <w:r>
        <w:rPr>
          <w:color w:val="000000"/>
        </w:rPr>
        <w:t xml:space="preserve"> </w:t>
      </w:r>
      <w:r>
        <w:rPr>
          <w:rFonts w:ascii="Times New Roman;serif" w:hAnsi="Times New Roman;serif"/>
          <w:b w:val="false"/>
          <w:color w:val="000000"/>
          <w:sz w:val="20"/>
        </w:rPr>
        <w:t xml:space="preserve">as a reduction of </w:t>
      </w:r>
      <w:r>
        <w:rPr>
          <w:rFonts w:ascii="Times New Roman;serif" w:hAnsi="Times New Roman;serif"/>
          <w:b w:val="false"/>
          <w:i/>
          <w:color w:val="000000"/>
          <w:sz w:val="20"/>
        </w:rPr>
        <w:t>Interest expense, net</w:t>
      </w:r>
      <w:r>
        <w:rPr>
          <w:color w:val="000000"/>
        </w:rPr>
        <w:t xml:space="preserve"> </w:t>
      </w:r>
      <w:r>
        <w:rPr>
          <w:rFonts w:ascii="Times New Roman;serif" w:hAnsi="Times New Roman;serif"/>
          <w:b w:val="false"/>
          <w:color w:val="000000"/>
          <w:sz w:val="20"/>
        </w:rPr>
        <w:t>in the next twelve months associated with its interest rate swap. Refer to the Company’s Consolidated Statements of Comprehensive Income (Loss) for amounts reclassified into earnings related to the Company’s derivative instruments designated as cash flow hedging instruments for each of the reporting periods.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and presentation on our Consolidated Balance Sheets for derivatives as of June 30, 2026 and December 31, 2025 (in millions):</w:t>
      </w:r>
    </w:p>
    <w:tbl>
      <w:tblPr>
        <w:tblW w:w="10205" w:type="dxa"/>
        <w:jc w:val="left"/>
        <w:tblInd w:w="0" w:type="dxa"/>
        <w:tblLayout w:type="fixed"/>
        <w:tblCellMar>
          <w:top w:w="28" w:type="dxa"/>
          <w:left w:w="28" w:type="dxa"/>
          <w:bottom w:w="28" w:type="dxa"/>
          <w:right w:w="28" w:type="dxa"/>
        </w:tblCellMar>
      </w:tblPr>
      <w:tblGrid>
        <w:gridCol w:w="857"/>
        <w:gridCol w:w="751"/>
        <w:gridCol w:w="755"/>
        <w:gridCol w:w="131"/>
        <w:gridCol w:w="131"/>
        <w:gridCol w:w="131"/>
        <w:gridCol w:w="489"/>
        <w:gridCol w:w="942"/>
        <w:gridCol w:w="253"/>
        <w:gridCol w:w="115"/>
        <w:gridCol w:w="115"/>
        <w:gridCol w:w="115"/>
        <w:gridCol w:w="115"/>
        <w:gridCol w:w="456"/>
        <w:gridCol w:w="879"/>
        <w:gridCol w:w="237"/>
        <w:gridCol w:w="125"/>
        <w:gridCol w:w="125"/>
        <w:gridCol w:w="125"/>
        <w:gridCol w:w="392"/>
        <w:gridCol w:w="754"/>
        <w:gridCol w:w="203"/>
        <w:gridCol w:w="125"/>
        <w:gridCol w:w="125"/>
        <w:gridCol w:w="125"/>
        <w:gridCol w:w="441"/>
        <w:gridCol w:w="851"/>
        <w:gridCol w:w="342"/>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634" w:type="dxa"/>
            <w:gridSpan w:val="3"/>
            <w:tcBorders/>
          </w:tcPr>
          <w:p>
            <w:pPr>
              <w:pStyle w:val="TableContents"/>
              <w:bidi w:val="0"/>
              <w:spacing w:before="0" w:after="283"/>
              <w:jc w:val="left"/>
              <w:rPr>
                <w:sz w:val="4"/>
                <w:szCs w:val="4"/>
              </w:rPr>
            </w:pPr>
            <w:r>
              <w:rPr>
                <w:sz w:val="4"/>
                <w:szCs w:val="4"/>
              </w:rPr>
            </w:r>
          </w:p>
        </w:tc>
      </w:tr>
      <w:tr>
        <w:trPr/>
        <w:tc>
          <w:tcPr>
            <w:tcW w:w="236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Instrument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 Assets</w:t>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 Liabilities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 Assets</w:t>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 Liabilities</w:t>
            </w:r>
          </w:p>
        </w:tc>
      </w:tr>
      <w:tr>
        <w:trPr/>
        <w:tc>
          <w:tcPr>
            <w:tcW w:w="4440"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36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Interest rate swap contracts</w:t>
            </w:r>
            <w:r>
              <w:rPr>
                <w:rFonts w:ascii="Times New Roman;serif" w:hAnsi="Times New Roman;serif"/>
                <w:b w:val="false"/>
                <w:color w:val="000000"/>
                <w:sz w:val="13"/>
              </w:rPr>
              <w:t>(1)</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Interest rate swap contracts</w:t>
            </w:r>
            <w:r>
              <w:rPr>
                <w:rFonts w:ascii="Times New Roman;serif" w:hAnsi="Times New Roman;serif"/>
                <w:b w:val="false"/>
                <w:color w:val="000000"/>
                <w:sz w:val="13"/>
              </w:rPr>
              <w:t>(2)</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36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36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designated derivative fair value</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5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36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36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36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36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36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36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(1)Included in </w:t>
      </w:r>
      <w:r>
        <w:rPr>
          <w:rFonts w:ascii="Times New Roman;serif" w:hAnsi="Times New Roman;serif"/>
          <w:b w:val="false"/>
          <w:i/>
          <w:color w:val="000000"/>
          <w:sz w:val="18"/>
        </w:rPr>
        <w:t>Prepaid expenses and other current assets</w:t>
      </w:r>
      <w:r>
        <w:rPr>
          <w:color w:val="000000"/>
        </w:rPr>
        <w:t xml:space="preserve"> </w:t>
      </w:r>
      <w:r>
        <w:rPr>
          <w:rFonts w:ascii="Times New Roman;serif" w:hAnsi="Times New Roman;serif"/>
          <w:b w:val="false"/>
          <w:color w:val="000000"/>
          <w:sz w:val="18"/>
        </w:rPr>
        <w:t>on our Consolidated Balance Sheets.</w:t>
      </w:r>
    </w:p>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(2)Included in </w:t>
      </w:r>
      <w:r>
        <w:rPr>
          <w:rFonts w:ascii="Times New Roman;serif" w:hAnsi="Times New Roman;serif"/>
          <w:b w:val="false"/>
          <w:i/>
          <w:color w:val="000000"/>
          <w:sz w:val="18"/>
        </w:rPr>
        <w:t>Deferred costs and other assets, net of current portion</w:t>
      </w:r>
      <w:r>
        <w:rPr>
          <w:color w:val="000000"/>
        </w:rPr>
        <w:t xml:space="preserve"> </w:t>
      </w:r>
      <w:r>
        <w:rPr>
          <w:rFonts w:ascii="Times New Roman;serif" w:hAnsi="Times New Roman;serif"/>
          <w:b w:val="false"/>
          <w:color w:val="000000"/>
          <w:sz w:val="18"/>
        </w:rPr>
        <w:t>on our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221105"/>
                <wp:effectExtent l="0" t="0" r="0" b="0"/>
                <wp:wrapNone/>
                <wp:docPr id="24" name="Frame24"/>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 Derivatives and Hedging Activities (continued)</w:t>
      </w:r>
    </w:p>
    <w:p>
      <w:pPr>
        <w:pStyle w:val="TextBody"/>
        <w:bidi w:val="0"/>
        <w:spacing w:lineRule="auto" w:line="288" w:before="30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interest rate swap agreements contain credit-risk related contingent features, including cross-default provisions, credit event upon merger provisions, and additional termination events tied to the Company's First Lien Credit Agreement, which could give rise to early termination. To mitigate counterparty credit risk, the Company transacts only with major financial institutions with high credit ratings and monitors counterparty risk on an ongoing basis. The Company is not required to pledge collateral related to these 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8 - Fair Value</w:t>
      </w:r>
    </w:p>
    <w:p>
      <w:pPr>
        <w:pStyle w:val="TextBody"/>
        <w:bidi w:val="0"/>
        <w:spacing w:lineRule="auto" w:line="288" w:before="30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description of our fair value measurement policies and classification methodologies, refer to Note 8 – Fair Value in our 2025 Form 10-K.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our First Lien Term Loan and Senior Notes was $508.2 million and $479.1 million as of June 30, 2026, and $577.8 million and $611.0 million as of December 31, 2025, respectively, based on observable market prices in less active markets and categorized as Level 2 within the fair value measurement framework.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rate derivatives are valued using an income approach that projects future cash flows and discounts them to present value. Significant Level 2 inputs include observable market data such as SOFR and overnight index swap yield curves. The discount rates used reflect the collateralized or uncollateralized nature of the instrument and associated credit risk.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an income valuation approach to value long-lived assets (when a market valuation approach is unavailable). We estimate the fair value of goodwill using a combination of an income approach and a market approach. Under the income approach, we use a discounted cash flow method based on our internal financial forecasts. Under the market approach, we use market multiples of comparable publicly traded companies. Because these valuations contain unobservable inputs, we classify the measurement of the fair values of goodwill and long-lived assets as Level 3.</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our financial assets (liabilities) was determined using the following inputs (in millions):</w:t>
      </w:r>
    </w:p>
    <w:tbl>
      <w:tblPr>
        <w:tblW w:w="6763" w:type="dxa"/>
        <w:jc w:val="left"/>
        <w:tblInd w:w="0" w:type="dxa"/>
        <w:tblLayout w:type="fixed"/>
        <w:tblCellMar>
          <w:top w:w="28" w:type="dxa"/>
          <w:left w:w="28" w:type="dxa"/>
          <w:bottom w:w="28" w:type="dxa"/>
          <w:right w:w="28" w:type="dxa"/>
        </w:tblCellMar>
      </w:tblPr>
      <w:tblGrid>
        <w:gridCol w:w="1270"/>
        <w:gridCol w:w="1117"/>
        <w:gridCol w:w="1123"/>
        <w:gridCol w:w="213"/>
        <w:gridCol w:w="411"/>
        <w:gridCol w:w="110"/>
        <w:gridCol w:w="109"/>
        <w:gridCol w:w="109"/>
        <w:gridCol w:w="109"/>
        <w:gridCol w:w="213"/>
        <w:gridCol w:w="411"/>
        <w:gridCol w:w="110"/>
        <w:gridCol w:w="109"/>
        <w:gridCol w:w="109"/>
        <w:gridCol w:w="109"/>
        <w:gridCol w:w="211"/>
        <w:gridCol w:w="766"/>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Measured on a recurring basis:</w:t>
            </w:r>
          </w:p>
        </w:tc>
        <w:tc>
          <w:tcPr>
            <w:tcW w:w="7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Investments:</w:t>
            </w:r>
            <w:r>
              <w:rPr>
                <w:rFonts w:ascii="Times New Roman;serif" w:hAnsi="Times New Roman;serif"/>
                <w:b w:val="false"/>
                <w:color w:val="000000"/>
                <w:sz w:val="13"/>
              </w:rPr>
              <w:t>(1)</w:t>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guaranteed by U.S. government</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Derivative assets:</w:t>
            </w:r>
            <w:r>
              <w:rPr>
                <w:rFonts w:ascii="Times New Roman;serif" w:hAnsi="Times New Roman;serif"/>
                <w:b w:val="false"/>
                <w:color w:val="000000"/>
                <w:sz w:val="13"/>
              </w:rPr>
              <w:t>(2)</w:t>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Measured on a non-recurring basis:</w:t>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Impaired lease-related assets</w:t>
            </w:r>
            <w:r>
              <w:rPr>
                <w:rFonts w:ascii="Times New Roman;serif" w:hAnsi="Times New Roman;serif"/>
                <w:b w:val="false"/>
                <w:color w:val="000000"/>
                <w:sz w:val="13"/>
              </w:rPr>
              <w:t>(3)</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Goodwill</w:t>
            </w:r>
            <w:r>
              <w:rPr>
                <w:rFonts w:ascii="Times New Roman;serif" w:hAnsi="Times New Roman;serif"/>
                <w:b w:val="false"/>
                <w:color w:val="000000"/>
                <w:sz w:val="13"/>
              </w:rPr>
              <w:t>(4)</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1,045.1 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221105"/>
                <wp:effectExtent l="0" t="0" r="0" b="0"/>
                <wp:wrapNone/>
                <wp:docPr id="25" name="Frame25"/>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8 - Fair Value (continued)</w:t>
      </w:r>
    </w:p>
    <w:tbl>
      <w:tblPr>
        <w:tblW w:w="6507" w:type="dxa"/>
        <w:jc w:val="left"/>
        <w:tblInd w:w="0" w:type="dxa"/>
        <w:tblLayout w:type="fixed"/>
        <w:tblCellMar>
          <w:top w:w="28" w:type="dxa"/>
          <w:left w:w="28" w:type="dxa"/>
          <w:bottom w:w="28" w:type="dxa"/>
          <w:right w:w="28" w:type="dxa"/>
        </w:tblCellMar>
      </w:tblPr>
      <w:tblGrid>
        <w:gridCol w:w="1269"/>
        <w:gridCol w:w="1118"/>
        <w:gridCol w:w="1122"/>
        <w:gridCol w:w="211"/>
        <w:gridCol w:w="511"/>
        <w:gridCol w:w="109"/>
        <w:gridCol w:w="109"/>
        <w:gridCol w:w="109"/>
        <w:gridCol w:w="109"/>
        <w:gridCol w:w="213"/>
        <w:gridCol w:w="411"/>
        <w:gridCol w:w="110"/>
        <w:gridCol w:w="109"/>
        <w:gridCol w:w="109"/>
        <w:gridCol w:w="109"/>
        <w:gridCol w:w="213"/>
        <w:gridCol w:w="411"/>
        <w:gridCol w:w="155"/>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2025</w:t>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5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Measured on a recurring basis:</w:t>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Investments:</w:t>
            </w:r>
            <w:r>
              <w:rPr>
                <w:rFonts w:ascii="Times New Roman;serif" w:hAnsi="Times New Roman;serif"/>
                <w:b w:val="false"/>
                <w:color w:val="000000"/>
                <w:sz w:val="13"/>
              </w:rPr>
              <w:t>(1)</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guaranteed by U.S. government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Derivative assets:</w:t>
            </w:r>
            <w:r>
              <w:rPr>
                <w:rFonts w:ascii="Times New Roman;serif" w:hAnsi="Times New Roman;serif"/>
                <w:b w:val="false"/>
                <w:color w:val="000000"/>
                <w:sz w:val="13"/>
              </w:rPr>
              <w:t>(2)</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0"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Measured on a non-recurring basis: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Impaired lease-related assets</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5"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(1)Refer to Note 3 - Investments for further information regarding the fair value of our financial instruments.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(2)Refer to Note 7 - Derivatives and Hedging Activities for further information regarding the fair value of our derivative instruments.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(3)Consists of right-of-use lease assets recorded at fair value pursuant to impairment charges that occurred during both the first and second quarter of 2026 and fourth quarter of 2025. Refer to Note 12 - Leases in our 2025 Form 10-K.</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(4)At May 31, 2026, goodwill with a carrying amount of $1,692.7 million was written down to its implied fair value of $1,042.2 million, resulting in an impairment charge of $650.5 million, which was included in earnings for the period. Refer to Note 5 - Goodwill and Acquired Intangible Assets for further information.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fair value measurement levels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9 - Commitments and Contingencies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Non-cancelable purchase obligations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information related to outstanding non-cancelable purchase obligations and lease-related obligations, refer to the amounts disclosed in the audited financial statements in our 2025 Form 10-K. Amounts of non-cancelable purchase obligations mainly relate to third-party cloud hosting and software-as-a-service arrangements. For information regarding financing-related obligations, refer to Note 6 - Financing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221105"/>
                <wp:effectExtent l="0" t="0" r="0" b="0"/>
                <wp:wrapNone/>
                <wp:docPr id="26" name="Frame26"/>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9 - Commitments and Contingencies (continued)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Based on the information known by the Company as of the date of this filing, except where otherwise indicated, it is not possible to provide an estimated amount of any loss or range of loss that may occur with respect to these matters, including without limitation, the matters described below. Even if we believe these matters are without merit and are vigorously defending them, we may not be successful. Any litigation to which we are a party may be resolved adversely or we may be subject to an unfavorable judgment that may not be reversed upon appeal. We may also decide to settle litigation, disputes, or other legal proceedings in some instances on terms that are unfavorable to us. In addition, we may become subject to orders or consent decrees imposed by government or regulatory authorities. Adverse decisions and settlements could affect our operating results in future periods or result in a liability or other amounts material to our consolidated financial statements.</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ZoomInfo Publicity Litigation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5, 2024, a putative class action lawsuit was filed against ZoomInfo Technologies LLC in the U.S. District Court for the Western District of Washington alleging ZoomInfo Technologies LLC’s use of individuals’ names in public-facing web pages violates the Washington Personality Rights Act, and seeking statutory, compensatory and punitive damages, costs, and attorneys’ fees. The Company intends to vigorously defend against this lawsuit.</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Quebec Privacy Litigation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17, 2025, a putative class action lawsuit was filed against ZoomInfo Technologies Inc., ZoomInfo Technologies LLC, and ZoomInfo Canada Corp. in the Superior Court of Quebec, alleging that the Company’s collection and publication of personal information violated the Quebec Civil Code, Quebec’s statute regarding the protection of personal information in the private sector (LPRPSP), and the Quebec Charter of Human Rights and Freedoms. The plaintiffs seek statutory, compensatory and punitive damages, as well as costs and legal fees. The Company intends to vigorously defend against this lawsuit.</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Colorado Consumer Protection Litigation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16, 2025, a putative class action lawsuit was filed against ZoomInfo Technologies LLC in the Superior Court of the State of Washington (Clark County), alleging that ZoomInfo Technologies LLC violated the State of Colorado’s Prevention of Telemarketing Fraud Act by listing cell phone numbers of Colorado residents in the Company’s online directory for commercial purposes without obtaining their consent. The suit seeks statutory damages, injunctive and other equitable relief, costs and attorneys’ fees. The Company intends to vigorously defend against this lawsuit.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Similarly, on June 26, 2025, a putative class action lawsuit was filed against Datanyze LLC, one of the Company’s subsidiaries, in the United States District Court for the District of Colorado, alleging that Datanyze LLC violated the State of Colorado’s Prevention of Telemarketing Fraud Act, on substantially the same grounds as the action filed against ZoomInfo Technologies LLC referred to above. The suit seeks statutory damages, injunctive and other equitable relief, costs and attorneys’ fees. Datanyze LLC intends to vigorously defend against this lawsuit.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221105"/>
                <wp:effectExtent l="0" t="0" r="0" b="0"/>
                <wp:wrapNone/>
                <wp:docPr id="27" name="Frame27"/>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9 - Commitments and Contingencies (continued)</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Securities Litigation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4, 2024, a putative class action lawsuit was filed against ZoomInfo Technologies Inc. and certain of its current and former officers and affiliates in the U.S. District Court for the Western District of Washington. The suit, brought on behalf of purchasers of Company common stock between November 10, 2020, and August 5, 2024, alleges that the defendants made false and/or misleading statements related to the Company’s business, operations, and prospects, including in respect of the effects of the COVID-19 pandemic on the Company’s performance, in violation of §10(b) and §20(a) of the Securities Exchange Act of 1934 and Rule 10b-5 promulgated thereunder. The complaint seeks, among other relief, unspecified compensatory damages, equitable relief, and costs and expenses. The Company intends to vigorously defend against this lawsuit.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2, 2024, certain of the Company’s current and former directors and officers were named as defendants in a derivative shareholder lawsuit (in which the Company is a nominal defendant) filed in the United States District Court for the Western District of Washington. A second derivative action was filed on February 4, 2025, in the United States District Court for the Western District of Washington. On March 3, 2025, the United States District Court for the Western District of Washington entered an order consolidating the first two derivative actions into one consolidated derivative action. That consolidated derivative action is stayed pending further developments in the securities action described above. A third derivative action was filed on March 25, 2026 in the Delaware State Court of Chancery. On June 15, 2026, a fourth derivative action was filed in the Delaware State Court of Chancery. The factual allegations in all of the derivative cases mirror the securities case described above. The complaints assert violations of the United States securities laws and state fiduciary duty laws, in addition to common law claims involving unjust enrichment, abuse of control, gross mismanagement, and waste of corporate assets. The derivative cases seek, among other things, unspecified compensatory damages on behalf of the Company arising out of the individual defendants’ alleged wrongful conduct. The Company intends to vigorously defend against these lawsuits.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25, 2026, a putative class action lawsuit was filed against ZoomInfo Technologies Inc. and certain current officers in the U.S. District Court for the Western District of Washington. The suit, brought on behalf of purchasers of Company common stock between November 3, 2025, and May 11, 2026, alleges that the defendants overstated their confidence in statements related to the Company’s projected revenue outlook, the growth of its AI-driven products and its sustained improvement in net revenue retention, in violation of §10(b) and §20(a) of the Securities Exchange Act of 1934 and Rule 10b-5 promulgated thereunder. The complaint seeks, among other relief, unspecified compensatory damages, equitable relief, and costs and expenses. The Company intends to vigorously defend against this lawsuit.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221105"/>
                <wp:effectExtent l="0" t="0" r="0" b="0"/>
                <wp:wrapNone/>
                <wp:docPr id="28" name="Frame28"/>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10 - Earnings (Loss) Per Share</w:t>
      </w:r>
    </w:p>
    <w:p>
      <w:pPr>
        <w:pStyle w:val="TextBody"/>
        <w:bidi w:val="0"/>
        <w:spacing w:lineRule="auto" w:line="288" w:before="180" w:after="180"/>
        <w:ind w:left="0" w:right="0" w:firstLine="360"/>
        <w:jc w:val="both"/>
        <w:rPr/>
      </w:pPr>
      <w:r>
        <w:rPr>
          <w:rFonts w:ascii="Times New Roman;serif" w:hAnsi="Times New Roman;serif"/>
          <w:b w:val="false"/>
          <w:color w:val="000000"/>
          <w:sz w:val="20"/>
        </w:rPr>
        <w:t>The following tables set forth the computation of basic and diluted net income (loss) per share of</w:t>
      </w:r>
      <w:r>
        <w:rPr>
          <w:color w:val="242424"/>
        </w:rPr>
        <w:t xml:space="preserve"> </w:t>
      </w:r>
      <w:r>
        <w:rPr>
          <w:rFonts w:ascii="Times New Roman;serif" w:hAnsi="Times New Roman;serif"/>
          <w:b w:val="false"/>
          <w:color w:val="242424"/>
          <w:sz w:val="20"/>
        </w:rPr>
        <w:t>common stock</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656"/>
        <w:gridCol w:w="2237"/>
        <w:gridCol w:w="2256"/>
        <w:gridCol w:w="297"/>
        <w:gridCol w:w="889"/>
        <w:gridCol w:w="126"/>
        <w:gridCol w:w="126"/>
        <w:gridCol w:w="126"/>
        <w:gridCol w:w="126"/>
        <w:gridCol w:w="346"/>
        <w:gridCol w:w="840"/>
        <w:gridCol w:w="180"/>
      </w:tblGrid>
      <w:tr>
        <w:trPr/>
        <w:tc>
          <w:tcPr>
            <w:tcW w:w="265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71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shares and per share amounts)</w:t>
            </w:r>
          </w:p>
        </w:tc>
        <w:tc>
          <w:tcPr>
            <w:tcW w:w="13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net income (loss) per share attributable to common stockholders</w:t>
            </w:r>
          </w:p>
        </w:tc>
        <w:tc>
          <w:tcPr>
            <w:tcW w:w="13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common stock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294,503,465 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327,242,789 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attributable to common stockholders</w:t>
            </w:r>
          </w:p>
        </w:tc>
        <w:tc>
          <w:tcPr>
            <w:tcW w:w="2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net income (loss) per share attributable to common stockholders</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used to calculate diluted net income (loss)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294,503,465 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327,242,789 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 attributable to common stockholders</w:t>
            </w:r>
          </w:p>
        </w:tc>
        <w:tc>
          <w:tcPr>
            <w:tcW w:w="2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672"/>
        <w:gridCol w:w="2254"/>
        <w:gridCol w:w="2272"/>
        <w:gridCol w:w="297"/>
        <w:gridCol w:w="889"/>
        <w:gridCol w:w="116"/>
        <w:gridCol w:w="116"/>
        <w:gridCol w:w="116"/>
        <w:gridCol w:w="116"/>
        <w:gridCol w:w="346"/>
        <w:gridCol w:w="840"/>
        <w:gridCol w:w="171"/>
      </w:tblGrid>
      <w:tr>
        <w:trPr/>
        <w:tc>
          <w:tcPr>
            <w:tcW w:w="2672"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shares and per share amounts)</w:t>
            </w:r>
          </w:p>
        </w:tc>
        <w:tc>
          <w:tcPr>
            <w:tcW w:w="13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net income (loss) per share attributable to common stockholders</w:t>
            </w:r>
          </w:p>
        </w:tc>
        <w:tc>
          <w:tcPr>
            <w:tcW w:w="130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common stock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298,477,470 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333,992,323 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attributable to common stockholders</w:t>
            </w:r>
          </w:p>
        </w:tc>
        <w:tc>
          <w:tcPr>
            <w:tcW w:w="2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net income (loss) per share attributable to common stockholders</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used to calculate diluted net income (loss)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298,477,470 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333,992,323 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 attributable to common stockholders</w:t>
            </w:r>
          </w:p>
        </w:tc>
        <w:tc>
          <w:tcPr>
            <w:tcW w:w="2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221105"/>
                <wp:effectExtent l="0" t="0" r="0" b="0"/>
                <wp:wrapNone/>
                <wp:docPr id="29" name="Frame29"/>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10 - Earnings (Loss) Per Share (continued)</w:t>
      </w:r>
    </w:p>
    <w:p>
      <w:pPr>
        <w:pStyle w:val="TextBody"/>
        <w:bidi w:val="0"/>
        <w:spacing w:lineRule="auto" w:line="288" w:before="180" w:after="180"/>
        <w:ind w:left="0" w:right="0" w:firstLine="360"/>
        <w:jc w:val="both"/>
        <w:rPr>
          <w:rFonts w:ascii="Times New Roman;serif" w:hAnsi="Times New Roman;serif"/>
          <w:b w:val="false"/>
          <w:color w:val="242424"/>
          <w:sz w:val="20"/>
        </w:rPr>
      </w:pPr>
      <w:r>
        <w:rPr>
          <w:rFonts w:ascii="Times New Roman;serif" w:hAnsi="Times New Roman;serif"/>
          <w:b w:val="false"/>
          <w:color w:val="242424"/>
          <w:sz w:val="20"/>
        </w:rPr>
        <w:t>In periods of loss, the number of shares used to calculate diluted net income (loss) per share is the same as basic net income (loss) per share. Potentially dilutive securities excluded due to their anti-dilutive effect were as follows:</w:t>
      </w:r>
    </w:p>
    <w:tbl>
      <w:tblPr>
        <w:tblW w:w="10205" w:type="dxa"/>
        <w:jc w:val="left"/>
        <w:tblInd w:w="0" w:type="dxa"/>
        <w:tblLayout w:type="fixed"/>
        <w:tblCellMar>
          <w:top w:w="28" w:type="dxa"/>
          <w:left w:w="28" w:type="dxa"/>
          <w:bottom w:w="28" w:type="dxa"/>
          <w:right w:w="28" w:type="dxa"/>
        </w:tblCellMar>
      </w:tblPr>
      <w:tblGrid>
        <w:gridCol w:w="1193"/>
        <w:gridCol w:w="960"/>
        <w:gridCol w:w="937"/>
        <w:gridCol w:w="754"/>
        <w:gridCol w:w="327"/>
        <w:gridCol w:w="249"/>
        <w:gridCol w:w="249"/>
        <w:gridCol w:w="249"/>
        <w:gridCol w:w="249"/>
        <w:gridCol w:w="754"/>
        <w:gridCol w:w="327"/>
        <w:gridCol w:w="249"/>
        <w:gridCol w:w="109"/>
        <w:gridCol w:w="109"/>
        <w:gridCol w:w="109"/>
        <w:gridCol w:w="668"/>
        <w:gridCol w:w="413"/>
        <w:gridCol w:w="224"/>
        <w:gridCol w:w="224"/>
        <w:gridCol w:w="224"/>
        <w:gridCol w:w="224"/>
        <w:gridCol w:w="668"/>
        <w:gridCol w:w="413"/>
        <w:gridCol w:w="323"/>
      </w:tblGrid>
      <w:tr>
        <w:trPr/>
        <w:tc>
          <w:tcPr>
            <w:tcW w:w="119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22,369,079 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17,305,281 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18,251,642 </w:t>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15,459,826 </w:t>
            </w:r>
          </w:p>
        </w:tc>
        <w:tc>
          <w:tcPr>
            <w:tcW w:w="3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CEO Premium-Priced Performance Option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9,678,000 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9,678,000 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Liability-classified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171,084 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171,084 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common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186,307 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264,746 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187,661 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245,835 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securities</w:t>
            </w:r>
          </w:p>
        </w:tc>
        <w:tc>
          <w:tcPr>
            <w:tcW w:w="10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32,404,470 </w:t>
            </w:r>
          </w:p>
        </w:tc>
        <w:tc>
          <w:tcPr>
            <w:tcW w:w="2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17,570,027 </w:t>
            </w:r>
          </w:p>
        </w:tc>
        <w:tc>
          <w:tcPr>
            <w:tcW w:w="2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28,288,387 </w:t>
            </w:r>
          </w:p>
        </w:tc>
        <w:tc>
          <w:tcPr>
            <w:tcW w:w="2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15,705,661 </w:t>
            </w:r>
          </w:p>
        </w:tc>
        <w:tc>
          <w:tcPr>
            <w:tcW w:w="3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description of the terms and conditions of these securities, refer to Note 13 – Equity-Based Compensation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11 - Leases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description of our lease accounting policies and practical expedients elected, refer to Note 12 – Leases in our 2025 Form 10-K.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Rent expense was $10.4 million, inclusive of $6.5 million related to lease restructuring activities, and $7.4 million, for the three months ended June 30, 2026 and 2025, respectively. Rent expense was $18.5 million, inclusive of $10.2 million related to lease restructuring activities, and $16.0 million, inclusive of $1.1 million related to the Waltham Lease Restructuring, for the six months ended June 30, 2026 and 2025, respectively.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leases was as follows:</w:t>
      </w:r>
    </w:p>
    <w:tbl>
      <w:tblPr>
        <w:tblW w:w="10205" w:type="dxa"/>
        <w:jc w:val="left"/>
        <w:tblInd w:w="0" w:type="dxa"/>
        <w:tblLayout w:type="fixed"/>
        <w:tblCellMar>
          <w:top w:w="28" w:type="dxa"/>
          <w:left w:w="28" w:type="dxa"/>
          <w:bottom w:w="28" w:type="dxa"/>
          <w:right w:w="28" w:type="dxa"/>
        </w:tblCellMar>
      </w:tblPr>
      <w:tblGrid>
        <w:gridCol w:w="1867"/>
        <w:gridCol w:w="1632"/>
        <w:gridCol w:w="1645"/>
        <w:gridCol w:w="270"/>
        <w:gridCol w:w="520"/>
        <w:gridCol w:w="139"/>
        <w:gridCol w:w="139"/>
        <w:gridCol w:w="139"/>
        <w:gridCol w:w="139"/>
        <w:gridCol w:w="270"/>
        <w:gridCol w:w="655"/>
        <w:gridCol w:w="139"/>
        <w:gridCol w:w="109"/>
        <w:gridCol w:w="109"/>
        <w:gridCol w:w="109"/>
        <w:gridCol w:w="240"/>
        <w:gridCol w:w="582"/>
        <w:gridCol w:w="124"/>
        <w:gridCol w:w="124"/>
        <w:gridCol w:w="124"/>
        <w:gridCol w:w="124"/>
        <w:gridCol w:w="240"/>
        <w:gridCol w:w="582"/>
        <w:gridCol w:w="184"/>
      </w:tblGrid>
      <w:tr>
        <w:trPr/>
        <w:tc>
          <w:tcPr>
            <w:tcW w:w="1867"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9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for tenant incentive reimbursement</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Lease liabilities arising from obtaining right-of-use assets</w:t>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From new and existing lease agreements and modifications</w:t>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221105"/>
                <wp:effectExtent l="0" t="0" r="0" b="0"/>
                <wp:wrapNone/>
                <wp:docPr id="30" name="Frame30"/>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11 - Leases (continued)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Recent Leasing Activity</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During the second quarter of 2026, the Company executed an amendment to its existing agreement related to office space in Ra’anana, Israel to buy out the remaining obligations related to a single floor for a cash payment of $1.2 million. In accordance with ASC 842, the Company accounted for the transaction as a partial termination of the lease, derecognizing $0.3 million of the associated right-of-use asset and $2.8 million of the associated lease liability. As a result, the Company recorded a gain of $2.5 million, which is presented within </w:t>
      </w: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on the Consolidated Statements of Operations for the three and six months ended June 30, 2026. The restructured agreement is expected to reduce the Company’s remaining minimum lease payments under the lease by approximately $4.6 million over the remainder of the lease term, before giving effect to future indexation adjustments.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Additionally, during the second quarter of 2026, the Company recognized abandonment charges of $3.3 million related to vacated spaces, representing the accelerated amortization of the associated right-of-use asset, allocated among the appropriate financial statement line items on the Consolidated Statements of Operations. The Company also recognized an impairment charge of $0.6 million to reduce the carrying value of the right-of-use asset associated with a floor of the leased premises intended to be subleased. This charge is presented within </w:t>
      </w: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on the Consolidated Statements of Operations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12 - Equity-based Compensation</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description of our equity-based compensation plans and related terms, refer to Note 13 – Equity-based Compensation in our 2025 Form 10-K.</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Restricted stock unit activity for the six months ended June 30, 2026 was as follows:</w:t>
      </w:r>
    </w:p>
    <w:tbl>
      <w:tblPr>
        <w:tblW w:w="8054" w:type="dxa"/>
        <w:jc w:val="left"/>
        <w:tblInd w:w="0" w:type="dxa"/>
        <w:tblLayout w:type="fixed"/>
        <w:tblCellMar>
          <w:top w:w="28" w:type="dxa"/>
          <w:left w:w="28" w:type="dxa"/>
          <w:bottom w:w="28" w:type="dxa"/>
          <w:right w:w="28" w:type="dxa"/>
        </w:tblCellMar>
      </w:tblPr>
      <w:tblGrid>
        <w:gridCol w:w="994"/>
        <w:gridCol w:w="874"/>
        <w:gridCol w:w="877"/>
        <w:gridCol w:w="540"/>
        <w:gridCol w:w="541"/>
        <w:gridCol w:w="226"/>
        <w:gridCol w:w="109"/>
        <w:gridCol w:w="109"/>
        <w:gridCol w:w="109"/>
        <w:gridCol w:w="790"/>
        <w:gridCol w:w="2308"/>
        <w:gridCol w:w="57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beginning of period</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16,327,640 </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5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4,828,620 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 performance-based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7,449,350 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Added by performance factor</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169,313 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(4,581,105)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(1,824,739)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end of period</w:t>
            </w:r>
          </w:p>
        </w:tc>
        <w:tc>
          <w:tcPr>
            <w:tcW w:w="10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22,369,079 </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Liability-classified awards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During the second quarter of 2026, the Board approved fixed target equity awards to certain employees, which are accounted for as liability classified awards. The fixed target equity awards have both service and performance conditions that vest in the first quarter of the subsequent fiscal year. As of June 30, 2026, $0.5 million was recorded in </w:t>
      </w:r>
      <w:r>
        <w:rPr>
          <w:rFonts w:ascii="Times New Roman;serif" w:hAnsi="Times New Roman;serif"/>
          <w:b w:val="false"/>
          <w:i/>
          <w:color w:val="000000"/>
          <w:sz w:val="20"/>
        </w:rPr>
        <w:t>Accrued expenses and other current liabilities</w:t>
      </w:r>
      <w:r>
        <w:rPr>
          <w:color w:val="000000"/>
        </w:rPr>
        <w:t xml:space="preserve"> </w:t>
      </w:r>
      <w:r>
        <w:rPr>
          <w:rFonts w:ascii="Times New Roman;serif" w:hAnsi="Times New Roman;serif"/>
          <w:b w:val="false"/>
          <w:color w:val="000000"/>
          <w:sz w:val="20"/>
        </w:rPr>
        <w:t>on our Consolidated Balance Sheets, representing the carrying amount of the liability for these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221105"/>
                <wp:effectExtent l="0" t="0" r="0" b="0"/>
                <wp:wrapNone/>
                <wp:docPr id="31" name="Frame31"/>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12 - Equity-based Compensation (continued)</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 xml:space="preserve">Employee Stock Purchase Plan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the Board authorized the recommencement of the 2020 Employee Stock Purchase Plan (the “ESPP”) and adopted an amendment to the ESPP, effective July 1, 2026 (the “2026 ESPP Amendment”). In connection with the resumption of the ESPP, which was previously suspended in December 2024, the offering period structure was also changed such that offering periods will consist of twenty-four months, comprised of four consecutive six-month purchase periods, with a new offering period commencing every six months on an overlapping basis. The 2026 ESPP Amendment introduced a reset feature, under which an offering period automatically terminates immediately following the purchase of shares on a purchase date, and a new offering period automatically commences on the day following the purchase date, if the fair market value of the Company’s common stock on the purchase date is lower than the fair market value on the offering date of the then-current offering period. The 2026 ESPP Amendment also requires participants to abstain from selling or otherwise transferring any shares of common stock issued under a purchase right for the one-year period immediately following the last day of the applicable purchase period during which such shares were purchased.</w:t>
      </w:r>
    </w:p>
    <w:p>
      <w:pPr>
        <w:pStyle w:val="TextBody"/>
        <w:bidi w:val="0"/>
        <w:spacing w:lineRule="auto" w:line="288" w:before="300" w:after="180"/>
        <w:jc w:val="left"/>
        <w:rPr>
          <w:rFonts w:ascii="Times New Roman;serif" w:hAnsi="Times New Roman;serif"/>
          <w:b/>
          <w:i/>
          <w:color w:val="000000"/>
          <w:sz w:val="20"/>
        </w:rPr>
      </w:pPr>
      <w:r>
        <w:rPr>
          <w:rFonts w:ascii="Times New Roman;serif" w:hAnsi="Times New Roman;serif"/>
          <w:b/>
          <w:i/>
          <w:color w:val="000000"/>
          <w:sz w:val="20"/>
        </w:rPr>
        <w:t>Unamortized Equity-based Compensation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unamortized equity-based compensation costs consist of the following:</w:t>
      </w:r>
    </w:p>
    <w:tbl>
      <w:tblPr>
        <w:tblW w:w="10205" w:type="dxa"/>
        <w:jc w:val="left"/>
        <w:tblInd w:w="0" w:type="dxa"/>
        <w:tblLayout w:type="fixed"/>
        <w:tblCellMar>
          <w:top w:w="28" w:type="dxa"/>
          <w:left w:w="28" w:type="dxa"/>
          <w:bottom w:w="28" w:type="dxa"/>
          <w:right w:w="28" w:type="dxa"/>
        </w:tblCellMar>
      </w:tblPr>
      <w:tblGrid>
        <w:gridCol w:w="1526"/>
        <w:gridCol w:w="1338"/>
        <w:gridCol w:w="1339"/>
        <w:gridCol w:w="211"/>
        <w:gridCol w:w="616"/>
        <w:gridCol w:w="109"/>
        <w:gridCol w:w="109"/>
        <w:gridCol w:w="109"/>
        <w:gridCol w:w="109"/>
        <w:gridCol w:w="1384"/>
        <w:gridCol w:w="1384"/>
        <w:gridCol w:w="1971"/>
      </w:tblGrid>
      <w:tr>
        <w:trPr/>
        <w:tc>
          <w:tcPr>
            <w:tcW w:w="152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r>
      <w:tr>
        <w:trPr/>
        <w:tc>
          <w:tcPr>
            <w:tcW w:w="42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Service Period (in years)</w:t>
            </w:r>
          </w:p>
        </w:tc>
      </w:tr>
      <w:tr>
        <w:trPr/>
        <w:tc>
          <w:tcPr>
            <w:tcW w:w="4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420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9" w:type="dxa"/>
            <w:gridSpan w:val="3"/>
            <w:tcBorders/>
            <w:vAlign w:val="center"/>
          </w:tcPr>
          <w:p>
            <w:pPr>
              <w:pStyle w:val="TableContents"/>
              <w:bidi w:val="0"/>
              <w:spacing w:before="0" w:after="283"/>
              <w:jc w:val="left"/>
              <w:rPr>
                <w:sz w:val="4"/>
                <w:szCs w:val="4"/>
              </w:rPr>
            </w:pPr>
            <w:r>
              <w:rPr>
                <w:sz w:val="4"/>
                <w:szCs w:val="4"/>
              </w:rPr>
            </w:r>
          </w:p>
        </w:tc>
      </w:tr>
      <w:tr>
        <w:trPr/>
        <w:tc>
          <w:tcPr>
            <w:tcW w:w="420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9" w:type="dxa"/>
            <w:gridSpan w:val="3"/>
            <w:tcBorders/>
            <w:vAlign w:val="center"/>
          </w:tcPr>
          <w:p>
            <w:pPr>
              <w:pStyle w:val="TableContents"/>
              <w:bidi w:val="0"/>
              <w:spacing w:before="0" w:after="283"/>
              <w:jc w:val="left"/>
              <w:rPr>
                <w:sz w:val="4"/>
                <w:szCs w:val="4"/>
              </w:rPr>
            </w:pPr>
            <w:r>
              <w:rPr>
                <w:sz w:val="4"/>
                <w:szCs w:val="4"/>
              </w:rPr>
            </w:r>
          </w:p>
        </w:tc>
      </w:tr>
      <w:tr>
        <w:trPr/>
        <w:tc>
          <w:tcPr>
            <w:tcW w:w="420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9" w:type="dxa"/>
            <w:gridSpan w:val="3"/>
            <w:tcBorders/>
            <w:vAlign w:val="center"/>
          </w:tcPr>
          <w:p>
            <w:pPr>
              <w:pStyle w:val="TableContents"/>
              <w:bidi w:val="0"/>
              <w:spacing w:before="0" w:after="283"/>
              <w:jc w:val="left"/>
              <w:rPr>
                <w:sz w:val="4"/>
                <w:szCs w:val="4"/>
              </w:rPr>
            </w:pPr>
            <w:r>
              <w:rPr>
                <w:sz w:val="4"/>
                <w:szCs w:val="4"/>
              </w:rPr>
            </w:r>
          </w:p>
        </w:tc>
      </w:tr>
      <w:tr>
        <w:trPr/>
        <w:tc>
          <w:tcPr>
            <w:tcW w:w="420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9" w:type="dxa"/>
            <w:gridSpan w:val="3"/>
            <w:tcBorders/>
            <w:vAlign w:val="center"/>
          </w:tcPr>
          <w:p>
            <w:pPr>
              <w:pStyle w:val="TableContents"/>
              <w:bidi w:val="0"/>
              <w:spacing w:before="0" w:after="283"/>
              <w:jc w:val="left"/>
              <w:rPr>
                <w:sz w:val="4"/>
                <w:szCs w:val="4"/>
              </w:rPr>
            </w:pPr>
            <w:r>
              <w:rPr>
                <w:sz w:val="4"/>
                <w:szCs w:val="4"/>
              </w:rPr>
            </w:r>
          </w:p>
        </w:tc>
      </w:tr>
      <w:tr>
        <w:trPr/>
        <w:tc>
          <w:tcPr>
            <w:tcW w:w="420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9" w:type="dxa"/>
            <w:gridSpan w:val="3"/>
            <w:tcBorders/>
            <w:vAlign w:val="center"/>
          </w:tcPr>
          <w:p>
            <w:pPr>
              <w:pStyle w:val="TableContents"/>
              <w:bidi w:val="0"/>
              <w:spacing w:before="0" w:after="283"/>
              <w:jc w:val="left"/>
              <w:rPr>
                <w:sz w:val="4"/>
                <w:szCs w:val="4"/>
              </w:rPr>
            </w:pPr>
            <w:r>
              <w:rPr>
                <w:sz w:val="4"/>
                <w:szCs w:val="4"/>
              </w:rPr>
            </w:r>
          </w:p>
        </w:tc>
      </w:tr>
      <w:tr>
        <w:trPr/>
        <w:tc>
          <w:tcPr>
            <w:tcW w:w="4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HSKB Phantom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420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9" w:type="dxa"/>
            <w:gridSpan w:val="3"/>
            <w:tcBorders/>
            <w:vAlign w:val="center"/>
          </w:tcPr>
          <w:p>
            <w:pPr>
              <w:pStyle w:val="TableContents"/>
              <w:bidi w:val="0"/>
              <w:spacing w:before="0" w:after="283"/>
              <w:jc w:val="left"/>
              <w:rPr>
                <w:sz w:val="4"/>
                <w:szCs w:val="4"/>
              </w:rPr>
            </w:pPr>
            <w:r>
              <w:rPr>
                <w:sz w:val="4"/>
                <w:szCs w:val="4"/>
              </w:rPr>
            </w:r>
          </w:p>
        </w:tc>
      </w:tr>
      <w:tr>
        <w:trPr/>
        <w:tc>
          <w:tcPr>
            <w:tcW w:w="4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CEO Premium-Priced Performance Option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4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unamortized equity-based compensation cost</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13 - Segment and Geographic Data</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Company operates as one operating segment, deriving revenues from customers by providing access to its go-to-market intelligence platform. The Company’s chief operating decision maker (“CODM”) is its Chief Executive Officer, who reviews financial information on a consolidated basis and uses net income (loss) for purposes of making operating decisions, assessing financial performance and allocating resources. The CODM also reviews total assets, as reported on our Consolidated Balance Sheets, and </w:t>
      </w:r>
      <w:r>
        <w:rPr>
          <w:rFonts w:ascii="Times New Roman;serif" w:hAnsi="Times New Roman;serif"/>
          <w:b w:val="false"/>
          <w:i/>
          <w:color w:val="000000"/>
          <w:sz w:val="20"/>
        </w:rPr>
        <w:t>Purchases of property and equipment and other assets</w:t>
      </w:r>
      <w:r>
        <w:rPr>
          <w:rFonts w:ascii="Times New Roman;serif" w:hAnsi="Times New Roman;serif"/>
          <w:b w:val="false"/>
          <w:color w:val="000000"/>
          <w:sz w:val="20"/>
        </w:rPr>
        <w:t>, as reported on our Consolidated Statements of Cash Flows.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Long-lived assets by geographical region are based on the location of the legal entity that owns the assets, which includes </w:t>
      </w:r>
      <w:r>
        <w:rPr>
          <w:rFonts w:ascii="Times New Roman;serif" w:hAnsi="Times New Roman;serif"/>
          <w:b w:val="false"/>
          <w:i/>
          <w:color w:val="000000"/>
          <w:sz w:val="20"/>
        </w:rPr>
        <w:t>Property and equipment, net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Operating lease right-of-use assets, net</w:t>
      </w:r>
      <w:r>
        <w:rPr>
          <w:rFonts w:ascii="Times New Roman;serif" w:hAnsi="Times New Roman;serif"/>
          <w:b w:val="false"/>
          <w:color w:val="000000"/>
          <w:sz w:val="20"/>
        </w:rPr>
        <w:t>. As of June 30, 2026, long-lived assets held in the United States were $271.1 million, representing approximately 94% of the consolidated total. As of December 31, 2025, long-lived assets held in the United States were $257.1 million, representing approximately 93% of the consolidated total.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37185"/>
                <wp:effectExtent l="0" t="0" r="0" b="0"/>
                <wp:wrapNone/>
                <wp:docPr id="32" name="Frame32"/>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Note 13 - Segment and Geographic Data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Contracts denominated in currencies other than U.S. Dollar were not material for the three and six months ended June 30, 2026 and 2025. Revenues derived from customers and partners located outside the United States, as determined based on the address provided by our customers and partners, accounted for approximately 11% and 12% of total revenue for the three months ended June 30, 2026 and 2025, respectively, and approximately 11% and 12% of total revenue for the six months ended June 30, 2026 and 2025, respectively. Revenue by geographic region is as follows:</w:t>
      </w:r>
    </w:p>
    <w:tbl>
      <w:tblPr>
        <w:tblW w:w="6622" w:type="dxa"/>
        <w:jc w:val="left"/>
        <w:tblInd w:w="0" w:type="dxa"/>
        <w:tblLayout w:type="fixed"/>
        <w:tblCellMar>
          <w:top w:w="28" w:type="dxa"/>
          <w:left w:w="28" w:type="dxa"/>
          <w:bottom w:w="28" w:type="dxa"/>
          <w:right w:w="28" w:type="dxa"/>
        </w:tblCellMar>
      </w:tblPr>
      <w:tblGrid>
        <w:gridCol w:w="451"/>
        <w:gridCol w:w="396"/>
        <w:gridCol w:w="398"/>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2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552.3 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539.7 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620.6 </w:t>
            </w:r>
          </w:p>
        </w:tc>
        <w:tc>
          <w:tcPr>
            <w:tcW w:w="1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612.4 </w:t>
            </w:r>
          </w:p>
        </w:tc>
        <w:tc>
          <w:tcPr>
            <w:tcW w:w="1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with respect to the Company’s single operating segment for the three and six months ended June 30, 2026 and 2025.</w:t>
      </w:r>
    </w:p>
    <w:tbl>
      <w:tblPr>
        <w:tblW w:w="8673" w:type="dxa"/>
        <w:jc w:val="left"/>
        <w:tblInd w:w="0" w:type="dxa"/>
        <w:tblLayout w:type="fixed"/>
        <w:tblCellMar>
          <w:top w:w="28" w:type="dxa"/>
          <w:left w:w="28" w:type="dxa"/>
          <w:bottom w:w="28" w:type="dxa"/>
          <w:right w:w="28" w:type="dxa"/>
        </w:tblCellMar>
      </w:tblPr>
      <w:tblGrid>
        <w:gridCol w:w="1403"/>
        <w:gridCol w:w="1025"/>
        <w:gridCol w:w="871"/>
        <w:gridCol w:w="243"/>
        <w:gridCol w:w="797"/>
        <w:gridCol w:w="125"/>
        <w:gridCol w:w="125"/>
        <w:gridCol w:w="125"/>
        <w:gridCol w:w="125"/>
        <w:gridCol w:w="243"/>
        <w:gridCol w:w="711"/>
        <w:gridCol w:w="125"/>
        <w:gridCol w:w="109"/>
        <w:gridCol w:w="109"/>
        <w:gridCol w:w="109"/>
        <w:gridCol w:w="221"/>
        <w:gridCol w:w="724"/>
        <w:gridCol w:w="114"/>
        <w:gridCol w:w="114"/>
        <w:gridCol w:w="114"/>
        <w:gridCol w:w="114"/>
        <w:gridCol w:w="221"/>
        <w:gridCol w:w="645"/>
        <w:gridCol w:w="161"/>
      </w:tblGrid>
      <w:tr>
        <w:trPr/>
        <w:tc>
          <w:tcPr>
            <w:tcW w:w="140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620.6 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Employee compensation expense</w:t>
            </w:r>
            <w:r>
              <w:rPr>
                <w:rFonts w:ascii="Times New Roman;serif" w:hAnsi="Times New Roman;serif"/>
                <w:b w:val="false"/>
                <w:color w:val="000000"/>
                <w:sz w:val="13"/>
              </w:rPr>
              <w:t>(1)</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 and benefits expense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expense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expense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Hosting and infrastructure expense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(643.7)</w:t>
            </w:r>
          </w:p>
        </w:tc>
        <w:tc>
          <w:tcPr>
            <w:tcW w:w="1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24.0</w:t>
            </w:r>
            <w:r>
              <w:rPr>
                <w:color w:val="000000"/>
              </w:rPr>
              <w:t> </w:t>
            </w:r>
          </w:p>
        </w:tc>
        <w:tc>
          <w:tcPr>
            <w:tcW w:w="1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(614.4)</w:t>
            </w:r>
          </w:p>
        </w:tc>
        <w:tc>
          <w:tcPr>
            <w:tcW w:w="1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50.8</w:t>
            </w:r>
            <w:r>
              <w:rPr>
                <w:color w:val="000000"/>
              </w:rPr>
              <w:t>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(1)Primarily includes employee-related salaries, bonuses, and commissions.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(2)Other segment items include equity-based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14 - Tax Receivable Agreements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information related to our TRAs, refer to Note 15 - Tax Receivable Agreements in our 2025 Form 10-K.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a liability of $2,726.4 million and $2,731.9 million, respectively, related to its projected obligations under the TRAs.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During the three months ended June 30, 2026 and 2025, we recognized a TRA measurement gain of $4.1 million and $14.6 million, respectively. During the six months ended June 30, 2026 and 2025, we recognized a TRA measurement gain of $5.5 million and $13.4 million, respectively. The TRA remeasurement is recognized within </w:t>
      </w:r>
      <w:r>
        <w:rPr>
          <w:rFonts w:ascii="Times New Roman;serif" w:hAnsi="Times New Roman;serif"/>
          <w:b w:val="false"/>
          <w:i/>
          <w:color w:val="000000"/>
          <w:sz w:val="20"/>
        </w:rPr>
        <w:t xml:space="preserve">Other income, net </w:t>
      </w:r>
      <w:r>
        <w:rPr>
          <w:rFonts w:ascii="Times New Roman;serif" w:hAnsi="Times New Roman;serif"/>
          <w:b w:val="false"/>
          <w:color w:val="000000"/>
          <w:sz w:val="20"/>
        </w:rPr>
        <w:t>on our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221105"/>
                <wp:effectExtent l="0" t="0" r="0" b="0"/>
                <wp:wrapNone/>
                <wp:docPr id="33" name="Frame33"/>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Note 14 - Tax Receivable Agreements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 measurement gains recognized during 2026 were principally due to the utilization of certain tax attributes without a corresponding realized cash tax benefit, and a revaluation for changes in the Company’s blended state tax rate. The TRA measurement gains recognized during 2025 were principally due to a revaluation for changes in the Company’s blended state tax rate.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payments were made to TRA holders pursuant to the TRA during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15 - Income Taxes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provision for income taxes for all periods presented was based on our projected annual effective tax rate for fiscal year 2026 and 2025, respectively, adjusted for specific items that are required to be recognized in the period in which they occur.</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inclusive of items specific to the period, for the three months ended June 30, 2026 and 2025 was (4.1)% and 57.9%, resulting in income tax expense of $25.2 million and $33.0 million, respectively.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 inclusive of items specific to the period, for the six months ended June 30, 2026 and 2025 was (7.0)% and 47.4%, resulting in income tax expense of $40.2 million and $45.8 million, respectively.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projected 2026 annual effective tax rate differed from the U.S. federal statutory rate of 21.0% due to U.S. state taxes, non-deductible equity compensation expense, and foreign tax effects, partially offset by research and development credits. The Company’s effective tax rate for the period was further impacted by a goodwill impairment charge which is not deductible for income tax purposes, valuation allowance recorded against certain foreign deferred tax assets not expected to be realized and shortfalls in tax-deductible equity compensation compared to amounts recognized in our financial accounts.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received income tax refunds, net of taxes paid, of $5.1 million during the six months ended June 30, 2026. Cash paid for income taxes was $5.4 million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16 - Subsequent Events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has evaluated subsequent events from June 30, 2026 through the date the financial statements were available to be issued and has determined there are no material subsequent events that require disclosure other than as described below.</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Subsequent to June 30, 2026 and up through July 31, 2026, the Company repurchased and subsequently retired 2,549,649 shares of the Company’s common stock in the open market at a cost of $7.5 million for an average price of $2.94 per share, under the Share Repurchase Program described further in Note 1 - Business, Basis of Presentation, and Summary of Significant Accounting Policies to the consolidated financial statements.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Inducement Plan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4, 2026, the Company’s Board, upon approval and recommendation of the Compensation Committee of the Board, adopted the ZoomInfo Technologies Inc. Inducement Equity Incentive Plan (the “Inducement Plan”) and reserved 2,000,000 shares of the Company’s common stock, par value $0.01 per share, to be used exclusively for grants of awards to individuals not previously employed by the Company or its subsidiaries, as a material inducement to such individuals’ entry into employment with the Company or its subsidiaries within the meaning of Nasdaq Listing Rule 5635(c)(4). Under the Inducement Plan, the Company may grant these eligible recipients nonqualified stock options, stock appreciation rights, restricted stock, restricted stock units, and other equity-based awards. The Board also adopted a form of Restricted Stock Unit Agreement and a form of Performance Stock Unit Agreement for use with the Inducement Plan. In accordance with Nasdaq Listing Rule 5635(c)(4), the Company did not seek approval of the Inducement Plan by its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221105"/>
                <wp:effectExtent l="0" t="0" r="0" b="0"/>
                <wp:wrapNone/>
                <wp:docPr id="34" name="Frame34"/>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300" w:before="18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the financial statements and related notes included in our 2025 Form 10-K, the information included under “Management’s Discussion and Analysis of Financial Condition and Results of Operations” in Part II, Item 7 of our 2025 Form 10-K, and the unaudited consolidated financial statements and related notes included in Part I, Item 1 of this Form 10-Q.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Form 10-Q and under “Risk Factors” in Part I, Item 1A of our 2025 Form 10-K. Numerical figures included in this Form 10-Q have been subject to rounding adjustments. Accordingly, numerical figures shown as totals in various tables may not be arithmetic aggregations of the figures that precede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ZoomInfo is a global leader in modern go-to-market software, data, and intelligence for sales, marketing, operations, and recruiting teams. Our all-in-one AI go-to-market intelligence platform empowers businesses with AI-ready insights, trusted data, AI agent-assisted selling and advanced automation providing sales, marketing, operations, and recruiting professionals accurate information and insights on the organizations and professionals they target. This enables our customers to shorten sales cycles and increase win rates by empowering sellers, marketers, and recruiters to efficiently deliver the right message to the right person at the right time in the right way.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ZoomInfo is the modern go-to-market intelligence platform, consisting of three distinct layers that build upon each other:</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Our Intelligence Layer</w:t>
      </w:r>
      <w:r>
        <w:rPr>
          <w:color w:val="000000"/>
        </w:rPr>
        <w:t xml:space="preserve"> </w:t>
      </w:r>
      <w:r>
        <w:rPr>
          <w:rFonts w:ascii="Times New Roman;serif" w:hAnsi="Times New Roman;serif"/>
          <w:b w:val="false"/>
          <w:color w:val="000000"/>
          <w:sz w:val="20"/>
        </w:rPr>
        <w:t>is the foundation of our data-driven strategy. Our best-in-class data, curated through first- and third-party sources, includes billions of data points about companies and contacts, such as intent, hierarchy, location, and financial information.</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Our Orchestration Layer</w:t>
      </w:r>
      <w:r>
        <w:rPr>
          <w:color w:val="000000"/>
        </w:rPr>
        <w:t xml:space="preserve"> </w:t>
      </w:r>
      <w:r>
        <w:rPr>
          <w:rFonts w:ascii="Times New Roman;serif" w:hAnsi="Times New Roman;serif"/>
          <w:b w:val="false"/>
          <w:color w:val="000000"/>
          <w:sz w:val="20"/>
        </w:rPr>
        <w:t>integrates and enriches our data sources. At this stage, our products assign and route data, leads, and insights to the appropriate people. This creates a dataset that is continuously updated and can be used to power automated business workflows. Our services connect with major CRM system providers enabling sales operations professionals to access a suite of products, services, and solutions to ingest, match, enrich, and connect data feeds into multiple systems.</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Our Engagement Layer</w:t>
      </w:r>
      <w:r>
        <w:rPr>
          <w:color w:val="000000"/>
        </w:rPr>
        <w:t xml:space="preserve"> </w:t>
      </w:r>
      <w:r>
        <w:rPr>
          <w:rFonts w:ascii="Times New Roman;serif" w:hAnsi="Times New Roman;serif"/>
          <w:b w:val="false"/>
          <w:color w:val="000000"/>
          <w:sz w:val="20"/>
        </w:rPr>
        <w:t>allows sales, marketing, operations, and recruiting professionals to put data-driven insights into action to identify and communicate with prospects and customers. Go-to-market professionals use our engagement layer for multi-touch and multi-channel sales engagement, web meeting recording, transcription, insight generation, and coaching. Marketers drive awareness, lead generation, and deal acceleration campaigns through account-based marketing, advertising, and onsite conversion optimization solutions including chat functionality. Recruiters and talent acquisition professionals can locate and reach more better-suited candidates, use pipeline management tools to collaborate and organize the hiring process, and automate aspects of the candidate outreach process by more efficiently finding and engaging candidates.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generate substantially all of our revenue from sales of subscriptions to our platform. Subscriptions include the use of our platform and access to customer support. Subscriptions generally range from one to three years in length, with 53% of customer contracts (based on annualized value) representing multi-year agreements. We typically bill our customers at the beginning of each annual, semi-annual, or quarterly period and recognize revenue ratably over the term of the subscription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17245"/>
                <wp:effectExtent l="0" t="0" r="0" b="0"/>
                <wp:wrapNone/>
                <wp:docPr id="35" name="Frame35"/>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sell access to our platform to both new and existing customers. We price our subscriptions based on the functionality, users, and records under management that are included in each product edition. Our core paid products include ZoomInfo Copilot, ZoomInfo Sales, ZoomInfo Marketing, ZoomInfo Operations, and ZoomInfo Talent (with add-on options for some products), GTM Studio, and we have a free community edition, ZoomInfo Lite.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300" w:after="180"/>
        <w:jc w:val="left"/>
        <w:rPr>
          <w:rFonts w:ascii="Times New Roman;serif" w:hAnsi="Times New Roman;serif"/>
          <w:b/>
          <w:i/>
          <w:color w:val="000000"/>
          <w:sz w:val="20"/>
        </w:rPr>
      </w:pPr>
      <w:r>
        <w:rPr>
          <w:rFonts w:ascii="Times New Roman;serif" w:hAnsi="Times New Roman;serif"/>
          <w:b/>
          <w:i/>
          <w:color w:val="000000"/>
          <w:sz w:val="20"/>
        </w:rPr>
        <w:t xml:space="preserve">Impact of Macroeconomic Conditions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and financial condition have and may continue to be impacted by adverse macroeconomic conditions. See “Risks Related to Geopolitical and Macroeconomic Factors” in Part I, Item 1A of our 2025 Form 10-K for further discussion of the possible impact of these issues on our business.</w:t>
      </w:r>
    </w:p>
    <w:p>
      <w:pPr>
        <w:pStyle w:val="TextBody"/>
        <w:bidi w:val="0"/>
        <w:spacing w:lineRule="auto" w:line="288" w:before="300" w:after="180"/>
        <w:jc w:val="left"/>
        <w:rPr>
          <w:rFonts w:ascii="Times New Roman;serif" w:hAnsi="Times New Roman;serif"/>
          <w:b/>
          <w:i/>
          <w:color w:val="000000"/>
          <w:sz w:val="20"/>
        </w:rPr>
      </w:pPr>
      <w:r>
        <w:rPr>
          <w:rFonts w:ascii="Times New Roman;serif" w:hAnsi="Times New Roman;serif"/>
          <w:b/>
          <w:i/>
          <w:color w:val="000000"/>
          <w:sz w:val="20"/>
        </w:rPr>
        <w:t>2026 Restructuring Program</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5, 2026, the Board approved the 2026 Restructuring Program in order to reduce operating costs and drive stronger operating leverage. Refer to Note 1 - Business, Basis of Presentation, and Summary of Significant Accounting Policies of the notes to our unaudited consolidated financial statements included elsewhere in this Quarterly Report on Form 10-Q.</w:t>
      </w:r>
    </w:p>
    <w:p>
      <w:pPr>
        <w:pStyle w:val="TextBody"/>
        <w:bidi w:val="0"/>
        <w:spacing w:lineRule="auto" w:line="288" w:before="300" w:after="180"/>
        <w:jc w:val="left"/>
        <w:rPr>
          <w:rFonts w:ascii="Times New Roman;serif" w:hAnsi="Times New Roman;serif"/>
          <w:b/>
          <w:i/>
          <w:color w:val="000000"/>
          <w:sz w:val="20"/>
        </w:rPr>
      </w:pPr>
      <w:r>
        <w:rPr>
          <w:rFonts w:ascii="Times New Roman;serif" w:hAnsi="Times New Roman;serif"/>
          <w:b/>
          <w:i/>
          <w:color w:val="000000"/>
          <w:sz w:val="20"/>
        </w:rPr>
        <w:t>First Lien Credit Agreement Amendment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8, 2026, the Company entered into an amendment of its existing credit agreement that provided for, among other things, an increase to existing commitments under the First Lien Revolving Credit Facility by $26.0 million. Refer to Note 6 - Financing Arrangements of the notes to our unaudited consolidated financial statements included elsewhere in this Quarterly Report on Form 10-Q.</w:t>
      </w:r>
    </w:p>
    <w:p>
      <w:pPr>
        <w:pStyle w:val="TextBody"/>
        <w:bidi w:val="0"/>
        <w:spacing w:lineRule="auto" w:line="288" w:before="300" w:after="180"/>
        <w:jc w:val="left"/>
        <w:rPr>
          <w:rFonts w:ascii="Times New Roman;serif" w:hAnsi="Times New Roman;serif"/>
          <w:b/>
          <w:i/>
          <w:color w:val="000000"/>
          <w:sz w:val="20"/>
        </w:rPr>
      </w:pPr>
      <w:r>
        <w:rPr>
          <w:rFonts w:ascii="Times New Roman;serif" w:hAnsi="Times New Roman;serif"/>
          <w:b/>
          <w:i/>
          <w:color w:val="000000"/>
          <w:sz w:val="20"/>
        </w:rPr>
        <w:t>Goodwill Impairment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a sustained decrease in the Company’s stock price, industry considerations, and a decline in planned revenues and earnings as a result of key changes in strategy during the second quarter of 2026, the Company recognized a goodwill impairment charge of $650.5 million for the three and six months ended June 30, 2026. Refer to Note 5 - Goodwill and Acquired Intangible Assets of the notes to our unaudited consolidated financial statements included elsewhere in this Quarterly Report on Form 10-Q.</w:t>
      </w:r>
    </w:p>
    <w:p>
      <w:pPr>
        <w:pStyle w:val="TextBody"/>
        <w:bidi w:val="0"/>
        <w:spacing w:lineRule="auto" w:line="288" w:before="300" w:after="180"/>
        <w:jc w:val="left"/>
        <w:rPr>
          <w:rFonts w:ascii="Times New Roman;serif" w:hAnsi="Times New Roman;serif"/>
          <w:b/>
          <w:i/>
          <w:color w:val="000000"/>
          <w:sz w:val="20"/>
        </w:rPr>
      </w:pPr>
      <w:r>
        <w:rPr>
          <w:rFonts w:ascii="Times New Roman;serif" w:hAnsi="Times New Roman;serif"/>
          <w:b/>
          <w:i/>
          <w:color w:val="000000"/>
          <w:sz w:val="20"/>
        </w:rPr>
        <w:t>Senior Notes Repurchases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repurchased $58.5 million in aggregate principal amount of its Senior Notes for $47.1 million (in addition to accrued interest of $0.8 million) in cash during the six months ended June 30, 2026. Refer to Note 6 - Financing Arrangements of the notes to our unaudited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17245"/>
                <wp:effectExtent l="0" t="0" r="0" b="0"/>
                <wp:wrapNone/>
                <wp:docPr id="36" name="Frame36"/>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the growth and future success of our business depends on many factors, including the following:</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Acquiring New Customers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focused on continuing to grow the number of customers using our platform in the United States and around the world, and efficiently transacting with those customers. Acquiring new customers while optimizing the profile of those customers and the go-to-market channels we use to attract these customers will play a part in determining our operating results and growth prospects in the future. Acquiring new customers also strengthens the power of our contributory networks. We plan to continue to invest in our efficient go-to-market effort to expand our customer base.</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Increasing Usage of Our Platform</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expanding the value that we provide to our customers and the corresponding revenue generated as a result is an important measure of the health of our business. We monitor net revenue retention to measure that growth. Net revenue retention is a metric that we calculate based on customers of ZoomInfo at the beginning of the twelve-month period, and is calculated as: (a) the total annual contract value ("ACV") for those customers at the end of the twelve-month period, divided by (b) the total ACV for those customers at the beginning of the twelve-month period. Our net revenue retention rate was 89% as of June 30, 2026 and 2025. In the near term, we expect our net revenue retention rate to be impacted by macroeconomic conditions. See the caption above entitled “—Recent Developments — Impact of Macroeconomic Conditions.” Over the long term, we expect our net revenue retention rate to be influenced by our ability to move upmarket, as larger customers have historically exhibited higher net revenue retention. We also measure our success in expanding relationships with existing customers by the number of customers that contract for $100,000 or greater in ACV. As of June 30, 2026 and 2025, our number of customers with $100,000 or greater in ACV was 1,891 and 1,882, respectively. Customers with $100,000 or greater in ACV comprised over 50% of total Company ACV as of June 30, 2026.</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Transitioning to Non-Seat Based Pricing</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Beginning in the third quarter of 2026, we intend to transition a portion of our per-seat subscription revenue to a hybrid model consisting of a lower annual platform fee combined with pre-purchased data credits that customers consume over time, with existing customers expected to convert primarily as they renew. We believe this transition may, over time, reduce downsell pressure historically associated with seat compression and create additional expansion opportunity as customer data consumption increases, which we expect to affect our net revenue retention and the mix of our ACV between seat-based and non-seat-based arrangements. In the near term, however, this transition may result in revenue headwinds and increased period-to-period variability as customers convert to the new model.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 is derived primarily from subscription services, with the remainder from usage-based services and other revenue. Our subscription services primarily consist of our SaaS applications. Pricing of our subscription contracts is generally based on the functionality provided, the number of users that access our applications, and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817245"/>
                <wp:effectExtent l="0" t="0" r="0" b="0"/>
                <wp:wrapNone/>
                <wp:docPr id="37" name="Frame37"/>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Subscription revenue is generally recognized ratably over the contract term starting with when our service is made available to the customer. Recurring usage-based revenue is recognized in the period services are utilized by our customers. Other revenue, comprised largely of implementation and professional services fees, is recognized as services are delivered. The amount of revenue recognized reflects the consideration we expect to be entitled to receive in exchange for these services. We record a contract asset when revenue recognized on a contract exceeds the billings to date for that contract.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contract timing within the period.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 xml:space="preserve">Cost of service. </w:t>
      </w:r>
      <w:r>
        <w:rPr>
          <w:rFonts w:ascii="Times New Roman;serif" w:hAnsi="Times New Roman;serif"/>
          <w:b w:val="false"/>
          <w:color w:val="000000"/>
          <w:sz w:val="20"/>
        </w:rPr>
        <w:t>Cost of service includes direct expenses related to the support and operations of our services and research teams including salaries, benefits, equity-based compensation, and related expenses, such as employer taxes, allocated overhead for facilities, technology, third-party hosting fees, third-party data costs, amortization of internally developed capitalized software, and restructuring and transaction-related expenses.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continued investment in cost of service, with cost of service as a percentage of revenue expected to slightly increase in the near term. This is driven by rising AI consumption costs and customer onboarding expenses for offerings such as ZoomInfo Copilot and ZoomInfo GTM Studio.</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 xml:space="preserve">Amortization of acquired technology. </w:t>
      </w:r>
      <w:r>
        <w:rPr>
          <w:rFonts w:ascii="Times New Roman;serif" w:hAnsi="Times New Roman;serif"/>
          <w:b w:val="false"/>
          <w:color w:val="000000"/>
          <w:sz w:val="20"/>
        </w:rPr>
        <w:t>Amortization of acquired technology includes amortization expense for technology acquired in business combinations.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amortization of acquired technology will increase if we make additional acquisitions in the future.</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is revenue less cost of revenue,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expenses consist of sales and marketing, research and development, general and administrative, amortization of other acquired intangibles, and goodwill impairment.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marketing, litigation settlements, and restructuring and transaction-related expenses. We anticipate that restructuring and transaction-related expenses, including potential impairments, will be influenced by activities related to potential future acquisitions, strategic restructuring efforts, and leased spaces that we plan to sublease, which could cause these costs to vary, potentially significantly, from our historic levels. </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Sales and marketing</w:t>
      </w:r>
      <w:r>
        <w:rPr>
          <w:rFonts w:ascii="Times New Roman;serif" w:hAnsi="Times New Roman;serif"/>
          <w:b w:val="false"/>
          <w:color w:val="000000"/>
          <w:sz w:val="20"/>
        </w:rPr>
        <w:t>. Sales and marketing expenses primarily consist of employee compensation such as salaries, bonuses, sales commissions, equity-based compensation, and other employee-related benefits for our sales and marketing teams, as well as overhead costs, technology, marketing programs, and restructuring and transaction-related expenses. Sales commissions and related payroll taxes directly related to contract acquisition are capitalized and recognized as expenses over the estimated period of benefit.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17245"/>
                <wp:effectExtent l="0" t="0" r="0" b="0"/>
                <wp:wrapNone/>
                <wp:docPr id="38" name="Frame38"/>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we will continue to invest in sales and marketing capacity to enable future growth. We anticipate that sales and marketing expense excluding equity-based compensation and restructuring and transaction-related expenses as a percentage of revenue will fluctuate from period to period depending on the interplay of our investments in sales and marketing capacity, the recognition of revenue, and the amortization of deferred commissions costs.</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Research and development.</w:t>
      </w:r>
      <w:r>
        <w:rPr>
          <w:color w:val="000000"/>
        </w:rPr>
        <w:t xml:space="preserve"> </w:t>
      </w:r>
      <w:r>
        <w:rPr>
          <w:rFonts w:ascii="Times New Roman;serif" w:hAnsi="Times New Roman;serif"/>
          <w:b w:val="false"/>
          <w:color w:val="000000"/>
          <w:sz w:val="20"/>
        </w:rPr>
        <w:t>Research and development expenses support our efforts to enhance our existing platform and develop new software products. Research and development expenses primarily consist of employee compensation such as salaries, bonuses, equity-based compensation, and other employee-related benefits for our engineering and product management teams, as well as overhead costs, technology, and restructuring and transaction-related expenses. We believe that our core technologies and ongoing innovation represent a significant competitive advantage for us.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we will continue to invest in research and development in order to develop new features and functionality to drive incremental customer value in the future and that research and development expense as a percentage of revenue in the short-term will be flat to a moderate increase, but will modestly decrease in the long-term as we drive efficiencies in that organization.</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General and administrative expenses primarily consist of employee-related costs such as salaries, bonuses, equity-based compensation, and other employee related benefits for our executive, finance, legal, human resources, IT, and business operations and administrative teams, as well as overhead costs. Additionally, we incur expenses related to bad debt and collections, as well as for professional fees including legal services, accounting, banking, and other consulting services. General and administrative expenses also include restructuring and transaction-related expenses, such as impairment charges associated with our leasing activity. We also incur charges associated with litigation settlements related to class actions.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as a percentage of revenue may fluctuate during periods when we incur non-recurring restructuring and transaction-related expenses, such as those associated with acquisitions or impairments. Excluding these non-recurring items, we expect a more stable or declining trend over time.</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Amortization of other acquired intangibles</w:t>
      </w:r>
      <w:r>
        <w:rPr>
          <w:rFonts w:ascii="Times New Roman;serif" w:hAnsi="Times New Roman;serif"/>
          <w:b w:val="false"/>
          <w:color w:val="000000"/>
          <w:sz w:val="20"/>
        </w:rPr>
        <w:t>. Amortization of acquired intangibles consists of amortization of customer relationships and brand portfolios.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amortization of other acquired intangibles will increase if we make additional acquisitions in the future.</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Goodwill impairment</w:t>
      </w:r>
      <w:r>
        <w:rPr>
          <w:color w:val="000000"/>
        </w:rPr>
        <w:t xml:space="preserve"> </w:t>
      </w:r>
      <w:r>
        <w:rPr>
          <w:rFonts w:ascii="Times New Roman;serif" w:hAnsi="Times New Roman;serif"/>
          <w:b w:val="false"/>
          <w:color w:val="000000"/>
          <w:sz w:val="20"/>
        </w:rPr>
        <w:t>consists of charges resulting from the excess of the carrying amount of the Company’s reporting unit over its estimated fair value, which is assessed annually and on an interim basis when triggering events occur.</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Interest expense, net</w:t>
      </w:r>
      <w:r>
        <w:rPr>
          <w:color w:val="000000"/>
        </w:rPr>
        <w:t xml:space="preserve"> </w:t>
      </w:r>
      <w:r>
        <w:rPr>
          <w:rFonts w:ascii="Times New Roman;serif" w:hAnsi="Times New Roman;serif"/>
          <w:b w:val="false"/>
          <w:color w:val="000000"/>
          <w:sz w:val="20"/>
        </w:rPr>
        <w:t>represents the interest payable on our debt obligations and the amortization of debt discounts and debt issuance costs, less interest income.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interest expense could be impacted by changes in variable interest rates, the issuance of additional debt or repurchase of existing debt, or changes in our interest rate hedging strategies, such as entering into new hedging arrangements or the expiration of existing interest rate swaps.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Gain on debt extinguishment</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Gain on debt extinguishment</w:t>
      </w:r>
      <w:r>
        <w:rPr>
          <w:color w:val="000000"/>
        </w:rPr>
        <w:t xml:space="preserve"> </w:t>
      </w:r>
      <w:r>
        <w:rPr>
          <w:rFonts w:ascii="Times New Roman;serif" w:hAnsi="Times New Roman;serif"/>
          <w:b w:val="false"/>
          <w:color w:val="000000"/>
          <w:sz w:val="20"/>
        </w:rPr>
        <w:t>represents the excess of the net carrying amount of the senior notes repurchased and extinguished over the cash consideration paid to repurchase such notes. The net carrying amount includes any unamortized debt discount and deferred financing costs, both of which are written off upon extinguishment.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17245"/>
                <wp:effectExtent l="0" t="0" r="0" b="0"/>
                <wp:wrapNone/>
                <wp:docPr id="39" name="Frame39"/>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gains related to debt extinguishment will only occur if we extinguish indebtedness before the contractual repayment dates or amend our existing financing arrangements.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consists primarily of the remeasurement of TRA liabilities, investment income, and realized and unrealized gains and losses related to the impact of transactions denominated in a foreign currency.</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Changes to existing tax law, including changes to corporate income tax rates or the Company’s state tax footprint could lead to substantial remeasurement of the TRA liability recorded through </w:t>
      </w:r>
      <w:r>
        <w:rPr>
          <w:rFonts w:ascii="Times New Roman;serif" w:hAnsi="Times New Roman;serif"/>
          <w:b w:val="false"/>
          <w:i/>
          <w:color w:val="000000"/>
          <w:sz w:val="20"/>
        </w:rPr>
        <w:t>Other income, net</w:t>
      </w:r>
      <w:r>
        <w:rPr>
          <w:rFonts w:ascii="Times New Roman;serif" w:hAnsi="Times New Roman;serif"/>
          <w:b w:val="false"/>
          <w:color w:val="000000"/>
          <w:sz w:val="20"/>
        </w:rPr>
        <w:t xml:space="preserve">. Refer to the </w:t>
      </w:r>
      <w:r>
        <w:rPr>
          <w:rFonts w:ascii="Times New Roman;serif" w:hAnsi="Times New Roman;serif"/>
          <w:b w:val="false"/>
          <w:i/>
          <w:color w:val="000000"/>
          <w:sz w:val="20"/>
        </w:rPr>
        <w:t>Provision for income taxes</w:t>
      </w:r>
      <w:r>
        <w:rPr>
          <w:color w:val="000000"/>
        </w:rPr>
        <w:t xml:space="preserve"> </w:t>
      </w:r>
      <w:r>
        <w:rPr>
          <w:rFonts w:ascii="Times New Roman;serif" w:hAnsi="Times New Roman;serif"/>
          <w:b w:val="false"/>
          <w:color w:val="000000"/>
          <w:sz w:val="20"/>
        </w:rPr>
        <w:t xml:space="preserve">section below for further information regarding remeasurement of TRA liability and deferred tax assets. Additionally, the magnitude of </w:t>
      </w: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may increase as we expand operations internationally and add complexity to our operations.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income taxes in the United States and various foreign jurisdictions. We recognize deferred tax assets and liabilities based on temporary differences between the financial statement and tax basis of assets and liabilities, as well as from net operating loss and tax credit carryforwards. We have significant U.S. federal and state deferred tax assets, including deferred tax assets created by various historical restructuring events. The preponderance of our deferred tax assets have long lives or are otherwise indefinite. We evaluate recoverability of these deferred tax assets by assessing future expected taxable income from all sources, including reversing taxable temporary differences, forecasted and historical earnings, available carryback and carryforward periods, and prudent and feasible tax planning strategies. A valuation allowance is established only if it is more likely than not that all or a portion of the deferred tax asset will not be realized. We regularly review whether it is more likely than not that our deferred tax assets will be realizable. As of June 30, 2026, a valuation allowance is recorded against certain federal, foreign, and state-level attributes.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We regularly remeasure our deferred tax assets for statutory changes and other guidance, such as the One Big Beautiful Bill Act (OBBBA) passed on July 4, 2025, as well as changes in our state apportionment factors. Given the magnitude of our deferred tax assets, minor changes can materially affect our </w:t>
      </w:r>
      <w:r>
        <w:rPr>
          <w:rFonts w:ascii="Times New Roman;serif" w:hAnsi="Times New Roman;serif"/>
          <w:b w:val="false"/>
          <w:i/>
          <w:color w:val="000000"/>
          <w:sz w:val="20"/>
        </w:rPr>
        <w:t>Provision for income taxes</w:t>
      </w:r>
      <w:r>
        <w:rPr>
          <w:rFonts w:ascii="Times New Roman;serif" w:hAnsi="Times New Roman;serif"/>
          <w:b w:val="false"/>
          <w:color w:val="000000"/>
          <w:sz w:val="20"/>
        </w:rPr>
        <w:t xml:space="preserve">. Upon a remeasurement of our deferred tax assets, the TRA liability is typically concurrently remeasured with a partially offsetting impact within </w:t>
      </w: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on the Consolidated Statements of Operations.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We have regularly taken tax positions, including with respect to our various corporate events and restructurings, in determining our </w:t>
      </w:r>
      <w:r>
        <w:rPr>
          <w:rFonts w:ascii="Times New Roman;serif" w:hAnsi="Times New Roman;serif"/>
          <w:b w:val="false"/>
          <w:i/>
          <w:color w:val="000000"/>
          <w:sz w:val="20"/>
        </w:rPr>
        <w:t>Provision for income taxes</w:t>
      </w:r>
      <w:r>
        <w:rPr>
          <w:rFonts w:ascii="Times New Roman;serif" w:hAnsi="Times New Roman;serif"/>
          <w:b w:val="false"/>
          <w:color w:val="000000"/>
          <w:sz w:val="20"/>
        </w:rPr>
        <w:t xml:space="preserve">. We recognize the tax benefit of an uncertain tax position only if it is more likely than not the position will be sustainable upon examination by the taxing authority based on technical merits. We regularly review our tax positions with consideration of a number of factors, including changes in facts or circumstances, changes in tax law or guidance, correspondence with tax authorities during the course of audits and effective settlement of audit issues. Changes in the recognition or measurement of uncertain tax positions could result in material increases or decreases in our </w:t>
      </w:r>
      <w:r>
        <w:rPr>
          <w:rFonts w:ascii="Times New Roman;serif" w:hAnsi="Times New Roman;serif"/>
          <w:b w:val="false"/>
          <w:i/>
          <w:color w:val="000000"/>
          <w:sz w:val="20"/>
        </w:rPr>
        <w:t>Provision for income taxes</w:t>
      </w:r>
      <w:r>
        <w:rPr>
          <w:color w:val="000000"/>
        </w:rPr>
        <w:t xml:space="preserve"> </w:t>
      </w:r>
      <w:r>
        <w:rPr>
          <w:rFonts w:ascii="Times New Roman;serif" w:hAnsi="Times New Roman;serif"/>
          <w:b w:val="false"/>
          <w:color w:val="000000"/>
          <w:sz w:val="20"/>
        </w:rPr>
        <w:t>in the period in which we make the change, which could have a material impact on our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17245"/>
                <wp:effectExtent l="0" t="0" r="0" b="0"/>
                <wp:wrapNone/>
                <wp:docPr id="40" name="Frame40"/>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results of operations for the three and six months ended June 30, 2026 and 2025: </w:t>
      </w:r>
    </w:p>
    <w:tbl>
      <w:tblPr>
        <w:tblW w:w="8956" w:type="dxa"/>
        <w:jc w:val="left"/>
        <w:tblInd w:w="0" w:type="dxa"/>
        <w:tblLayout w:type="fixed"/>
        <w:tblCellMar>
          <w:top w:w="28" w:type="dxa"/>
          <w:left w:w="28" w:type="dxa"/>
          <w:bottom w:w="28" w:type="dxa"/>
          <w:right w:w="28" w:type="dxa"/>
        </w:tblCellMar>
      </w:tblPr>
      <w:tblGrid>
        <w:gridCol w:w="1299"/>
        <w:gridCol w:w="1140"/>
        <w:gridCol w:w="1145"/>
        <w:gridCol w:w="243"/>
        <w:gridCol w:w="797"/>
        <w:gridCol w:w="125"/>
        <w:gridCol w:w="125"/>
        <w:gridCol w:w="125"/>
        <w:gridCol w:w="125"/>
        <w:gridCol w:w="243"/>
        <w:gridCol w:w="711"/>
        <w:gridCol w:w="125"/>
        <w:gridCol w:w="109"/>
        <w:gridCol w:w="109"/>
        <w:gridCol w:w="109"/>
        <w:gridCol w:w="214"/>
        <w:gridCol w:w="777"/>
        <w:gridCol w:w="110"/>
        <w:gridCol w:w="110"/>
        <w:gridCol w:w="110"/>
        <w:gridCol w:w="110"/>
        <w:gridCol w:w="214"/>
        <w:gridCol w:w="625"/>
        <w:gridCol w:w="156"/>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620.6 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Cost of service</w:t>
            </w:r>
            <w:r>
              <w:rPr>
                <w:rFonts w:ascii="Times New Roman;serif" w:hAnsi="Times New Roman;serif"/>
                <w:b w:val="false"/>
                <w:color w:val="000000"/>
                <w:sz w:val="13"/>
              </w:rPr>
              <w:t>(1)</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878.8 </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1,080.1 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(622.0)</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(564.1)</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(618.5)</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(574.2)</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(loss)</w:t>
            </w:r>
          </w:p>
        </w:tc>
        <w:tc>
          <w:tcPr>
            <w:tcW w:w="2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(643.7)</w:t>
            </w:r>
          </w:p>
        </w:tc>
        <w:tc>
          <w:tcPr>
            <w:tcW w:w="1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24.0</w:t>
            </w:r>
            <w:r>
              <w:rPr>
                <w:color w:val="000000"/>
              </w:rPr>
              <w:t> </w:t>
            </w:r>
          </w:p>
        </w:tc>
        <w:tc>
          <w:tcPr>
            <w:tcW w:w="1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(614.4)</w:t>
            </w:r>
          </w:p>
        </w:tc>
        <w:tc>
          <w:tcPr>
            <w:tcW w:w="1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50.8</w:t>
            </w:r>
            <w:r>
              <w:rPr>
                <w:color w:val="000000"/>
              </w:rPr>
              <w:t>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(1)Amounts include equity-based compensation expense, as follows:</w:t>
      </w:r>
    </w:p>
    <w:tbl>
      <w:tblPr>
        <w:tblW w:w="8102" w:type="dxa"/>
        <w:jc w:val="left"/>
        <w:tblInd w:w="0" w:type="dxa"/>
        <w:tblLayout w:type="fixed"/>
        <w:tblCellMar>
          <w:top w:w="28" w:type="dxa"/>
          <w:left w:w="28" w:type="dxa"/>
          <w:bottom w:w="28" w:type="dxa"/>
          <w:right w:w="28" w:type="dxa"/>
        </w:tblCellMar>
      </w:tblPr>
      <w:tblGrid>
        <w:gridCol w:w="1109"/>
        <w:gridCol w:w="975"/>
        <w:gridCol w:w="976"/>
        <w:gridCol w:w="256"/>
        <w:gridCol w:w="609"/>
        <w:gridCol w:w="142"/>
        <w:gridCol w:w="142"/>
        <w:gridCol w:w="142"/>
        <w:gridCol w:w="142"/>
        <w:gridCol w:w="256"/>
        <w:gridCol w:w="609"/>
        <w:gridCol w:w="142"/>
        <w:gridCol w:w="109"/>
        <w:gridCol w:w="109"/>
        <w:gridCol w:w="109"/>
        <w:gridCol w:w="233"/>
        <w:gridCol w:w="555"/>
        <w:gridCol w:w="129"/>
        <w:gridCol w:w="129"/>
        <w:gridCol w:w="129"/>
        <w:gridCol w:w="129"/>
        <w:gridCol w:w="233"/>
        <w:gridCol w:w="555"/>
        <w:gridCol w:w="183"/>
      </w:tblGrid>
      <w:tr>
        <w:trPr/>
        <w:tc>
          <w:tcPr>
            <w:tcW w:w="1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equity-based compensation expense</w:t>
            </w:r>
          </w:p>
        </w:tc>
        <w:tc>
          <w:tcPr>
            <w:tcW w:w="2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Three and six months ended June 30, 2026 and 2025</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Revenue</w:t>
      </w:r>
    </w:p>
    <w:tbl>
      <w:tblPr>
        <w:tblW w:w="10703" w:type="dxa"/>
        <w:jc w:val="left"/>
        <w:tblInd w:w="0" w:type="dxa"/>
        <w:tblLayout w:type="fixed"/>
        <w:tblCellMar>
          <w:top w:w="28" w:type="dxa"/>
          <w:left w:w="28" w:type="dxa"/>
          <w:bottom w:w="28" w:type="dxa"/>
          <w:right w:w="28" w:type="dxa"/>
        </w:tblCellMar>
      </w:tblPr>
      <w:tblGrid>
        <w:gridCol w:w="358"/>
        <w:gridCol w:w="262"/>
        <w:gridCol w:w="221"/>
        <w:gridCol w:w="211"/>
        <w:gridCol w:w="616"/>
        <w:gridCol w:w="109"/>
        <w:gridCol w:w="109"/>
        <w:gridCol w:w="109"/>
        <w:gridCol w:w="109"/>
        <w:gridCol w:w="211"/>
        <w:gridCol w:w="616"/>
        <w:gridCol w:w="109"/>
        <w:gridCol w:w="109"/>
        <w:gridCol w:w="109"/>
        <w:gridCol w:w="109"/>
        <w:gridCol w:w="261"/>
        <w:gridCol w:w="503"/>
        <w:gridCol w:w="137"/>
        <w:gridCol w:w="109"/>
        <w:gridCol w:w="109"/>
        <w:gridCol w:w="109"/>
        <w:gridCol w:w="220"/>
        <w:gridCol w:w="220"/>
        <w:gridCol w:w="551"/>
        <w:gridCol w:w="109"/>
        <w:gridCol w:w="109"/>
        <w:gridCol w:w="109"/>
        <w:gridCol w:w="211"/>
        <w:gridCol w:w="616"/>
        <w:gridCol w:w="109"/>
        <w:gridCol w:w="109"/>
        <w:gridCol w:w="109"/>
        <w:gridCol w:w="109"/>
        <w:gridCol w:w="211"/>
        <w:gridCol w:w="616"/>
        <w:gridCol w:w="109"/>
        <w:gridCol w:w="109"/>
        <w:gridCol w:w="109"/>
        <w:gridCol w:w="109"/>
        <w:gridCol w:w="261"/>
        <w:gridCol w:w="503"/>
        <w:gridCol w:w="137"/>
        <w:gridCol w:w="109"/>
        <w:gridCol w:w="109"/>
        <w:gridCol w:w="109"/>
        <w:gridCol w:w="211"/>
        <w:gridCol w:w="211"/>
        <w:gridCol w:w="614"/>
      </w:tblGrid>
      <w:tr>
        <w:trPr/>
        <w:tc>
          <w:tcPr>
            <w:tcW w:w="35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due to the effects of the Company’s continued shift of the mix of business upmarket.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817245"/>
                <wp:effectExtent l="0" t="0" r="0" b="0"/>
                <wp:wrapNone/>
                <wp:docPr id="41" name="Frame41"/>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Cost of revenue and Gross profit</w:t>
      </w:r>
    </w:p>
    <w:tbl>
      <w:tblPr>
        <w:tblW w:w="11123" w:type="dxa"/>
        <w:jc w:val="left"/>
        <w:tblInd w:w="0" w:type="dxa"/>
        <w:tblLayout w:type="fixed"/>
        <w:tblCellMar>
          <w:top w:w="28" w:type="dxa"/>
          <w:left w:w="28" w:type="dxa"/>
          <w:bottom w:w="28" w:type="dxa"/>
          <w:right w:w="28" w:type="dxa"/>
        </w:tblCellMar>
      </w:tblPr>
      <w:tblGrid>
        <w:gridCol w:w="506"/>
        <w:gridCol w:w="443"/>
        <w:gridCol w:w="312"/>
        <w:gridCol w:w="211"/>
        <w:gridCol w:w="616"/>
        <w:gridCol w:w="109"/>
        <w:gridCol w:w="109"/>
        <w:gridCol w:w="109"/>
        <w:gridCol w:w="109"/>
        <w:gridCol w:w="211"/>
        <w:gridCol w:w="616"/>
        <w:gridCol w:w="109"/>
        <w:gridCol w:w="109"/>
        <w:gridCol w:w="109"/>
        <w:gridCol w:w="109"/>
        <w:gridCol w:w="256"/>
        <w:gridCol w:w="511"/>
        <w:gridCol w:w="134"/>
        <w:gridCol w:w="109"/>
        <w:gridCol w:w="109"/>
        <w:gridCol w:w="109"/>
        <w:gridCol w:w="220"/>
        <w:gridCol w:w="220"/>
        <w:gridCol w:w="551"/>
        <w:gridCol w:w="109"/>
        <w:gridCol w:w="109"/>
        <w:gridCol w:w="109"/>
        <w:gridCol w:w="211"/>
        <w:gridCol w:w="616"/>
        <w:gridCol w:w="109"/>
        <w:gridCol w:w="109"/>
        <w:gridCol w:w="109"/>
        <w:gridCol w:w="109"/>
        <w:gridCol w:w="211"/>
        <w:gridCol w:w="616"/>
        <w:gridCol w:w="109"/>
        <w:gridCol w:w="109"/>
        <w:gridCol w:w="109"/>
        <w:gridCol w:w="109"/>
        <w:gridCol w:w="261"/>
        <w:gridCol w:w="503"/>
        <w:gridCol w:w="137"/>
        <w:gridCol w:w="109"/>
        <w:gridCol w:w="109"/>
        <w:gridCol w:w="109"/>
        <w:gridCol w:w="211"/>
        <w:gridCol w:w="211"/>
        <w:gridCol w:w="614"/>
      </w:tblGrid>
      <w:tr>
        <w:trPr/>
        <w:tc>
          <w:tcPr>
            <w:tcW w:w="50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equity-based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5066" w:type="dxa"/>
        <w:jc w:val="left"/>
        <w:tblInd w:w="0" w:type="dxa"/>
        <w:tblLayout w:type="fixed"/>
        <w:tblCellMar>
          <w:top w:w="28" w:type="dxa"/>
          <w:left w:w="28" w:type="dxa"/>
          <w:bottom w:w="28" w:type="dxa"/>
          <w:right w:w="28" w:type="dxa"/>
        </w:tblCellMar>
      </w:tblPr>
      <w:tblGrid>
        <w:gridCol w:w="429"/>
        <w:gridCol w:w="377"/>
        <w:gridCol w:w="379"/>
        <w:gridCol w:w="180"/>
        <w:gridCol w:w="181"/>
        <w:gridCol w:w="271"/>
        <w:gridCol w:w="109"/>
        <w:gridCol w:w="109"/>
        <w:gridCol w:w="109"/>
        <w:gridCol w:w="180"/>
        <w:gridCol w:w="181"/>
        <w:gridCol w:w="271"/>
        <w:gridCol w:w="109"/>
        <w:gridCol w:w="109"/>
        <w:gridCol w:w="109"/>
        <w:gridCol w:w="180"/>
        <w:gridCol w:w="181"/>
        <w:gridCol w:w="271"/>
        <w:gridCol w:w="109"/>
        <w:gridCol w:w="109"/>
        <w:gridCol w:w="109"/>
        <w:gridCol w:w="180"/>
        <w:gridCol w:w="181"/>
        <w:gridCol w:w="271"/>
        <w:gridCol w:w="109"/>
        <w:gridCol w:w="109"/>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excluding equity-based compensation expense, increased primarily due to expense from the 2026 Restructuring Program, higher hosting and infrastructure expense and depreciation expense on internally developed capitalized software, partially offset by lower amortization of acquired technology due to certain intangible assets being fully amortized.</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 xml:space="preserve">Gross profit was </w:t>
      </w:r>
      <w:r>
        <w:rPr>
          <w:rFonts w:ascii="Times New Roman;serif" w:hAnsi="Times New Roman;serif"/>
          <w:b w:val="false"/>
          <w:color w:val="000000"/>
          <w:sz w:val="20"/>
        </w:rPr>
        <w:t>relatively flat due to the offsetting factors in revenues and cost of revenue as discussed above. Gross margin decreased as cost of revenue grew faster than revenue on a percentage basis.</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Operating expenses</w:t>
      </w:r>
    </w:p>
    <w:tbl>
      <w:tblPr>
        <w:tblW w:w="11413" w:type="dxa"/>
        <w:jc w:val="left"/>
        <w:tblInd w:w="0" w:type="dxa"/>
        <w:tblLayout w:type="fixed"/>
        <w:tblCellMar>
          <w:top w:w="28" w:type="dxa"/>
          <w:left w:w="28" w:type="dxa"/>
          <w:bottom w:w="28" w:type="dxa"/>
          <w:right w:w="28" w:type="dxa"/>
        </w:tblCellMar>
      </w:tblPr>
      <w:tblGrid>
        <w:gridCol w:w="620"/>
        <w:gridCol w:w="391"/>
        <w:gridCol w:w="25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33"/>
        <w:gridCol w:w="233"/>
        <w:gridCol w:w="551"/>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33"/>
        <w:gridCol w:w="233"/>
        <w:gridCol w:w="614"/>
      </w:tblGrid>
      <w:tr>
        <w:trPr/>
        <w:tc>
          <w:tcPr>
            <w:tcW w:w="6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5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equity-based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00" w:after="18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tbl>
      <w:tblPr>
        <w:tblW w:w="11123" w:type="dxa"/>
        <w:jc w:val="left"/>
        <w:tblInd w:w="0" w:type="dxa"/>
        <w:tblLayout w:type="fixed"/>
        <w:tblCellMar>
          <w:top w:w="28" w:type="dxa"/>
          <w:left w:w="28" w:type="dxa"/>
          <w:bottom w:w="28" w:type="dxa"/>
          <w:right w:w="28" w:type="dxa"/>
        </w:tblCellMar>
      </w:tblPr>
      <w:tblGrid>
        <w:gridCol w:w="636"/>
        <w:gridCol w:w="375"/>
        <w:gridCol w:w="250"/>
        <w:gridCol w:w="211"/>
        <w:gridCol w:w="616"/>
        <w:gridCol w:w="109"/>
        <w:gridCol w:w="109"/>
        <w:gridCol w:w="109"/>
        <w:gridCol w:w="109"/>
        <w:gridCol w:w="211"/>
        <w:gridCol w:w="616"/>
        <w:gridCol w:w="109"/>
        <w:gridCol w:w="109"/>
        <w:gridCol w:w="109"/>
        <w:gridCol w:w="109"/>
        <w:gridCol w:w="261"/>
        <w:gridCol w:w="503"/>
        <w:gridCol w:w="137"/>
        <w:gridCol w:w="109"/>
        <w:gridCol w:w="109"/>
        <w:gridCol w:w="109"/>
        <w:gridCol w:w="220"/>
        <w:gridCol w:w="220"/>
        <w:gridCol w:w="551"/>
        <w:gridCol w:w="109"/>
        <w:gridCol w:w="109"/>
        <w:gridCol w:w="109"/>
        <w:gridCol w:w="211"/>
        <w:gridCol w:w="616"/>
        <w:gridCol w:w="109"/>
        <w:gridCol w:w="109"/>
        <w:gridCol w:w="109"/>
        <w:gridCol w:w="109"/>
        <w:gridCol w:w="211"/>
        <w:gridCol w:w="616"/>
        <w:gridCol w:w="109"/>
        <w:gridCol w:w="109"/>
        <w:gridCol w:w="109"/>
        <w:gridCol w:w="109"/>
        <w:gridCol w:w="256"/>
        <w:gridCol w:w="511"/>
        <w:gridCol w:w="134"/>
        <w:gridCol w:w="109"/>
        <w:gridCol w:w="109"/>
        <w:gridCol w:w="109"/>
        <w:gridCol w:w="211"/>
        <w:gridCol w:w="211"/>
        <w:gridCol w:w="614"/>
      </w:tblGrid>
      <w:tr>
        <w:trPr/>
        <w:tc>
          <w:tcPr>
            <w:tcW w:w="63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 excluding equity-based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360"/>
        <w:jc w:val="both"/>
        <w:rPr/>
      </w:pPr>
      <w:r>
        <w:rPr>
          <w:rFonts w:ascii="Times New Roman;serif" w:hAnsi="Times New Roman;serif"/>
          <w:b w:val="false"/>
          <w:i/>
          <w:color w:val="000000"/>
          <w:sz w:val="20"/>
        </w:rPr>
        <w:t>Sales and marketing</w:t>
      </w:r>
      <w:r>
        <w:rPr>
          <w:rFonts w:ascii="Times New Roman;serif" w:hAnsi="Times New Roman;serif"/>
          <w:b w:val="false"/>
          <w:color w:val="000000"/>
          <w:sz w:val="20"/>
        </w:rPr>
        <w:t>, excluding equity-based compensation, increased primarily due to expense from the 2026 Restructuring Program, which was partially offset by lower payroll tax and benefit expense, employee compensation expense and facilities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17245"/>
                <wp:effectExtent l="0" t="0" r="0" b="0"/>
                <wp:wrapNone/>
                <wp:docPr id="42" name="Frame42"/>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10703" w:type="dxa"/>
        <w:jc w:val="left"/>
        <w:tblInd w:w="0" w:type="dxa"/>
        <w:tblLayout w:type="fixed"/>
        <w:tblCellMar>
          <w:top w:w="28" w:type="dxa"/>
          <w:left w:w="28" w:type="dxa"/>
          <w:bottom w:w="28" w:type="dxa"/>
          <w:right w:w="28" w:type="dxa"/>
        </w:tblCellMar>
      </w:tblPr>
      <w:tblGrid>
        <w:gridCol w:w="504"/>
        <w:gridCol w:w="376"/>
        <w:gridCol w:w="381"/>
        <w:gridCol w:w="211"/>
        <w:gridCol w:w="511"/>
        <w:gridCol w:w="109"/>
        <w:gridCol w:w="109"/>
        <w:gridCol w:w="109"/>
        <w:gridCol w:w="109"/>
        <w:gridCol w:w="211"/>
        <w:gridCol w:w="511"/>
        <w:gridCol w:w="109"/>
        <w:gridCol w:w="109"/>
        <w:gridCol w:w="109"/>
        <w:gridCol w:w="109"/>
        <w:gridCol w:w="228"/>
        <w:gridCol w:w="554"/>
        <w:gridCol w:w="119"/>
        <w:gridCol w:w="109"/>
        <w:gridCol w:w="109"/>
        <w:gridCol w:w="109"/>
        <w:gridCol w:w="220"/>
        <w:gridCol w:w="220"/>
        <w:gridCol w:w="551"/>
        <w:gridCol w:w="109"/>
        <w:gridCol w:w="109"/>
        <w:gridCol w:w="109"/>
        <w:gridCol w:w="211"/>
        <w:gridCol w:w="511"/>
        <w:gridCol w:w="109"/>
        <w:gridCol w:w="109"/>
        <w:gridCol w:w="109"/>
        <w:gridCol w:w="109"/>
        <w:gridCol w:w="211"/>
        <w:gridCol w:w="511"/>
        <w:gridCol w:w="109"/>
        <w:gridCol w:w="109"/>
        <w:gridCol w:w="109"/>
        <w:gridCol w:w="109"/>
        <w:gridCol w:w="261"/>
        <w:gridCol w:w="503"/>
        <w:gridCol w:w="137"/>
        <w:gridCol w:w="109"/>
        <w:gridCol w:w="109"/>
        <w:gridCol w:w="109"/>
        <w:gridCol w:w="211"/>
        <w:gridCol w:w="211"/>
        <w:gridCol w:w="614"/>
      </w:tblGrid>
      <w:tr>
        <w:trPr/>
        <w:tc>
          <w:tcPr>
            <w:tcW w:w="50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excluding equity-based compensation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360"/>
        <w:jc w:val="both"/>
        <w:rPr/>
      </w:pPr>
      <w:r>
        <w:rPr>
          <w:rFonts w:ascii="Times New Roman;serif" w:hAnsi="Times New Roman;serif"/>
          <w:b w:val="false"/>
          <w:i/>
          <w:color w:val="000000"/>
          <w:sz w:val="20"/>
        </w:rPr>
        <w:t>Research and development</w:t>
      </w:r>
      <w:r>
        <w:rPr>
          <w:rFonts w:ascii="Times New Roman;serif" w:hAnsi="Times New Roman;serif"/>
          <w:b w:val="false"/>
          <w:color w:val="000000"/>
          <w:sz w:val="20"/>
        </w:rPr>
        <w:t>, excluding equity-based compensation, increased primarily due to expense and other transition-related costs from the 2026 Restructuring Program, higher technology expense and capitalization of employee compensation expense, partially offset by lower employee compensation expense.</w:t>
      </w:r>
    </w:p>
    <w:p>
      <w:pPr>
        <w:pStyle w:val="TextBody"/>
        <w:bidi w:val="0"/>
        <w:spacing w:lineRule="auto" w:line="288" w:before="300" w:after="18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10883" w:type="dxa"/>
        <w:jc w:val="left"/>
        <w:tblInd w:w="0" w:type="dxa"/>
        <w:tblLayout w:type="fixed"/>
        <w:tblCellMar>
          <w:top w:w="28" w:type="dxa"/>
          <w:left w:w="28" w:type="dxa"/>
          <w:bottom w:w="28" w:type="dxa"/>
          <w:right w:w="28" w:type="dxa"/>
        </w:tblCellMar>
      </w:tblPr>
      <w:tblGrid>
        <w:gridCol w:w="512"/>
        <w:gridCol w:w="409"/>
        <w:gridCol w:w="415"/>
        <w:gridCol w:w="211"/>
        <w:gridCol w:w="511"/>
        <w:gridCol w:w="109"/>
        <w:gridCol w:w="109"/>
        <w:gridCol w:w="109"/>
        <w:gridCol w:w="109"/>
        <w:gridCol w:w="211"/>
        <w:gridCol w:w="511"/>
        <w:gridCol w:w="109"/>
        <w:gridCol w:w="109"/>
        <w:gridCol w:w="109"/>
        <w:gridCol w:w="109"/>
        <w:gridCol w:w="228"/>
        <w:gridCol w:w="554"/>
        <w:gridCol w:w="119"/>
        <w:gridCol w:w="109"/>
        <w:gridCol w:w="109"/>
        <w:gridCol w:w="109"/>
        <w:gridCol w:w="220"/>
        <w:gridCol w:w="220"/>
        <w:gridCol w:w="551"/>
        <w:gridCol w:w="109"/>
        <w:gridCol w:w="109"/>
        <w:gridCol w:w="109"/>
        <w:gridCol w:w="211"/>
        <w:gridCol w:w="616"/>
        <w:gridCol w:w="109"/>
        <w:gridCol w:w="109"/>
        <w:gridCol w:w="109"/>
        <w:gridCol w:w="109"/>
        <w:gridCol w:w="211"/>
        <w:gridCol w:w="511"/>
        <w:gridCol w:w="109"/>
        <w:gridCol w:w="109"/>
        <w:gridCol w:w="109"/>
        <w:gridCol w:w="109"/>
        <w:gridCol w:w="228"/>
        <w:gridCol w:w="554"/>
        <w:gridCol w:w="119"/>
        <w:gridCol w:w="109"/>
        <w:gridCol w:w="109"/>
        <w:gridCol w:w="109"/>
        <w:gridCol w:w="211"/>
        <w:gridCol w:w="211"/>
        <w:gridCol w:w="614"/>
      </w:tblGrid>
      <w:tr>
        <w:trPr/>
        <w:tc>
          <w:tcPr>
            <w:tcW w:w="51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excluding equity-based compensation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360"/>
        <w:jc w:val="both"/>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excluding equity-based compensation, increased primarily due to higher litigation settlement expense related to class actions, lease and the related leasehold improvements impairment charges, and higher non-income tax expense, partially offset by lower employee compensation expense.</w:t>
      </w:r>
    </w:p>
    <w:p>
      <w:pPr>
        <w:pStyle w:val="TextBody"/>
        <w:bidi w:val="0"/>
        <w:spacing w:lineRule="auto" w:line="288" w:before="300" w:after="180"/>
        <w:jc w:val="left"/>
        <w:rPr>
          <w:rFonts w:ascii="Times New Roman;serif" w:hAnsi="Times New Roman;serif"/>
          <w:b w:val="false"/>
          <w:i/>
          <w:color w:val="000000"/>
          <w:sz w:val="20"/>
        </w:rPr>
      </w:pPr>
      <w:r>
        <w:rPr>
          <w:rFonts w:ascii="Times New Roman;serif" w:hAnsi="Times New Roman;serif"/>
          <w:b w:val="false"/>
          <w:i/>
          <w:color w:val="000000"/>
          <w:sz w:val="20"/>
        </w:rPr>
        <w:t>Amortization of other acquired intangibles</w:t>
      </w:r>
    </w:p>
    <w:tbl>
      <w:tblPr>
        <w:tblW w:w="10433" w:type="dxa"/>
        <w:jc w:val="left"/>
        <w:tblInd w:w="0" w:type="dxa"/>
        <w:tblLayout w:type="fixed"/>
        <w:tblCellMar>
          <w:top w:w="28" w:type="dxa"/>
          <w:left w:w="28" w:type="dxa"/>
          <w:bottom w:w="28" w:type="dxa"/>
          <w:right w:w="28" w:type="dxa"/>
        </w:tblCellMar>
      </w:tblPr>
      <w:tblGrid>
        <w:gridCol w:w="435"/>
        <w:gridCol w:w="381"/>
        <w:gridCol w:w="385"/>
        <w:gridCol w:w="211"/>
        <w:gridCol w:w="406"/>
        <w:gridCol w:w="109"/>
        <w:gridCol w:w="109"/>
        <w:gridCol w:w="109"/>
        <w:gridCol w:w="109"/>
        <w:gridCol w:w="211"/>
        <w:gridCol w:w="406"/>
        <w:gridCol w:w="109"/>
        <w:gridCol w:w="109"/>
        <w:gridCol w:w="109"/>
        <w:gridCol w:w="109"/>
        <w:gridCol w:w="256"/>
        <w:gridCol w:w="511"/>
        <w:gridCol w:w="134"/>
        <w:gridCol w:w="109"/>
        <w:gridCol w:w="109"/>
        <w:gridCol w:w="109"/>
        <w:gridCol w:w="220"/>
        <w:gridCol w:w="220"/>
        <w:gridCol w:w="551"/>
        <w:gridCol w:w="109"/>
        <w:gridCol w:w="109"/>
        <w:gridCol w:w="109"/>
        <w:gridCol w:w="211"/>
        <w:gridCol w:w="511"/>
        <w:gridCol w:w="109"/>
        <w:gridCol w:w="109"/>
        <w:gridCol w:w="109"/>
        <w:gridCol w:w="109"/>
        <w:gridCol w:w="211"/>
        <w:gridCol w:w="511"/>
        <w:gridCol w:w="109"/>
        <w:gridCol w:w="109"/>
        <w:gridCol w:w="109"/>
        <w:gridCol w:w="109"/>
        <w:gridCol w:w="256"/>
        <w:gridCol w:w="511"/>
        <w:gridCol w:w="134"/>
        <w:gridCol w:w="109"/>
        <w:gridCol w:w="109"/>
        <w:gridCol w:w="109"/>
        <w:gridCol w:w="211"/>
        <w:gridCol w:w="211"/>
        <w:gridCol w:w="61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7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00" w:after="180"/>
        <w:ind w:left="0" w:right="0" w:firstLine="360"/>
        <w:jc w:val="both"/>
        <w:rPr/>
      </w:pPr>
      <w:r>
        <w:rPr>
          <w:rFonts w:ascii="Times New Roman;serif" w:hAnsi="Times New Roman;serif"/>
          <w:b w:val="false"/>
          <w:i/>
          <w:color w:val="000000"/>
          <w:sz w:val="20"/>
        </w:rPr>
        <w:t xml:space="preserve">Amortization of other acquired intangibles </w:t>
      </w:r>
      <w:r>
        <w:rPr>
          <w:rFonts w:ascii="Times New Roman;serif" w:hAnsi="Times New Roman;serif"/>
          <w:b w:val="false"/>
          <w:color w:val="000000"/>
          <w:sz w:val="20"/>
        </w:rPr>
        <w:t>was relatively flat year-over-year.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17245"/>
                <wp:effectExtent l="0" t="0" r="0" b="0"/>
                <wp:wrapNone/>
                <wp:docPr id="43" name="Frame43"/>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Goodwill impairment</w:t>
      </w:r>
    </w:p>
    <w:tbl>
      <w:tblPr>
        <w:tblW w:w="10493" w:type="dxa"/>
        <w:jc w:val="left"/>
        <w:tblInd w:w="0" w:type="dxa"/>
        <w:tblLayout w:type="fixed"/>
        <w:tblCellMar>
          <w:top w:w="28" w:type="dxa"/>
          <w:left w:w="28" w:type="dxa"/>
          <w:bottom w:w="28" w:type="dxa"/>
          <w:right w:w="28" w:type="dxa"/>
        </w:tblCellMar>
      </w:tblPr>
      <w:tblGrid>
        <w:gridCol w:w="402"/>
        <w:gridCol w:w="352"/>
        <w:gridCol w:w="297"/>
        <w:gridCol w:w="211"/>
        <w:gridCol w:w="616"/>
        <w:gridCol w:w="109"/>
        <w:gridCol w:w="109"/>
        <w:gridCol w:w="109"/>
        <w:gridCol w:w="109"/>
        <w:gridCol w:w="211"/>
        <w:gridCol w:w="406"/>
        <w:gridCol w:w="109"/>
        <w:gridCol w:w="109"/>
        <w:gridCol w:w="109"/>
        <w:gridCol w:w="109"/>
        <w:gridCol w:w="300"/>
        <w:gridCol w:w="300"/>
        <w:gridCol w:w="301"/>
        <w:gridCol w:w="109"/>
        <w:gridCol w:w="109"/>
        <w:gridCol w:w="109"/>
        <w:gridCol w:w="330"/>
        <w:gridCol w:w="330"/>
        <w:gridCol w:w="331"/>
        <w:gridCol w:w="109"/>
        <w:gridCol w:w="109"/>
        <w:gridCol w:w="109"/>
        <w:gridCol w:w="211"/>
        <w:gridCol w:w="616"/>
        <w:gridCol w:w="109"/>
        <w:gridCol w:w="109"/>
        <w:gridCol w:w="109"/>
        <w:gridCol w:w="109"/>
        <w:gridCol w:w="211"/>
        <w:gridCol w:w="406"/>
        <w:gridCol w:w="109"/>
        <w:gridCol w:w="109"/>
        <w:gridCol w:w="109"/>
        <w:gridCol w:w="109"/>
        <w:gridCol w:w="300"/>
        <w:gridCol w:w="300"/>
        <w:gridCol w:w="301"/>
        <w:gridCol w:w="109"/>
        <w:gridCol w:w="109"/>
        <w:gridCol w:w="109"/>
        <w:gridCol w:w="303"/>
        <w:gridCol w:w="303"/>
        <w:gridCol w:w="430"/>
      </w:tblGrid>
      <w:tr>
        <w:trPr/>
        <w:tc>
          <w:tcPr>
            <w:tcW w:w="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*Not meaningful</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was driven by a goodwill impairment charge recognized during the second quarter of 2026, due to a sustained decrease in the Company’s stock price, industry considerations, and a decline in planned revenues and earnings as a result of key changes in strategy.</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Equity-based compensation expense</w:t>
      </w:r>
    </w:p>
    <w:tbl>
      <w:tblPr>
        <w:tblW w:w="10703" w:type="dxa"/>
        <w:jc w:val="left"/>
        <w:tblInd w:w="0" w:type="dxa"/>
        <w:tblLayout w:type="fixed"/>
        <w:tblCellMar>
          <w:top w:w="28" w:type="dxa"/>
          <w:left w:w="28" w:type="dxa"/>
          <w:bottom w:w="28" w:type="dxa"/>
          <w:right w:w="28" w:type="dxa"/>
        </w:tblCellMar>
      </w:tblPr>
      <w:tblGrid>
        <w:gridCol w:w="456"/>
        <w:gridCol w:w="400"/>
        <w:gridCol w:w="405"/>
        <w:gridCol w:w="211"/>
        <w:gridCol w:w="511"/>
        <w:gridCol w:w="109"/>
        <w:gridCol w:w="109"/>
        <w:gridCol w:w="109"/>
        <w:gridCol w:w="109"/>
        <w:gridCol w:w="211"/>
        <w:gridCol w:w="511"/>
        <w:gridCol w:w="109"/>
        <w:gridCol w:w="109"/>
        <w:gridCol w:w="109"/>
        <w:gridCol w:w="109"/>
        <w:gridCol w:w="256"/>
        <w:gridCol w:w="511"/>
        <w:gridCol w:w="134"/>
        <w:gridCol w:w="109"/>
        <w:gridCol w:w="109"/>
        <w:gridCol w:w="109"/>
        <w:gridCol w:w="220"/>
        <w:gridCol w:w="220"/>
        <w:gridCol w:w="551"/>
        <w:gridCol w:w="109"/>
        <w:gridCol w:w="109"/>
        <w:gridCol w:w="109"/>
        <w:gridCol w:w="211"/>
        <w:gridCol w:w="511"/>
        <w:gridCol w:w="109"/>
        <w:gridCol w:w="109"/>
        <w:gridCol w:w="109"/>
        <w:gridCol w:w="109"/>
        <w:gridCol w:w="211"/>
        <w:gridCol w:w="511"/>
        <w:gridCol w:w="109"/>
        <w:gridCol w:w="109"/>
        <w:gridCol w:w="109"/>
        <w:gridCol w:w="109"/>
        <w:gridCol w:w="256"/>
        <w:gridCol w:w="511"/>
        <w:gridCol w:w="134"/>
        <w:gridCol w:w="109"/>
        <w:gridCol w:w="109"/>
        <w:gridCol w:w="109"/>
        <w:gridCol w:w="211"/>
        <w:gridCol w:w="211"/>
        <w:gridCol w:w="614"/>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Equity-based compensation expense decreased primarily due to lower weighted average grant date fair values of shares being amortized in the current period compared to those that were amortized in the prior period.</w:t>
      </w:r>
    </w:p>
    <w:p>
      <w:pPr>
        <w:pStyle w:val="TextBody"/>
        <w:bidi w:val="0"/>
        <w:spacing w:lineRule="auto" w:line="288" w:before="300" w:after="180"/>
        <w:jc w:val="left"/>
        <w:rPr>
          <w:rFonts w:ascii="Times New Roman;serif" w:hAnsi="Times New Roman;serif"/>
          <w:b w:val="false"/>
          <w:i/>
          <w:color w:val="000000"/>
          <w:sz w:val="20"/>
        </w:rPr>
      </w:pPr>
      <w:r>
        <w:rPr>
          <w:rFonts w:ascii="Times New Roman;serif" w:hAnsi="Times New Roman;serif"/>
          <w:b w:val="false"/>
          <w:i/>
          <w:color w:val="000000"/>
          <w:sz w:val="20"/>
        </w:rPr>
        <w:t>Income (Loss) from operations</w:t>
      </w:r>
    </w:p>
    <w:tbl>
      <w:tblPr>
        <w:tblW w:w="10763" w:type="dxa"/>
        <w:jc w:val="left"/>
        <w:tblInd w:w="0" w:type="dxa"/>
        <w:tblLayout w:type="fixed"/>
        <w:tblCellMar>
          <w:top w:w="28" w:type="dxa"/>
          <w:left w:w="28" w:type="dxa"/>
          <w:bottom w:w="28" w:type="dxa"/>
          <w:right w:w="28" w:type="dxa"/>
        </w:tblCellMar>
      </w:tblPr>
      <w:tblGrid>
        <w:gridCol w:w="402"/>
        <w:gridCol w:w="324"/>
        <w:gridCol w:w="250"/>
        <w:gridCol w:w="211"/>
        <w:gridCol w:w="631"/>
        <w:gridCol w:w="109"/>
        <w:gridCol w:w="109"/>
        <w:gridCol w:w="109"/>
        <w:gridCol w:w="109"/>
        <w:gridCol w:w="211"/>
        <w:gridCol w:w="511"/>
        <w:gridCol w:w="109"/>
        <w:gridCol w:w="109"/>
        <w:gridCol w:w="109"/>
        <w:gridCol w:w="109"/>
        <w:gridCol w:w="300"/>
        <w:gridCol w:w="300"/>
        <w:gridCol w:w="301"/>
        <w:gridCol w:w="109"/>
        <w:gridCol w:w="109"/>
        <w:gridCol w:w="109"/>
        <w:gridCol w:w="330"/>
        <w:gridCol w:w="330"/>
        <w:gridCol w:w="331"/>
        <w:gridCol w:w="109"/>
        <w:gridCol w:w="109"/>
        <w:gridCol w:w="109"/>
        <w:gridCol w:w="211"/>
        <w:gridCol w:w="631"/>
        <w:gridCol w:w="109"/>
        <w:gridCol w:w="109"/>
        <w:gridCol w:w="109"/>
        <w:gridCol w:w="109"/>
        <w:gridCol w:w="211"/>
        <w:gridCol w:w="616"/>
        <w:gridCol w:w="109"/>
        <w:gridCol w:w="109"/>
        <w:gridCol w:w="109"/>
        <w:gridCol w:w="109"/>
        <w:gridCol w:w="300"/>
        <w:gridCol w:w="300"/>
        <w:gridCol w:w="301"/>
        <w:gridCol w:w="109"/>
        <w:gridCol w:w="109"/>
        <w:gridCol w:w="109"/>
        <w:gridCol w:w="303"/>
        <w:gridCol w:w="303"/>
        <w:gridCol w:w="430"/>
      </w:tblGrid>
      <w:tr>
        <w:trPr/>
        <w:tc>
          <w:tcPr>
            <w:tcW w:w="40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804" w:type="dxa"/>
        <w:jc w:val="left"/>
        <w:tblInd w:w="0" w:type="dxa"/>
        <w:tblLayout w:type="fixed"/>
        <w:tblCellMar>
          <w:top w:w="28" w:type="dxa"/>
          <w:left w:w="28" w:type="dxa"/>
          <w:bottom w:w="28" w:type="dxa"/>
          <w:right w:w="28" w:type="dxa"/>
        </w:tblCellMar>
      </w:tblPr>
      <w:tblGrid>
        <w:gridCol w:w="966"/>
        <w:gridCol w:w="849"/>
        <w:gridCol w:w="854"/>
        <w:gridCol w:w="269"/>
        <w:gridCol w:w="271"/>
        <w:gridCol w:w="271"/>
        <w:gridCol w:w="109"/>
        <w:gridCol w:w="109"/>
        <w:gridCol w:w="109"/>
        <w:gridCol w:w="180"/>
        <w:gridCol w:w="181"/>
        <w:gridCol w:w="271"/>
        <w:gridCol w:w="109"/>
        <w:gridCol w:w="109"/>
        <w:gridCol w:w="109"/>
        <w:gridCol w:w="218"/>
        <w:gridCol w:w="218"/>
        <w:gridCol w:w="271"/>
        <w:gridCol w:w="109"/>
        <w:gridCol w:w="109"/>
        <w:gridCol w:w="109"/>
        <w:gridCol w:w="180"/>
        <w:gridCol w:w="181"/>
        <w:gridCol w:w="271"/>
        <w:gridCol w:w="109"/>
        <w:gridCol w:w="109"/>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margin</w:t>
            </w:r>
          </w:p>
        </w:tc>
        <w:tc>
          <w:tcPr>
            <w:tcW w:w="5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*Not meaningful</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Income (Loss) from operations</w:t>
      </w:r>
      <w:r>
        <w:rPr>
          <w:color w:val="000000"/>
        </w:rPr>
        <w:t xml:space="preserve"> </w:t>
      </w:r>
      <w:r>
        <w:rPr>
          <w:rFonts w:ascii="Times New Roman;serif" w:hAnsi="Times New Roman;serif"/>
          <w:b w:val="false"/>
          <w:color w:val="000000"/>
          <w:sz w:val="20"/>
        </w:rPr>
        <w:t>changed from income to loss primarily due to the goodwill impairment charge, expense and other transition-related costs from the 2026 Restructuring Program, litigation expense related to class actions, lease and the related leasehold improvements impairment charges, partially offset by lower employee compensation expenses and higher revenue. The decrease in operating income margin was mostly due to the goodwill impairment charge.</w:t>
      </w:r>
    </w:p>
    <w:p>
      <w:pPr>
        <w:pStyle w:val="TextBody"/>
        <w:bidi w:val="0"/>
        <w:spacing w:lineRule="auto" w:line="288" w:before="300" w:after="180"/>
        <w:jc w:val="left"/>
        <w:rPr>
          <w:rFonts w:ascii="Times New Roman;serif" w:hAnsi="Times New Roman;serif"/>
          <w:b w:val="false"/>
          <w:i/>
          <w:color w:val="000000"/>
          <w:sz w:val="20"/>
        </w:rPr>
      </w:pPr>
      <w:r>
        <w:rPr>
          <w:rFonts w:ascii="Times New Roman;serif" w:hAnsi="Times New Roman;serif"/>
          <w:b w:val="false"/>
          <w:i/>
          <w:color w:val="000000"/>
          <w:sz w:val="20"/>
        </w:rPr>
        <w:t>Interest expense, net</w:t>
      </w:r>
    </w:p>
    <w:tbl>
      <w:tblPr>
        <w:tblW w:w="10268" w:type="dxa"/>
        <w:jc w:val="left"/>
        <w:tblInd w:w="0" w:type="dxa"/>
        <w:tblLayout w:type="fixed"/>
        <w:tblCellMar>
          <w:top w:w="28" w:type="dxa"/>
          <w:left w:w="28" w:type="dxa"/>
          <w:bottom w:w="28" w:type="dxa"/>
          <w:right w:w="28" w:type="dxa"/>
        </w:tblCellMar>
      </w:tblPr>
      <w:tblGrid>
        <w:gridCol w:w="328"/>
        <w:gridCol w:w="248"/>
        <w:gridCol w:w="250"/>
        <w:gridCol w:w="211"/>
        <w:gridCol w:w="511"/>
        <w:gridCol w:w="109"/>
        <w:gridCol w:w="109"/>
        <w:gridCol w:w="109"/>
        <w:gridCol w:w="109"/>
        <w:gridCol w:w="211"/>
        <w:gridCol w:w="511"/>
        <w:gridCol w:w="109"/>
        <w:gridCol w:w="109"/>
        <w:gridCol w:w="109"/>
        <w:gridCol w:w="109"/>
        <w:gridCol w:w="261"/>
        <w:gridCol w:w="503"/>
        <w:gridCol w:w="137"/>
        <w:gridCol w:w="109"/>
        <w:gridCol w:w="109"/>
        <w:gridCol w:w="109"/>
        <w:gridCol w:w="220"/>
        <w:gridCol w:w="220"/>
        <w:gridCol w:w="551"/>
        <w:gridCol w:w="109"/>
        <w:gridCol w:w="109"/>
        <w:gridCol w:w="109"/>
        <w:gridCol w:w="211"/>
        <w:gridCol w:w="511"/>
        <w:gridCol w:w="109"/>
        <w:gridCol w:w="109"/>
        <w:gridCol w:w="109"/>
        <w:gridCol w:w="109"/>
        <w:gridCol w:w="211"/>
        <w:gridCol w:w="511"/>
        <w:gridCol w:w="109"/>
        <w:gridCol w:w="109"/>
        <w:gridCol w:w="109"/>
        <w:gridCol w:w="109"/>
        <w:gridCol w:w="261"/>
        <w:gridCol w:w="503"/>
        <w:gridCol w:w="137"/>
        <w:gridCol w:w="109"/>
        <w:gridCol w:w="109"/>
        <w:gridCol w:w="109"/>
        <w:gridCol w:w="211"/>
        <w:gridCol w:w="211"/>
        <w:gridCol w:w="614"/>
      </w:tblGrid>
      <w:tr>
        <w:trPr/>
        <w:tc>
          <w:tcPr>
            <w:tcW w:w="3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due to lower interest income from our derivative swaps.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17245"/>
                <wp:effectExtent l="0" t="0" r="0" b="0"/>
                <wp:wrapNone/>
                <wp:docPr id="44" name="Frame44"/>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Gain on debt extinguishment</w:t>
      </w:r>
    </w:p>
    <w:tbl>
      <w:tblPr>
        <w:tblW w:w="10658" w:type="dxa"/>
        <w:jc w:val="left"/>
        <w:tblInd w:w="0" w:type="dxa"/>
        <w:tblLayout w:type="fixed"/>
        <w:tblCellMar>
          <w:top w:w="28" w:type="dxa"/>
          <w:left w:w="28" w:type="dxa"/>
          <w:bottom w:w="28" w:type="dxa"/>
          <w:right w:w="28" w:type="dxa"/>
        </w:tblCellMar>
      </w:tblPr>
      <w:tblGrid>
        <w:gridCol w:w="505"/>
        <w:gridCol w:w="443"/>
        <w:gridCol w:w="448"/>
        <w:gridCol w:w="211"/>
        <w:gridCol w:w="526"/>
        <w:gridCol w:w="109"/>
        <w:gridCol w:w="109"/>
        <w:gridCol w:w="109"/>
        <w:gridCol w:w="109"/>
        <w:gridCol w:w="211"/>
        <w:gridCol w:w="406"/>
        <w:gridCol w:w="109"/>
        <w:gridCol w:w="109"/>
        <w:gridCol w:w="109"/>
        <w:gridCol w:w="109"/>
        <w:gridCol w:w="300"/>
        <w:gridCol w:w="300"/>
        <w:gridCol w:w="301"/>
        <w:gridCol w:w="109"/>
        <w:gridCol w:w="109"/>
        <w:gridCol w:w="109"/>
        <w:gridCol w:w="330"/>
        <w:gridCol w:w="330"/>
        <w:gridCol w:w="331"/>
        <w:gridCol w:w="109"/>
        <w:gridCol w:w="109"/>
        <w:gridCol w:w="109"/>
        <w:gridCol w:w="211"/>
        <w:gridCol w:w="526"/>
        <w:gridCol w:w="109"/>
        <w:gridCol w:w="109"/>
        <w:gridCol w:w="109"/>
        <w:gridCol w:w="109"/>
        <w:gridCol w:w="211"/>
        <w:gridCol w:w="406"/>
        <w:gridCol w:w="109"/>
        <w:gridCol w:w="109"/>
        <w:gridCol w:w="109"/>
        <w:gridCol w:w="109"/>
        <w:gridCol w:w="300"/>
        <w:gridCol w:w="300"/>
        <w:gridCol w:w="301"/>
        <w:gridCol w:w="109"/>
        <w:gridCol w:w="109"/>
        <w:gridCol w:w="109"/>
        <w:gridCol w:w="303"/>
        <w:gridCol w:w="303"/>
        <w:gridCol w:w="430"/>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*Not meaningful</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gain on debt extinguishment was driven by the repurchase and retirement of a portion of the Company’s Senior Notes at a discount to their carrying value.</w:t>
      </w:r>
    </w:p>
    <w:p>
      <w:pPr>
        <w:pStyle w:val="TextBody"/>
        <w:bidi w:val="0"/>
        <w:spacing w:lineRule="auto" w:line="288" w:before="300" w:after="18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tbl>
      <w:tblPr>
        <w:tblW w:w="10628" w:type="dxa"/>
        <w:jc w:val="left"/>
        <w:tblInd w:w="0" w:type="dxa"/>
        <w:tblLayout w:type="fixed"/>
        <w:tblCellMar>
          <w:top w:w="28" w:type="dxa"/>
          <w:left w:w="28" w:type="dxa"/>
          <w:bottom w:w="28" w:type="dxa"/>
          <w:right w:w="28" w:type="dxa"/>
        </w:tblCellMar>
      </w:tblPr>
      <w:tblGrid>
        <w:gridCol w:w="484"/>
        <w:gridCol w:w="424"/>
        <w:gridCol w:w="428"/>
        <w:gridCol w:w="211"/>
        <w:gridCol w:w="421"/>
        <w:gridCol w:w="109"/>
        <w:gridCol w:w="109"/>
        <w:gridCol w:w="109"/>
        <w:gridCol w:w="109"/>
        <w:gridCol w:w="211"/>
        <w:gridCol w:w="526"/>
        <w:gridCol w:w="109"/>
        <w:gridCol w:w="109"/>
        <w:gridCol w:w="109"/>
        <w:gridCol w:w="109"/>
        <w:gridCol w:w="261"/>
        <w:gridCol w:w="503"/>
        <w:gridCol w:w="137"/>
        <w:gridCol w:w="109"/>
        <w:gridCol w:w="109"/>
        <w:gridCol w:w="109"/>
        <w:gridCol w:w="220"/>
        <w:gridCol w:w="220"/>
        <w:gridCol w:w="551"/>
        <w:gridCol w:w="109"/>
        <w:gridCol w:w="109"/>
        <w:gridCol w:w="109"/>
        <w:gridCol w:w="211"/>
        <w:gridCol w:w="421"/>
        <w:gridCol w:w="109"/>
        <w:gridCol w:w="109"/>
        <w:gridCol w:w="109"/>
        <w:gridCol w:w="109"/>
        <w:gridCol w:w="211"/>
        <w:gridCol w:w="526"/>
        <w:gridCol w:w="109"/>
        <w:gridCol w:w="109"/>
        <w:gridCol w:w="109"/>
        <w:gridCol w:w="109"/>
        <w:gridCol w:w="261"/>
        <w:gridCol w:w="503"/>
        <w:gridCol w:w="137"/>
        <w:gridCol w:w="109"/>
        <w:gridCol w:w="109"/>
        <w:gridCol w:w="109"/>
        <w:gridCol w:w="211"/>
        <w:gridCol w:w="211"/>
        <w:gridCol w:w="614"/>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 remeasurement gain</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remeasurement (gain) loss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*Shown in absolute terms</w:t>
      </w:r>
    </w:p>
    <w:p>
      <w:pPr>
        <w:pStyle w:val="TextBody"/>
        <w:bidi w:val="0"/>
        <w:spacing w:lineRule="auto" w:line="288" w:before="300" w:after="18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tbl>
      <w:tblPr>
        <w:tblW w:w="10343" w:type="dxa"/>
        <w:jc w:val="left"/>
        <w:tblInd w:w="0" w:type="dxa"/>
        <w:tblLayout w:type="fixed"/>
        <w:tblCellMar>
          <w:top w:w="28" w:type="dxa"/>
          <w:left w:w="28" w:type="dxa"/>
          <w:bottom w:w="28" w:type="dxa"/>
          <w:right w:w="28" w:type="dxa"/>
        </w:tblCellMar>
      </w:tblPr>
      <w:tblGrid>
        <w:gridCol w:w="402"/>
        <w:gridCol w:w="249"/>
        <w:gridCol w:w="250"/>
        <w:gridCol w:w="211"/>
        <w:gridCol w:w="511"/>
        <w:gridCol w:w="109"/>
        <w:gridCol w:w="109"/>
        <w:gridCol w:w="109"/>
        <w:gridCol w:w="109"/>
        <w:gridCol w:w="211"/>
        <w:gridCol w:w="511"/>
        <w:gridCol w:w="109"/>
        <w:gridCol w:w="109"/>
        <w:gridCol w:w="109"/>
        <w:gridCol w:w="109"/>
        <w:gridCol w:w="256"/>
        <w:gridCol w:w="511"/>
        <w:gridCol w:w="134"/>
        <w:gridCol w:w="109"/>
        <w:gridCol w:w="109"/>
        <w:gridCol w:w="109"/>
        <w:gridCol w:w="220"/>
        <w:gridCol w:w="220"/>
        <w:gridCol w:w="551"/>
        <w:gridCol w:w="109"/>
        <w:gridCol w:w="109"/>
        <w:gridCol w:w="109"/>
        <w:gridCol w:w="211"/>
        <w:gridCol w:w="511"/>
        <w:gridCol w:w="109"/>
        <w:gridCol w:w="109"/>
        <w:gridCol w:w="109"/>
        <w:gridCol w:w="109"/>
        <w:gridCol w:w="211"/>
        <w:gridCol w:w="511"/>
        <w:gridCol w:w="109"/>
        <w:gridCol w:w="109"/>
        <w:gridCol w:w="109"/>
        <w:gridCol w:w="109"/>
        <w:gridCol w:w="256"/>
        <w:gridCol w:w="511"/>
        <w:gridCol w:w="134"/>
        <w:gridCol w:w="109"/>
        <w:gridCol w:w="109"/>
        <w:gridCol w:w="109"/>
        <w:gridCol w:w="211"/>
        <w:gridCol w:w="211"/>
        <w:gridCol w:w="614"/>
      </w:tblGrid>
      <w:tr>
        <w:trPr/>
        <w:tc>
          <w:tcPr>
            <w:tcW w:w="40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5918" w:type="dxa"/>
        <w:jc w:val="left"/>
        <w:tblInd w:w="0" w:type="dxa"/>
        <w:tblLayout w:type="fixed"/>
        <w:tblCellMar>
          <w:top w:w="28" w:type="dxa"/>
          <w:left w:w="28" w:type="dxa"/>
          <w:bottom w:w="28" w:type="dxa"/>
          <w:right w:w="28" w:type="dxa"/>
        </w:tblCellMar>
      </w:tblPr>
      <w:tblGrid>
        <w:gridCol w:w="543"/>
        <w:gridCol w:w="476"/>
        <w:gridCol w:w="480"/>
        <w:gridCol w:w="239"/>
        <w:gridCol w:w="241"/>
        <w:gridCol w:w="271"/>
        <w:gridCol w:w="109"/>
        <w:gridCol w:w="109"/>
        <w:gridCol w:w="109"/>
        <w:gridCol w:w="255"/>
        <w:gridCol w:w="256"/>
        <w:gridCol w:w="271"/>
        <w:gridCol w:w="109"/>
        <w:gridCol w:w="109"/>
        <w:gridCol w:w="109"/>
        <w:gridCol w:w="239"/>
        <w:gridCol w:w="241"/>
        <w:gridCol w:w="271"/>
        <w:gridCol w:w="109"/>
        <w:gridCol w:w="109"/>
        <w:gridCol w:w="109"/>
        <w:gridCol w:w="255"/>
        <w:gridCol w:w="256"/>
        <w:gridCol w:w="271"/>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4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pPr>
      <w:r>
        <w:rPr>
          <w:rFonts w:ascii="Times New Roman;serif" w:hAnsi="Times New Roman;serif"/>
          <w:b w:val="false"/>
          <w:i/>
          <w:color w:val="000000"/>
          <w:sz w:val="20"/>
        </w:rPr>
        <w:t>Provision for income taxes</w:t>
      </w:r>
      <w:r>
        <w:rPr>
          <w:color w:val="000000"/>
        </w:rPr>
        <w:t xml:space="preserve"> </w:t>
      </w:r>
      <w:r>
        <w:rPr>
          <w:rFonts w:ascii="Times New Roman;serif" w:hAnsi="Times New Roman;serif"/>
          <w:b w:val="false"/>
          <w:color w:val="000000"/>
          <w:sz w:val="20"/>
        </w:rPr>
        <w:t>decreased primarily due to decreased income before taxes and effects of changes in state tax law and apportionment, partially offset by an increase in the valuation allowance.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differed from the US federal statutory rate of 21.0% due to U.S. state taxes, non-deductible equity compensation costs, and foreign tax effects, partially offset by research and development credits. The Company’s effective tax rate for the period was further impacted by a goodwill impairment charge which is not deductible for income tax purposes, valuation allowance recorded against certain foreign deferred tax assets not expected to be realized and shortfalls in tax-deductible equity compensation compared to amounts recognized in our financial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17245"/>
                <wp:effectExtent l="0" t="0" r="0" b="0"/>
                <wp:wrapNone/>
                <wp:docPr id="45" name="Frame45"/>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val="false"/>
          <w:i/>
          <w:color w:val="000000"/>
          <w:sz w:val="20"/>
        </w:rPr>
      </w:pPr>
      <w:r>
        <w:rPr>
          <w:rFonts w:ascii="Times New Roman;serif" w:hAnsi="Times New Roman;serif"/>
          <w:b w:val="false"/>
          <w:i/>
          <w:color w:val="000000"/>
          <w:sz w:val="20"/>
        </w:rPr>
        <w:t>Net income (loss)</w:t>
      </w:r>
    </w:p>
    <w:tbl>
      <w:tblPr>
        <w:tblW w:w="10463" w:type="dxa"/>
        <w:jc w:val="left"/>
        <w:tblInd w:w="0" w:type="dxa"/>
        <w:tblLayout w:type="fixed"/>
        <w:tblCellMar>
          <w:top w:w="28" w:type="dxa"/>
          <w:left w:w="28" w:type="dxa"/>
          <w:bottom w:w="28" w:type="dxa"/>
          <w:right w:w="28" w:type="dxa"/>
        </w:tblCellMar>
      </w:tblPr>
      <w:tblGrid>
        <w:gridCol w:w="283"/>
        <w:gridCol w:w="248"/>
        <w:gridCol w:w="250"/>
        <w:gridCol w:w="211"/>
        <w:gridCol w:w="631"/>
        <w:gridCol w:w="109"/>
        <w:gridCol w:w="109"/>
        <w:gridCol w:w="109"/>
        <w:gridCol w:w="109"/>
        <w:gridCol w:w="211"/>
        <w:gridCol w:w="511"/>
        <w:gridCol w:w="109"/>
        <w:gridCol w:w="109"/>
        <w:gridCol w:w="109"/>
        <w:gridCol w:w="109"/>
        <w:gridCol w:w="300"/>
        <w:gridCol w:w="300"/>
        <w:gridCol w:w="301"/>
        <w:gridCol w:w="109"/>
        <w:gridCol w:w="109"/>
        <w:gridCol w:w="109"/>
        <w:gridCol w:w="330"/>
        <w:gridCol w:w="330"/>
        <w:gridCol w:w="331"/>
        <w:gridCol w:w="109"/>
        <w:gridCol w:w="109"/>
        <w:gridCol w:w="109"/>
        <w:gridCol w:w="211"/>
        <w:gridCol w:w="631"/>
        <w:gridCol w:w="109"/>
        <w:gridCol w:w="109"/>
        <w:gridCol w:w="109"/>
        <w:gridCol w:w="109"/>
        <w:gridCol w:w="211"/>
        <w:gridCol w:w="511"/>
        <w:gridCol w:w="109"/>
        <w:gridCol w:w="109"/>
        <w:gridCol w:w="109"/>
        <w:gridCol w:w="109"/>
        <w:gridCol w:w="300"/>
        <w:gridCol w:w="300"/>
        <w:gridCol w:w="301"/>
        <w:gridCol w:w="109"/>
        <w:gridCol w:w="109"/>
        <w:gridCol w:w="109"/>
        <w:gridCol w:w="303"/>
        <w:gridCol w:w="303"/>
        <w:gridCol w:w="430"/>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7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*Not meaningful</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Net income (loss)</w:t>
      </w:r>
      <w:r>
        <w:rPr>
          <w:color w:val="000000"/>
        </w:rPr>
        <w:t xml:space="preserve"> </w:t>
      </w:r>
      <w:r>
        <w:rPr>
          <w:rFonts w:ascii="Times New Roman;serif" w:hAnsi="Times New Roman;serif"/>
          <w:b w:val="false"/>
          <w:color w:val="000000"/>
          <w:sz w:val="20"/>
        </w:rPr>
        <w:t>decreased primarily due to the goodwill impairment charge and expense and other transition-related costs from the 2026 Restructuring Program, partially offset by higher revenue and lower 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and Adjusted Net Income and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view Adjusted Operating Income, Adjusted Operating Income Margin, Adjusted EBITDA, and Adjusted Net Income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 (Loss).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U.S. GAAP. There are limitations to these non-GAAP financial measures because they are not prepared in accordance with U.S.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U.S.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17245"/>
                <wp:effectExtent l="0" t="0" r="0" b="0"/>
                <wp:wrapNone/>
                <wp:docPr id="46" name="Frame46"/>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Adjusted Operating Income and Adjusted Operating Income Margin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Operating Income as income (loss) from operations adjusted for, as applicable, (i) amortization of acquired technology and other acquired intangibles, (ii) goodwill impairment, (iii) equity-based compensation expense, (iv) restructuring and transaction-related expenses, (v) integration costs and acquisition-related expenses, and (vi) litigation settlement. We exclude the impact of amortization of acquired technology and other acquired intangibles, goodwill impairment, as well as equity-based compensation expense, because these are non-cash expenses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We have also excluded charges associated with litigation settlements related to class actions because we believe it represents an extraordinary litigation expense outside of our ordinary course of business and is not indicative of our operating performance.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We define Adjusted Operating Income Margin as Adjusted Operating Income divided by revenue.</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following table presents a reconciliation of </w:t>
      </w:r>
      <w:r>
        <w:rPr>
          <w:rFonts w:ascii="Times New Roman;serif" w:hAnsi="Times New Roman;serif"/>
          <w:b w:val="false"/>
          <w:i/>
          <w:color w:val="000000"/>
          <w:sz w:val="20"/>
        </w:rPr>
        <w:t>Income (Loss) from operations</w:t>
      </w:r>
      <w:r>
        <w:rPr>
          <w:color w:val="000000"/>
        </w:rPr>
        <w:t xml:space="preserve"> </w:t>
      </w:r>
      <w:r>
        <w:rPr>
          <w:rFonts w:ascii="Times New Roman;serif" w:hAnsi="Times New Roman;serif"/>
          <w:b w:val="false"/>
          <w:color w:val="000000"/>
          <w:sz w:val="20"/>
        </w:rPr>
        <w:t>to Adjusted Operating Income for the periods presented:</w:t>
      </w:r>
    </w:p>
    <w:tbl>
      <w:tblPr>
        <w:tblW w:w="10109" w:type="dxa"/>
        <w:jc w:val="left"/>
        <w:tblInd w:w="0" w:type="dxa"/>
        <w:tblLayout w:type="fixed"/>
        <w:tblCellMar>
          <w:top w:w="28" w:type="dxa"/>
          <w:left w:w="28" w:type="dxa"/>
          <w:bottom w:w="28" w:type="dxa"/>
          <w:right w:w="28" w:type="dxa"/>
        </w:tblCellMar>
      </w:tblPr>
      <w:tblGrid>
        <w:gridCol w:w="1475"/>
        <w:gridCol w:w="1298"/>
        <w:gridCol w:w="1306"/>
        <w:gridCol w:w="467"/>
        <w:gridCol w:w="344"/>
        <w:gridCol w:w="346"/>
        <w:gridCol w:w="241"/>
        <w:gridCol w:w="241"/>
        <w:gridCol w:w="241"/>
        <w:gridCol w:w="467"/>
        <w:gridCol w:w="295"/>
        <w:gridCol w:w="276"/>
        <w:gridCol w:w="109"/>
        <w:gridCol w:w="109"/>
        <w:gridCol w:w="109"/>
        <w:gridCol w:w="417"/>
        <w:gridCol w:w="344"/>
        <w:gridCol w:w="346"/>
        <w:gridCol w:w="215"/>
        <w:gridCol w:w="215"/>
        <w:gridCol w:w="215"/>
        <w:gridCol w:w="417"/>
        <w:gridCol w:w="255"/>
        <w:gridCol w:w="361"/>
      </w:tblGrid>
      <w:tr>
        <w:trPr/>
        <w:tc>
          <w:tcPr>
            <w:tcW w:w="147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from operations (GAAP)</w:t>
            </w:r>
          </w:p>
        </w:tc>
        <w:tc>
          <w:tcPr>
            <w:tcW w:w="4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(622.0)</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(564.1)</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and transaction-related expenses</w:t>
            </w:r>
            <w:r>
              <w:rPr>
                <w:rFonts w:ascii="Times New Roman;serif" w:hAnsi="Times New Roman;serif"/>
                <w:b w:val="false"/>
                <w:color w:val="000000"/>
                <w:sz w:val="13"/>
              </w:rPr>
              <w:t>(1)</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Litigation settlement</w:t>
            </w:r>
            <w:r>
              <w:rPr>
                <w:rFonts w:ascii="Times New Roman;serif" w:hAnsi="Times New Roman;serif"/>
                <w:b w:val="false"/>
                <w:color w:val="000000"/>
                <w:sz w:val="13"/>
              </w:rPr>
              <w:t>(2)</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Adjusted Operating Income (Non-GAAP)</w:t>
            </w:r>
          </w:p>
        </w:tc>
        <w:tc>
          <w:tcPr>
            <w:tcW w:w="4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219.7</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 (GAAP)</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310.4</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620.6</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w:t>
            </w:r>
          </w:p>
        </w:tc>
      </w:tr>
    </w:tbl>
    <w:tbl>
      <w:tblPr>
        <w:tblW w:w="7887" w:type="dxa"/>
        <w:jc w:val="left"/>
        <w:tblInd w:w="0" w:type="dxa"/>
        <w:tblLayout w:type="fixed"/>
        <w:tblCellMar>
          <w:top w:w="28" w:type="dxa"/>
          <w:left w:w="28" w:type="dxa"/>
          <w:bottom w:w="28" w:type="dxa"/>
          <w:right w:w="28" w:type="dxa"/>
        </w:tblCellMar>
      </w:tblPr>
      <w:tblGrid>
        <w:gridCol w:w="1477"/>
        <w:gridCol w:w="1299"/>
        <w:gridCol w:w="1303"/>
        <w:gridCol w:w="269"/>
        <w:gridCol w:w="271"/>
        <w:gridCol w:w="271"/>
        <w:gridCol w:w="109"/>
        <w:gridCol w:w="109"/>
        <w:gridCol w:w="109"/>
        <w:gridCol w:w="180"/>
        <w:gridCol w:w="181"/>
        <w:gridCol w:w="271"/>
        <w:gridCol w:w="109"/>
        <w:gridCol w:w="109"/>
        <w:gridCol w:w="109"/>
        <w:gridCol w:w="218"/>
        <w:gridCol w:w="218"/>
        <w:gridCol w:w="271"/>
        <w:gridCol w:w="109"/>
        <w:gridCol w:w="109"/>
        <w:gridCol w:w="109"/>
        <w:gridCol w:w="180"/>
        <w:gridCol w:w="181"/>
        <w:gridCol w:w="316"/>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Income (Loss) Margin (GAAP)</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Operating Income Margin (Non-GAAP)</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costs directly associated with acquisition or disposal activities, including employee severance and termination benefits, contract termination fees and penalties, and other exit or disposal costs. For the three and six months ended June 30, 2026, this expense is primarily related to the 2026 Restructuring Program as well as lease restructuring activities, including right-of-use asset and the related leasehold improvements impairment charges. Restructuring and transaction-related expenses related to the 2026 Restructuring Program include employee severance and termination benefits and other associated costs, as well as transition-related costs. For the three and six months ended June 30, 2025, this expense is primarily related to employee severance and termination benefits and lease restructuring activities. Amounts include restructuring and transaction-related expenses,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17245"/>
                <wp:effectExtent l="0" t="0" r="0" b="0"/>
                <wp:wrapNone/>
                <wp:docPr id="47" name="Frame47"/>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tbl>
      <w:tblPr>
        <w:tblW w:w="9121" w:type="dxa"/>
        <w:jc w:val="left"/>
        <w:tblInd w:w="0" w:type="dxa"/>
        <w:tblLayout w:type="fixed"/>
        <w:tblCellMar>
          <w:top w:w="28" w:type="dxa"/>
          <w:left w:w="28" w:type="dxa"/>
          <w:bottom w:w="28" w:type="dxa"/>
          <w:right w:w="28" w:type="dxa"/>
        </w:tblCellMar>
      </w:tblPr>
      <w:tblGrid>
        <w:gridCol w:w="1354"/>
        <w:gridCol w:w="1190"/>
        <w:gridCol w:w="1205"/>
        <w:gridCol w:w="289"/>
        <w:gridCol w:w="687"/>
        <w:gridCol w:w="160"/>
        <w:gridCol w:w="160"/>
        <w:gridCol w:w="160"/>
        <w:gridCol w:w="160"/>
        <w:gridCol w:w="289"/>
        <w:gridCol w:w="555"/>
        <w:gridCol w:w="160"/>
        <w:gridCol w:w="109"/>
        <w:gridCol w:w="109"/>
        <w:gridCol w:w="109"/>
        <w:gridCol w:w="248"/>
        <w:gridCol w:w="591"/>
        <w:gridCol w:w="138"/>
        <w:gridCol w:w="138"/>
        <w:gridCol w:w="138"/>
        <w:gridCol w:w="138"/>
        <w:gridCol w:w="248"/>
        <w:gridCol w:w="591"/>
        <w:gridCol w:w="195"/>
      </w:tblGrid>
      <w:tr>
        <w:trPr/>
        <w:tc>
          <w:tcPr>
            <w:tcW w:w="135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w:t>
            </w:r>
          </w:p>
        </w:tc>
        <w:tc>
          <w:tcPr>
            <w:tcW w:w="2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restructuring and transaction-related expenses</w:t>
            </w:r>
          </w:p>
        </w:tc>
        <w:tc>
          <w:tcPr>
            <w:tcW w:w="2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6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6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9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(2)Represents charges associated with legal settlements, and associated legal fees, related to class actions.</w:t>
      </w:r>
    </w:p>
    <w:tbl>
      <w:tblPr>
        <w:tblW w:w="10958" w:type="dxa"/>
        <w:jc w:val="left"/>
        <w:tblInd w:w="0" w:type="dxa"/>
        <w:tblLayout w:type="fixed"/>
        <w:tblCellMar>
          <w:top w:w="28" w:type="dxa"/>
          <w:left w:w="28" w:type="dxa"/>
          <w:bottom w:w="28" w:type="dxa"/>
          <w:right w:w="28" w:type="dxa"/>
        </w:tblCellMar>
      </w:tblPr>
      <w:tblGrid>
        <w:gridCol w:w="402"/>
        <w:gridCol w:w="352"/>
        <w:gridCol w:w="342"/>
        <w:gridCol w:w="211"/>
        <w:gridCol w:w="616"/>
        <w:gridCol w:w="109"/>
        <w:gridCol w:w="109"/>
        <w:gridCol w:w="109"/>
        <w:gridCol w:w="109"/>
        <w:gridCol w:w="211"/>
        <w:gridCol w:w="616"/>
        <w:gridCol w:w="109"/>
        <w:gridCol w:w="109"/>
        <w:gridCol w:w="109"/>
        <w:gridCol w:w="109"/>
        <w:gridCol w:w="261"/>
        <w:gridCol w:w="503"/>
        <w:gridCol w:w="137"/>
        <w:gridCol w:w="109"/>
        <w:gridCol w:w="109"/>
        <w:gridCol w:w="109"/>
        <w:gridCol w:w="220"/>
        <w:gridCol w:w="220"/>
        <w:gridCol w:w="551"/>
        <w:gridCol w:w="109"/>
        <w:gridCol w:w="109"/>
        <w:gridCol w:w="109"/>
        <w:gridCol w:w="211"/>
        <w:gridCol w:w="616"/>
        <w:gridCol w:w="109"/>
        <w:gridCol w:w="109"/>
        <w:gridCol w:w="109"/>
        <w:gridCol w:w="109"/>
        <w:gridCol w:w="211"/>
        <w:gridCol w:w="616"/>
        <w:gridCol w:w="109"/>
        <w:gridCol w:w="109"/>
        <w:gridCol w:w="109"/>
        <w:gridCol w:w="109"/>
        <w:gridCol w:w="228"/>
        <w:gridCol w:w="554"/>
        <w:gridCol w:w="119"/>
        <w:gridCol w:w="109"/>
        <w:gridCol w:w="109"/>
        <w:gridCol w:w="109"/>
        <w:gridCol w:w="211"/>
        <w:gridCol w:w="211"/>
        <w:gridCol w:w="614"/>
      </w:tblGrid>
      <w:tr>
        <w:trPr/>
        <w:tc>
          <w:tcPr>
            <w:tcW w:w="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(Non-GAAP)</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7961" w:type="dxa"/>
        <w:jc w:val="left"/>
        <w:tblInd w:w="0" w:type="dxa"/>
        <w:tblLayout w:type="fixed"/>
        <w:tblCellMar>
          <w:top w:w="28" w:type="dxa"/>
          <w:left w:w="28" w:type="dxa"/>
          <w:bottom w:w="28" w:type="dxa"/>
          <w:right w:w="28" w:type="dxa"/>
        </w:tblCellMar>
      </w:tblPr>
      <w:tblGrid>
        <w:gridCol w:w="1476"/>
        <w:gridCol w:w="1298"/>
        <w:gridCol w:w="1306"/>
        <w:gridCol w:w="180"/>
        <w:gridCol w:w="181"/>
        <w:gridCol w:w="271"/>
        <w:gridCol w:w="109"/>
        <w:gridCol w:w="109"/>
        <w:gridCol w:w="109"/>
        <w:gridCol w:w="180"/>
        <w:gridCol w:w="181"/>
        <w:gridCol w:w="271"/>
        <w:gridCol w:w="109"/>
        <w:gridCol w:w="109"/>
        <w:gridCol w:w="109"/>
        <w:gridCol w:w="180"/>
        <w:gridCol w:w="181"/>
        <w:gridCol w:w="271"/>
        <w:gridCol w:w="109"/>
        <w:gridCol w:w="109"/>
        <w:gridCol w:w="109"/>
        <w:gridCol w:w="180"/>
        <w:gridCol w:w="181"/>
        <w:gridCol w:w="271"/>
        <w:gridCol w:w="109"/>
        <w:gridCol w:w="109"/>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Operating Income Margin (Non-GAAP)</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Operating Income increased primarily due to lower employee compensation expense and higher revenues, partially offset by increases in both hosting and infrastructure expense and technology expense.</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Adjusted Net Income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Net Income as net income (loss) adjusted for, as applicable, (i) gain on debt extinguishment, (ii) amortization of acquired technology and other acquired intangibles, (iii) goodwill impairment, (iv) equity-based compensation expense, (v) restructuring and transaction-related expenses, (vi) integration costs and acquisition-related expenses, (vii) litigation settlement, (viii) TRA liability remeasurement (benefit) expense, (ix) other (income) loss, net and (x) tax impacts of adjustments to net income (loss).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(loss) or net income (loss) as indicators of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17245"/>
                <wp:effectExtent l="0" t="0" r="0" b="0"/>
                <wp:wrapNone/>
                <wp:docPr id="48" name="Frame48"/>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following table presents a reconciliation of </w:t>
      </w:r>
      <w:r>
        <w:rPr>
          <w:rFonts w:ascii="Times New Roman;serif" w:hAnsi="Times New Roman;serif"/>
          <w:b w:val="false"/>
          <w:i/>
          <w:color w:val="000000"/>
          <w:sz w:val="20"/>
        </w:rPr>
        <w:t xml:space="preserve">Net income (loss) </w:t>
      </w:r>
      <w:r>
        <w:rPr>
          <w:rFonts w:ascii="Times New Roman;serif" w:hAnsi="Times New Roman;serif"/>
          <w:b w:val="false"/>
          <w:color w:val="000000"/>
          <w:sz w:val="20"/>
        </w:rPr>
        <w:t>to Adjusted Net Income for the periods presented:</w:t>
      </w:r>
    </w:p>
    <w:tbl>
      <w:tblPr>
        <w:tblW w:w="9513" w:type="dxa"/>
        <w:jc w:val="left"/>
        <w:tblInd w:w="0" w:type="dxa"/>
        <w:tblLayout w:type="fixed"/>
        <w:tblCellMar>
          <w:top w:w="28" w:type="dxa"/>
          <w:left w:w="28" w:type="dxa"/>
          <w:bottom w:w="28" w:type="dxa"/>
          <w:right w:w="28" w:type="dxa"/>
        </w:tblCellMar>
      </w:tblPr>
      <w:tblGrid>
        <w:gridCol w:w="1498"/>
        <w:gridCol w:w="1318"/>
        <w:gridCol w:w="1323"/>
        <w:gridCol w:w="255"/>
        <w:gridCol w:w="836"/>
        <w:gridCol w:w="131"/>
        <w:gridCol w:w="131"/>
        <w:gridCol w:w="131"/>
        <w:gridCol w:w="131"/>
        <w:gridCol w:w="255"/>
        <w:gridCol w:w="618"/>
        <w:gridCol w:w="131"/>
        <w:gridCol w:w="109"/>
        <w:gridCol w:w="109"/>
        <w:gridCol w:w="109"/>
        <w:gridCol w:w="221"/>
        <w:gridCol w:w="724"/>
        <w:gridCol w:w="114"/>
        <w:gridCol w:w="114"/>
        <w:gridCol w:w="114"/>
        <w:gridCol w:w="114"/>
        <w:gridCol w:w="221"/>
        <w:gridCol w:w="645"/>
        <w:gridCol w:w="161"/>
      </w:tblGrid>
      <w:tr>
        <w:trPr/>
        <w:tc>
          <w:tcPr>
            <w:tcW w:w="149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(GAAP)</w:t>
            </w:r>
          </w:p>
        </w:tc>
        <w:tc>
          <w:tcPr>
            <w:tcW w:w="2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(643.7)</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(614.4)</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and transaction-related expenses</w:t>
            </w:r>
            <w:r>
              <w:rPr>
                <w:rFonts w:ascii="Times New Roman;serif" w:hAnsi="Times New Roman;serif"/>
                <w:b w:val="false"/>
                <w:color w:val="000000"/>
                <w:sz w:val="13"/>
              </w:rPr>
              <w:t>(1)</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Litigation settlement</w:t>
            </w:r>
            <w:r>
              <w:rPr>
                <w:rFonts w:ascii="Times New Roman;serif" w:hAnsi="Times New Roman;serif"/>
                <w:b w:val="false"/>
                <w:color w:val="000000"/>
                <w:sz w:val="13"/>
              </w:rPr>
              <w:t>(2)</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 liability remeasurement gain</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Tax impacts of adjustments to net income (loss)</w:t>
            </w:r>
            <w:r>
              <w:rPr>
                <w:rFonts w:ascii="Times New Roman;serif" w:hAnsi="Times New Roman;serif"/>
                <w:b w:val="false"/>
                <w:color w:val="000000"/>
                <w:sz w:val="13"/>
              </w:rPr>
              <w:t>(3)</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Net Income (Non-GAAP)</w:t>
            </w:r>
          </w:p>
        </w:tc>
        <w:tc>
          <w:tcPr>
            <w:tcW w:w="2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1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costs directly associated with acquisition or disposal activities, including employee severance and termination benefits, contract termination fees and penalties, and other exit or disposal costs. For the three and six months ended June 30, 2026, this expense is primarily related to the 2026 Restructuring Program as well as lease restructuring activities, including right-of-use asset and the related leasehold improvements impairment charges. Restructuring and transaction-related expenses related to the 2026 Restructuring Program include employee severance and termination benefits and other associated costs, as well as transition-related costs. For the three and six months ended June 30, 2025, this expense is primarily related to employee severance and termination benefits and lease restructuring activities. Amounts include restructuring and transaction-related expenses, as follows:</w:t>
      </w:r>
    </w:p>
    <w:tbl>
      <w:tblPr>
        <w:tblW w:w="8790" w:type="dxa"/>
        <w:jc w:val="left"/>
        <w:tblInd w:w="0" w:type="dxa"/>
        <w:tblLayout w:type="fixed"/>
        <w:tblCellMar>
          <w:top w:w="28" w:type="dxa"/>
          <w:left w:w="28" w:type="dxa"/>
          <w:bottom w:w="28" w:type="dxa"/>
          <w:right w:w="28" w:type="dxa"/>
        </w:tblCellMar>
      </w:tblPr>
      <w:tblGrid>
        <w:gridCol w:w="1354"/>
        <w:gridCol w:w="1190"/>
        <w:gridCol w:w="1205"/>
        <w:gridCol w:w="269"/>
        <w:gridCol w:w="640"/>
        <w:gridCol w:w="149"/>
        <w:gridCol w:w="149"/>
        <w:gridCol w:w="149"/>
        <w:gridCol w:w="149"/>
        <w:gridCol w:w="269"/>
        <w:gridCol w:w="516"/>
        <w:gridCol w:w="149"/>
        <w:gridCol w:w="109"/>
        <w:gridCol w:w="109"/>
        <w:gridCol w:w="109"/>
        <w:gridCol w:w="233"/>
        <w:gridCol w:w="555"/>
        <w:gridCol w:w="129"/>
        <w:gridCol w:w="129"/>
        <w:gridCol w:w="129"/>
        <w:gridCol w:w="129"/>
        <w:gridCol w:w="233"/>
        <w:gridCol w:w="555"/>
        <w:gridCol w:w="183"/>
      </w:tblGrid>
      <w:tr>
        <w:trPr/>
        <w:tc>
          <w:tcPr>
            <w:tcW w:w="135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w:t>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restructuring and transaction-related expenses</w:t>
            </w:r>
          </w:p>
        </w:tc>
        <w:tc>
          <w:tcPr>
            <w:tcW w:w="2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(2)Represents charges associated with legal settlements, and associated legal fees, related to class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17245"/>
                <wp:effectExtent l="0" t="0" r="0" b="0"/>
                <wp:wrapNone/>
                <wp:docPr id="49" name="Frame49"/>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pPr>
      <w:r>
        <w:rPr>
          <w:rFonts w:ascii="Times New Roman;serif" w:hAnsi="Times New Roman;serif"/>
          <w:b w:val="false"/>
          <w:color w:val="000000"/>
          <w:sz w:val="18"/>
        </w:rPr>
        <w:t>(3)Represents tax expense associated with Net income (loss) (GAAP) excluded from Adjusted Net Income (Non-GAAP). The Company calculates the tax impacts of adjustments to net income (loss) by taking the total gross value of the adjustments and multiplying it by the Company’s U.S. federal and state statutory tax rate. We then recalculate the tax impact of book-tax differences related to equity compensation, the tax receivable agreements, and restructuring and transaction-related expenses. For the three and six months ended June 30, 2026, the tax impacts of adjustments to net income (loss) between GAAP and Non-GAAP are presented based on the specific rate reconciliation categories established under ASU 2023-09. For the three months ended June 30, 2026, these primarily relate to recognizing $14.7 million of tax benefit related to the amortization of costs associated with corporate structure simplification, adjusting out $9.7 million of tax expense from foreign tax effects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18"/>
        </w:rPr>
        <w:t>and adjusting out $3.2 million of tax expense from non-deductible stock-based compensation. For the three months ended June 30, 2025, these primarily relate to recognizing $15.2 million of tax benefit related to the amortization of costs associated with corporate structure simplification, adjusting out $14.6 million of tax expense from the effects of changes in state tax law and apportionment, and adjusting out $4.0 million of tax expense from non-deductible stock-based compensation. For the six months ended June 30, 2026, these primarily relate to recognizing $30.6 million of tax benefit related to the amortization of costs associated with corporate structure simplification, adjusting out $10.5 million of tax expense from foreign tax effects, and adjusting out $5.2 million of tax expense from non-deductible stock-based compensation. For the six months ended June 30, 2025, these primarily relate to recognizing $28.8 million of tax benefit related to the amortization of costs associated with corporate structure simplification, adjusting out $13.4 million of tax expense from the effects of changes in state tax law and apportionment, and adjusting out $7.0 million of tax expense from non-deductible stock-based compensation. We believe the exclusion of these adjustments provides investors with useful information about the Company’s underlying results and trends, allowing them to better understand and compare net income (loss) related to ongoing operations and the related current and deferred income tax expense.</w:t>
      </w:r>
    </w:p>
    <w:tbl>
      <w:tblPr>
        <w:tblW w:w="10748" w:type="dxa"/>
        <w:jc w:val="left"/>
        <w:tblInd w:w="0" w:type="dxa"/>
        <w:tblLayout w:type="fixed"/>
        <w:tblCellMar>
          <w:top w:w="28" w:type="dxa"/>
          <w:left w:w="28" w:type="dxa"/>
          <w:bottom w:w="28" w:type="dxa"/>
          <w:right w:w="28" w:type="dxa"/>
        </w:tblCellMar>
      </w:tblPr>
      <w:tblGrid>
        <w:gridCol w:w="402"/>
        <w:gridCol w:w="352"/>
        <w:gridCol w:w="342"/>
        <w:gridCol w:w="211"/>
        <w:gridCol w:w="511"/>
        <w:gridCol w:w="109"/>
        <w:gridCol w:w="109"/>
        <w:gridCol w:w="109"/>
        <w:gridCol w:w="109"/>
        <w:gridCol w:w="211"/>
        <w:gridCol w:w="511"/>
        <w:gridCol w:w="109"/>
        <w:gridCol w:w="109"/>
        <w:gridCol w:w="109"/>
        <w:gridCol w:w="109"/>
        <w:gridCol w:w="261"/>
        <w:gridCol w:w="503"/>
        <w:gridCol w:w="137"/>
        <w:gridCol w:w="109"/>
        <w:gridCol w:w="109"/>
        <w:gridCol w:w="109"/>
        <w:gridCol w:w="220"/>
        <w:gridCol w:w="220"/>
        <w:gridCol w:w="551"/>
        <w:gridCol w:w="109"/>
        <w:gridCol w:w="109"/>
        <w:gridCol w:w="109"/>
        <w:gridCol w:w="211"/>
        <w:gridCol w:w="616"/>
        <w:gridCol w:w="109"/>
        <w:gridCol w:w="109"/>
        <w:gridCol w:w="109"/>
        <w:gridCol w:w="109"/>
        <w:gridCol w:w="211"/>
        <w:gridCol w:w="616"/>
        <w:gridCol w:w="109"/>
        <w:gridCol w:w="109"/>
        <w:gridCol w:w="109"/>
        <w:gridCol w:w="109"/>
        <w:gridCol w:w="261"/>
        <w:gridCol w:w="503"/>
        <w:gridCol w:w="137"/>
        <w:gridCol w:w="109"/>
        <w:gridCol w:w="109"/>
        <w:gridCol w:w="109"/>
        <w:gridCol w:w="211"/>
        <w:gridCol w:w="211"/>
        <w:gridCol w:w="614"/>
      </w:tblGrid>
      <w:tr>
        <w:trPr/>
        <w:tc>
          <w:tcPr>
            <w:tcW w:w="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(Non-GAAP)</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due to higher Adjusted Operating Income, partially offset by higher non-operating expenses such as interest expense.</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EBITDA is defined as earnings before interest, taxes, depreciation, and amortization. Management further adjusts EBITDA to exclude certain items of a significant or unusual nature, including, as applicable, other (income) expense, net, gain on debt extinguishment, impact of certain non-cash items, such as goodwill impairment, equity-based compensation expense, restructuring and transaction-related expenses, integration costs and acquisition-related expenses, and litigation settlement. We exclude these items because these are either non-cash expenses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(loss) or net income (loss) as indicators of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17245"/>
                <wp:effectExtent l="0" t="0" r="0" b="0"/>
                <wp:wrapNone/>
                <wp:docPr id="50" name="Frame50"/>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following table presents a reconciliation of </w:t>
      </w:r>
      <w:r>
        <w:rPr>
          <w:rFonts w:ascii="Times New Roman;serif" w:hAnsi="Times New Roman;serif"/>
          <w:b w:val="false"/>
          <w:i/>
          <w:color w:val="000000"/>
          <w:sz w:val="20"/>
        </w:rPr>
        <w:t>Net income (loss)</w:t>
      </w:r>
      <w:r>
        <w:rPr>
          <w:color w:val="000000"/>
        </w:rPr>
        <w:t xml:space="preserve"> </w:t>
      </w:r>
      <w:r>
        <w:rPr>
          <w:rFonts w:ascii="Times New Roman;serif" w:hAnsi="Times New Roman;serif"/>
          <w:b w:val="false"/>
          <w:color w:val="000000"/>
          <w:sz w:val="20"/>
        </w:rPr>
        <w:t>to Adjusted EBITDA for the periods presented:</w:t>
      </w:r>
    </w:p>
    <w:tbl>
      <w:tblPr>
        <w:tblW w:w="9453" w:type="dxa"/>
        <w:jc w:val="left"/>
        <w:tblInd w:w="0" w:type="dxa"/>
        <w:tblLayout w:type="fixed"/>
        <w:tblCellMar>
          <w:top w:w="28" w:type="dxa"/>
          <w:left w:w="28" w:type="dxa"/>
          <w:bottom w:w="28" w:type="dxa"/>
          <w:right w:w="28" w:type="dxa"/>
        </w:tblCellMar>
      </w:tblPr>
      <w:tblGrid>
        <w:gridCol w:w="1476"/>
        <w:gridCol w:w="1299"/>
        <w:gridCol w:w="1304"/>
        <w:gridCol w:w="243"/>
        <w:gridCol w:w="797"/>
        <w:gridCol w:w="125"/>
        <w:gridCol w:w="125"/>
        <w:gridCol w:w="125"/>
        <w:gridCol w:w="125"/>
        <w:gridCol w:w="243"/>
        <w:gridCol w:w="711"/>
        <w:gridCol w:w="125"/>
        <w:gridCol w:w="109"/>
        <w:gridCol w:w="109"/>
        <w:gridCol w:w="109"/>
        <w:gridCol w:w="221"/>
        <w:gridCol w:w="724"/>
        <w:gridCol w:w="114"/>
        <w:gridCol w:w="114"/>
        <w:gridCol w:w="114"/>
        <w:gridCol w:w="114"/>
        <w:gridCol w:w="221"/>
        <w:gridCol w:w="645"/>
        <w:gridCol w:w="161"/>
      </w:tblGrid>
      <w:tr>
        <w:trPr/>
        <w:tc>
          <w:tcPr>
            <w:tcW w:w="147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(GAAP)</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(643.7)</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(614.4)</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Depreciation expense</w:t>
            </w:r>
            <w:r>
              <w:rPr>
                <w:rFonts w:ascii="Times New Roman;serif" w:hAnsi="Times New Roman;serif"/>
                <w:b w:val="false"/>
                <w:color w:val="000000"/>
                <w:sz w:val="13"/>
              </w:rPr>
              <w:t>(1)</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income, net</w:t>
            </w:r>
            <w:r>
              <w:rPr>
                <w:rFonts w:ascii="Times New Roman;serif" w:hAnsi="Times New Roman;serif"/>
                <w:b w:val="false"/>
                <w:color w:val="000000"/>
                <w:sz w:val="13"/>
              </w:rPr>
              <w:t>(2)</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and transaction-related expenses</w:t>
            </w:r>
            <w:r>
              <w:rPr>
                <w:rFonts w:ascii="Times New Roman;serif" w:hAnsi="Times New Roman;serif"/>
                <w:b w:val="false"/>
                <w:color w:val="000000"/>
                <w:sz w:val="13"/>
              </w:rPr>
              <w:t>(3)</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Litigation settlement</w:t>
            </w:r>
            <w:r>
              <w:rPr>
                <w:rFonts w:ascii="Times New Roman;serif" w:hAnsi="Times New Roman;serif"/>
                <w:b w:val="false"/>
                <w:color w:val="000000"/>
                <w:sz w:val="13"/>
              </w:rPr>
              <w:t>(4)</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Adjusted EBITDA (Non-GAAP)</w:t>
            </w:r>
          </w:p>
        </w:tc>
        <w:tc>
          <w:tcPr>
            <w:tcW w:w="2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three and six months ended June 30, 2026 exclude depreciation charges related to lease restructuring activities. The six months ended June 30, 2025 exclude the accelerated depreciation associated with the Waltham Lease Restructuring. Refer to Note 4 - Property and Equipment and Note 12 - Leases in our 2025 Form 10-K for further information.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(2)Primarily represents revaluations on tax receivable agreement liability and foreign exchange remeasurement gains and losses.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(3)Represents costs directly associated with acquisition or disposal activities, including employee severance and termination benefits, contract termination fees and penalties, and other exit or disposal costs. For the three and six months ended June 30, 2026, this expense is primarily related to the 2026 Restructuring Program as well as lease restructuring activities, including right-of-use asset and the related leasehold improvements impairment charges. Restructuring and transaction-related expenses related to the 2026 Restructuring Program include employee severance and termination benefits and other associated costs, as well as transition-related costs. For the three and six months ended June 30, 2025, this expense is primarily related to employee severance and termination benefits and lease restructuring activities. Amounts include restructuring and transaction-related expenses, as follows:</w:t>
      </w:r>
    </w:p>
    <w:tbl>
      <w:tblPr>
        <w:tblW w:w="8790" w:type="dxa"/>
        <w:jc w:val="left"/>
        <w:tblInd w:w="0" w:type="dxa"/>
        <w:tblLayout w:type="fixed"/>
        <w:tblCellMar>
          <w:top w:w="28" w:type="dxa"/>
          <w:left w:w="28" w:type="dxa"/>
          <w:bottom w:w="28" w:type="dxa"/>
          <w:right w:w="28" w:type="dxa"/>
        </w:tblCellMar>
      </w:tblPr>
      <w:tblGrid>
        <w:gridCol w:w="1354"/>
        <w:gridCol w:w="1190"/>
        <w:gridCol w:w="1205"/>
        <w:gridCol w:w="269"/>
        <w:gridCol w:w="640"/>
        <w:gridCol w:w="149"/>
        <w:gridCol w:w="149"/>
        <w:gridCol w:w="149"/>
        <w:gridCol w:w="149"/>
        <w:gridCol w:w="269"/>
        <w:gridCol w:w="516"/>
        <w:gridCol w:w="149"/>
        <w:gridCol w:w="109"/>
        <w:gridCol w:w="109"/>
        <w:gridCol w:w="109"/>
        <w:gridCol w:w="233"/>
        <w:gridCol w:w="555"/>
        <w:gridCol w:w="129"/>
        <w:gridCol w:w="129"/>
        <w:gridCol w:w="129"/>
        <w:gridCol w:w="129"/>
        <w:gridCol w:w="233"/>
        <w:gridCol w:w="555"/>
        <w:gridCol w:w="183"/>
      </w:tblGrid>
      <w:tr>
        <w:trPr/>
        <w:tc>
          <w:tcPr>
            <w:tcW w:w="135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w:t>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restructuring and transaction-related expenses</w:t>
            </w:r>
          </w:p>
        </w:tc>
        <w:tc>
          <w:tcPr>
            <w:tcW w:w="2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(4)Represents charges associated with legal settlements, and associated legal fees, related to class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17245"/>
                <wp:effectExtent l="0" t="0" r="0" b="0"/>
                <wp:wrapNone/>
                <wp:docPr id="51" name="Frame51"/>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tbl>
      <w:tblPr>
        <w:tblW w:w="10958" w:type="dxa"/>
        <w:jc w:val="left"/>
        <w:tblInd w:w="0" w:type="dxa"/>
        <w:tblLayout w:type="fixed"/>
        <w:tblCellMar>
          <w:top w:w="28" w:type="dxa"/>
          <w:left w:w="28" w:type="dxa"/>
          <w:bottom w:w="28" w:type="dxa"/>
          <w:right w:w="28" w:type="dxa"/>
        </w:tblCellMar>
      </w:tblPr>
      <w:tblGrid>
        <w:gridCol w:w="402"/>
        <w:gridCol w:w="352"/>
        <w:gridCol w:w="342"/>
        <w:gridCol w:w="211"/>
        <w:gridCol w:w="616"/>
        <w:gridCol w:w="109"/>
        <w:gridCol w:w="109"/>
        <w:gridCol w:w="109"/>
        <w:gridCol w:w="109"/>
        <w:gridCol w:w="211"/>
        <w:gridCol w:w="616"/>
        <w:gridCol w:w="109"/>
        <w:gridCol w:w="109"/>
        <w:gridCol w:w="109"/>
        <w:gridCol w:w="109"/>
        <w:gridCol w:w="261"/>
        <w:gridCol w:w="503"/>
        <w:gridCol w:w="137"/>
        <w:gridCol w:w="109"/>
        <w:gridCol w:w="109"/>
        <w:gridCol w:w="109"/>
        <w:gridCol w:w="220"/>
        <w:gridCol w:w="220"/>
        <w:gridCol w:w="551"/>
        <w:gridCol w:w="109"/>
        <w:gridCol w:w="109"/>
        <w:gridCol w:w="109"/>
        <w:gridCol w:w="211"/>
        <w:gridCol w:w="616"/>
        <w:gridCol w:w="109"/>
        <w:gridCol w:w="109"/>
        <w:gridCol w:w="109"/>
        <w:gridCol w:w="109"/>
        <w:gridCol w:w="211"/>
        <w:gridCol w:w="616"/>
        <w:gridCol w:w="109"/>
        <w:gridCol w:w="109"/>
        <w:gridCol w:w="109"/>
        <w:gridCol w:w="109"/>
        <w:gridCol w:w="228"/>
        <w:gridCol w:w="554"/>
        <w:gridCol w:w="119"/>
        <w:gridCol w:w="109"/>
        <w:gridCol w:w="109"/>
        <w:gridCol w:w="109"/>
        <w:gridCol w:w="211"/>
        <w:gridCol w:w="211"/>
        <w:gridCol w:w="614"/>
      </w:tblGrid>
      <w:tr>
        <w:trPr/>
        <w:tc>
          <w:tcPr>
            <w:tcW w:w="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(Non-GAAP)</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due to higher revenues and lower employee compensation expense, partially offset by increases in both hosting and infrastructure expense and technology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had $147.6 million of cash and cash equivalents, $2.5 million of short-term investments, $0.5 million of long-term investments, and $176.0 million available under our First Lien Revolving Credit Facility. In May 2026, the Company entered into an amendment of its existing credit agreement to increase the total commitments under the First Lien Revolving Credit Facility by $26.0 million. We have financed our operations primarily through cash generated from operations and financed various acquisitions through cash generated from operations supplemented with debt offerings.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cash flows from operations and existing available cash and cash equivalents, together with our other available external financing sources, will be adequate to fund our operating and capital needs for at least the next 12 months and for the foreseeable future. We are currently in compliance with the covenants under the credit agreements governing our secured credit facilities, and we expect to remain in compliance with our covenants.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typically invoice our subscription customers for services annually, semi-annually, or quarterly in advance of delivery. Therefore, a substantial source of our cash is from such prepayments, which are included on our Consolidated Balance Sheets as unearned revenue. Unearned revenue consists of billed fees for our subscriptions, prior to satisfying the criteria for revenue recognition, which are subsequently recognized as revenue in accordance with our revenue recognition policy. As of June 30, 2026, we had unearned revenue of $464.7 million, of which $462.3 million was recorded as a current liability and is expected to be recorded as revenue in the next 12 months, provided all other revenue recognition criteria have been met.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our 2025 Form 10-K.</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Historical Cash Flows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8038" w:type="dxa"/>
        <w:jc w:val="left"/>
        <w:tblInd w:w="0" w:type="dxa"/>
        <w:tblLayout w:type="fixed"/>
        <w:tblCellMar>
          <w:top w:w="28" w:type="dxa"/>
          <w:left w:w="28" w:type="dxa"/>
          <w:bottom w:w="28" w:type="dxa"/>
          <w:right w:w="28" w:type="dxa"/>
        </w:tblCellMar>
      </w:tblPr>
      <w:tblGrid>
        <w:gridCol w:w="2031"/>
        <w:gridCol w:w="1786"/>
        <w:gridCol w:w="1793"/>
        <w:gridCol w:w="228"/>
        <w:gridCol w:w="667"/>
        <w:gridCol w:w="118"/>
        <w:gridCol w:w="118"/>
        <w:gridCol w:w="118"/>
        <w:gridCol w:w="118"/>
        <w:gridCol w:w="228"/>
        <w:gridCol w:w="667"/>
        <w:gridCol w:w="166"/>
      </w:tblGrid>
      <w:tr>
        <w:trPr/>
        <w:tc>
          <w:tcPr>
            <w:tcW w:w="203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17245"/>
                <wp:effectExtent l="0" t="0" r="0" b="0"/>
                <wp:wrapNone/>
                <wp:docPr id="52" name="Frame52"/>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$202.0 million for the six months ended June 30, 2026 as a result of net loss of $614.4 million, adjusted by non-cash charges of $833.0 million and the net decrease in our operating assets and liabilities of $16.6 million. The non-cash charges are primarily comprised of goodwill impairment of $650.5 million, equity-based compensation of $51.2 million, amortization of deferred commission costs of $48.6 million, depreciation and amortization of $42.5 million, and a decrease in deferred tax assets of $36.9 million. The net decrease in operating assets and liabilities was primarily the result of an increase in deferred costs and other assets of $37.1 million, a decrease in unearned revenue of $13.1 million and a decrease in accounts payable of $12.8 million, as well as a decrease in accounts receivable of $30.5 million and an increase in accrued expenses and other liabilities of $14.7 million.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$228.1 million for the six months ended June 30, 2025 as a result of net income of $50.8 million, adjusted by non-cash charges of $186.4 million and the net change in our operating assets and liabilities of $9.1 million. The non-cash charges are primarily comprised of equity-based compensation of $59.3 million, depreciation and amortization of $43.4 million, amortization of deferred commission costs of $43.4 million, and a decrease in deferred tax assets net of deferred tax liabilities of $42.6 million. The net change in operating assets and liabilities was primarily the result of an increase in deferred costs and other assets of $37.6 million, an increase in prepaid and other current assets of $10.5 million, and a decrease in unearned revenue of $5.6 million, partially offset by a decrease in accounts receivable of $44.2 million.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continue to make future acquisitions as part of our business strategy which may require the use of capital resources and drive additional future restructuring and transaction-related cash expenditures as well as integration and acquisition-related cash costs. During the six months ended June 30, 2026 and 2025, we incurred the following associated cash expenditures:</w:t>
      </w:r>
    </w:p>
    <w:tbl>
      <w:tblPr>
        <w:tblW w:w="7527" w:type="dxa"/>
        <w:jc w:val="left"/>
        <w:tblInd w:w="0" w:type="dxa"/>
        <w:tblLayout w:type="fixed"/>
        <w:tblCellMar>
          <w:top w:w="28" w:type="dxa"/>
          <w:left w:w="28" w:type="dxa"/>
          <w:bottom w:w="28" w:type="dxa"/>
          <w:right w:w="28" w:type="dxa"/>
        </w:tblCellMar>
      </w:tblPr>
      <w:tblGrid>
        <w:gridCol w:w="1846"/>
        <w:gridCol w:w="1624"/>
        <w:gridCol w:w="1629"/>
        <w:gridCol w:w="252"/>
        <w:gridCol w:w="610"/>
        <w:gridCol w:w="130"/>
        <w:gridCol w:w="130"/>
        <w:gridCol w:w="130"/>
        <w:gridCol w:w="130"/>
        <w:gridCol w:w="252"/>
        <w:gridCol w:w="610"/>
        <w:gridCol w:w="184"/>
      </w:tblGrid>
      <w:tr>
        <w:trPr/>
        <w:tc>
          <w:tcPr>
            <w:tcW w:w="1846"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paid in cash</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Restructuring and transaction-related expenses paid in cash</w:t>
            </w:r>
            <w:r>
              <w:rPr>
                <w:rFonts w:ascii="Times New Roman;serif" w:hAnsi="Times New Roman;serif"/>
                <w:b w:val="false"/>
                <w:color w:val="000000"/>
                <w:sz w:val="13"/>
              </w:rPr>
              <w:t>(1)</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Litigation settlement payments</w:t>
            </w:r>
            <w:r>
              <w:rPr>
                <w:rFonts w:ascii="Times New Roman;serif" w:hAnsi="Times New Roman;serif"/>
                <w:b w:val="false"/>
                <w:color w:val="000000"/>
                <w:sz w:val="13"/>
              </w:rPr>
              <w:t>(2)</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(1)Represents cash payments directly associated with acquisition or disposal activities, including employee severance and termination benefits, contract termination fees and penalties, and other exit or disposal costs. For the six months ended June 30, 2026, these payments related primarily to </w:t>
      </w:r>
      <w:r>
        <w:rPr>
          <w:rFonts w:ascii="Times New Roman;serif" w:hAnsi="Times New Roman;serif"/>
          <w:b w:val="false"/>
          <w:color w:val="000000"/>
          <w:sz w:val="20"/>
        </w:rPr>
        <w:t>e</w:t>
      </w:r>
      <w:r>
        <w:rPr>
          <w:rFonts w:ascii="Times New Roman;serif" w:hAnsi="Times New Roman;serif"/>
          <w:b w:val="false"/>
          <w:color w:val="000000"/>
          <w:sz w:val="18"/>
        </w:rPr>
        <w:t>xpense and other transition-related costs from the 2026 Restructuring Program, and lease restructuring activity. For the six months ended June 30, 2025, these payments related primarily to employee severance and termination benefits payments and Waltham Lease Restructuring charges.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(2)Represents cash payments for legal fees associated with legal settlements related to class actions.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2026 was $42.7 million, comprised of purchases of property and equipment and other assets of $41.7 million, payments for right-of-use asset initial direct costs of $2.0 million and purchases of investments of $1.0 million, as well as maturities of investments of $2.0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17245"/>
                <wp:effectExtent l="0" t="0" r="0" b="0"/>
                <wp:wrapNone/>
                <wp:docPr id="53" name="Frame53"/>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2025 was $43.3 million, consisting of purchases of property and equipment and other assets of $36.8 million and purchases of investments of $7.0 million.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continue to grow and invest in our business, we expect to continue to invest in property and equipment and opportunistically pursue acquisitions.</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six months ended June 30, 2026 was $174.0 million and primarily comprised of payments relating to the repurchase of common stock of $122.4 million, repayment of debt of $50.1 million, and payments of taxes related to net share settlement of equity awards of $1.4 million.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six months ended June 30, 2025 was $153.3 million and comprised of payments relating to the repurchase of common stock of $244.3 million, payments of taxes related to net share settlement of equity awards of $6.0 million, and repayment of debt of $3.0 million, partially offset by proceeds from revolving credit loans of $100.0 million.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6 - Financing Arrangements of our unaudited consolidated financial statements included in Part I, Item 1 of this Form 10-Q for additional information related to each of our borrowings.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1 - Business, Basis of Presentation, and Summary of Significant Accounting Policies of the notes to our unaudited consolidated financial statements included elsewhere in this Quarterly Report on Form 10-Q for additional information related to the Share Repurchase Program. The shares of Common Stock proposed to be acquired in the Share Repurchase Program may be repurchased from time to time in open market transactions or by other means in accordance with federal securities laws. The Company intends to fund repurchases from available working capital, cash provided by operating activities, and, as appropriate, borrowings under its existing credit facilities or other sources of financing. The timing, as well as the number and value of shares of Common Stock repurchased under the program, will be determined by the Company at its discretion and will depend on a variety of factors, including management’s assessment of the intrinsic value of the Company’s shares of Common Stock, the market price of the Company’s Common Stock, general market and economic conditions, available liquidity, alternative investment opportunities, compliance with the Company’s debt and other agreements, and applicable legal requirements. The exact number of shares of Common Stock to be repurchased by the Company is not guaranteed, and the program may be suspended, modified, or discontinued at any time without prior notice.</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Debt Obligations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aggregate balance of $100.0 million under the First Lien Revolver is due, in its entirety, at the contractual maturity date of February 28, 2028, and the aggregate remaining principal balance of $591.5 million of 3.875% Senior Notes is due, in its entirety, at the contractual maturity date of February 1, 2029. Interest on the Senior Notes is payable semi-annually in arrears. During the six months ended June 30, 2026, the Company repurchased $58.5 million in aggregate principal amount of its Senior Notes for $47.1 million (in addition to accrued interest of $0.8 million) in cash. As of June 30, 2026, the Company had a remaining principal balance of $579.2 million with respect to its First Lien Term Loan. The Company is obligated to make principal payments each quarter in the amount of 0.25% of the aggregate outstanding amount as of the latest amendment, with the remaining balance due at the contractual maturity date of February 28, 2030. The foregoing currently represent the only existing required future debt principal repayment obligations that will require future uses of the Company’s cash.</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First Lien Term Loan has a variable interest rate whereby the Company can elect to use a Base Rate or SOFR plus an applicable rate. The applicable rate is 0.75% for Base Rate loans or 1.75% for SOFR loans. The effective interest rate on the First Lien Term Loan was 5.64% and 5.71% as of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17245"/>
                <wp:effectExtent l="0" t="0" r="0" b="0"/>
                <wp:wrapNone/>
                <wp:docPr id="54" name="Frame54"/>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historically used derivative financial instruments, primarily interest rate swap contracts designated as cash flow hedges, to manage a portion of our exposure to changes in interest rates. We do not enter into derivative transactions for speculative or trading purposes. As our existing interest rate swaps mature, our exposure to changes in interest rates on our floating rate debt will increase to the extent we do not enter into new interest rate swap contracts.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First Lien Revolving Credit Facility, which has $100.0 million outstanding as of June 30, 2026, has a variable interest rate whereby the Company can elect to use a Base Rate or SOFR plus an applicable rate. The applicable margin is 1.00% to 1.25% for Base Rate loans. The applicable margin for SOFR loans is 2.10% to 2.35%, which includes the credit spread adjustment of 0.1%, depending on the Company’s Consolidated First Lien Net Leverage Ratio. The effective interest rate on the First Lien Revolving Credit Facility was 5.82% and 6.12% as of June 30, 2026 and December 31, 2025, respectively.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total net leverage ratio to Adjusted EBITDA is defined as total contractual maturity of outstanding indebtedness less cash, cash equivalents, and investments (as applicable), divided by trailing twelve months Adjusted EBITDA. Adjusted EBITDA for the twelve months ended June 30, 2026 was $493.9 million. Our total net leverage ratio to Adjusted EBITDA as of June 30, 2026 was 2.3x.</w:t>
      </w:r>
    </w:p>
    <w:tbl>
      <w:tblPr>
        <w:tblW w:w="5720" w:type="dxa"/>
        <w:jc w:val="left"/>
        <w:tblInd w:w="0" w:type="dxa"/>
        <w:tblLayout w:type="fixed"/>
        <w:tblCellMar>
          <w:top w:w="28" w:type="dxa"/>
          <w:left w:w="28" w:type="dxa"/>
          <w:bottom w:w="28" w:type="dxa"/>
          <w:right w:w="28" w:type="dxa"/>
        </w:tblCellMar>
      </w:tblPr>
      <w:tblGrid>
        <w:gridCol w:w="1659"/>
        <w:gridCol w:w="1458"/>
        <w:gridCol w:w="1472"/>
        <w:gridCol w:w="211"/>
        <w:gridCol w:w="766"/>
        <w:gridCol w:w="154"/>
      </w:tblGrid>
      <w:tr>
        <w:trPr/>
        <w:tc>
          <w:tcPr>
            <w:tcW w:w="165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leverage ratios)</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maturity of outstanding indebtedness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 and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contractual maturity of outstanding indebtedness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Trailing Twelve Months (TTM) Adjusted EBITDA</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leverage ratio to Adjusted EBITDA</w:t>
            </w:r>
          </w:p>
        </w:tc>
        <w:tc>
          <w:tcPr>
            <w:tcW w:w="113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2.3x</w:t>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Consolidated First Lien Net Leverage Ratio is defined in the agreement governing our existing first lien credit facilities (the “First Lien Credit Agreement”) as total contractual maturity of outstanding First Lien indebtedness less cash, cash equivalents and investments (as applicable),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twelve months ended June 30, 2026 was $489.2 million. Our Consolidated First Lien Net Leverage Ratio as of June 30, 2026 was 1.1x.</w:t>
      </w:r>
    </w:p>
    <w:tbl>
      <w:tblPr>
        <w:tblW w:w="5376" w:type="dxa"/>
        <w:jc w:val="left"/>
        <w:tblInd w:w="0" w:type="dxa"/>
        <w:tblLayout w:type="fixed"/>
        <w:tblCellMar>
          <w:top w:w="28" w:type="dxa"/>
          <w:left w:w="28" w:type="dxa"/>
          <w:bottom w:w="28" w:type="dxa"/>
          <w:right w:w="28" w:type="dxa"/>
        </w:tblCellMar>
      </w:tblPr>
      <w:tblGrid>
        <w:gridCol w:w="1589"/>
        <w:gridCol w:w="1396"/>
        <w:gridCol w:w="1410"/>
        <w:gridCol w:w="211"/>
        <w:gridCol w:w="616"/>
        <w:gridCol w:w="154"/>
      </w:tblGrid>
      <w:tr>
        <w:trPr/>
        <w:tc>
          <w:tcPr>
            <w:tcW w:w="15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leverage ratios)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maturity of First Lien indebtedness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 and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contractual maturity of First Lien indebtedness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Trailing Twelve Months (TTM) Cash EBITDA</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First Lien Net Leverage Ratio</w:t>
            </w:r>
          </w:p>
        </w:tc>
        <w:tc>
          <w:tcPr>
            <w:tcW w:w="98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17245"/>
                <wp:effectExtent l="0" t="0" r="0" b="0"/>
                <wp:wrapNone/>
                <wp:docPr id="55" name="Frame55"/>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total net leverage ratio to Cash EBITDA (defined as Consolidated EBITDA in our Credit Agreements) is defined as total contractual maturity of outstanding indebtedness less cash, cash equivalents, and investments (as applicable), divided by trailing twelve months Cash EBITDA. Cash EBITDA for the twelve months ended June 30, 2026 was $489.2 million. Our total net leverage ratio to Cash EBITDA as of June 30, 2026 was 2.3x.</w:t>
      </w:r>
    </w:p>
    <w:tbl>
      <w:tblPr>
        <w:tblW w:w="5720" w:type="dxa"/>
        <w:jc w:val="left"/>
        <w:tblInd w:w="0" w:type="dxa"/>
        <w:tblLayout w:type="fixed"/>
        <w:tblCellMar>
          <w:top w:w="28" w:type="dxa"/>
          <w:left w:w="28" w:type="dxa"/>
          <w:bottom w:w="28" w:type="dxa"/>
          <w:right w:w="28" w:type="dxa"/>
        </w:tblCellMar>
      </w:tblPr>
      <w:tblGrid>
        <w:gridCol w:w="1659"/>
        <w:gridCol w:w="1458"/>
        <w:gridCol w:w="1472"/>
        <w:gridCol w:w="211"/>
        <w:gridCol w:w="766"/>
        <w:gridCol w:w="154"/>
      </w:tblGrid>
      <w:tr>
        <w:trPr/>
        <w:tc>
          <w:tcPr>
            <w:tcW w:w="165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leverage ratios)</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maturity of outstanding indebtedness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 and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contractual maturity of outstanding indebtedness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Trailing Twelve Months (TTM) Cash EBITDA</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leverage ratio to Cash EBITDA</w:t>
            </w:r>
          </w:p>
        </w:tc>
        <w:tc>
          <w:tcPr>
            <w:tcW w:w="113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2.3x</w:t>
            </w:r>
          </w:p>
        </w:tc>
      </w:tr>
    </w:tbl>
    <w:tbl>
      <w:tblPr>
        <w:tblW w:w="6720" w:type="dxa"/>
        <w:jc w:val="left"/>
        <w:tblInd w:w="0" w:type="dxa"/>
        <w:tblLayout w:type="fixed"/>
        <w:tblCellMar>
          <w:top w:w="28" w:type="dxa"/>
          <w:left w:w="28" w:type="dxa"/>
          <w:bottom w:w="28" w:type="dxa"/>
          <w:right w:w="28" w:type="dxa"/>
        </w:tblCellMar>
      </w:tblPr>
      <w:tblGrid>
        <w:gridCol w:w="1477"/>
        <w:gridCol w:w="1300"/>
        <w:gridCol w:w="1303"/>
        <w:gridCol w:w="527"/>
        <w:gridCol w:w="1728"/>
        <w:gridCol w:w="385"/>
      </w:tblGrid>
      <w:tr>
        <w:trPr/>
        <w:tc>
          <w:tcPr>
            <w:tcW w:w="147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Trailing Twelve Months as of</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5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(541.0)</w:t>
            </w:r>
          </w:p>
        </w:tc>
        <w:tc>
          <w:tcPr>
            <w:tcW w:w="3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Depreciation expense</w:t>
            </w:r>
            <w:r>
              <w:rPr>
                <w:rFonts w:ascii="Times New Roman;serif" w:hAnsi="Times New Roman;serif"/>
                <w:b w:val="false"/>
                <w:color w:val="000000"/>
                <w:sz w:val="13"/>
              </w:rPr>
              <w:t>(1)</w:t>
            </w:r>
          </w:p>
        </w:tc>
        <w:tc>
          <w:tcPr>
            <w:tcW w:w="2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2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income, net</w:t>
            </w:r>
            <w:r>
              <w:rPr>
                <w:rFonts w:ascii="Times New Roman;serif" w:hAnsi="Times New Roman;serif"/>
                <w:b w:val="false"/>
                <w:color w:val="000000"/>
                <w:sz w:val="13"/>
              </w:rPr>
              <w:t>(2)</w:t>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2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and transaction-related expenses</w:t>
            </w:r>
            <w:r>
              <w:rPr>
                <w:rFonts w:ascii="Times New Roman;serif" w:hAnsi="Times New Roman;serif"/>
                <w:b w:val="false"/>
                <w:color w:val="000000"/>
                <w:sz w:val="13"/>
              </w:rPr>
              <w:t>(3)</w:t>
            </w:r>
          </w:p>
        </w:tc>
        <w:tc>
          <w:tcPr>
            <w:tcW w:w="2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Litigation settlement</w:t>
            </w:r>
            <w:r>
              <w:rPr>
                <w:rFonts w:ascii="Times New Roman;serif" w:hAnsi="Times New Roman;serif"/>
                <w:b w:val="false"/>
                <w:color w:val="000000"/>
                <w:sz w:val="13"/>
              </w:rPr>
              <w:t>(4)</w:t>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5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493.9 </w:t>
            </w:r>
          </w:p>
        </w:tc>
        <w:tc>
          <w:tcPr>
            <w:tcW w:w="3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 adjustment</w:t>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rent adjustment</w:t>
            </w:r>
          </w:p>
        </w:tc>
        <w:tc>
          <w:tcPr>
            <w:tcW w:w="2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lender adjustments</w:t>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EBITDA (Non-GAAP)</w:t>
            </w:r>
          </w:p>
        </w:tc>
        <w:tc>
          <w:tcPr>
            <w:tcW w:w="5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38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(1)Amounts exclude the depreciation associated with lease restructuring activities.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(2)Primarily represents revaluations on the TRA liability, foreign currency remeasurement (gain) loss and investment income.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(3)Represents costs directly associated with acquisition or disposal activities, including employee severance and termination benefits, contract termination fees and penalties, and other exit or disposal costs. For the trailing twelve months ended June 30, 2026, this expense related primarily to lease restructuring activities, including right-of-use asset and the related leasehold improvements impairment charges, and expense and other transition-related costs from the 2026 Restructuring Program.</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(4)Represents charges associated with legal settlements and associated legal fees related to class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17245"/>
                <wp:effectExtent l="0" t="0" r="0" b="0"/>
                <wp:wrapNone/>
                <wp:docPr id="56" name="Frame56"/>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Capital Expenditures</w:t>
      </w:r>
    </w:p>
    <w:tbl>
      <w:tblPr>
        <w:tblW w:w="6786" w:type="dxa"/>
        <w:jc w:val="left"/>
        <w:tblInd w:w="0" w:type="dxa"/>
        <w:tblLayout w:type="fixed"/>
        <w:tblCellMar>
          <w:top w:w="28" w:type="dxa"/>
          <w:left w:w="28" w:type="dxa"/>
          <w:bottom w:w="28" w:type="dxa"/>
          <w:right w:w="28" w:type="dxa"/>
        </w:tblCellMar>
      </w:tblPr>
      <w:tblGrid>
        <w:gridCol w:w="657"/>
        <w:gridCol w:w="575"/>
        <w:gridCol w:w="583"/>
        <w:gridCol w:w="253"/>
        <w:gridCol w:w="612"/>
        <w:gridCol w:w="130"/>
        <w:gridCol w:w="130"/>
        <w:gridCol w:w="130"/>
        <w:gridCol w:w="130"/>
        <w:gridCol w:w="253"/>
        <w:gridCol w:w="612"/>
        <w:gridCol w:w="130"/>
        <w:gridCol w:w="109"/>
        <w:gridCol w:w="109"/>
        <w:gridCol w:w="109"/>
        <w:gridCol w:w="261"/>
        <w:gridCol w:w="503"/>
        <w:gridCol w:w="137"/>
        <w:gridCol w:w="109"/>
        <w:gridCol w:w="109"/>
        <w:gridCol w:w="109"/>
        <w:gridCol w:w="211"/>
        <w:gridCol w:w="211"/>
        <w:gridCol w:w="614"/>
      </w:tblGrid>
      <w:tr>
        <w:trPr/>
        <w:tc>
          <w:tcPr>
            <w:tcW w:w="65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due to higher capitalization of internal use developed software and incremental spend related to facilities.</w:t>
      </w: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Tax Receivable Agreements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information related to our TRA, refer to Note 15 - Tax Receivable Agreements in our 2025 Form 10-K.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a liability of $2,726.4 million related to its projected obligations under the TRA. No payments were made to TRA holders pursuant to the TRA during the six months ended June 30, 2026 and 2025.</w:t>
      </w: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as set forth above and in Note 9 - Commitments and Contingencies of the notes to our unaudited consolidated financial statements included elsewhere in this Quarterly Report on Form 10-Q, there have been no material changes outside of the ordinary course of business in the contractual obligations and commitments disclosed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and accompanying notes are prepared in accordance with accounting principles generally accepted in the United States of America (“U.S. GAAP”). Our critical accounting policies are those that we believe have the most significant impact to the presentation of our financial position and results of operations and that require the most difficult, subjective, or complex judgments. In many cases, the accounting treatment of a transaction is specifically dictated by U.S. GAAP with no need for the application of judgment.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certain circumstances, however, 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compared to the critical accounting policies and estimates described under “Management’s Discussion and Analysis of Financial Condition and Results of Operations” in Part II, Item 7 of our 2025 Form 10-K, except as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17245"/>
                <wp:effectExtent l="0" t="0" r="0" b="0"/>
                <wp:wrapNone/>
                <wp:docPr id="57" name="Frame57"/>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Impairment and Abandonment of Long-lived Assets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calculated as the excess of the fair value of purchase consideration paid in a business combination over the fair value of the assets acquired less liabilities assumed. Goodwill is not amortized and is tested for impairment at least annually during the fourth quarter of our fiscal year or when events and circumstances indicate that the fair value of a reporting unit may be below its carrying value. The Company has one reporting unit.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Acquired technology, customer relationships, trade names or brand portfolios, and other intangible assets are related to historical acquisitions (refer to Note 5 - Goodwill and Acquired Intangible Assets). Acquired intangible assets are amortized on a straight-line basis over the estimated period over which we expect to realize economic value related to the intangible asset. The amortization periods generally range from 2 years to 15 years. Any costs incurred to renew or extend the life of an intangible or long-lived asset are reviewed for capitalization.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Indefinite-lived intangible assets consist of brand portfolios acquired from Pre-Acquisition ZI and represent costs paid to legally register phrases and graphic designs that identify and distinguish products sold by the Company. Indefinite-lived intangible assets are not subject to amortization. Instead, they are subject to an annual assessment for potential impairment, or more frequently upon the occurrence of a triggering event when circumstances indicate that the book value is greater than its fair value. The Company first assesses qualitative factors to determine whether it is more likely than not that the fair value of the indefinite-lived intangible asset is less than the carrying value as a basis to determine whether further impairment testing is necessary.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a sustained decrease in the Company’s stock price, industry considerations, and a decline in planned revenues and earnings as a result of key changes in strategy during the second quarter of 2026, the Company performed a test of its goodwill and other intangible assets for impairment in connection with the preparation of its financial statements for the quarterly period ended June 30, 2026. The Company recorded a goodwill impairment charge of $650.5 million during the three and six months ended June 30, 2026. There was no impairment identified on our other indefinite-lived intangible assets.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valuation of goodwill is a critical accounting estimate that requires significant judgment and is subject to a high degree of uncertainty, as it requires the application of significant estimates and the use of unobservable inputs, including forecasted revenues and earnings, comparable company valuation multiples, terminal growth rates, and discount rates. These estimates and inputs change over time based on operating results, market conditions, and other factors, and could materially affect the determination of fair value and the results of future goodwill impairment assessments.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the reporting unit using an equal weighting of an income and a market approach. The Company assesses the appropriateness of projected financial information and multiples by comparing projected growth rates, operating margins and capital expenditures, as well as the terminal value of the Company at the end of the projection period to historical performance, industry data, and selected guideline companies.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a remaining goodwill balance of $1,042.2 million. Refer to Note 5 - Goodwill and Acquired Intangible Assets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1 - Business, Basis of Presentation, and Summary of Significant Accounting Policies of our unaudited consolidated financial statements included in Part I, Item 1 of this Form 10-Q regarding recently issued accounting pronouncements.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17245"/>
                <wp:effectExtent l="0" t="0" r="0" b="0"/>
                <wp:wrapNone/>
                <wp:docPr id="58" name="Frame58"/>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operations in the United States and internationally, and we are exposed to market risk in the ordinary course of business.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Inflation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direct effect on our business, financial condition, or results of operations. Our business, financial condition, or results of operations may be impacted by macroeconomic conditions, including underlying factors such as inflation. See “Risk Factors - Risks Related to Geopolitical and Macroeconomic Factors” in Part I, Item 1A of our 2025 Form 10-K for further discussion of the possible impact of these issues on our business.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operating results are subject to market risk from interest rate fluctuations on both our First Lien Term Loan and First Lien Revolving Credit Facility, which bear a variable interest rate based on SOFR. As of June 30, 2026, the total principal balance outstanding on our First Lien Term Loan was $579.2 million. We have implemented a hedging strategy to mitigate the interest rate risk on our First Lien Term Loan by entering into certain derivative instruments (refer to Note 7 - Derivatives and Hedging Activities of our unaudited consolidated financial statements included in Part I, Item 1 of this Form 10-Q). Based on the outstanding balances and interest rates of our debt as of June 30, 2026, a hypothetical relative increase or decrease in our effective interest rate by 100 basis points or 1% would have caused an immaterial corresponding change over the next 12 months.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from time to time, we have de-designated certain cash flow hedging relationships due to repricing of the terms and partial prepayment of the outstanding principal of our First Lien Term Loan since loan inception. As of June 30, 2026, all cash flow hedging relationships are designated as accounting hedges.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Foreign Currency Exchange Rate Risk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date, our sales contracts have primarily been denominated in U.S. dollars. We have foreign entities established in Israel, Canada, the United Kingdom, India, and Ireland. The functional currency of these foreign subsidiaries is the U.S. dollar. A stronger U.S. dollar could make our solution more expensive outside the United States and therefore reduce demand, while a weaker U.S. dollar could have the opposite effect. Such economic exposure to currency fluctuations is difficult to measure or predict because our sales are influenced by many factors in addition to the impact of currency fluctuations.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manage the foreign currency exchange rate risk and to reduce the volatility associated with the fluctuation of foreign currencies, we may use foreign exchange forward contracts or other financial instruments from time to time to mitigate potential adverse effects on our financial results from significant currency movements.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w:t>
      </w:r>
      <w:r>
        <w:rPr>
          <w:rFonts w:ascii="Times New Roman;serif" w:hAnsi="Times New Roman;serif"/>
          <w:b w:val="false"/>
          <w:i/>
          <w:color w:val="000000"/>
          <w:sz w:val="20"/>
        </w:rPr>
        <w:t xml:space="preserve">Other income, net </w:t>
      </w:r>
      <w:r>
        <w:rPr>
          <w:rFonts w:ascii="Times New Roman;serif" w:hAnsi="Times New Roman;serif"/>
          <w:b w:val="false"/>
          <w:color w:val="000000"/>
          <w:sz w:val="20"/>
        </w:rPr>
        <w:t>on our Consolidated Statements of Operations. Although the impact of currency fluctuations on our financial results has been immaterial in the past and we believe that for the reasons cited above, currency fluctuations will not be significant in the future, there can be no guarantee that the impact of currency fluctuations or our hedging activities will not be material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17245"/>
                <wp:effectExtent l="0" t="0" r="0" b="0"/>
                <wp:wrapNone/>
                <wp:docPr id="59" name="Frame59"/>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financial instruments that are exposed to concentrations of credit risk consist primarily of cash and cash equivalents, investments, and trade and other receivables. We hold cash deposits with reputable financial institutions that often exceed federally insured limits. We manage our credit risk by concentrating our cash deposits with multiple high-quality financial institutions and periodically evaluating the credit quality of those institutions. The carrying value of cash approximates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30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on Form 10-Q,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June 30, 2026 to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Inherent Limitations on Effectiveness of Controls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17245"/>
                <wp:effectExtent l="0" t="0" r="0" b="0"/>
                <wp:wrapNone/>
                <wp:docPr id="60" name="Frame60"/>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description of certain legal and regulatory proceedings, please read “Legal Matters” in Note 9 - Commitments and Contingencies to our unaudited consolidated financial statements included in Part I, Item 1 of this Form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300" w:before="18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various risks that could have a material adverse impact on our business, financial position, results of operations or cash flows. Although it is not possible to predict or identify all such risks and uncertainties, they may include, but are not limited to, the factors discussed under “Risk Factors” in Part I, Item 1A of our 2025 Form 10-K. Additional risks and uncertainties not currently known to us or that we currently deem to be immaterial may also materially adversely affect our financial position, results of operations or cash flows. There have been no material changes to the risk factors included in our 2025 Form 10-K, except as noted below:</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Over time, we expect to introduce products, features, and services, or otherwise implement pricing and packaging models, which could adversely affect our business, operating results, financial condition, and future prospects.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time, we expect to introduce products, features, and services, or to otherwise implement pricing and packaging models as our platform, our offerings and our customer preferences evolve. For example, we intend to launch a hybrid pricing model during the third quarter of 2026 that pairs a lower annual platform fee with pre-purchased data credits rather than our traditional platform, plus seat-based packages.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cannot provide assurance that our hybrid or credit-based pricing model will achieve market acceptance, that customer demand and actual usage of our data and services under this model will develop or grow as expected, that revenues generated under this model will meet our expectations, or that any revenue growth will be sustainable or indicative of continued customer demand or broad adoption of this model. While we expect most customers to transition at similar price points, with some moving lower and some higher, this shift may create a near-term revenue headwind and introduces variability in the timing of revenue recognition, driven by the timing of credit consumption relative to credit allowances. Any of the foregoing could adversely affect our business, operating results, financial condition, and future prospects.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credit-based, usage-based, or outcome-based billing models increase the complexity of accurately measuring and charging for product usage, and may increase the risk of billing disputes, reduced collectability, refunds, chargebacks, and regulatory scrutiny. Errors or perceived errors in our usage measurement, billing calculations, invoicing, proration, credits, or refund processes could result in customer dissatisfaction, disputes, non-payment, increased customer support costs, and harm to our reputation. In addition, increased reliance on credit-based, usage-based, or outcome-based billing models could increase the complexity of applying revenue recognition guidance to our contracts. If we experience higher-than-expected credits, refunds, disputes, or price concessions, or if we are required to increase reserves for uncollectible amounts, our reported revenue, deferred revenue, operating cash flows, and period-to-period comparability could be adversely affected. Credit-based, usage-based, or outcome-based arrangements may also shift a greater portion of our billings and collections to later periods (including after usage is incurred), which could increase accounts receivable balances, collection risk, and working capital needs and reduce our visibility into near-term results. All of the foregoing may make it more difficult to accurately forecast our operations.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Our previous and any future restructuring efforts, including the 2026 Restructuring Program, may not result in the anticipated savings or operational efficiencies we expected, could result in greater total costs and expenses than we estimated, and could disrupt our business.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undertaken, and may undertake from time to time in the future, certain restructuring efforts to drive more efficient growth and advance our strategic initiatives. We may not realize, in full or in part, the anticipated benefits and savings from these restructuring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17245"/>
                <wp:effectExtent l="0" t="0" r="0" b="0"/>
                <wp:wrapNone/>
                <wp:docPr id="61" name="Frame61"/>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these restructuring efforts may be disruptive to our operations. For example, headcount reductions could yield unanticipated consequences, such as attrition beyond planned staff reductions, increased difficulties in our day-to-day operations and reduced employee morale. If employees who were not affected by a reduction in headcount seek alternative employment, this could result in unplanned additional expense to ensure adequate resourcing or harm our productivity. These headcount reductions could also harm our ability to attract and retain qualified management, sales, marketing, engineering, and other personnel who are critical to our business. If we are unable to realize the expected operational efficiencies and cost savings from our restructuring, our operating results and financial condition would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with respect to shares of common stock purchased by the Company during the periods indicated:</w:t>
      </w:r>
    </w:p>
    <w:tbl>
      <w:tblPr>
        <w:tblW w:w="10205" w:type="dxa"/>
        <w:jc w:val="left"/>
        <w:tblInd w:w="0" w:type="dxa"/>
        <w:tblLayout w:type="fixed"/>
        <w:tblCellMar>
          <w:top w:w="28" w:type="dxa"/>
          <w:left w:w="28" w:type="dxa"/>
          <w:bottom w:w="28" w:type="dxa"/>
          <w:right w:w="28" w:type="dxa"/>
        </w:tblCellMar>
      </w:tblPr>
      <w:tblGrid>
        <w:gridCol w:w="270"/>
        <w:gridCol w:w="237"/>
        <w:gridCol w:w="238"/>
        <w:gridCol w:w="709"/>
        <w:gridCol w:w="474"/>
        <w:gridCol w:w="476"/>
        <w:gridCol w:w="109"/>
        <w:gridCol w:w="109"/>
        <w:gridCol w:w="109"/>
        <w:gridCol w:w="348"/>
        <w:gridCol w:w="845"/>
        <w:gridCol w:w="181"/>
        <w:gridCol w:w="109"/>
        <w:gridCol w:w="109"/>
        <w:gridCol w:w="109"/>
        <w:gridCol w:w="957"/>
        <w:gridCol w:w="730"/>
        <w:gridCol w:w="732"/>
        <w:gridCol w:w="109"/>
        <w:gridCol w:w="109"/>
        <w:gridCol w:w="109"/>
        <w:gridCol w:w="563"/>
        <w:gridCol w:w="2046"/>
        <w:gridCol w:w="418"/>
      </w:tblGrid>
      <w:tr>
        <w:trPr/>
        <w:tc>
          <w:tcPr>
            <w:tcW w:w="2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165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Total Number of Shares Purchased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Total Number of Shares Purchased as Part of Publicly Announced Plans or Programs</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Maximum Number (or Approximate Dollar Value) of Shares that May Yet be Purchased Under the Plan or Programs (in millions)</w:t>
            </w:r>
          </w:p>
        </w:tc>
      </w:tr>
      <w:tr>
        <w:trPr/>
        <w:tc>
          <w:tcPr>
            <w:tcW w:w="7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2026</w:t>
            </w:r>
          </w:p>
        </w:tc>
        <w:tc>
          <w:tcPr>
            <w:tcW w:w="11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3,164,926 </w:t>
            </w:r>
          </w:p>
        </w:tc>
        <w:tc>
          <w:tcPr>
            <w:tcW w:w="4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3,164,926 </w:t>
            </w:r>
          </w:p>
        </w:tc>
        <w:tc>
          <w:tcPr>
            <w:tcW w:w="7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1,121.4 </w:t>
            </w:r>
          </w:p>
        </w:tc>
        <w:tc>
          <w:tcPr>
            <w:tcW w:w="4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2026</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597,549 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596,791 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1,118.8 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2,491,796 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2,491,796 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1,111.9 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3"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6,254,271 </w:t>
            </w:r>
          </w:p>
        </w:tc>
        <w:tc>
          <w:tcPr>
            <w:tcW w:w="476"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6,253,513 </w:t>
            </w:r>
          </w:p>
        </w:tc>
        <w:tc>
          <w:tcPr>
            <w:tcW w:w="732"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(1)Shares that were not purchased as part of publicly announced plans or programs were acquired through the withholding of shares to satisfy tax withholding obligations incurred upon the vesting of HSKB phantom units awarded under the HSKB Funds, LLC 2019 Phantom Unit Plan.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(2)In March 2023, the Board authorized a program to repurchase the Company’s common stock (the “Share Repurchase Program”). In February 2026, the Board authorized an additional $1.0 billion bringing the aggregate total authorizations as of June 30, 2026 to $2.6 billion. 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300" w:before="18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300" w:before="18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300" w:before="18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17245"/>
                <wp:effectExtent l="0" t="0" r="0" b="0"/>
                <wp:wrapNone/>
                <wp:docPr id="62" name="Frame62"/>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300"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tbl>
      <w:tblPr>
        <w:tblW w:w="10205" w:type="dxa"/>
        <w:jc w:val="left"/>
        <w:tblInd w:w="0" w:type="dxa"/>
        <w:tblLayout w:type="fixed"/>
        <w:tblCellMar>
          <w:top w:w="28" w:type="dxa"/>
          <w:left w:w="28" w:type="dxa"/>
          <w:bottom w:w="28" w:type="dxa"/>
          <w:right w:w="28" w:type="dxa"/>
        </w:tblCellMar>
      </w:tblPr>
      <w:tblGrid>
        <w:gridCol w:w="353"/>
        <w:gridCol w:w="309"/>
        <w:gridCol w:w="311"/>
        <w:gridCol w:w="1635"/>
        <w:gridCol w:w="1635"/>
        <w:gridCol w:w="1639"/>
        <w:gridCol w:w="526"/>
        <w:gridCol w:w="526"/>
        <w:gridCol w:w="528"/>
        <w:gridCol w:w="527"/>
        <w:gridCol w:w="527"/>
        <w:gridCol w:w="529"/>
        <w:gridCol w:w="337"/>
        <w:gridCol w:w="337"/>
        <w:gridCol w:w="486"/>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4909" w:type="dxa"/>
            <w:gridSpan w:val="3"/>
            <w:tcBorders/>
            <w:tcMar>
              <w:top w:w="0" w:type="dxa"/>
              <w:left w:w="0" w:type="dxa"/>
              <w:bottom w:w="0" w:type="dxa"/>
              <w:right w:w="0" w:type="dxa"/>
            </w:tcMar>
            <w:vAlign w:val="center"/>
          </w:tcPr>
          <w:p>
            <w:pPr>
              <w:pStyle w:val="TableContents"/>
              <w:bidi w:val="0"/>
              <w:spacing w:lineRule="auto" w:line="288" w:before="180" w:after="180"/>
              <w:ind w:left="0" w:right="0" w:firstLine="360"/>
              <w:jc w:val="center"/>
              <w:rPr>
                <w:rFonts w:ascii="Times New Roman;serif" w:hAnsi="Times New Roman;serif"/>
                <w:b/>
                <w:color w:val="000000"/>
                <w:sz w:val="20"/>
              </w:rPr>
            </w:pPr>
            <w:r>
              <w:rPr>
                <w:rFonts w:ascii="Times New Roman;serif" w:hAnsi="Times New Roman;serif"/>
                <w:b/>
                <w:color w:val="000000"/>
                <w:sz w:val="20"/>
              </w:rPr>
              <w:t>Description</w:t>
            </w:r>
          </w:p>
        </w:tc>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Report or Registration Statement</w:t>
            </w:r>
          </w:p>
        </w:tc>
        <w:tc>
          <w:tcPr>
            <w:tcW w:w="15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SEC File or Registration Number</w:t>
            </w:r>
          </w:p>
        </w:tc>
        <w:tc>
          <w:tcPr>
            <w:tcW w:w="1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Reference</w:t>
            </w:r>
          </w:p>
        </w:tc>
      </w:tr>
      <w:tr>
        <w:trPr/>
        <w:tc>
          <w:tcPr>
            <w:tcW w:w="97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49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6"/>
                  <w:u w:val="single"/>
                </w:rPr>
                <w:t>Second Amended and Restated Certificate of Incorporation of ZoomInfo Technologies Inc.</w:t>
              </w:r>
            </w:hyperlink>
          </w:p>
        </w:tc>
        <w:tc>
          <w:tcPr>
            <w:tcW w:w="15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8-K filed May 19, 2022</w:t>
            </w:r>
          </w:p>
        </w:tc>
        <w:tc>
          <w:tcPr>
            <w:tcW w:w="158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001-39310</w:t>
            </w:r>
          </w:p>
        </w:tc>
        <w:tc>
          <w:tcPr>
            <w:tcW w:w="11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6"/>
                  <w:u w:val="single"/>
                </w:rPr>
                <w:t>Amended and Restated Bylaws of ZoomInfo Technologies Inc.</w:t>
              </w:r>
            </w:hyperlink>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10-Q filed October 30, 2023</w:t>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001-39310</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6"/>
                  <w:u w:val="single"/>
                </w:rPr>
                <w:t xml:space="preserve">Indenture, dated as of February 2, 2021, by and among ZoomInfo Technologies LLC, ZoomInfo Finance Corp., the guarantors named on the signature pages thereto, and Wells Fargo National Association, as trustee </w:t>
              </w:r>
            </w:hyperlink>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8-K filed July 15, 2021</w:t>
            </w:r>
          </w:p>
        </w:tc>
        <w:tc>
          <w:tcPr>
            <w:tcW w:w="1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001-39310</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16"/>
                  <w:u w:val="single"/>
                </w:rPr>
                <w:t>Supplemental Indenture, dated as of July 15, 2021, by and among ZoomInfo Technologies LLC, ZoomInfo Finance Corp., the guarantors named on the signature pages thereto, and Wells Fargo National Association, as trustee</w:t>
              </w:r>
            </w:hyperlink>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8-K filed July 15, 2021</w:t>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001-39310</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16"/>
                  <w:u w:val="single"/>
                </w:rPr>
                <w:t>Form of 3.875% Senior Note due 2029 (included in Exhibit 4.1)</w:t>
              </w:r>
            </w:hyperlink>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8-K filed July 15, 2021</w:t>
            </w:r>
          </w:p>
        </w:tc>
        <w:tc>
          <w:tcPr>
            <w:tcW w:w="1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001-39310</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+ 10.1†</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gtm-ex101x20260630.htm">
              <w:r>
                <w:rPr>
                  <w:rStyle w:val="InternetLink"/>
                  <w:rFonts w:ascii="Times New Roman;serif" w:hAnsi="Times New Roman;serif"/>
                  <w:b w:val="false"/>
                  <w:color w:val="000080"/>
                  <w:sz w:val="16"/>
                  <w:u w:val="single"/>
                </w:rPr>
                <w:t>Amendment No</w:t>
              </w:r>
            </w:hyperlink>
            <w:hyperlink w:anchor="gtm-ex101x20260630.htm">
              <w:r>
                <w:rPr>
                  <w:rStyle w:val="InternetLink"/>
                  <w:rFonts w:ascii="Times New Roman;serif" w:hAnsi="Times New Roman;serif"/>
                  <w:b w:val="false"/>
                  <w:color w:val="000080"/>
                  <w:sz w:val="16"/>
                  <w:u w:val="single"/>
                </w:rPr>
                <w:t xml:space="preserve">.2 </w:t>
              </w:r>
            </w:hyperlink>
            <w:hyperlink w:anchor="gtm-ex101x20260630.htm">
              <w:r>
                <w:rPr>
                  <w:rStyle w:val="InternetLink"/>
                  <w:rFonts w:ascii="Times New Roman;serif" w:hAnsi="Times New Roman;serif"/>
                  <w:b w:val="false"/>
                  <w:color w:val="000080"/>
                  <w:sz w:val="16"/>
                  <w:u w:val="single"/>
                </w:rPr>
                <w:t>t</w:t>
              </w:r>
            </w:hyperlink>
            <w:hyperlink w:anchor="gtm-ex101x20260630.htm">
              <w:r>
                <w:rPr>
                  <w:rStyle w:val="InternetLink"/>
                  <w:rFonts w:ascii="Times New Roman;serif" w:hAnsi="Times New Roman;serif"/>
                  <w:b w:val="false"/>
                  <w:color w:val="000080"/>
                  <w:sz w:val="16"/>
                  <w:u w:val="single"/>
                </w:rPr>
                <w:t xml:space="preserve">o </w:t>
              </w:r>
            </w:hyperlink>
            <w:hyperlink w:anchor="gtm-ex101x20260630.htm">
              <w:r>
                <w:rPr>
                  <w:rStyle w:val="InternetLink"/>
                  <w:rFonts w:ascii="Times New Roman;serif" w:hAnsi="Times New Roman;serif"/>
                  <w:b w:val="false"/>
                  <w:color w:val="000080"/>
                  <w:sz w:val="16"/>
                  <w:u w:val="single"/>
                </w:rPr>
                <w:t>t</w:t>
              </w:r>
            </w:hyperlink>
            <w:hyperlink w:anchor="gtm-ex101x20260630.htm">
              <w:r>
                <w:rPr>
                  <w:rStyle w:val="InternetLink"/>
                  <w:rFonts w:ascii="Times New Roman;serif" w:hAnsi="Times New Roman;serif"/>
                  <w:b w:val="false"/>
                  <w:color w:val="000080"/>
                  <w:sz w:val="16"/>
                  <w:u w:val="single"/>
                </w:rPr>
                <w:t>he ZoomInfo Technologies Inc. 2020 Emplo</w:t>
              </w:r>
            </w:hyperlink>
            <w:hyperlink w:anchor="gtm-ex101x20260630.htm">
              <w:r>
                <w:rPr>
                  <w:rStyle w:val="InternetLink"/>
                  <w:rFonts w:ascii="Times New Roman;serif" w:hAnsi="Times New Roman;serif"/>
                  <w:b w:val="false"/>
                  <w:color w:val="000080"/>
                  <w:sz w:val="16"/>
                  <w:u w:val="single"/>
                </w:rPr>
                <w:t xml:space="preserve">yee Stock </w:t>
              </w:r>
            </w:hyperlink>
            <w:hyperlink w:anchor="gtm-ex101x20260630.htm">
              <w:r>
                <w:rPr>
                  <w:rStyle w:val="InternetLink"/>
                  <w:rFonts w:ascii="Times New Roman;serif" w:hAnsi="Times New Roman;serif"/>
                  <w:b w:val="false"/>
                  <w:color w:val="000080"/>
                  <w:sz w:val="16"/>
                  <w:u w:val="single"/>
                </w:rPr>
                <w:t>Purchase Plan</w:t>
              </w:r>
            </w:hyperlink>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+ 10.2†</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gtm-ex102x20260630.htm">
              <w:r>
                <w:rPr>
                  <w:rStyle w:val="InternetLink"/>
                  <w:rFonts w:ascii="Times New Roman;serif" w:hAnsi="Times New Roman;serif"/>
                  <w:b w:val="false"/>
                  <w:color w:val="0000FF"/>
                  <w:sz w:val="16"/>
                  <w:u w:val="single"/>
                </w:rPr>
                <w:t xml:space="preserve">ZoomInfo Technologies Inc. Inducement Equity Incentive Plan </w:t>
              </w:r>
            </w:hyperlink>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+ 10.3†</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gtm-ex103x20260630.htm">
              <w:r>
                <w:rPr>
                  <w:rStyle w:val="InternetLink"/>
                  <w:rFonts w:ascii="Times New Roman;serif" w:hAnsi="Times New Roman;serif"/>
                  <w:b w:val="false"/>
                  <w:color w:val="0000FF"/>
                  <w:sz w:val="16"/>
                  <w:u w:val="single"/>
                </w:rPr>
                <w:t>Form of Restricted Stock Unit Agreement under the Inducement Plan</w:t>
              </w:r>
            </w:hyperlink>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+ 10.4†</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gtm-ex104x20260630.htm">
              <w:r>
                <w:rPr>
                  <w:rStyle w:val="InternetLink"/>
                  <w:rFonts w:ascii="Times New Roman;serif" w:hAnsi="Times New Roman;serif"/>
                  <w:b w:val="false"/>
                  <w:color w:val="0000FF"/>
                  <w:sz w:val="16"/>
                  <w:u w:val="single"/>
                </w:rPr>
                <w:t>Form of Performance Stock Unit Agreement under the Inducement Plan</w:t>
              </w:r>
            </w:hyperlink>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+31.1</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gtm-ex311x20260630.htm">
              <w:r>
                <w:rPr>
                  <w:rStyle w:val="InternetLink"/>
                  <w:rFonts w:ascii="Times New Roman;serif" w:hAnsi="Times New Roman;serif"/>
                  <w:b w:val="false"/>
                  <w:color w:val="0000FF"/>
                  <w:sz w:val="16"/>
                  <w:u w:val="single"/>
                </w:rPr>
                <w:t>Certification of Principal Executive Officer pursuant to Exchange Act Rules 13a-14(a) and 15d-14(a), as adopted pursuant to Section 302 of the Sarbanes-Oxley Act of 2002.</w:t>
              </w:r>
            </w:hyperlink>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gtm-ex312x20260630.htm">
              <w:r>
                <w:rPr>
                  <w:rStyle w:val="InternetLink"/>
                  <w:rFonts w:ascii="Times New Roman;serif" w:hAnsi="Times New Roman;serif"/>
                  <w:b w:val="false"/>
                  <w:color w:val="0000FF"/>
                  <w:sz w:val="16"/>
                  <w:u w:val="single"/>
                </w:rPr>
                <w:t>Certification of Principal Financial Officer pursuant to Exchange Act Rules 13a-14(a) and 15d-14(a), as adopted pursuant to Section 302 of the Sarbanes-Oxley Act of 2002.</w:t>
              </w:r>
            </w:hyperlink>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+32.1*</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gtm-ex321x20260630.htm">
              <w:r>
                <w:rPr>
                  <w:rStyle w:val="InternetLink"/>
                  <w:rFonts w:ascii="Times New Roman;serif" w:hAnsi="Times New Roman;serif"/>
                  <w:b w:val="false"/>
                  <w:color w:val="0000FF"/>
                  <w:sz w:val="16"/>
                  <w:u w:val="single"/>
                </w:rPr>
                <w:t>Certifications of Principal Executive Officer and Principal Financial Officer pursuant to 18 U.S.C. Section 1350, as adopted pursuant to Section 906 of the Sarbanes-Oxley Act of 2002.</w:t>
              </w:r>
            </w:hyperlink>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+101.INS</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w:t>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+101.SCH</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+101.CAL</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+101.DEF</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+101.LAB</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Label Linkbase Document</w:t>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+101.PRE</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(formatted as Inline XBRL and contained in Exhibit 101)</w:t>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color w:val="000000"/>
        </w:rPr>
      </w:pPr>
      <w:r>
        <w:rPr>
          <w:color w:val="000000"/>
        </w:rPr>
        <w:t xml:space="preserve">† </w:t>
      </w:r>
      <w:r>
        <w:rPr>
          <w:rFonts w:ascii="Times New Roman;serif" w:hAnsi="Times New Roman;serif"/>
          <w:b w:val="false"/>
          <w:color w:val="000000"/>
          <w:sz w:val="18"/>
        </w:rPr>
        <w:t>Management contract or compensatory plan or arrangement.</w:t>
      </w:r>
    </w:p>
    <w:p>
      <w:pPr>
        <w:pStyle w:val="TextBody"/>
        <w:bidi w:val="0"/>
        <w:spacing w:lineRule="auto" w:line="300" w:before="180" w:after="160"/>
        <w:jc w:val="both"/>
        <w:rPr>
          <w:rFonts w:ascii="Times New Roman;serif" w:hAnsi="Times New Roman;serif"/>
          <w:b w:val="false"/>
          <w:color w:val="000000"/>
          <w:sz w:val="18"/>
        </w:rPr>
      </w:pPr>
      <w:r>
        <w:rPr>
          <w:rFonts w:ascii="Times New Roman;serif" w:hAnsi="Times New Roman;serif"/>
          <w:b w:val="false"/>
          <w:color w:val="000000"/>
          <w:sz w:val="18"/>
        </w:rPr>
        <w:t>* The certifications attached as Exhibit 32.1, which accompany this Quarterly Report on Form 10-Q,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26745"/>
                <wp:effectExtent l="0" t="0" r="0" b="0"/>
                <wp:wrapNone/>
                <wp:docPr id="63" name="Frame63"/>
                <a:graphic xmlns:a="http://schemas.openxmlformats.org/drawingml/2006/main">
                  <a:graphicData uri="http://schemas.microsoft.com/office/word/2010/wordprocessingShape">
                    <wps:wsp>
                      <wps:cNvSpPr txBox="1"/>
                      <wps:spPr>
                        <a:xfrm>
                          <a:off x="0" y="0"/>
                          <a:ext cx="6480175" cy="6267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180" w:after="180"/>
        <w:jc w:val="both"/>
        <w:rPr/>
      </w:pPr>
      <w:hyperlink w:anchor="i09270d9b522f4202b170aaae4a69cfb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034" w:type="dxa"/>
        <w:jc w:val="right"/>
        <w:tblInd w:w="0" w:type="dxa"/>
        <w:tblLayout w:type="fixed"/>
        <w:tblCellMar>
          <w:top w:w="28" w:type="dxa"/>
          <w:left w:w="28" w:type="dxa"/>
          <w:bottom w:w="28" w:type="dxa"/>
          <w:right w:w="28" w:type="dxa"/>
        </w:tblCellMar>
      </w:tblPr>
      <w:tblGrid>
        <w:gridCol w:w="535"/>
        <w:gridCol w:w="470"/>
        <w:gridCol w:w="470"/>
        <w:gridCol w:w="1329"/>
        <w:gridCol w:w="1329"/>
        <w:gridCol w:w="1901"/>
      </w:tblGrid>
      <w:tr>
        <w:trPr/>
        <w:tc>
          <w:tcPr>
            <w:tcW w:w="53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ind w:left="0" w:right="0" w:hanging="360"/>
              <w:jc w:val="left"/>
              <w:rPr>
                <w:sz w:val="4"/>
                <w:szCs w:val="4"/>
              </w:rPr>
            </w:pPr>
            <w:r>
              <w:rPr>
                <w:sz w:val="4"/>
                <w:szCs w:val="4"/>
              </w:rPr>
            </w:r>
          </w:p>
        </w:tc>
      </w:tr>
      <w:tr>
        <w:trPr/>
        <w:tc>
          <w:tcPr>
            <w:tcW w:w="603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ZOOMINFO TECHNOLOGIES INC.</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5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/s/ M. Graham O’Brien</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Name: M. Graham O’Brien </w:t>
            </w:r>
          </w:p>
          <w:p>
            <w:pPr>
              <w:pStyle w:val="TableContents"/>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1475"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Authorized Signatory)</w:t>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Date: August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17245"/>
                <wp:effectExtent l="0" t="0" r="0" b="0"/>
                <wp:wrapNone/>
                <wp:docPr id="64" name="Frame64"/>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AMENDMENT NO. 2 TO</w:t>
      </w:r>
    </w:p>
    <w:p>
      <w:pPr>
        <w:pStyle w:val="TextBody"/>
        <w:bidi w:val="0"/>
        <w:spacing w:lineRule="auto" w:line="288" w:before="32" w:after="283"/>
        <w:jc w:val="center"/>
        <w:rPr>
          <w:rFonts w:ascii="Times New Roman;serif" w:hAnsi="Times New Roman;serif"/>
          <w:b/>
          <w:color w:val="000000"/>
          <w:sz w:val="22"/>
        </w:rPr>
      </w:pPr>
      <w:r>
        <w:rPr>
          <w:rFonts w:ascii="Times New Roman;serif" w:hAnsi="Times New Roman;serif"/>
          <w:b/>
          <w:color w:val="000000"/>
          <w:sz w:val="22"/>
        </w:rPr>
        <w:t>THE ZOOMINFO TECHNOLOGIES INC.</w:t>
      </w:r>
    </w:p>
    <w:p>
      <w:pPr>
        <w:pStyle w:val="TextBody"/>
        <w:bidi w:val="0"/>
        <w:spacing w:lineRule="auto" w:line="288" w:before="31" w:after="283"/>
        <w:jc w:val="center"/>
        <w:rPr>
          <w:rFonts w:ascii="Times New Roman;serif" w:hAnsi="Times New Roman;serif"/>
          <w:b/>
          <w:color w:val="000000"/>
          <w:sz w:val="22"/>
        </w:rPr>
      </w:pPr>
      <w:r>
        <w:rPr>
          <w:rFonts w:ascii="Times New Roman;serif" w:hAnsi="Times New Roman;serif"/>
          <w:b/>
          <w:color w:val="000000"/>
          <w:sz w:val="22"/>
        </w:rPr>
        <w:t>2020 EMPLOYEE STOCK PURCHASE PLAN</w:t>
      </w:r>
    </w:p>
    <w:p>
      <w:pPr>
        <w:pStyle w:val="TextBody"/>
        <w:bidi w:val="0"/>
        <w:spacing w:lineRule="auto" w:line="300" w:before="180" w:after="180"/>
        <w:ind w:left="0" w:right="0" w:firstLine="724"/>
        <w:jc w:val="both"/>
        <w:rPr>
          <w:rFonts w:ascii="Times New Roman;serif" w:hAnsi="Times New Roman;serif"/>
          <w:b w:val="false"/>
          <w:color w:val="000000"/>
          <w:sz w:val="20"/>
        </w:rPr>
      </w:pPr>
      <w:r>
        <w:rPr>
          <w:rFonts w:ascii="Times New Roman;serif" w:hAnsi="Times New Roman;serif"/>
          <w:b w:val="false"/>
          <w:color w:val="000000"/>
          <w:sz w:val="20"/>
        </w:rPr>
        <w:t>This Amendment No. 2 (this “Amendment”) to the ZoomInfo Technologies Inc. 2020 Employee Stock Purchase Plan (the “Plan”), is effective July 1, 2026 (the “Effective Date”). Capitalized terms used in this First Amendment and not otherwise defined herein shall have the meanings ascribed to such terms in the Plan.</w:t>
      </w:r>
    </w:p>
    <w:p>
      <w:pPr>
        <w:pStyle w:val="TextBody"/>
        <w:bidi w:val="0"/>
        <w:spacing w:lineRule="auto" w:line="300" w:before="180" w:after="180"/>
        <w:ind w:left="0" w:right="0" w:firstLine="724"/>
        <w:jc w:val="both"/>
        <w:rPr/>
      </w:pPr>
      <w:r>
        <w:rPr>
          <w:rFonts w:ascii="Times New Roman;serif" w:hAnsi="Times New Roman;serif"/>
          <w:b w:val="false"/>
          <w:color w:val="000000"/>
          <w:sz w:val="20"/>
        </w:rPr>
        <w:t>1.</w:t>
      </w:r>
      <w:r>
        <w:rPr>
          <w:rFonts w:ascii="Times New Roman;serif" w:hAnsi="Times New Roman;serif"/>
          <w:b w:val="false"/>
          <w:color w:val="000000"/>
          <w:sz w:val="20"/>
        </w:rPr>
        <w:t>The last sentence of Section 5(d) of the Plan is hereby deleted in its entirety and replaced with the following:</w:t>
      </w:r>
    </w:p>
    <w:p>
      <w:pPr>
        <w:pStyle w:val="TextBody"/>
        <w:bidi w:val="0"/>
        <w:spacing w:lineRule="auto" w:line="300" w:before="180" w:after="180"/>
        <w:jc w:val="both"/>
        <w:rPr>
          <w:rFonts w:ascii="Times New Roman;serif" w:hAnsi="Times New Roman;serif"/>
          <w:b w:val="false"/>
          <w:color w:val="000000"/>
          <w:sz w:val="20"/>
        </w:rPr>
      </w:pPr>
      <w:r>
        <w:rPr>
          <w:rFonts w:ascii="Times New Roman;serif" w:hAnsi="Times New Roman;serif"/>
          <w:b w:val="false"/>
          <w:color w:val="000000"/>
          <w:sz w:val="20"/>
        </w:rPr>
        <w:t>Contributions for a Participant during an Offering Period shall commence on the applicable Purchase Period Start Date when the Participant’s authorization for a Contribution becomes effective. Unless otherwise determined by the Committee, the deduction rate and/or the amount of other Contributions selected in a Participant’s initial authorization for Contributions shall remain in effect for subsequent Offering Periods unless the Participant (i) submits a new authorization for Contributions selecting a new level of payroll deductions in accordance with Section 5(g), (ii) withdraws from the Plan in accordance with Section 8, or (iii) terminates employment or otherwise becomes ineligible to participate in the Plan.</w:t>
      </w:r>
    </w:p>
    <w:p>
      <w:pPr>
        <w:pStyle w:val="TextBody"/>
        <w:bidi w:val="0"/>
        <w:spacing w:lineRule="auto" w:line="276" w:before="0" w:after="0"/>
        <w:ind w:left="0" w:right="0" w:firstLine="724"/>
        <w:jc w:val="left"/>
        <w:rPr/>
      </w:pPr>
      <w:r>
        <w:rPr>
          <w:rFonts w:ascii="Times New Roman;serif" w:hAnsi="Times New Roman;serif"/>
          <w:b w:val="false"/>
          <w:color w:val="000000"/>
          <w:sz w:val="24"/>
        </w:rPr>
        <w:t>2.</w:t>
      </w:r>
      <w:r>
        <w:rPr>
          <w:rFonts w:ascii="Times New Roman;serif" w:hAnsi="Times New Roman;serif"/>
          <w:b w:val="false"/>
          <w:color w:val="000000"/>
          <w:sz w:val="20"/>
        </w:rPr>
        <w:t>Section 5 of the Plan is hereby amended to add the following:</w:t>
      </w:r>
    </w:p>
    <w:p>
      <w:pPr>
        <w:pStyle w:val="TextBody"/>
        <w:bidi w:val="0"/>
        <w:spacing w:lineRule="auto" w:line="300" w:before="180" w:after="180"/>
        <w:ind w:left="0" w:right="0" w:firstLine="724"/>
        <w:jc w:val="both"/>
        <w:rPr>
          <w:rFonts w:ascii="Times New Roman;serif" w:hAnsi="Times New Roman;serif"/>
          <w:b w:val="false"/>
          <w:color w:val="000000"/>
          <w:sz w:val="20"/>
        </w:rPr>
      </w:pPr>
      <w:r>
        <w:rPr>
          <w:rFonts w:ascii="Times New Roman;serif" w:hAnsi="Times New Roman;serif"/>
          <w:b w:val="false"/>
          <w:color w:val="000000"/>
          <w:sz w:val="20"/>
        </w:rPr>
        <w:t>(j)     Automatic Reset of Offering Periods. Notwithstanding anything in the Plan to the contrary, if the Fair Market Value of a share of Common Stock of the Purchase Date is less than the Fair Market Value of a share of Common Stock on the Offering Date of the applicable Offering Period, then such Offering Period shall automatically terminate immediately after the purchase of shares on such Purchase Date and a new subsequent Offering Period shall commence the day after such Purchase Date.</w:t>
      </w:r>
    </w:p>
    <w:p>
      <w:pPr>
        <w:pStyle w:val="TextBody"/>
        <w:bidi w:val="0"/>
        <w:spacing w:lineRule="auto" w:line="300" w:before="180" w:after="180"/>
        <w:ind w:left="0" w:right="0" w:firstLine="724"/>
        <w:jc w:val="both"/>
        <w:rPr/>
      </w:pPr>
      <w:r>
        <w:rPr>
          <w:rFonts w:ascii="Times New Roman;serif" w:hAnsi="Times New Roman;serif"/>
          <w:b w:val="false"/>
          <w:color w:val="000000"/>
          <w:sz w:val="20"/>
        </w:rPr>
        <w:t>3.</w:t>
      </w:r>
      <w:r>
        <w:rPr>
          <w:rFonts w:ascii="Times New Roman;serif" w:hAnsi="Times New Roman;serif"/>
          <w:b w:val="false"/>
          <w:color w:val="000000"/>
          <w:sz w:val="20"/>
        </w:rPr>
        <w:t>Section 7 of the Plan is hereby amended to add the following:</w:t>
      </w:r>
    </w:p>
    <w:p>
      <w:pPr>
        <w:pStyle w:val="TextBody"/>
        <w:bidi w:val="0"/>
        <w:spacing w:lineRule="auto" w:line="300" w:before="180" w:after="180"/>
        <w:ind w:left="0" w:right="0" w:firstLine="724"/>
        <w:jc w:val="left"/>
        <w:rPr>
          <w:rFonts w:ascii="Times New Roman;serif" w:hAnsi="Times New Roman;serif"/>
          <w:b w:val="false"/>
          <w:color w:val="000000"/>
          <w:sz w:val="20"/>
        </w:rPr>
      </w:pPr>
      <w:r>
        <w:rPr>
          <w:rFonts w:ascii="Times New Roman;serif" w:hAnsi="Times New Roman;serif"/>
          <w:b w:val="false"/>
          <w:color w:val="000000"/>
          <w:sz w:val="20"/>
        </w:rPr>
        <w:t xml:space="preserve">(e)     Sale of Plan Shares. The Committee shall require Participants to abstain from selling or otherwise transferring any or all of shares of Common Stock issued with respect to any Purchase Rights for the one (1) year period immediately following the last day of the applicable Purchase Period for such Purchase Right. </w:t>
      </w:r>
    </w:p>
    <w:p>
      <w:pPr>
        <w:pStyle w:val="TextBody"/>
        <w:bidi w:val="0"/>
        <w:spacing w:lineRule="auto" w:line="300" w:before="180" w:after="180"/>
        <w:ind w:left="0" w:right="0" w:firstLine="724"/>
        <w:jc w:val="left"/>
        <w:rPr/>
      </w:pPr>
      <w:r>
        <w:rPr>
          <w:rFonts w:ascii="Times New Roman;serif" w:hAnsi="Times New Roman;serif"/>
          <w:b w:val="false"/>
          <w:color w:val="000000"/>
          <w:sz w:val="20"/>
        </w:rPr>
        <w:t>4.</w:t>
      </w:r>
      <w:r>
        <w:rPr>
          <w:rFonts w:ascii="Times New Roman;serif" w:hAnsi="Times New Roman;serif"/>
          <w:b w:val="false"/>
          <w:color w:val="000000"/>
          <w:sz w:val="20"/>
        </w:rPr>
        <w:t>This Amendment shall be and, as of the Effective Date, is hereby incorporated in and forms a part of the Plan.</w:t>
      </w:r>
    </w:p>
    <w:p>
      <w:pPr>
        <w:pStyle w:val="TextBody"/>
        <w:bidi w:val="0"/>
        <w:spacing w:lineRule="auto" w:line="300" w:before="180" w:after="180"/>
        <w:ind w:left="0" w:right="0" w:firstLine="724"/>
        <w:jc w:val="left"/>
        <w:rPr/>
      </w:pPr>
      <w:r>
        <w:rPr>
          <w:rFonts w:ascii="Times New Roman;serif" w:hAnsi="Times New Roman;serif"/>
          <w:b w:val="false"/>
          <w:color w:val="000000"/>
          <w:sz w:val="20"/>
        </w:rPr>
        <w:t>5.</w:t>
      </w:r>
      <w:r>
        <w:rPr>
          <w:rFonts w:ascii="Times New Roman;serif" w:hAnsi="Times New Roman;serif"/>
          <w:b w:val="false"/>
          <w:color w:val="000000"/>
          <w:sz w:val="20"/>
        </w:rPr>
        <w:t>Except as expressly provided herein, all terms and conditions of the Plan shall remain in full force and effect.</w:t>
      </w:r>
    </w:p>
    <w:p>
      <w:pPr>
        <w:pStyle w:val="TextBody"/>
        <w:bidi w:val="0"/>
        <w:spacing w:before="0" w:after="0"/>
        <w:jc w:val="left"/>
        <w:rPr/>
      </w:pPr>
      <w:r>
        <w:rPr/>
      </w:r>
    </w:p>
    <w:p>
      <w:pPr>
        <w:pStyle w:val="TextBody"/>
        <w:bidi w:val="0"/>
        <w:spacing w:before="71"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180" w:after="180"/>
        <w:jc w:val="left"/>
        <w:rPr>
          <w:rFonts w:ascii="Times New Roman;serif" w:hAnsi="Times New Roman;serif"/>
          <w:b w:val="false"/>
          <w:color w:val="000000"/>
          <w:sz w:val="20"/>
        </w:rPr>
      </w:pPr>
      <w:r>
        <w:rPr>
          <w:rFonts w:ascii="Times New Roman;serif" w:hAnsi="Times New Roman;serif"/>
          <w:b w:val="false"/>
          <w:color w:val="000000"/>
          <w:sz w:val="20"/>
        </w:rPr>
        <w:t>The undersigned, being the Corporate Secretary of the Company, hereby certifies, on behalf of the Company, that this Amendment was duly ratified, adopted, and approved by the Board on or prior to the Effective Date.</w:t>
      </w:r>
    </w:p>
    <w:p>
      <w:pPr>
        <w:pStyle w:val="TextBody"/>
        <w:bidi w:val="0"/>
        <w:spacing w:lineRule="auto" w:line="288" w:before="180" w:after="283"/>
        <w:jc w:val="both"/>
        <w:rPr>
          <w:rFonts w:ascii="Times New Roman;serif" w:hAnsi="Times New Roman;serif"/>
          <w:b/>
          <w:color w:val="0C0C0C"/>
          <w:sz w:val="20"/>
        </w:rPr>
      </w:pPr>
      <w:r>
        <w:rPr>
          <w:rFonts w:ascii="Times New Roman;serif" w:hAnsi="Times New Roman;serif"/>
          <w:b/>
          <w:color w:val="0C0C0C"/>
          <w:sz w:val="20"/>
        </w:rPr>
        <w:t>ZOOMINFO TECHNOLOGIES INC.</w:t>
      </w:r>
    </w:p>
    <w:p>
      <w:pPr>
        <w:pStyle w:val="TextBody"/>
        <w:bidi w:val="0"/>
        <w:spacing w:before="0" w:after="0"/>
        <w:jc w:val="left"/>
        <w:rPr/>
      </w:pPr>
      <w:r>
        <w:rPr/>
      </w:r>
    </w:p>
    <w:p>
      <w:pPr>
        <w:pStyle w:val="TextBody"/>
        <w:bidi w:val="0"/>
        <w:spacing w:lineRule="auto" w:line="288" w:before="167" w:after="283"/>
        <w:jc w:val="left"/>
        <w:rPr>
          <w:color w:val="000000"/>
        </w:rPr>
      </w:pPr>
      <w:r>
        <w:rPr>
          <w:color w:val="000000"/>
        </w:rPr>
        <w:t>    </w:t>
      </w:r>
    </w:p>
    <w:p>
      <w:pPr>
        <w:pStyle w:val="TextBody"/>
        <w:bidi w:val="0"/>
        <w:spacing w:lineRule="auto" w:line="506" w:before="1" w:after="283"/>
        <w:ind w:left="0" w:right="0" w:firstLine="2"/>
        <w:jc w:val="left"/>
        <w:rPr/>
      </w:pPr>
      <w:r>
        <w:rPr>
          <w:rFonts w:ascii="Times New Roman;serif" w:hAnsi="Times New Roman;serif"/>
          <w:b w:val="false"/>
          <w:color w:val="0C0C0C"/>
          <w:sz w:val="20"/>
        </w:rPr>
        <w:t xml:space="preserve">By: </w:t>
      </w:r>
      <w:r>
        <w:rPr>
          <w:rFonts w:ascii="Times New Roman;serif" w:hAnsi="Times New Roman;serif"/>
          <w:b w:val="false"/>
          <w:color w:val="0C0C0C"/>
          <w:sz w:val="20"/>
          <w:u w:val="single"/>
        </w:rPr>
        <w:t>/s/ Ashley McGrane    </w:t>
      </w:r>
      <w:r>
        <w:rPr>
          <w:color w:val="0C0C0C"/>
        </w:rPr>
        <w:t xml:space="preserve"> </w:t>
      </w:r>
      <w:r>
        <w:rPr>
          <w:rFonts w:ascii="Times New Roman;serif" w:hAnsi="Times New Roman;serif"/>
          <w:b w:val="false"/>
          <w:color w:val="0C0C0C"/>
          <w:sz w:val="20"/>
        </w:rPr>
        <w:t>Name: Ashley McGrane</w:t>
      </w:r>
    </w:p>
    <w:p>
      <w:pPr>
        <w:pStyle w:val="TextBody"/>
        <w:bidi w:val="0"/>
        <w:spacing w:lineRule="atLeast" w:line="263"/>
        <w:jc w:val="left"/>
        <w:rPr/>
      </w:pPr>
      <w:r>
        <w:rPr>
          <w:rFonts w:ascii="Times New Roman;serif" w:hAnsi="Times New Roman;serif"/>
          <w:b w:val="false"/>
          <w:color w:val="0C0C0C"/>
          <w:sz w:val="20"/>
        </w:rPr>
        <w:t xml:space="preserve">Title: </w:t>
      </w:r>
      <w:r>
        <w:rPr>
          <w:rFonts w:ascii="Times New Roman;serif" w:hAnsi="Times New Roman;serif"/>
          <w:b w:val="false"/>
          <w:color w:val="1A1A1A"/>
          <w:sz w:val="20"/>
        </w:rPr>
        <w:t xml:space="preserve">Executive </w:t>
      </w:r>
      <w:r>
        <w:rPr>
          <w:rFonts w:ascii="Times New Roman;serif" w:hAnsi="Times New Roman;serif"/>
          <w:b w:val="false"/>
          <w:color w:val="0C0C0C"/>
          <w:sz w:val="20"/>
        </w:rPr>
        <w:t>Vice President, General Counsel and Corporate Secretary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 xml:space="preserve">ZOOMINFO TECHNOLOGIES INC. </w:t>
        <w:br/>
        <w:t xml:space="preserve">INDUCEMENT EQUITY INCENTIVE PLAN </w:t>
      </w:r>
    </w:p>
    <w:p>
      <w:pPr>
        <w:pStyle w:val="TextBody"/>
        <w:bidi w:val="0"/>
        <w:spacing w:before="0" w:after="0"/>
        <w:jc w:val="center"/>
        <w:rPr/>
      </w:pPr>
      <w:r>
        <w:rPr/>
      </w:r>
    </w:p>
    <w:p>
      <w:pPr>
        <w:pStyle w:val="TextBody"/>
        <w:bidi w:val="0"/>
        <w:spacing w:lineRule="auto" w:line="333" w:before="0" w:after="0"/>
        <w:ind w:left="0" w:right="0" w:firstLine="720"/>
        <w:jc w:val="both"/>
        <w:rPr/>
      </w:pPr>
      <w:r>
        <w:rPr>
          <w:rFonts w:ascii="Times New Roman;serif" w:hAnsi="Times New Roman;serif"/>
          <w:b/>
          <w:color w:val="010000"/>
          <w:sz w:val="24"/>
        </w:rPr>
        <w:t xml:space="preserve">1. </w:t>
      </w:r>
      <w:r>
        <w:rPr>
          <w:rFonts w:ascii="Times New Roman;serif" w:hAnsi="Times New Roman;serif"/>
          <w:b/>
          <w:color w:val="000000"/>
          <w:sz w:val="24"/>
        </w:rPr>
        <w:t>Purpose</w:t>
      </w:r>
      <w:r>
        <w:rPr>
          <w:rFonts w:ascii="Times New Roman;serif" w:hAnsi="Times New Roman;serif"/>
          <w:b w:val="false"/>
          <w:color w:val="000000"/>
          <w:sz w:val="24"/>
        </w:rPr>
        <w:t>. The purpose of the ZoomInfo Technologies Inc. Inducement Equity Incentive Plan is, through the granting of Awards, to (i) provide a material inducement for certain individuals to enter into employment with the Company within the meaning of the Inducement Award Rules, (ii) provide a means through which the Company and the other members of the Company Group may attract and retain key personnel and (iii) to provide a means whereby officers and employees of the Company and the other members of the Company Group can acquire and maintain an equity interest in the Company, or be paid incentive compensation, including incentive compensation measured by reference to the value of Common Stock, thereby strengthening their commitment to the welfare of the Company Group and aligning their interests with those of the Company’s stockholders.</w:t>
      </w:r>
      <w:r>
        <w:rPr>
          <w:color w:val="000000"/>
        </w:rPr>
        <w:t xml:space="preserve"> </w:t>
      </w:r>
    </w:p>
    <w:p>
      <w:pPr>
        <w:pStyle w:val="TextBody"/>
        <w:bidi w:val="0"/>
        <w:spacing w:lineRule="auto" w:line="333" w:before="0" w:after="0"/>
        <w:ind w:left="0" w:right="0" w:firstLine="720"/>
        <w:jc w:val="both"/>
        <w:rPr/>
      </w:pPr>
      <w:r>
        <w:rPr>
          <w:rFonts w:ascii="Times New Roman;serif" w:hAnsi="Times New Roman;serif"/>
          <w:b/>
          <w:color w:val="010000"/>
          <w:sz w:val="24"/>
        </w:rPr>
        <w:t>2.</w:t>
      </w:r>
      <w:r>
        <w:rPr>
          <w:color w:val="000000"/>
        </w:rPr>
        <w:t> </w:t>
      </w:r>
      <w:r>
        <w:rPr>
          <w:rFonts w:ascii="Times New Roman;serif" w:hAnsi="Times New Roman;serif"/>
          <w:b/>
          <w:color w:val="000000"/>
          <w:sz w:val="24"/>
        </w:rPr>
        <w:t>Definitions</w:t>
      </w:r>
      <w:r>
        <w:rPr>
          <w:rFonts w:ascii="Times New Roman;serif" w:hAnsi="Times New Roman;serif"/>
          <w:b w:val="false"/>
          <w:color w:val="000000"/>
          <w:sz w:val="24"/>
        </w:rPr>
        <w:t>. The following definitions shall be applicable throughout the Plan.</w:t>
      </w:r>
    </w:p>
    <w:p>
      <w:pPr>
        <w:pStyle w:val="TextBody"/>
        <w:bidi w:val="0"/>
        <w:spacing w:lineRule="auto" w:line="333" w:before="0" w:after="0"/>
        <w:ind w:left="0" w:right="0" w:firstLine="720"/>
        <w:jc w:val="both"/>
        <w:rPr/>
      </w:pPr>
      <w:r>
        <w:rPr>
          <w:rFonts w:ascii="Times New Roman;serif" w:hAnsi="Times New Roman;serif"/>
          <w:b w:val="false"/>
          <w:color w:val="010000"/>
          <w:sz w:val="24"/>
        </w:rPr>
        <w:t>(a)</w:t>
      </w:r>
      <w:r>
        <w:rPr>
          <w:color w:val="000000"/>
        </w:rPr>
        <w:t> “</w:t>
      </w:r>
      <w:r>
        <w:rPr>
          <w:rFonts w:ascii="Times New Roman;serif" w:hAnsi="Times New Roman;serif"/>
          <w:b w:val="false"/>
          <w:color w:val="000000"/>
          <w:sz w:val="24"/>
          <w:u w:val="single"/>
        </w:rPr>
        <w:t>Adjustment Event</w:t>
      </w:r>
      <w:r>
        <w:rPr>
          <w:color w:val="000000"/>
        </w:rPr>
        <w:t xml:space="preserve">” </w:t>
      </w:r>
      <w:r>
        <w:rPr>
          <w:rFonts w:ascii="Times New Roman;serif" w:hAnsi="Times New Roman;serif"/>
          <w:b w:val="false"/>
          <w:color w:val="000000"/>
          <w:sz w:val="24"/>
        </w:rPr>
        <w:t>has the meaning given to such term in Section 12(a) of the Plan.</w:t>
      </w:r>
    </w:p>
    <w:p>
      <w:pPr>
        <w:pStyle w:val="TextBody"/>
        <w:bidi w:val="0"/>
        <w:spacing w:lineRule="auto" w:line="333" w:before="0" w:after="0"/>
        <w:ind w:left="0" w:right="0" w:firstLine="720"/>
        <w:jc w:val="both"/>
        <w:rPr/>
      </w:pPr>
      <w:r>
        <w:rPr>
          <w:rFonts w:ascii="Times New Roman;serif" w:hAnsi="Times New Roman;serif"/>
          <w:b w:val="false"/>
          <w:color w:val="010000"/>
          <w:sz w:val="24"/>
        </w:rPr>
        <w:t>(b)</w:t>
      </w:r>
      <w:r>
        <w:rPr>
          <w:color w:val="000000"/>
        </w:rPr>
        <w:t> “</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any Person that directly or indirectly controls, is controlled by or is under common 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pStyle w:val="TextBody"/>
        <w:bidi w:val="0"/>
        <w:spacing w:lineRule="auto" w:line="333" w:before="0" w:after="0"/>
        <w:ind w:left="0" w:right="0" w:firstLine="720"/>
        <w:jc w:val="both"/>
        <w:rPr/>
      </w:pPr>
      <w:r>
        <w:rPr>
          <w:rFonts w:ascii="Times New Roman;serif" w:hAnsi="Times New Roman;serif"/>
          <w:b w:val="false"/>
          <w:color w:val="010000"/>
          <w:sz w:val="24"/>
        </w:rPr>
        <w:t>(c)</w:t>
      </w:r>
      <w:r>
        <w:rPr>
          <w:color w:val="000000"/>
        </w:rPr>
        <w:t> “</w:t>
      </w:r>
      <w:r>
        <w:rPr>
          <w:rFonts w:ascii="Times New Roman;serif" w:hAnsi="Times New Roman;serif"/>
          <w:b w:val="false"/>
          <w:color w:val="000000"/>
          <w:sz w:val="24"/>
          <w:u w:val="single"/>
        </w:rPr>
        <w:t>Award</w:t>
      </w:r>
      <w:r>
        <w:rPr>
          <w:color w:val="000000"/>
        </w:rPr>
        <w:t xml:space="preserve">” </w:t>
      </w:r>
      <w:r>
        <w:rPr>
          <w:rFonts w:ascii="Times New Roman;serif" w:hAnsi="Times New Roman;serif"/>
          <w:b w:val="false"/>
          <w:color w:val="000000"/>
          <w:sz w:val="24"/>
        </w:rPr>
        <w:t xml:space="preserve">means, individually or collectively, any Nonqualified Stock Option, Stock Appreciation Right, Restricted Stock, Restricted Stock Unit, or Other Equity-Based Award granted under the Plan. </w:t>
      </w:r>
    </w:p>
    <w:p>
      <w:pPr>
        <w:pStyle w:val="TextBody"/>
        <w:bidi w:val="0"/>
        <w:spacing w:lineRule="auto" w:line="333" w:before="0" w:after="0"/>
        <w:ind w:left="0" w:right="0" w:firstLine="720"/>
        <w:jc w:val="both"/>
        <w:rPr/>
      </w:pPr>
      <w:r>
        <w:rPr>
          <w:rFonts w:ascii="Times New Roman;serif" w:hAnsi="Times New Roman;serif"/>
          <w:b w:val="false"/>
          <w:color w:val="010000"/>
          <w:sz w:val="24"/>
        </w:rPr>
        <w:t>(d)</w:t>
      </w:r>
      <w:r>
        <w:rPr>
          <w:color w:val="000000"/>
        </w:rPr>
        <w:t> “</w:t>
      </w:r>
      <w:r>
        <w:rPr>
          <w:rFonts w:ascii="Times New Roman;serif" w:hAnsi="Times New Roman;serif"/>
          <w:b w:val="false"/>
          <w:color w:val="000000"/>
          <w:sz w:val="24"/>
          <w:u w:val="single"/>
        </w:rPr>
        <w:t>Award Agreement</w:t>
      </w:r>
      <w:r>
        <w:rPr>
          <w:color w:val="000000"/>
        </w:rPr>
        <w:t xml:space="preserve">” </w:t>
      </w:r>
      <w:r>
        <w:rPr>
          <w:rFonts w:ascii="Times New Roman;serif" w:hAnsi="Times New Roman;serif"/>
          <w:b w:val="false"/>
          <w:color w:val="000000"/>
          <w:sz w:val="24"/>
        </w:rPr>
        <w:t>means the document or documents by which each Award is evidenced.</w:t>
      </w:r>
    </w:p>
    <w:p>
      <w:pPr>
        <w:pStyle w:val="TextBody"/>
        <w:bidi w:val="0"/>
        <w:spacing w:lineRule="auto" w:line="333" w:before="0" w:after="0"/>
        <w:ind w:left="0" w:right="0" w:firstLine="720"/>
        <w:jc w:val="both"/>
        <w:rPr/>
      </w:pPr>
      <w:r>
        <w:rPr>
          <w:rFonts w:ascii="Times New Roman;serif" w:hAnsi="Times New Roman;serif"/>
          <w:b w:val="false"/>
          <w:color w:val="010000"/>
          <w:sz w:val="24"/>
        </w:rPr>
        <w:t>(e)</w:t>
      </w:r>
      <w:r>
        <w:rPr>
          <w:color w:val="000000"/>
        </w:rPr>
        <w:t> “</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333"/>
        <w:ind w:left="0" w:right="0" w:firstLine="720"/>
        <w:jc w:val="both"/>
        <w:rPr/>
      </w:pPr>
      <w:r>
        <w:rPr>
          <w:rFonts w:ascii="Times New Roman;serif" w:hAnsi="Times New Roman;serif"/>
          <w:b w:val="false"/>
          <w:color w:val="010000"/>
          <w:sz w:val="24"/>
        </w:rPr>
        <w:t>(f)</w:t>
      </w:r>
      <w:r>
        <w:rPr>
          <w:color w:val="000000"/>
        </w:rPr>
        <w:t>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 xml:space="preserve">means, as to any Participant, unless the applicable Award Agreement states otherwise, (i) “Cause,” as defined in any employment, severance, consulting or other similar agreement between the Participant and the Service Recipient in effect at the time of such Termination; or (ii) in the absence of any such employment, severance, consulting or other similar agreement (or the absence of any definition of “Cause” contained therein), the Participant’s (A) willful neglect in the performance of the Participant’s duties for the Service Recipient or willful or repeated failure or refusal to perform such duties; (B) engagement in conduct in connection with the Participant’s employment or service with the Service Recipient, which results in, or could reasonably be expected to result in, material harm to the business or reputation of the Company or any other member of the Company Group; (C) conviction of, or plea of guilty or no contest to, (I) any felony; or (II) any other crime that results in, or could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color w:val="000000"/>
          <w:sz w:val="24"/>
        </w:rPr>
        <w:t xml:space="preserve">reasonably be expected to result in, material harm to the business or reputation of the Company or any other member of the Company Group; (D) material violation of the written policies of the Service Recipient, including, but not limited to, those relating to sexual harassment or the disclosure or misuse of confidential information, or those set forth in the manuals or statements of policy of the Service Recipient; (E) fraud or misappropriation, embezzlement or misuse of funds or property belonging to the Company or any other member of the Company Group; or (F) act of personal dishonesty that involves personal profit in connection with the Participant’s employment or service to the Service Recipient;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in any case, that a Participant’s resignation after an event that would be grounds for a Termination for Cause will be treated as a Termination for Cause hereunder. </w:t>
      </w:r>
    </w:p>
    <w:p>
      <w:pPr>
        <w:pStyle w:val="TextBody"/>
        <w:bidi w:val="0"/>
        <w:spacing w:lineRule="auto" w:line="333" w:before="0" w:after="0"/>
        <w:ind w:left="0" w:right="0" w:firstLine="720"/>
        <w:jc w:val="both"/>
        <w:rPr/>
      </w:pPr>
      <w:r>
        <w:rPr>
          <w:rFonts w:ascii="Times New Roman;serif" w:hAnsi="Times New Roman;serif"/>
          <w:b w:val="false"/>
          <w:color w:val="010000"/>
          <w:sz w:val="24"/>
        </w:rPr>
        <w:t>(g)</w:t>
      </w:r>
      <w:r>
        <w:rPr>
          <w:color w:val="000000"/>
        </w:rPr>
        <w:t> “</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means:</w:t>
      </w:r>
    </w:p>
    <w:p>
      <w:pPr>
        <w:pStyle w:val="TextBody"/>
        <w:bidi w:val="0"/>
        <w:spacing w:lineRule="auto" w:line="333" w:before="0" w:after="0"/>
        <w:ind w:left="0" w:right="0" w:firstLine="720"/>
        <w:jc w:val="both"/>
        <w:rPr/>
      </w:pPr>
      <w:r>
        <w:rPr>
          <w:rFonts w:ascii="Times New Roman;serif" w:hAnsi="Times New Roman;serif"/>
          <w:b w:val="false"/>
          <w:color w:val="010000"/>
          <w:sz w:val="24"/>
        </w:rPr>
        <w:t>(i)</w:t>
      </w:r>
      <w:r>
        <w:rPr>
          <w:color w:val="000000"/>
        </w:rPr>
        <w:t> </w:t>
      </w:r>
      <w:r>
        <w:rPr>
          <w:rFonts w:ascii="Times New Roman;serif" w:hAnsi="Times New Roman;serif"/>
          <w:b w:val="false"/>
          <w:color w:val="000000"/>
          <w:sz w:val="24"/>
        </w:rPr>
        <w:t xml:space="preserve">the acquisition (whether by purchase, merger, consolidation, combination or other similar transaction) by any Person of beneficial ownership (within the meaning of Rule 13d-3 promulgated under the Exchange Act) of more than 50% (on a fully diluted basis) of either (A) the Outstanding Common Stock; or (B) the Outstanding Company Voting Securities; </w:t>
      </w:r>
      <w:r>
        <w:rPr>
          <w:rFonts w:ascii="Times New Roman;serif" w:hAnsi="Times New Roman;serif"/>
          <w:b w:val="false"/>
          <w:i/>
          <w:color w:val="000000"/>
          <w:sz w:val="24"/>
        </w:rPr>
        <w:t>provided</w:t>
      </w:r>
      <w:r>
        <w:rPr>
          <w:rFonts w:ascii="Times New Roman;serif" w:hAnsi="Times New Roman;serif"/>
          <w:b w:val="false"/>
          <w:color w:val="000000"/>
          <w:sz w:val="24"/>
        </w:rPr>
        <w:t>, that for purposes of this Plan, the following acquisitions shall not constitute a Change in Control: (I) any acquisition by the Company or any Affiliate; (II) any acquisition by any employee benefit plan sponsored or maintained by the Company or any Affiliate; or (III) in respect of an Award held by a particular Participant, any acquisition by the Participant or any group of Persons including the Participant (or any entity controlled by the Participant or any group of Persons including the Participant);</w:t>
      </w:r>
    </w:p>
    <w:p>
      <w:pPr>
        <w:pStyle w:val="TextBody"/>
        <w:bidi w:val="0"/>
        <w:spacing w:lineRule="auto" w:line="333" w:before="0" w:after="0"/>
        <w:ind w:left="0" w:right="0" w:firstLine="720"/>
        <w:jc w:val="both"/>
        <w:rPr/>
      </w:pPr>
      <w:r>
        <w:rPr>
          <w:rFonts w:ascii="Times New Roman;serif" w:hAnsi="Times New Roman;serif"/>
          <w:b w:val="false"/>
          <w:color w:val="010000"/>
          <w:sz w:val="24"/>
        </w:rPr>
        <w:t>(ii)</w:t>
      </w:r>
      <w:r>
        <w:rPr>
          <w:color w:val="000000"/>
        </w:rPr>
        <w:t> </w:t>
      </w:r>
      <w:r>
        <w:rPr>
          <w:rFonts w:ascii="Times New Roman;serif" w:hAnsi="Times New Roman;serif"/>
          <w:b w:val="false"/>
          <w:color w:val="000000"/>
          <w:sz w:val="24"/>
        </w:rPr>
        <w:t>during any period of twelve (12) months, individuals who, at the beginning of such period, constitute the Board (the “</w:t>
      </w:r>
      <w:r>
        <w:rPr>
          <w:rFonts w:ascii="Times New Roman;serif" w:hAnsi="Times New Roman;serif"/>
          <w:b w:val="false"/>
          <w:color w:val="000000"/>
          <w:sz w:val="24"/>
          <w:u w:val="single"/>
        </w:rPr>
        <w:t>Incumbent Directors</w:t>
      </w:r>
      <w:r>
        <w:rPr>
          <w:color w:val="000000"/>
        </w:rPr>
        <w:t>”</w:t>
      </w:r>
      <w:r>
        <w:rPr>
          <w:rFonts w:ascii="Times New Roman;serif" w:hAnsi="Times New Roman;serif"/>
          <w:b w:val="false"/>
          <w:color w:val="000000"/>
          <w:sz w:val="24"/>
        </w:rPr>
        <w:t xml:space="preserve">) cease for any reason to constitute at least a majority of the Board, provided that any person becoming a director subsequent to the Effective Date, whose election or nomination for election was approved by a vote of at least two-thirds (2/3) of the Incumbent Directors then on the Board (either by a specific vote or by approval of the proxy statement of the Company in which such person is named as a nominee for director, without written objection to such nomination) shall be an Incumbent Director;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no individual initially elected or nominated as a director of the Company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shall be deemed to be an Incumbent Director; </w:t>
      </w:r>
    </w:p>
    <w:p>
      <w:pPr>
        <w:pStyle w:val="TextBody"/>
        <w:bidi w:val="0"/>
        <w:spacing w:lineRule="auto" w:line="333"/>
        <w:ind w:left="0" w:right="0" w:firstLine="720"/>
        <w:jc w:val="both"/>
        <w:rPr/>
      </w:pPr>
      <w:r>
        <w:rPr>
          <w:rFonts w:ascii="Times New Roman;serif" w:hAnsi="Times New Roman;serif"/>
          <w:b w:val="false"/>
          <w:color w:val="010000"/>
          <w:sz w:val="24"/>
        </w:rPr>
        <w:t>(iii)</w:t>
      </w:r>
      <w:r>
        <w:rPr>
          <w:color w:val="000000"/>
        </w:rPr>
        <w:t> </w:t>
      </w:r>
      <w:r>
        <w:rPr>
          <w:rFonts w:ascii="Times New Roman;serif" w:hAnsi="Times New Roman;serif"/>
          <w:b w:val="false"/>
          <w:color w:val="000000"/>
          <w:sz w:val="24"/>
        </w:rPr>
        <w:t>the consummation of a reorganization, recapitalization, merger, consolidation, or similar corporate transaction involving the Company that requires the approval of the Company’s stockholders (a “</w:t>
      </w:r>
      <w:r>
        <w:rPr>
          <w:rFonts w:ascii="Times New Roman;serif" w:hAnsi="Times New Roman;serif"/>
          <w:b w:val="false"/>
          <w:color w:val="000000"/>
          <w:sz w:val="24"/>
          <w:u w:val="single"/>
        </w:rPr>
        <w:t>Business Combination</w:t>
      </w:r>
      <w:r>
        <w:rPr>
          <w:color w:val="000000"/>
        </w:rPr>
        <w:t>”</w:t>
      </w:r>
      <w:r>
        <w:rPr>
          <w:rFonts w:ascii="Times New Roman;serif" w:hAnsi="Times New Roman;serif"/>
          <w:b w:val="false"/>
          <w:color w:val="000000"/>
          <w:sz w:val="24"/>
        </w:rPr>
        <w:t>), unless immediately following such Business Combination: more than 50% of the total voting power of (x) the entity resulting from such Business Combination (the “</w:t>
      </w:r>
      <w:r>
        <w:rPr>
          <w:rFonts w:ascii="Times New Roman;serif" w:hAnsi="Times New Roman;serif"/>
          <w:b w:val="false"/>
          <w:color w:val="000000"/>
          <w:sz w:val="24"/>
          <w:u w:val="single"/>
        </w:rPr>
        <w:t>Surviving Company</w:t>
      </w:r>
      <w:r>
        <w:rPr>
          <w:color w:val="000000"/>
        </w:rPr>
        <w:t>”</w:t>
      </w:r>
      <w:r>
        <w:rPr>
          <w:rFonts w:ascii="Times New Roman;serif" w:hAnsi="Times New Roman;serif"/>
          <w:b w:val="false"/>
          <w:color w:val="000000"/>
          <w:sz w:val="24"/>
        </w:rPr>
        <w:t xml:space="preserve">), or (y) if applicable, the ultimate parent entity that directly or indirectly has beneficial ownership of sufficient voting securities eligible to elect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8" name="Frame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a majority of the board of directors (or the analogous governing body) of the Surviving Company, is represented by the Outstanding Company Voting Securities that were outstanding immediately prior to such Business Combination (or, if applicable, is represented by shares into which the Outstanding Company Voting Securities were converted pursuant to such Business Combination); or</w:t>
      </w:r>
    </w:p>
    <w:p>
      <w:pPr>
        <w:pStyle w:val="TextBody"/>
        <w:bidi w:val="0"/>
        <w:spacing w:lineRule="auto" w:line="333" w:before="0" w:after="0"/>
        <w:ind w:left="0" w:right="0" w:firstLine="720"/>
        <w:jc w:val="both"/>
        <w:rPr/>
      </w:pPr>
      <w:r>
        <w:rPr>
          <w:rFonts w:ascii="Times New Roman;serif" w:hAnsi="Times New Roman;serif"/>
          <w:b w:val="false"/>
          <w:color w:val="010000"/>
          <w:sz w:val="24"/>
        </w:rPr>
        <w:t>(iv)</w:t>
      </w:r>
      <w:r>
        <w:rPr>
          <w:color w:val="000000"/>
        </w:rPr>
        <w:t> </w:t>
      </w:r>
      <w:r>
        <w:rPr>
          <w:rFonts w:ascii="Times New Roman;serif" w:hAnsi="Times New Roman;serif"/>
          <w:b w:val="false"/>
          <w:color w:val="000000"/>
          <w:sz w:val="24"/>
        </w:rPr>
        <w:t>the sale, transfer or other disposition of all or substantially all of the assets of the Company Group (taken as a whole) to any Person that is not an Affiliate of the Company.</w:t>
      </w:r>
    </w:p>
    <w:p>
      <w:pPr>
        <w:pStyle w:val="TextBody"/>
        <w:bidi w:val="0"/>
        <w:spacing w:lineRule="auto" w:line="333" w:before="0" w:after="0"/>
        <w:ind w:left="0" w:right="0" w:firstLine="720"/>
        <w:jc w:val="both"/>
        <w:rPr/>
      </w:pPr>
      <w:r>
        <w:rPr>
          <w:rFonts w:ascii="Times New Roman;serif" w:hAnsi="Times New Roman;serif"/>
          <w:b w:val="false"/>
          <w:color w:val="010000"/>
          <w:sz w:val="24"/>
        </w:rPr>
        <w:t>(h)</w:t>
      </w:r>
      <w:r>
        <w:rPr>
          <w:color w:val="000000"/>
        </w:rPr>
        <w:t> “</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pStyle w:val="TextBody"/>
        <w:bidi w:val="0"/>
        <w:spacing w:lineRule="auto" w:line="333" w:before="0" w:after="0"/>
        <w:ind w:left="0" w:right="0" w:firstLine="720"/>
        <w:jc w:val="both"/>
        <w:rPr/>
      </w:pPr>
      <w:r>
        <w:rPr>
          <w:rFonts w:ascii="Times New Roman;serif" w:hAnsi="Times New Roman;serif"/>
          <w:b w:val="false"/>
          <w:color w:val="010000"/>
          <w:sz w:val="24"/>
        </w:rPr>
        <w:t>(i)</w:t>
      </w:r>
      <w:r>
        <w:rPr>
          <w:color w:val="000000"/>
        </w:rPr>
        <w:t> “</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means the Compensation Committee of the Board or any properly delegated subcommittee thereof or, if no such Compensation Committee or subcommittee thereof exists, the Board.</w:t>
      </w:r>
    </w:p>
    <w:p>
      <w:pPr>
        <w:pStyle w:val="TextBody"/>
        <w:bidi w:val="0"/>
        <w:spacing w:lineRule="auto" w:line="333" w:before="0" w:after="0"/>
        <w:ind w:left="0" w:right="0" w:firstLine="720"/>
        <w:jc w:val="both"/>
        <w:rPr/>
      </w:pPr>
      <w:r>
        <w:rPr>
          <w:rFonts w:ascii="Times New Roman;serif" w:hAnsi="Times New Roman;serif"/>
          <w:b w:val="false"/>
          <w:color w:val="010000"/>
          <w:sz w:val="24"/>
        </w:rPr>
        <w:t>(j)</w:t>
      </w:r>
      <w:r>
        <w:rPr>
          <w:color w:val="000000"/>
        </w:rPr>
        <w:t> “</w:t>
      </w:r>
      <w:r>
        <w:rPr>
          <w:rFonts w:ascii="Times New Roman;serif" w:hAnsi="Times New Roman;serif"/>
          <w:b w:val="false"/>
          <w:color w:val="000000"/>
          <w:sz w:val="24"/>
          <w:u w:val="single"/>
        </w:rPr>
        <w:t>Common Stock</w:t>
      </w:r>
      <w:r>
        <w:rPr>
          <w:color w:val="000000"/>
        </w:rPr>
        <w:t xml:space="preserve">” </w:t>
      </w:r>
      <w:r>
        <w:rPr>
          <w:rFonts w:ascii="Times New Roman;serif" w:hAnsi="Times New Roman;serif"/>
          <w:b w:val="false"/>
          <w:color w:val="000000"/>
          <w:sz w:val="24"/>
        </w:rPr>
        <w:t>means the common stock of the Company, par value $0.01 per share (and any stock or other securities into which such Common Stock may be converted or into which it may be exchanged).</w:t>
      </w:r>
    </w:p>
    <w:p>
      <w:pPr>
        <w:pStyle w:val="TextBody"/>
        <w:bidi w:val="0"/>
        <w:spacing w:lineRule="auto" w:line="333" w:before="0" w:after="0"/>
        <w:ind w:left="0" w:right="0" w:firstLine="720"/>
        <w:jc w:val="both"/>
        <w:rPr/>
      </w:pPr>
      <w:r>
        <w:rPr>
          <w:rFonts w:ascii="Times New Roman;serif" w:hAnsi="Times New Roman;serif"/>
          <w:b w:val="false"/>
          <w:color w:val="010000"/>
          <w:sz w:val="24"/>
        </w:rPr>
        <w:t>(k)</w:t>
      </w:r>
      <w:r>
        <w:rPr>
          <w:color w:val="000000"/>
        </w:rPr>
        <w:t> “</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means ZoomInfo Technologies Inc., a Delaware corporation, and any successor thereto.</w:t>
      </w:r>
    </w:p>
    <w:p>
      <w:pPr>
        <w:pStyle w:val="TextBody"/>
        <w:bidi w:val="0"/>
        <w:spacing w:lineRule="auto" w:line="333" w:before="0" w:after="0"/>
        <w:ind w:left="0" w:right="0" w:firstLine="720"/>
        <w:jc w:val="both"/>
        <w:rPr/>
      </w:pPr>
      <w:r>
        <w:rPr>
          <w:rFonts w:ascii="Times New Roman;serif" w:hAnsi="Times New Roman;serif"/>
          <w:b w:val="false"/>
          <w:color w:val="010000"/>
          <w:sz w:val="24"/>
        </w:rPr>
        <w:t>(l)</w:t>
      </w:r>
      <w:r>
        <w:rPr>
          <w:color w:val="000000"/>
        </w:rPr>
        <w:t> “</w:t>
      </w:r>
      <w:r>
        <w:rPr>
          <w:rFonts w:ascii="Times New Roman;serif" w:hAnsi="Times New Roman;serif"/>
          <w:b w:val="false"/>
          <w:color w:val="000000"/>
          <w:sz w:val="24"/>
          <w:u w:val="single"/>
        </w:rPr>
        <w:t>Company Group</w:t>
      </w:r>
      <w:r>
        <w:rPr>
          <w:color w:val="000000"/>
        </w:rPr>
        <w:t xml:space="preserve">” </w:t>
      </w:r>
      <w:r>
        <w:rPr>
          <w:rFonts w:ascii="Times New Roman;serif" w:hAnsi="Times New Roman;serif"/>
          <w:b w:val="false"/>
          <w:color w:val="000000"/>
          <w:sz w:val="24"/>
        </w:rPr>
        <w:t>means, collectively, the Company and its Subsidiaries.</w:t>
      </w:r>
    </w:p>
    <w:p>
      <w:pPr>
        <w:pStyle w:val="TextBody"/>
        <w:bidi w:val="0"/>
        <w:spacing w:lineRule="auto" w:line="333" w:before="0" w:after="0"/>
        <w:ind w:left="0" w:right="0" w:firstLine="720"/>
        <w:jc w:val="both"/>
        <w:rPr/>
      </w:pPr>
      <w:r>
        <w:rPr>
          <w:rFonts w:ascii="Times New Roman;serif" w:hAnsi="Times New Roman;serif"/>
          <w:b w:val="false"/>
          <w:color w:val="010000"/>
          <w:sz w:val="24"/>
        </w:rPr>
        <w:t>(m)</w:t>
      </w:r>
      <w:r>
        <w:rPr>
          <w:color w:val="000000"/>
        </w:rPr>
        <w:t> “</w:t>
      </w:r>
      <w:r>
        <w:rPr>
          <w:rFonts w:ascii="Times New Roman;serif" w:hAnsi="Times New Roman;serif"/>
          <w:b w:val="false"/>
          <w:color w:val="000000"/>
          <w:sz w:val="24"/>
          <w:u w:val="single"/>
        </w:rPr>
        <w:t>Date of Grant</w:t>
      </w:r>
      <w:r>
        <w:rPr>
          <w:color w:val="000000"/>
        </w:rPr>
        <w:t xml:space="preserve">” </w:t>
      </w:r>
      <w:r>
        <w:rPr>
          <w:rFonts w:ascii="Times New Roman;serif" w:hAnsi="Times New Roman;serif"/>
          <w:b w:val="false"/>
          <w:color w:val="000000"/>
          <w:sz w:val="24"/>
        </w:rPr>
        <w:t>means the date on which the granting of an Award is authorized, or such other date as may be specified in such authorization.</w:t>
      </w:r>
    </w:p>
    <w:p>
      <w:pPr>
        <w:pStyle w:val="TextBody"/>
        <w:bidi w:val="0"/>
        <w:spacing w:lineRule="auto" w:line="333" w:before="0" w:after="0"/>
        <w:ind w:left="0" w:right="0" w:firstLine="720"/>
        <w:jc w:val="both"/>
        <w:rPr/>
      </w:pPr>
      <w:r>
        <w:rPr>
          <w:rFonts w:ascii="Times New Roman;serif" w:hAnsi="Times New Roman;serif"/>
          <w:b w:val="false"/>
          <w:color w:val="010000"/>
          <w:sz w:val="24"/>
        </w:rPr>
        <w:t>(n)</w:t>
      </w:r>
      <w:r>
        <w:rPr>
          <w:color w:val="000000"/>
        </w:rPr>
        <w:t> “</w:t>
      </w:r>
      <w:r>
        <w:rPr>
          <w:rFonts w:ascii="Times New Roman;serif" w:hAnsi="Times New Roman;serif"/>
          <w:b w:val="false"/>
          <w:color w:val="000000"/>
          <w:sz w:val="24"/>
          <w:u w:val="single"/>
        </w:rPr>
        <w:t>Designated Foreign Subsidiaries</w:t>
      </w:r>
      <w:r>
        <w:rPr>
          <w:color w:val="000000"/>
        </w:rPr>
        <w:t xml:space="preserve">” </w:t>
      </w:r>
      <w:r>
        <w:rPr>
          <w:rFonts w:ascii="Times New Roman;serif" w:hAnsi="Times New Roman;serif"/>
          <w:b w:val="false"/>
          <w:color w:val="000000"/>
          <w:sz w:val="24"/>
        </w:rPr>
        <w:t>means all members of the Company Group that are organized under the laws of any jurisdiction or country other than the United States of America that may be designated by the Board or the Committee from time to time.</w:t>
      </w:r>
    </w:p>
    <w:p>
      <w:pPr>
        <w:pStyle w:val="TextBody"/>
        <w:bidi w:val="0"/>
        <w:spacing w:lineRule="auto" w:line="333" w:before="0" w:after="0"/>
        <w:ind w:left="0" w:right="0" w:firstLine="720"/>
        <w:jc w:val="both"/>
        <w:rPr/>
      </w:pPr>
      <w:r>
        <w:rPr>
          <w:rFonts w:ascii="Times New Roman;serif" w:hAnsi="Times New Roman;serif"/>
          <w:b w:val="false"/>
          <w:color w:val="010000"/>
          <w:sz w:val="24"/>
        </w:rPr>
        <w:t>(o)</w:t>
      </w:r>
      <w:r>
        <w:rPr>
          <w:color w:val="000000"/>
        </w:rPr>
        <w:t> “</w:t>
      </w:r>
      <w:r>
        <w:rPr>
          <w:rFonts w:ascii="Times New Roman;serif" w:hAnsi="Times New Roman;serif"/>
          <w:b w:val="false"/>
          <w:color w:val="000000"/>
          <w:sz w:val="24"/>
          <w:u w:val="single"/>
        </w:rPr>
        <w:t>Detrimental Activity</w:t>
      </w:r>
      <w:r>
        <w:rPr>
          <w:color w:val="000000"/>
        </w:rPr>
        <w:t xml:space="preserve">” </w:t>
      </w:r>
      <w:r>
        <w:rPr>
          <w:rFonts w:ascii="Times New Roman;serif" w:hAnsi="Times New Roman;serif"/>
          <w:b w:val="false"/>
          <w:color w:val="000000"/>
          <w:sz w:val="24"/>
        </w:rPr>
        <w:t>means any of the following: (i) unauthorized disclosure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solicit, in any agreement with any member of the Company Group; or (iv) fraud or conduct contributing to any financial restatements or irregularities, as determined by the Committee in its sole discretion.</w:t>
      </w:r>
    </w:p>
    <w:p>
      <w:pPr>
        <w:pStyle w:val="TextBody"/>
        <w:bidi w:val="0"/>
        <w:spacing w:lineRule="auto" w:line="333"/>
        <w:ind w:left="0" w:right="0" w:firstLine="720"/>
        <w:jc w:val="both"/>
        <w:rPr/>
      </w:pPr>
      <w:r>
        <w:rPr>
          <w:rFonts w:ascii="Times New Roman;serif" w:hAnsi="Times New Roman;serif"/>
          <w:b w:val="false"/>
          <w:color w:val="010000"/>
          <w:sz w:val="24"/>
        </w:rPr>
        <w:t>(p)</w:t>
      </w:r>
      <w:r>
        <w:rPr>
          <w:color w:val="000000"/>
        </w:rPr>
        <w:t> “</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means, as to any Participant, unless the applicable Award Agreement states otherwise, (i) “Disability,” as defined in any employment, severance, consulting or other similar agreement between the Participant and the Service Recipient in effect at the time of such Termination; or (ii) in the absence of any such employment, severance, consulting or other similar agreement (or the absence of any definition of “Disability” contained therein), a condition entitling</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9"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the Participant to receive benefits under a long-term disability plan of the Service Recipient or other member of the Company Group in which such Participant is eligible to participate, or, in the absence of such a plan, the complete and permanent inability of the Participant by reason of illness or accident to perform the duties of the occupation at which the Participant was employed or served when such disability commenced. Any determination of whether Disability exists in the absence of a long-term disability plan shall be made by the Company (or its designee) in its sole and absolute discretion.</w:t>
      </w:r>
    </w:p>
    <w:p>
      <w:pPr>
        <w:pStyle w:val="TextBody"/>
        <w:bidi w:val="0"/>
        <w:spacing w:lineRule="auto" w:line="333" w:before="0" w:after="0"/>
        <w:ind w:left="0" w:right="0" w:firstLine="720"/>
        <w:jc w:val="both"/>
        <w:rPr/>
      </w:pPr>
      <w:r>
        <w:rPr>
          <w:rFonts w:ascii="Times New Roman;serif" w:hAnsi="Times New Roman;serif"/>
          <w:b w:val="false"/>
          <w:color w:val="010000"/>
          <w:sz w:val="24"/>
        </w:rPr>
        <w:t>(q)</w:t>
      </w:r>
      <w:r>
        <w:rPr>
          <w:color w:val="000000"/>
        </w:rPr>
        <w:t> “</w:t>
      </w:r>
      <w:r>
        <w:rPr>
          <w:rFonts w:ascii="Times New Roman;serif" w:hAnsi="Times New Roman;serif"/>
          <w:b w:val="false"/>
          <w:color w:val="000000"/>
          <w:sz w:val="24"/>
          <w:u w:val="single"/>
        </w:rPr>
        <w:t>Effective Date</w:t>
      </w:r>
      <w:r>
        <w:rPr>
          <w:color w:val="000000"/>
        </w:rPr>
        <w:t xml:space="preserve">” </w:t>
      </w:r>
      <w:r>
        <w:rPr>
          <w:rFonts w:ascii="Times New Roman;serif" w:hAnsi="Times New Roman;serif"/>
          <w:b w:val="false"/>
          <w:color w:val="000000"/>
          <w:sz w:val="24"/>
        </w:rPr>
        <w:t>means August 5, 2026.</w:t>
      </w:r>
    </w:p>
    <w:p>
      <w:pPr>
        <w:pStyle w:val="TextBody"/>
        <w:bidi w:val="0"/>
        <w:spacing w:lineRule="auto" w:line="333" w:before="0" w:after="0"/>
        <w:ind w:left="0" w:right="0" w:firstLine="720"/>
        <w:jc w:val="both"/>
        <w:rPr/>
      </w:pPr>
      <w:r>
        <w:rPr>
          <w:rFonts w:ascii="Times New Roman;serif" w:hAnsi="Times New Roman;serif"/>
          <w:b w:val="false"/>
          <w:color w:val="010000"/>
          <w:sz w:val="24"/>
        </w:rPr>
        <w:t>(r)</w:t>
      </w:r>
      <w:r>
        <w:rPr>
          <w:color w:val="000000"/>
        </w:rPr>
        <w:t> “</w:t>
      </w:r>
      <w:r>
        <w:rPr>
          <w:rFonts w:ascii="Times New Roman;serif" w:hAnsi="Times New Roman;serif"/>
          <w:b w:val="false"/>
          <w:color w:val="000000"/>
          <w:sz w:val="24"/>
          <w:u w:val="single"/>
        </w:rPr>
        <w:t>Eligible Person</w:t>
      </w:r>
      <w:r>
        <w:rPr>
          <w:color w:val="000000"/>
        </w:rPr>
        <w:t xml:space="preserve">” </w:t>
      </w:r>
      <w:r>
        <w:rPr>
          <w:rFonts w:ascii="Times New Roman;serif" w:hAnsi="Times New Roman;serif"/>
          <w:b w:val="false"/>
          <w:color w:val="000000"/>
          <w:sz w:val="24"/>
        </w:rPr>
        <w:t xml:space="preserve">means any individual who satisfies the standards for “employment inducement grants” under the Inducement Award Rules. A person who previously served as an employee or director will not be an “Eligible Person” other than following a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period of non-employment.</w:t>
      </w:r>
    </w:p>
    <w:p>
      <w:pPr>
        <w:pStyle w:val="TextBody"/>
        <w:bidi w:val="0"/>
        <w:spacing w:lineRule="auto" w:line="333" w:before="0" w:after="0"/>
        <w:ind w:left="0" w:right="0" w:firstLine="720"/>
        <w:jc w:val="both"/>
        <w:rPr/>
      </w:pPr>
      <w:r>
        <w:rPr>
          <w:rFonts w:ascii="Times New Roman;serif" w:hAnsi="Times New Roman;serif"/>
          <w:b w:val="false"/>
          <w:color w:val="010000"/>
          <w:sz w:val="24"/>
        </w:rPr>
        <w:t>(s)</w:t>
      </w:r>
      <w:r>
        <w:rPr>
          <w:color w:val="000000"/>
        </w:rPr>
        <w:t> “</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and any successor thereto.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pStyle w:val="TextBody"/>
        <w:bidi w:val="0"/>
        <w:spacing w:lineRule="auto" w:line="333" w:before="0" w:after="0"/>
        <w:ind w:left="0" w:right="0" w:firstLine="720"/>
        <w:jc w:val="both"/>
        <w:rPr/>
      </w:pPr>
      <w:r>
        <w:rPr>
          <w:rFonts w:ascii="Times New Roman;serif" w:hAnsi="Times New Roman;serif"/>
          <w:b w:val="false"/>
          <w:color w:val="010000"/>
          <w:sz w:val="24"/>
        </w:rPr>
        <w:t>(t)</w:t>
      </w:r>
      <w:r>
        <w:rPr>
          <w:color w:val="000000"/>
        </w:rPr>
        <w:t> “</w:t>
      </w:r>
      <w:r>
        <w:rPr>
          <w:rFonts w:ascii="Times New Roman;serif" w:hAnsi="Times New Roman;serif"/>
          <w:b w:val="false"/>
          <w:color w:val="000000"/>
          <w:sz w:val="24"/>
          <w:u w:val="single"/>
        </w:rPr>
        <w:t>Exercise Price</w:t>
      </w:r>
      <w:r>
        <w:rPr>
          <w:color w:val="000000"/>
        </w:rPr>
        <w:t xml:space="preserve">” </w:t>
      </w:r>
      <w:r>
        <w:rPr>
          <w:rFonts w:ascii="Times New Roman;serif" w:hAnsi="Times New Roman;serif"/>
          <w:b w:val="false"/>
          <w:color w:val="000000"/>
          <w:sz w:val="24"/>
        </w:rPr>
        <w:t>has the meaning given to such term in Section 7(b) of the Plan.</w:t>
      </w:r>
    </w:p>
    <w:p>
      <w:pPr>
        <w:pStyle w:val="TextBody"/>
        <w:bidi w:val="0"/>
        <w:spacing w:lineRule="auto" w:line="333" w:before="0" w:after="0"/>
        <w:ind w:left="0" w:right="0" w:firstLine="720"/>
        <w:jc w:val="both"/>
        <w:rPr/>
      </w:pPr>
      <w:r>
        <w:rPr>
          <w:rFonts w:ascii="Times New Roman;serif" w:hAnsi="Times New Roman;serif"/>
          <w:b w:val="false"/>
          <w:color w:val="010000"/>
          <w:sz w:val="24"/>
        </w:rPr>
        <w:t>(u)</w:t>
      </w:r>
      <w:r>
        <w:rPr>
          <w:color w:val="000000"/>
        </w:rPr>
        <w:t> “</w:t>
      </w:r>
      <w:r>
        <w:rPr>
          <w:rFonts w:ascii="Times New Roman;serif" w:hAnsi="Times New Roman;serif"/>
          <w:b w:val="false"/>
          <w:color w:val="000000"/>
          <w:sz w:val="24"/>
          <w:u w:val="single"/>
        </w:rPr>
        <w:t>Fair Market Value</w:t>
      </w:r>
      <w:r>
        <w:rPr>
          <w:color w:val="000000"/>
        </w:rPr>
        <w:t xml:space="preserve">” </w:t>
      </w:r>
      <w:r>
        <w:rPr>
          <w:rFonts w:ascii="Times New Roman;serif" w:hAnsi="Times New Roman;serif"/>
          <w:b w:val="false"/>
          <w:color w:val="000000"/>
          <w:sz w:val="24"/>
        </w:rPr>
        <w:t>means, as of any date, the fair market value of a share of Common Stock, as reasonably determined by the Company and consistently applied for purposes of the Plan, which may include, without limitation, the closing sales price on the trading day immediately prior to or on such date, or a trailing average of previous closing prices prior to such date.</w:t>
      </w:r>
    </w:p>
    <w:p>
      <w:pPr>
        <w:pStyle w:val="TextBody"/>
        <w:bidi w:val="0"/>
        <w:spacing w:lineRule="auto" w:line="333" w:before="0" w:after="0"/>
        <w:ind w:left="0" w:right="0" w:firstLine="720"/>
        <w:jc w:val="both"/>
        <w:rPr/>
      </w:pPr>
      <w:r>
        <w:rPr>
          <w:rFonts w:ascii="Times New Roman;serif" w:hAnsi="Times New Roman;serif"/>
          <w:b w:val="false"/>
          <w:color w:val="010000"/>
          <w:sz w:val="24"/>
        </w:rPr>
        <w:t>(v)</w:t>
      </w:r>
      <w:r>
        <w:rPr>
          <w:color w:val="000000"/>
        </w:rPr>
        <w:t> “</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has the meaning given to such term in Section 7(d) of the Plan.</w:t>
      </w:r>
    </w:p>
    <w:p>
      <w:pPr>
        <w:pStyle w:val="TextBody"/>
        <w:bidi w:val="0"/>
        <w:spacing w:lineRule="auto" w:line="333"/>
        <w:ind w:left="0" w:right="0" w:firstLine="720"/>
        <w:jc w:val="both"/>
        <w:rPr/>
      </w:pPr>
      <w:r>
        <w:rPr>
          <w:rFonts w:ascii="Times New Roman;serif" w:hAnsi="Times New Roman;serif"/>
          <w:b w:val="false"/>
          <w:color w:val="010000"/>
          <w:sz w:val="24"/>
        </w:rPr>
        <w:t>(w)</w:t>
      </w:r>
      <w:r>
        <w:rPr>
          <w:color w:val="000000"/>
        </w:rPr>
        <w:t> “</w:t>
      </w:r>
      <w:r>
        <w:rPr>
          <w:rFonts w:ascii="Times New Roman;serif" w:hAnsi="Times New Roman;serif"/>
          <w:b w:val="false"/>
          <w:color w:val="000000"/>
          <w:sz w:val="24"/>
          <w:u w:val="single"/>
        </w:rPr>
        <w:t>Grant Date Fair Market Value</w:t>
      </w:r>
      <w:r>
        <w:rPr>
          <w:color w:val="000000"/>
        </w:rPr>
        <w:t xml:space="preserve">” </w:t>
      </w:r>
      <w:r>
        <w:rPr>
          <w:rFonts w:ascii="Times New Roman;serif" w:hAnsi="Times New Roman;serif"/>
          <w:b w:val="false"/>
          <w:color w:val="000000"/>
          <w:sz w:val="24"/>
        </w:rPr>
        <w:t xml:space="preserve">means, as of a Date of Grant, (i) if the Common Stock is listed on a national securities exchange, the closing sales price of the Common Stock reported on the primary exchange on which the Common Stock is listed and traded on such date, or, if there are no such sales on that date, then on the last preceding date on which such sales were reported; (ii) if the Common Stock is not listed on any national securities exchange but is quoted in an inter-dealer quotation system on a last-sale basis, the average between the closing bid price and ask price reported on such date, or, if there is no such sale on that date, then on the last preceding date on which a sale was reported; or (iii) if the Common Stock is not listed on a national securities exchange or quoted in an inter-dealer quotation system on a last-sale basis, the amount determined by the Committee in good faith to be the fair market value of the Common Stock; </w:t>
      </w:r>
      <w:r>
        <w:rPr>
          <w:rFonts w:ascii="Times New Roman;serif" w:hAnsi="Times New Roman;serif"/>
          <w:b w:val="false"/>
          <w:i/>
          <w:color w:val="000000"/>
          <w:sz w:val="24"/>
        </w:rPr>
        <w:t>provided</w:t>
      </w:r>
      <w:r>
        <w:rPr>
          <w:rFonts w:ascii="Times New Roman;serif" w:hAnsi="Times New Roman;serif"/>
          <w:b w:val="false"/>
          <w:color w:val="000000"/>
          <w:sz w:val="24"/>
        </w:rPr>
        <w:t>, as to any Awards granted on or with a Date of Grant of the date of the pricing of the Company’s initial public offering, “Grant Date Fair Market Value” shall be equal to the per share price at which the Common Stock is offered to the public in connection with such initial public offering.</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70"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firstLine="720"/>
        <w:jc w:val="both"/>
        <w:rPr/>
      </w:pPr>
      <w:r>
        <w:rPr>
          <w:rFonts w:ascii="Times New Roman;serif" w:hAnsi="Times New Roman;serif"/>
          <w:b w:val="false"/>
          <w:color w:val="010000"/>
          <w:sz w:val="24"/>
        </w:rPr>
        <w:t>(x)</w:t>
      </w:r>
      <w:r>
        <w:rPr>
          <w:color w:val="000000"/>
        </w:rPr>
        <w:t> “</w:t>
      </w:r>
      <w:r>
        <w:rPr>
          <w:rFonts w:ascii="Times New Roman;serif" w:hAnsi="Times New Roman;serif"/>
          <w:b w:val="false"/>
          <w:color w:val="000000"/>
          <w:sz w:val="24"/>
          <w:u w:val="single"/>
        </w:rPr>
        <w:t>Immediate Family Members</w:t>
      </w:r>
      <w:r>
        <w:rPr>
          <w:color w:val="000000"/>
        </w:rPr>
        <w:t xml:space="preserve">” </w:t>
      </w:r>
      <w:r>
        <w:rPr>
          <w:rFonts w:ascii="Times New Roman;serif" w:hAnsi="Times New Roman;serif"/>
          <w:b w:val="false"/>
          <w:color w:val="000000"/>
          <w:sz w:val="24"/>
        </w:rPr>
        <w:t>has the meaning given to such term in Section 14(b)(ii) of the Plan.</w:t>
      </w:r>
    </w:p>
    <w:p>
      <w:pPr>
        <w:pStyle w:val="TextBody"/>
        <w:bidi w:val="0"/>
        <w:spacing w:lineRule="auto" w:line="333" w:before="0" w:after="0"/>
        <w:ind w:left="0" w:right="0" w:firstLine="720"/>
        <w:jc w:val="both"/>
        <w:rPr/>
      </w:pPr>
      <w:r>
        <w:rPr>
          <w:rFonts w:ascii="Times New Roman;serif" w:hAnsi="Times New Roman;serif"/>
          <w:b w:val="false"/>
          <w:color w:val="010000"/>
          <w:sz w:val="24"/>
        </w:rPr>
        <w:t xml:space="preserve">(y) </w:t>
      </w:r>
      <w:r>
        <w:rPr>
          <w:color w:val="000000"/>
        </w:rPr>
        <w:t>“</w:t>
      </w:r>
      <w:r>
        <w:rPr>
          <w:rFonts w:ascii="Times New Roman;serif" w:hAnsi="Times New Roman;serif"/>
          <w:b w:val="false"/>
          <w:color w:val="000000"/>
          <w:sz w:val="24"/>
          <w:u w:val="single"/>
        </w:rPr>
        <w:t>Indemnifiable Person</w:t>
      </w:r>
      <w:r>
        <w:rPr>
          <w:color w:val="000000"/>
        </w:rPr>
        <w:t xml:space="preserve">” </w:t>
      </w:r>
      <w:r>
        <w:rPr>
          <w:rFonts w:ascii="Times New Roman;serif" w:hAnsi="Times New Roman;serif"/>
          <w:b w:val="false"/>
          <w:color w:val="000000"/>
          <w:sz w:val="24"/>
        </w:rPr>
        <w:t>has the meaning given to such term in Section 4(e) of the Plan.</w:t>
      </w:r>
    </w:p>
    <w:p>
      <w:pPr>
        <w:pStyle w:val="TextBody"/>
        <w:bidi w:val="0"/>
        <w:spacing w:lineRule="auto" w:line="333" w:before="0" w:after="0"/>
        <w:ind w:left="0" w:right="0" w:firstLine="720"/>
        <w:jc w:val="both"/>
        <w:rPr/>
      </w:pPr>
      <w:r>
        <w:rPr>
          <w:rFonts w:ascii="Times New Roman;serif" w:hAnsi="Times New Roman;serif"/>
          <w:b w:val="false"/>
          <w:color w:val="010000"/>
          <w:sz w:val="24"/>
        </w:rPr>
        <w:t>(z)</w:t>
      </w:r>
      <w:r>
        <w:rPr>
          <w:color w:val="000000"/>
        </w:rPr>
        <w:t> “</w:t>
      </w:r>
      <w:r>
        <w:rPr>
          <w:rFonts w:ascii="Times New Roman;serif" w:hAnsi="Times New Roman;serif"/>
          <w:b w:val="false"/>
          <w:color w:val="000000"/>
          <w:sz w:val="24"/>
          <w:u w:val="single"/>
        </w:rPr>
        <w:t>Inducement Award Rules</w:t>
      </w:r>
      <w:r>
        <w:rPr>
          <w:color w:val="000000"/>
        </w:rPr>
        <w:t xml:space="preserve">” </w:t>
      </w:r>
      <w:r>
        <w:rPr>
          <w:rFonts w:ascii="Times New Roman;serif" w:hAnsi="Times New Roman;serif"/>
          <w:b w:val="false"/>
          <w:color w:val="000000"/>
          <w:sz w:val="24"/>
        </w:rPr>
        <w:t>means Nasdaq Listing Rule 5635(c)(4) and the related guidance under NASDAQ IM-5635-1 (together with any analogous rules or guidance effective after the date hereof).</w:t>
      </w:r>
    </w:p>
    <w:p>
      <w:pPr>
        <w:pStyle w:val="TextBody"/>
        <w:bidi w:val="0"/>
        <w:spacing w:lineRule="auto" w:line="333" w:before="0" w:after="0"/>
        <w:ind w:left="0" w:right="0" w:firstLine="720"/>
        <w:jc w:val="both"/>
        <w:rPr/>
      </w:pPr>
      <w:r>
        <w:rPr>
          <w:rFonts w:ascii="Times New Roman;serif" w:hAnsi="Times New Roman;serif"/>
          <w:b w:val="false"/>
          <w:color w:val="010000"/>
          <w:sz w:val="24"/>
        </w:rPr>
        <w:t>(aa)</w:t>
      </w:r>
      <w:r>
        <w:rPr>
          <w:color w:val="000000"/>
        </w:rPr>
        <w:t> “</w:t>
      </w:r>
      <w:r>
        <w:rPr>
          <w:rFonts w:ascii="Times New Roman;serif" w:hAnsi="Times New Roman;serif"/>
          <w:b w:val="false"/>
          <w:color w:val="000000"/>
          <w:sz w:val="24"/>
          <w:u w:val="single"/>
        </w:rPr>
        <w:t>Non-Employee Director</w:t>
      </w:r>
      <w:r>
        <w:rPr>
          <w:color w:val="000000"/>
        </w:rPr>
        <w:t xml:space="preserve">” </w:t>
      </w:r>
      <w:r>
        <w:rPr>
          <w:rFonts w:ascii="Times New Roman;serif" w:hAnsi="Times New Roman;serif"/>
          <w:b w:val="false"/>
          <w:color w:val="000000"/>
          <w:sz w:val="24"/>
        </w:rPr>
        <w:t>means a member of the Board who is not an employee of any member of the Company Group.</w:t>
      </w:r>
    </w:p>
    <w:p>
      <w:pPr>
        <w:pStyle w:val="TextBody"/>
        <w:bidi w:val="0"/>
        <w:spacing w:lineRule="auto" w:line="333" w:before="0" w:after="0"/>
        <w:ind w:left="0" w:right="0" w:firstLine="720"/>
        <w:jc w:val="both"/>
        <w:rPr/>
      </w:pPr>
      <w:r>
        <w:rPr>
          <w:rFonts w:ascii="Times New Roman;serif" w:hAnsi="Times New Roman;serif"/>
          <w:b w:val="false"/>
          <w:color w:val="010000"/>
          <w:sz w:val="24"/>
        </w:rPr>
        <w:t>(bb)</w:t>
      </w:r>
      <w:r>
        <w:rPr>
          <w:color w:val="000000"/>
        </w:rPr>
        <w:t> “</w:t>
      </w:r>
      <w:r>
        <w:rPr>
          <w:rFonts w:ascii="Times New Roman;serif" w:hAnsi="Times New Roman;serif"/>
          <w:b w:val="false"/>
          <w:color w:val="000000"/>
          <w:sz w:val="24"/>
          <w:u w:val="single"/>
        </w:rPr>
        <w:t>Nonqualified Stock Option</w:t>
      </w:r>
      <w:r>
        <w:rPr>
          <w:color w:val="000000"/>
        </w:rPr>
        <w:t xml:space="preserve">” </w:t>
      </w:r>
      <w:r>
        <w:rPr>
          <w:rFonts w:ascii="Times New Roman;serif" w:hAnsi="Times New Roman;serif"/>
          <w:b w:val="false"/>
          <w:color w:val="000000"/>
          <w:sz w:val="24"/>
        </w:rPr>
        <w:t>means an Option which does not qualify as an “incentive stock option” under Section 422 of the Code.</w:t>
      </w:r>
    </w:p>
    <w:p>
      <w:pPr>
        <w:pStyle w:val="TextBody"/>
        <w:bidi w:val="0"/>
        <w:spacing w:lineRule="auto" w:line="333" w:before="0" w:after="0"/>
        <w:ind w:left="0" w:right="0" w:firstLine="720"/>
        <w:jc w:val="both"/>
        <w:rPr/>
      </w:pPr>
      <w:r>
        <w:rPr>
          <w:rFonts w:ascii="Times New Roman;serif" w:hAnsi="Times New Roman;serif"/>
          <w:b w:val="false"/>
          <w:color w:val="010000"/>
          <w:sz w:val="24"/>
        </w:rPr>
        <w:t>(cc)</w:t>
      </w:r>
      <w:r>
        <w:rPr>
          <w:color w:val="000000"/>
        </w:rPr>
        <w:t xml:space="preserve"> “</w:t>
      </w:r>
      <w:r>
        <w:rPr>
          <w:rFonts w:ascii="Times New Roman;serif" w:hAnsi="Times New Roman;serif"/>
          <w:b w:val="false"/>
          <w:color w:val="000000"/>
          <w:sz w:val="24"/>
          <w:u w:val="single"/>
        </w:rPr>
        <w:t>Option</w:t>
      </w:r>
      <w:r>
        <w:rPr>
          <w:color w:val="000000"/>
        </w:rPr>
        <w:t xml:space="preserve">” </w:t>
      </w:r>
      <w:r>
        <w:rPr>
          <w:rFonts w:ascii="Times New Roman;serif" w:hAnsi="Times New Roman;serif"/>
          <w:b w:val="false"/>
          <w:color w:val="000000"/>
          <w:sz w:val="24"/>
        </w:rPr>
        <w:t>means an Award granted under Section 7 of the Plan.</w:t>
      </w:r>
    </w:p>
    <w:p>
      <w:pPr>
        <w:pStyle w:val="TextBody"/>
        <w:bidi w:val="0"/>
        <w:spacing w:lineRule="auto" w:line="333" w:before="0" w:after="0"/>
        <w:ind w:left="0" w:right="0" w:firstLine="720"/>
        <w:jc w:val="both"/>
        <w:rPr/>
      </w:pPr>
      <w:r>
        <w:rPr>
          <w:rFonts w:ascii="Times New Roman;serif" w:hAnsi="Times New Roman;serif"/>
          <w:b w:val="false"/>
          <w:color w:val="010000"/>
          <w:sz w:val="24"/>
        </w:rPr>
        <w:t>(dd)</w:t>
      </w:r>
      <w:r>
        <w:rPr>
          <w:color w:val="000000"/>
        </w:rPr>
        <w:t> “</w:t>
      </w:r>
      <w:r>
        <w:rPr>
          <w:rFonts w:ascii="Times New Roman;serif" w:hAnsi="Times New Roman;serif"/>
          <w:b w:val="false"/>
          <w:color w:val="000000"/>
          <w:sz w:val="24"/>
          <w:u w:val="single"/>
        </w:rPr>
        <w:t>Option Period</w:t>
      </w:r>
      <w:r>
        <w:rPr>
          <w:color w:val="000000"/>
        </w:rPr>
        <w:t xml:space="preserve">” </w:t>
      </w:r>
      <w:r>
        <w:rPr>
          <w:rFonts w:ascii="Times New Roman;serif" w:hAnsi="Times New Roman;serif"/>
          <w:b w:val="false"/>
          <w:color w:val="000000"/>
          <w:sz w:val="24"/>
        </w:rPr>
        <w:t>has the meaning given to such term in Section 7(c)(ii) of the Plan.</w:t>
      </w:r>
    </w:p>
    <w:p>
      <w:pPr>
        <w:pStyle w:val="TextBody"/>
        <w:bidi w:val="0"/>
        <w:spacing w:lineRule="auto" w:line="333" w:before="0" w:after="0"/>
        <w:ind w:left="0" w:right="0" w:firstLine="720"/>
        <w:jc w:val="both"/>
        <w:rPr/>
      </w:pPr>
      <w:r>
        <w:rPr>
          <w:rFonts w:ascii="Times New Roman;serif" w:hAnsi="Times New Roman;serif"/>
          <w:b w:val="false"/>
          <w:color w:val="010000"/>
          <w:sz w:val="24"/>
        </w:rPr>
        <w:t>(ee)</w:t>
      </w:r>
      <w:r>
        <w:rPr>
          <w:color w:val="000000"/>
        </w:rPr>
        <w:t> “</w:t>
      </w:r>
      <w:r>
        <w:rPr>
          <w:rFonts w:ascii="Times New Roman;serif" w:hAnsi="Times New Roman;serif"/>
          <w:b w:val="false"/>
          <w:color w:val="000000"/>
          <w:sz w:val="24"/>
          <w:u w:val="single"/>
        </w:rPr>
        <w:t>Other Equity-Based Award</w:t>
      </w:r>
      <w:r>
        <w:rPr>
          <w:color w:val="000000"/>
        </w:rPr>
        <w:t xml:space="preserve">” </w:t>
      </w:r>
      <w:r>
        <w:rPr>
          <w:rFonts w:ascii="Times New Roman;serif" w:hAnsi="Times New Roman;serif"/>
          <w:b w:val="false"/>
          <w:color w:val="000000"/>
          <w:sz w:val="24"/>
        </w:rPr>
        <w:t>means an Award that is not an Option, Stock Appreciation Right, Restricted Stock, or Restricted Stock Unit that is granted under Section 10 of the Plan and is (i) payable by delivery of Common Stock, and/or (ii) measured by reference to the value of Common Stock.</w:t>
      </w:r>
    </w:p>
    <w:p>
      <w:pPr>
        <w:pStyle w:val="TextBody"/>
        <w:bidi w:val="0"/>
        <w:spacing w:lineRule="auto" w:line="333" w:before="0" w:after="0"/>
        <w:ind w:left="0" w:right="0" w:firstLine="720"/>
        <w:jc w:val="both"/>
        <w:rPr/>
      </w:pPr>
      <w:r>
        <w:rPr>
          <w:rFonts w:ascii="Times New Roman;serif" w:hAnsi="Times New Roman;serif"/>
          <w:b w:val="false"/>
          <w:color w:val="010000"/>
          <w:sz w:val="24"/>
        </w:rPr>
        <w:t>(ff)</w:t>
      </w:r>
      <w:r>
        <w:rPr>
          <w:color w:val="000000"/>
        </w:rPr>
        <w:t> “</w:t>
      </w:r>
      <w:r>
        <w:rPr>
          <w:rFonts w:ascii="Times New Roman;serif" w:hAnsi="Times New Roman;serif"/>
          <w:b w:val="false"/>
          <w:color w:val="000000"/>
          <w:sz w:val="24"/>
          <w:u w:val="single"/>
        </w:rPr>
        <w:t>Outstanding Common Stock</w:t>
      </w:r>
      <w:r>
        <w:rPr>
          <w:color w:val="000000"/>
        </w:rPr>
        <w:t xml:space="preserve">” </w:t>
      </w:r>
      <w:r>
        <w:rPr>
          <w:rFonts w:ascii="Times New Roman;serif" w:hAnsi="Times New Roman;serif"/>
          <w:b w:val="false"/>
          <w:color w:val="000000"/>
          <w:sz w:val="24"/>
        </w:rPr>
        <w:t>means the then-outstanding shares of Common Stock, taking into account as outstanding for this purpose such shares of Common Stock that would be issuable upon the conversion or exchange of any vested class of limited liability company interests in ZoomInfo OpCo, convertible stock, debt or other securities (including shares issuable upon the conversion of vested equity awards granted under prior plans maintained by the Company or its Affiliates).</w:t>
      </w:r>
    </w:p>
    <w:p>
      <w:pPr>
        <w:pStyle w:val="TextBody"/>
        <w:bidi w:val="0"/>
        <w:spacing w:lineRule="auto" w:line="333" w:before="0" w:after="0"/>
        <w:ind w:left="0" w:right="0" w:firstLine="720"/>
        <w:jc w:val="both"/>
        <w:rPr/>
      </w:pPr>
      <w:r>
        <w:rPr>
          <w:rFonts w:ascii="Times New Roman;serif" w:hAnsi="Times New Roman;serif"/>
          <w:b w:val="false"/>
          <w:color w:val="010000"/>
          <w:sz w:val="24"/>
        </w:rPr>
        <w:t>(gg)</w:t>
      </w:r>
      <w:r>
        <w:rPr>
          <w:color w:val="000000"/>
        </w:rPr>
        <w:t> “</w:t>
      </w:r>
      <w:r>
        <w:rPr>
          <w:rFonts w:ascii="Times New Roman;serif" w:hAnsi="Times New Roman;serif"/>
          <w:b w:val="false"/>
          <w:color w:val="000000"/>
          <w:sz w:val="24"/>
          <w:u w:val="single"/>
        </w:rPr>
        <w:t>Outstanding Company Voting Securities</w:t>
      </w:r>
      <w:r>
        <w:rPr>
          <w:color w:val="000000"/>
        </w:rPr>
        <w:t xml:space="preserve">” </w:t>
      </w:r>
      <w:r>
        <w:rPr>
          <w:rFonts w:ascii="Times New Roman;serif" w:hAnsi="Times New Roman;serif"/>
          <w:b w:val="false"/>
          <w:color w:val="000000"/>
          <w:sz w:val="24"/>
        </w:rPr>
        <w:t>means the combined voting power of the then-outstanding voting securities of the Company entitled to vote generally in the election of directors.</w:t>
      </w:r>
    </w:p>
    <w:p>
      <w:pPr>
        <w:pStyle w:val="TextBody"/>
        <w:bidi w:val="0"/>
        <w:spacing w:lineRule="auto" w:line="333" w:before="0" w:after="0"/>
        <w:ind w:left="0" w:right="0" w:firstLine="720"/>
        <w:jc w:val="both"/>
        <w:rPr/>
      </w:pPr>
      <w:r>
        <w:rPr>
          <w:rFonts w:ascii="Times New Roman;serif" w:hAnsi="Times New Roman;serif"/>
          <w:b w:val="false"/>
          <w:color w:val="010000"/>
          <w:sz w:val="24"/>
        </w:rPr>
        <w:t>(hh)</w:t>
      </w:r>
      <w:r>
        <w:rPr>
          <w:color w:val="000000"/>
        </w:rPr>
        <w:t> “</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means an Eligible Person who has been selected by the Committee to participate in the Plan and to receive an Award pursuant to the Plan.</w:t>
      </w:r>
    </w:p>
    <w:p>
      <w:pPr>
        <w:pStyle w:val="TextBody"/>
        <w:bidi w:val="0"/>
        <w:spacing w:lineRule="auto" w:line="333" w:before="0" w:after="0"/>
        <w:ind w:left="0" w:right="0" w:firstLine="720"/>
        <w:jc w:val="both"/>
        <w:rPr/>
      </w:pPr>
      <w:r>
        <w:rPr>
          <w:rFonts w:ascii="Times New Roman;serif" w:hAnsi="Times New Roman;serif"/>
          <w:b w:val="false"/>
          <w:color w:val="010000"/>
          <w:sz w:val="24"/>
        </w:rPr>
        <w:t>(ii)</w:t>
      </w:r>
      <w:r>
        <w:rPr>
          <w:color w:val="000000"/>
        </w:rPr>
        <w:t> “</w:t>
      </w:r>
      <w:r>
        <w:rPr>
          <w:rFonts w:ascii="Times New Roman;serif" w:hAnsi="Times New Roman;serif"/>
          <w:b w:val="false"/>
          <w:color w:val="000000"/>
          <w:sz w:val="24"/>
          <w:u w:val="single"/>
        </w:rPr>
        <w:t>Permitted Transferee</w:t>
      </w:r>
      <w:r>
        <w:rPr>
          <w:color w:val="000000"/>
        </w:rPr>
        <w:t xml:space="preserve">” </w:t>
      </w:r>
      <w:r>
        <w:rPr>
          <w:rFonts w:ascii="Times New Roman;serif" w:hAnsi="Times New Roman;serif"/>
          <w:b w:val="false"/>
          <w:color w:val="000000"/>
          <w:sz w:val="24"/>
        </w:rPr>
        <w:t>has the meaning given to such term in Section 14(b)(ii) of the Plan.</w:t>
      </w:r>
    </w:p>
    <w:p>
      <w:pPr>
        <w:pStyle w:val="TextBody"/>
        <w:bidi w:val="0"/>
        <w:spacing w:lineRule="auto" w:line="333" w:before="0" w:after="0"/>
        <w:ind w:left="0" w:right="0" w:firstLine="720"/>
        <w:jc w:val="both"/>
        <w:rPr/>
      </w:pPr>
      <w:r>
        <w:rPr>
          <w:rFonts w:ascii="Times New Roman;serif" w:hAnsi="Times New Roman;serif"/>
          <w:b w:val="false"/>
          <w:color w:val="010000"/>
          <w:sz w:val="24"/>
        </w:rPr>
        <w:t>(jj)</w:t>
      </w:r>
      <w:r>
        <w:rPr>
          <w:color w:val="000000"/>
        </w:rPr>
        <w:t> “</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entity or group (within the meaning of Section 13(d)(3) or 14(d)(2) of the Exchange Act).</w:t>
      </w:r>
    </w:p>
    <w:p>
      <w:pPr>
        <w:pStyle w:val="TextBody"/>
        <w:bidi w:val="0"/>
        <w:spacing w:lineRule="auto" w:line="333" w:before="0" w:after="0"/>
        <w:ind w:left="0" w:right="0" w:firstLine="720"/>
        <w:jc w:val="both"/>
        <w:rPr/>
      </w:pPr>
      <w:r>
        <w:rPr>
          <w:rFonts w:ascii="Times New Roman;serif" w:hAnsi="Times New Roman;serif"/>
          <w:b w:val="false"/>
          <w:color w:val="010000"/>
          <w:sz w:val="24"/>
        </w:rPr>
        <w:t>(kk)</w:t>
      </w:r>
      <w:r>
        <w:rPr>
          <w:color w:val="000000"/>
        </w:rPr>
        <w:t> “</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means this ZoomInfo Technologies Inc.</w:t>
      </w:r>
      <w:r>
        <w:rPr>
          <w:color w:val="000000"/>
        </w:rPr>
        <w:t xml:space="preserve"> </w:t>
      </w:r>
      <w:r>
        <w:rPr>
          <w:rFonts w:ascii="Times New Roman;serif" w:hAnsi="Times New Roman;serif"/>
          <w:b w:val="false"/>
          <w:color w:val="000000"/>
          <w:sz w:val="24"/>
        </w:rPr>
        <w:t>Inducement Equity Incentive Plan, as it may be amended and/or restated from time to time.</w:t>
      </w:r>
    </w:p>
    <w:p>
      <w:pPr>
        <w:pStyle w:val="TextBody"/>
        <w:bidi w:val="0"/>
        <w:spacing w:lineRule="auto" w:line="333" w:before="0" w:after="0"/>
        <w:ind w:left="0" w:right="0" w:firstLine="720"/>
        <w:jc w:val="both"/>
        <w:rPr/>
      </w:pPr>
      <w:r>
        <w:rPr>
          <w:rFonts w:ascii="Times New Roman;serif" w:hAnsi="Times New Roman;serif"/>
          <w:b w:val="false"/>
          <w:color w:val="010000"/>
          <w:sz w:val="24"/>
        </w:rPr>
        <w:t>(ll)</w:t>
      </w:r>
      <w:r>
        <w:rPr>
          <w:color w:val="000000"/>
        </w:rPr>
        <w:t> “</w:t>
      </w:r>
      <w:r>
        <w:rPr>
          <w:rFonts w:ascii="Times New Roman;serif" w:hAnsi="Times New Roman;serif"/>
          <w:b w:val="false"/>
          <w:color w:val="000000"/>
          <w:sz w:val="24"/>
          <w:u w:val="single"/>
        </w:rPr>
        <w:t>Plan Share Reserve</w:t>
      </w:r>
      <w:r>
        <w:rPr>
          <w:color w:val="000000"/>
        </w:rPr>
        <w:t xml:space="preserve">” </w:t>
      </w:r>
      <w:r>
        <w:rPr>
          <w:rFonts w:ascii="Times New Roman;serif" w:hAnsi="Times New Roman;serif"/>
          <w:b w:val="false"/>
          <w:color w:val="000000"/>
          <w:sz w:val="24"/>
        </w:rPr>
        <w:t>has the meaning given to such term in Section 5(b) of the Plan.</w:t>
      </w:r>
    </w:p>
    <w:p>
      <w:pPr>
        <w:pStyle w:val="TextBody"/>
        <w:bidi w:val="0"/>
        <w:spacing w:lineRule="auto" w:line="333"/>
        <w:ind w:left="0" w:right="0" w:firstLine="720"/>
        <w:jc w:val="both"/>
        <w:rPr/>
      </w:pPr>
      <w:r>
        <w:rPr>
          <w:rFonts w:ascii="Times New Roman;serif" w:hAnsi="Times New Roman;serif"/>
          <w:b w:val="false"/>
          <w:color w:val="010000"/>
          <w:sz w:val="24"/>
        </w:rPr>
        <w:t>(mm)</w:t>
      </w:r>
      <w:r>
        <w:rPr>
          <w:color w:val="000000"/>
        </w:rPr>
        <w:t> “</w:t>
      </w:r>
      <w:r>
        <w:rPr>
          <w:rFonts w:ascii="Times New Roman;serif" w:hAnsi="Times New Roman;serif"/>
          <w:b w:val="false"/>
          <w:color w:val="000000"/>
          <w:sz w:val="24"/>
          <w:u w:val="single"/>
        </w:rPr>
        <w:t>Qualifying Director</w:t>
      </w:r>
      <w:r>
        <w:rPr>
          <w:color w:val="000000"/>
        </w:rPr>
        <w:t xml:space="preserve">” </w:t>
      </w:r>
      <w:r>
        <w:rPr>
          <w:rFonts w:ascii="Times New Roman;serif" w:hAnsi="Times New Roman;serif"/>
          <w:b w:val="false"/>
          <w:color w:val="000000"/>
          <w:sz w:val="24"/>
        </w:rPr>
        <w:t>means a person who is with respect to actions intended to obtain an exemption from Section 16(b) of the Exchange Act pursuant to Rule 16b-3 under the Exchange Act, a “non-employee director” within the meaning of Rule 16b-3 under the Exchange Act.</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1"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firstLine="720"/>
        <w:jc w:val="both"/>
        <w:rPr/>
      </w:pPr>
      <w:r>
        <w:rPr>
          <w:rFonts w:ascii="Times New Roman;serif" w:hAnsi="Times New Roman;serif"/>
          <w:b w:val="false"/>
          <w:color w:val="010000"/>
          <w:sz w:val="24"/>
        </w:rPr>
        <w:t>(nn)</w:t>
      </w:r>
      <w:r>
        <w:rPr>
          <w:color w:val="000000"/>
        </w:rPr>
        <w:t> “</w:t>
      </w:r>
      <w:r>
        <w:rPr>
          <w:rFonts w:ascii="Times New Roman;serif" w:hAnsi="Times New Roman;serif"/>
          <w:b w:val="false"/>
          <w:color w:val="000000"/>
          <w:sz w:val="24"/>
          <w:u w:val="single"/>
        </w:rPr>
        <w:t>Restricted Period</w:t>
      </w:r>
      <w:r>
        <w:rPr>
          <w:color w:val="000000"/>
        </w:rPr>
        <w:t xml:space="preserve">” </w:t>
      </w:r>
      <w:r>
        <w:rPr>
          <w:rFonts w:ascii="Times New Roman;serif" w:hAnsi="Times New Roman;serif"/>
          <w:b w:val="false"/>
          <w:color w:val="000000"/>
          <w:sz w:val="24"/>
        </w:rPr>
        <w:t>means the period of time determined by the Committee during which an Award is subject to restrictions, including vesting conditions.</w:t>
      </w:r>
    </w:p>
    <w:p>
      <w:pPr>
        <w:pStyle w:val="TextBody"/>
        <w:bidi w:val="0"/>
        <w:spacing w:lineRule="auto" w:line="333" w:before="0" w:after="0"/>
        <w:ind w:left="0" w:right="0" w:firstLine="720"/>
        <w:jc w:val="both"/>
        <w:rPr/>
      </w:pPr>
      <w:r>
        <w:rPr>
          <w:rFonts w:ascii="Times New Roman;serif" w:hAnsi="Times New Roman;serif"/>
          <w:b w:val="false"/>
          <w:color w:val="010000"/>
          <w:sz w:val="24"/>
        </w:rPr>
        <w:t>(oo)</w:t>
      </w:r>
      <w:r>
        <w:rPr>
          <w:color w:val="000000"/>
        </w:rPr>
        <w:t> “</w:t>
      </w:r>
      <w:r>
        <w:rPr>
          <w:rFonts w:ascii="Times New Roman;serif" w:hAnsi="Times New Roman;serif"/>
          <w:b w:val="false"/>
          <w:color w:val="000000"/>
          <w:sz w:val="24"/>
          <w:u w:val="single"/>
        </w:rPr>
        <w:t>Restricted Stock</w:t>
      </w:r>
      <w:r>
        <w:rPr>
          <w:color w:val="000000"/>
        </w:rPr>
        <w:t xml:space="preserve">” </w:t>
      </w:r>
      <w:r>
        <w:rPr>
          <w:rFonts w:ascii="Times New Roman;serif" w:hAnsi="Times New Roman;serif"/>
          <w:b w:val="false"/>
          <w:color w:val="000000"/>
          <w:sz w:val="24"/>
        </w:rPr>
        <w:t>means Common Stock, subject to certain specified restrictions (which may include, without limitation, a requirement that the Participant remain continuously employed or provide continuous services for a specified period of time), granted under Section 8 of the Plan.</w:t>
      </w:r>
    </w:p>
    <w:p>
      <w:pPr>
        <w:pStyle w:val="TextBody"/>
        <w:bidi w:val="0"/>
        <w:spacing w:lineRule="auto" w:line="333" w:before="0" w:after="0"/>
        <w:ind w:left="0" w:right="0" w:firstLine="720"/>
        <w:jc w:val="both"/>
        <w:rPr/>
      </w:pPr>
      <w:r>
        <w:rPr>
          <w:rFonts w:ascii="Times New Roman;serif" w:hAnsi="Times New Roman;serif"/>
          <w:b w:val="false"/>
          <w:color w:val="010000"/>
          <w:sz w:val="24"/>
        </w:rPr>
        <w:t>(pp)</w:t>
      </w:r>
      <w:r>
        <w:rPr>
          <w:color w:val="000000"/>
        </w:rPr>
        <w:t> “</w:t>
      </w:r>
      <w:r>
        <w:rPr>
          <w:rFonts w:ascii="Times New Roman;serif" w:hAnsi="Times New Roman;serif"/>
          <w:b w:val="false"/>
          <w:color w:val="000000"/>
          <w:sz w:val="24"/>
          <w:u w:val="single"/>
        </w:rPr>
        <w:t>Restricted Stock Unit</w:t>
      </w:r>
      <w:r>
        <w:rPr>
          <w:color w:val="000000"/>
        </w:rPr>
        <w:t xml:space="preserve">” </w:t>
      </w:r>
      <w:r>
        <w:rPr>
          <w:rFonts w:ascii="Times New Roman;serif" w:hAnsi="Times New Roman;serif"/>
          <w:b w:val="false"/>
          <w:color w:val="000000"/>
          <w:sz w:val="24"/>
        </w:rPr>
        <w:t>means an unfunded and unsecured promise to deliver shares of Common Stock, cash, other securities or other property, subject to certain restrictions (which may include, without limitation, a requirement that the Participant remain continuously employed or provide continuous services for a specified period of time), granted under Section 8 of the Plan.</w:t>
      </w:r>
    </w:p>
    <w:p>
      <w:pPr>
        <w:pStyle w:val="TextBody"/>
        <w:bidi w:val="0"/>
        <w:spacing w:lineRule="auto" w:line="333" w:before="0" w:after="0"/>
        <w:ind w:left="0" w:right="0" w:firstLine="720"/>
        <w:jc w:val="both"/>
        <w:rPr/>
      </w:pPr>
      <w:r>
        <w:rPr>
          <w:rFonts w:ascii="Times New Roman;serif" w:hAnsi="Times New Roman;serif"/>
          <w:b w:val="false"/>
          <w:color w:val="010000"/>
          <w:sz w:val="24"/>
        </w:rPr>
        <w:t>(qq)</w:t>
      </w:r>
      <w:r>
        <w:rPr>
          <w:color w:val="000000"/>
        </w:rPr>
        <w:t> “</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guidance.</w:t>
      </w:r>
    </w:p>
    <w:p>
      <w:pPr>
        <w:pStyle w:val="TextBody"/>
        <w:bidi w:val="0"/>
        <w:spacing w:lineRule="auto" w:line="333" w:before="0" w:after="0"/>
        <w:ind w:left="0" w:right="0" w:firstLine="720"/>
        <w:jc w:val="both"/>
        <w:rPr/>
      </w:pPr>
      <w:r>
        <w:rPr>
          <w:rFonts w:ascii="Times New Roman;serif" w:hAnsi="Times New Roman;serif"/>
          <w:b w:val="false"/>
          <w:color w:val="010000"/>
          <w:sz w:val="24"/>
        </w:rPr>
        <w:t>(rr)</w:t>
      </w:r>
      <w:r>
        <w:rPr>
          <w:color w:val="000000"/>
        </w:rPr>
        <w:t> “</w:t>
      </w:r>
      <w:r>
        <w:rPr>
          <w:rFonts w:ascii="Times New Roman;serif" w:hAnsi="Times New Roman;serif"/>
          <w:b w:val="false"/>
          <w:color w:val="000000"/>
          <w:sz w:val="24"/>
          <w:u w:val="single"/>
        </w:rPr>
        <w:t>Service Recipient</w:t>
      </w:r>
      <w:r>
        <w:rPr>
          <w:color w:val="000000"/>
        </w:rPr>
        <w:t xml:space="preserve">” </w:t>
      </w:r>
      <w:r>
        <w:rPr>
          <w:rFonts w:ascii="Times New Roman;serif" w:hAnsi="Times New Roman;serif"/>
          <w:b w:val="false"/>
          <w:color w:val="000000"/>
          <w:sz w:val="24"/>
        </w:rPr>
        <w:t>means, with respect to a Participant holding a given Award, the member of the Company Group by which the original recipient of such Award is, or following a Termination was most recently, principally employed or to which such original recipient provides, or following a Termination was most recently providing, services, as applicable.</w:t>
      </w:r>
    </w:p>
    <w:p>
      <w:pPr>
        <w:pStyle w:val="TextBody"/>
        <w:bidi w:val="0"/>
        <w:spacing w:lineRule="auto" w:line="333" w:before="0" w:after="0"/>
        <w:ind w:left="0" w:right="0" w:firstLine="720"/>
        <w:jc w:val="both"/>
        <w:rPr/>
      </w:pPr>
      <w:r>
        <w:rPr>
          <w:rFonts w:ascii="Times New Roman;serif" w:hAnsi="Times New Roman;serif"/>
          <w:b w:val="false"/>
          <w:color w:val="010000"/>
          <w:sz w:val="24"/>
        </w:rPr>
        <w:t>(ss)</w:t>
      </w:r>
      <w:r>
        <w:rPr>
          <w:color w:val="000000"/>
        </w:rPr>
        <w:t> “</w:t>
      </w:r>
      <w:r>
        <w:rPr>
          <w:rFonts w:ascii="Times New Roman;serif" w:hAnsi="Times New Roman;serif"/>
          <w:b w:val="false"/>
          <w:color w:val="000000"/>
          <w:sz w:val="24"/>
          <w:u w:val="single"/>
        </w:rPr>
        <w:t>SAR Base Price</w:t>
      </w:r>
      <w:r>
        <w:rPr>
          <w:color w:val="000000"/>
        </w:rPr>
        <w:t xml:space="preserve">” </w:t>
      </w:r>
      <w:r>
        <w:rPr>
          <w:rFonts w:ascii="Times New Roman;serif" w:hAnsi="Times New Roman;serif"/>
          <w:b w:val="false"/>
          <w:color w:val="000000"/>
          <w:sz w:val="24"/>
        </w:rPr>
        <w:t>means, as to any Stock Appreciation Right, the price per share of Common Stock designated as the base value above which appreciation in value is measured.</w:t>
      </w:r>
    </w:p>
    <w:p>
      <w:pPr>
        <w:pStyle w:val="TextBody"/>
        <w:bidi w:val="0"/>
        <w:spacing w:lineRule="auto" w:line="333" w:before="0" w:after="0"/>
        <w:ind w:left="0" w:right="0" w:firstLine="720"/>
        <w:jc w:val="both"/>
        <w:rPr/>
      </w:pPr>
      <w:r>
        <w:rPr>
          <w:rFonts w:ascii="Times New Roman;serif" w:hAnsi="Times New Roman;serif"/>
          <w:b w:val="false"/>
          <w:color w:val="010000"/>
          <w:sz w:val="24"/>
        </w:rPr>
        <w:t>(tt)</w:t>
      </w:r>
      <w:r>
        <w:rPr>
          <w:color w:val="000000"/>
        </w:rPr>
        <w:t> “</w:t>
      </w:r>
      <w:r>
        <w:rPr>
          <w:rFonts w:ascii="Times New Roman;serif" w:hAnsi="Times New Roman;serif"/>
          <w:b w:val="false"/>
          <w:color w:val="000000"/>
          <w:sz w:val="24"/>
          <w:u w:val="single"/>
        </w:rPr>
        <w:t>Stock Appreciation Right</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SAR</w:t>
      </w:r>
      <w:r>
        <w:rPr>
          <w:color w:val="000000"/>
        </w:rPr>
        <w:t xml:space="preserve">” </w:t>
      </w:r>
      <w:r>
        <w:rPr>
          <w:rFonts w:ascii="Times New Roman;serif" w:hAnsi="Times New Roman;serif"/>
          <w:b w:val="false"/>
          <w:color w:val="000000"/>
          <w:sz w:val="24"/>
        </w:rPr>
        <w:t>means an Other-Equity Based Award designated in an applicable Award Agreement as a stock appreciation right.</w:t>
      </w:r>
    </w:p>
    <w:p>
      <w:pPr>
        <w:pStyle w:val="TextBody"/>
        <w:bidi w:val="0"/>
        <w:spacing w:lineRule="auto" w:line="333" w:before="0" w:after="0"/>
        <w:ind w:left="0" w:right="0" w:firstLine="720"/>
        <w:jc w:val="both"/>
        <w:rPr/>
      </w:pPr>
      <w:r>
        <w:rPr>
          <w:rFonts w:ascii="Times New Roman;serif" w:hAnsi="Times New Roman;serif"/>
          <w:b w:val="false"/>
          <w:color w:val="010000"/>
          <w:sz w:val="24"/>
        </w:rPr>
        <w:t>(uu)</w:t>
      </w:r>
      <w:r>
        <w:rPr>
          <w:color w:val="000000"/>
        </w:rPr>
        <w:t> “</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with respect to any specified Person:</w:t>
      </w:r>
    </w:p>
    <w:p>
      <w:pPr>
        <w:pStyle w:val="TextBody"/>
        <w:bidi w:val="0"/>
        <w:spacing w:lineRule="auto" w:line="333" w:before="0" w:after="0"/>
        <w:ind w:left="0" w:right="0" w:firstLine="720"/>
        <w:jc w:val="both"/>
        <w:rPr/>
      </w:pPr>
      <w:r>
        <w:rPr>
          <w:rFonts w:ascii="Times New Roman;serif" w:hAnsi="Times New Roman;serif"/>
          <w:b w:val="false"/>
          <w:color w:val="010000"/>
          <w:sz w:val="24"/>
        </w:rPr>
        <w:t>(i)</w:t>
      </w:r>
      <w:r>
        <w:rPr>
          <w:color w:val="000000"/>
        </w:rPr>
        <w:t> </w:t>
      </w:r>
      <w:r>
        <w:rPr>
          <w:rFonts w:ascii="Times New Roman;serif" w:hAnsi="Times New Roman;serif"/>
          <w:b w:val="false"/>
          <w:color w:val="000000"/>
          <w:sz w:val="24"/>
        </w:rPr>
        <w:t>any corporation, association or other business entity of which more than 50% of the total voting power of shares of such entity’s voting securities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 and</w:t>
      </w:r>
    </w:p>
    <w:p>
      <w:pPr>
        <w:pStyle w:val="TextBody"/>
        <w:bidi w:val="0"/>
        <w:spacing w:lineRule="auto" w:line="333" w:before="0" w:after="0"/>
        <w:ind w:left="0" w:right="0" w:firstLine="720"/>
        <w:jc w:val="both"/>
        <w:rPr/>
      </w:pPr>
      <w:r>
        <w:rPr>
          <w:rFonts w:ascii="Times New Roman;serif" w:hAnsi="Times New Roman;serif"/>
          <w:b w:val="false"/>
          <w:color w:val="010000"/>
          <w:sz w:val="24"/>
        </w:rPr>
        <w:t>(ii)</w:t>
      </w:r>
      <w:r>
        <w:rPr>
          <w:color w:val="000000"/>
        </w:rPr>
        <w:t> </w:t>
      </w:r>
      <w:r>
        <w:rPr>
          <w:rFonts w:ascii="Times New Roman;serif" w:hAnsi="Times New Roman;serif"/>
          <w:b w:val="false"/>
          <w:color w:val="000000"/>
          <w:sz w:val="24"/>
        </w:rPr>
        <w:t>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pStyle w:val="TextBody"/>
        <w:bidi w:val="0"/>
        <w:spacing w:lineRule="auto" w:line="333"/>
        <w:ind w:left="0" w:right="0" w:firstLine="720"/>
        <w:jc w:val="both"/>
        <w:rPr/>
      </w:pPr>
      <w:r>
        <w:rPr>
          <w:rFonts w:ascii="Times New Roman;serif" w:hAnsi="Times New Roman;serif"/>
          <w:b w:val="false"/>
          <w:color w:val="010000"/>
          <w:sz w:val="24"/>
        </w:rPr>
        <w:t>(vv)</w:t>
      </w:r>
      <w:r>
        <w:rPr>
          <w:color w:val="000000"/>
        </w:rPr>
        <w:t> “</w:t>
      </w:r>
      <w:r>
        <w:rPr>
          <w:rFonts w:ascii="Times New Roman;serif" w:hAnsi="Times New Roman;serif"/>
          <w:b w:val="false"/>
          <w:color w:val="000000"/>
          <w:sz w:val="24"/>
          <w:u w:val="single"/>
        </w:rPr>
        <w:t>Sub-Plans</w:t>
      </w:r>
      <w:r>
        <w:rPr>
          <w:color w:val="000000"/>
        </w:rPr>
        <w:t xml:space="preserve">” </w:t>
      </w:r>
      <w:r>
        <w:rPr>
          <w:rFonts w:ascii="Times New Roman;serif" w:hAnsi="Times New Roman;serif"/>
          <w:b w:val="false"/>
          <w:color w:val="000000"/>
          <w:sz w:val="24"/>
        </w:rPr>
        <w:t xml:space="preserve">means any sub-plan to the Plan that has been adopted by the Board or the Committee for the purpose of permitting or facilitating the offering of Awards to employees of certain Designated Foreign Subsidiaries or otherwise outside the jurisdiction of the United States of America, with each such Sub-Plan designed to comply with local laws applicable to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72"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offerings in such foreign jurisdictions. Although any Sub-Plan may be designated a separate and independent plan from the Plan in order to comply with applicable local laws, the Plan Share Reserve and the other limits specified in Section 5(b) of the Plan shall apply in the aggregate to the Plan and any Sub-Plan adopted hereunder.</w:t>
      </w:r>
    </w:p>
    <w:p>
      <w:pPr>
        <w:pStyle w:val="TextBody"/>
        <w:bidi w:val="0"/>
        <w:spacing w:lineRule="auto" w:line="333" w:before="0" w:after="0"/>
        <w:ind w:left="0" w:right="0" w:firstLine="720"/>
        <w:jc w:val="both"/>
        <w:rPr/>
      </w:pPr>
      <w:r>
        <w:rPr>
          <w:rFonts w:ascii="Times New Roman;serif" w:hAnsi="Times New Roman;serif"/>
          <w:b w:val="false"/>
          <w:color w:val="010000"/>
          <w:sz w:val="24"/>
        </w:rPr>
        <w:t>(ww)</w:t>
      </w:r>
      <w:r>
        <w:rPr>
          <w:color w:val="000000"/>
        </w:rPr>
        <w:t> “</w:t>
      </w:r>
      <w:r>
        <w:rPr>
          <w:rFonts w:ascii="Times New Roman;serif" w:hAnsi="Times New Roman;serif"/>
          <w:b w:val="false"/>
          <w:color w:val="000000"/>
          <w:sz w:val="24"/>
          <w:u w:val="single"/>
        </w:rPr>
        <w:t>Substitute Award</w:t>
      </w:r>
      <w:r>
        <w:rPr>
          <w:color w:val="000000"/>
        </w:rPr>
        <w:t xml:space="preserve">” </w:t>
      </w:r>
      <w:r>
        <w:rPr>
          <w:rFonts w:ascii="Times New Roman;serif" w:hAnsi="Times New Roman;serif"/>
          <w:b w:val="false"/>
          <w:color w:val="000000"/>
          <w:sz w:val="24"/>
        </w:rPr>
        <w:t>has the meaning given to such term in Section 5(e) of the Plan.</w:t>
      </w:r>
    </w:p>
    <w:p>
      <w:pPr>
        <w:pStyle w:val="TextBody"/>
        <w:bidi w:val="0"/>
        <w:spacing w:lineRule="auto" w:line="333" w:before="0" w:after="0"/>
        <w:ind w:left="0" w:right="0" w:firstLine="720"/>
        <w:jc w:val="both"/>
        <w:rPr/>
      </w:pPr>
      <w:r>
        <w:rPr>
          <w:rFonts w:ascii="Times New Roman;serif" w:hAnsi="Times New Roman;serif"/>
          <w:b w:val="false"/>
          <w:color w:val="010000"/>
          <w:sz w:val="24"/>
        </w:rPr>
        <w:t>(xx)</w:t>
      </w:r>
      <w:r>
        <w:rPr>
          <w:color w:val="000000"/>
        </w:rPr>
        <w:t> “</w:t>
      </w:r>
      <w:r>
        <w:rPr>
          <w:rFonts w:ascii="Times New Roman;serif" w:hAnsi="Times New Roman;serif"/>
          <w:b w:val="false"/>
          <w:color w:val="000000"/>
          <w:sz w:val="24"/>
          <w:u w:val="single"/>
        </w:rPr>
        <w:t>Termination</w:t>
      </w:r>
      <w:r>
        <w:rPr>
          <w:color w:val="000000"/>
        </w:rPr>
        <w:t xml:space="preserve">” </w:t>
      </w:r>
      <w:r>
        <w:rPr>
          <w:rFonts w:ascii="Times New Roman;serif" w:hAnsi="Times New Roman;serif"/>
          <w:b w:val="false"/>
          <w:color w:val="000000"/>
          <w:sz w:val="24"/>
        </w:rPr>
        <w:t>means the termination of a Participant’s employment or service, as applicable, with the Service Recipient for any reason (including death).</w:t>
      </w:r>
    </w:p>
    <w:p>
      <w:pPr>
        <w:pStyle w:val="TextBody"/>
        <w:bidi w:val="0"/>
        <w:spacing w:lineRule="auto" w:line="333" w:before="0" w:after="0"/>
        <w:ind w:left="0" w:right="0" w:firstLine="720"/>
        <w:jc w:val="both"/>
        <w:rPr/>
      </w:pPr>
      <w:r>
        <w:rPr>
          <w:rFonts w:ascii="Times New Roman;serif" w:hAnsi="Times New Roman;serif"/>
          <w:b w:val="false"/>
          <w:color w:val="000000"/>
          <w:sz w:val="24"/>
        </w:rPr>
        <w:t>(yy) “</w:t>
      </w:r>
      <w:r>
        <w:rPr>
          <w:rFonts w:ascii="Times New Roman;serif" w:hAnsi="Times New Roman;serif"/>
          <w:b w:val="false"/>
          <w:color w:val="000000"/>
          <w:sz w:val="24"/>
          <w:u w:val="single"/>
        </w:rPr>
        <w:t>ZoomInfo OpCo</w:t>
      </w:r>
      <w:r>
        <w:rPr>
          <w:color w:val="000000"/>
        </w:rPr>
        <w:t xml:space="preserve">” </w:t>
      </w:r>
      <w:r>
        <w:rPr>
          <w:rFonts w:ascii="Times New Roman;serif" w:hAnsi="Times New Roman;serif"/>
          <w:b w:val="false"/>
          <w:color w:val="000000"/>
          <w:sz w:val="24"/>
        </w:rPr>
        <w:t>means ZoomInfo Holdings LLC (formerly known as DiscoverOrg Holdings, LLC), a Delaware limited liability company.</w:t>
      </w:r>
    </w:p>
    <w:p>
      <w:pPr>
        <w:pStyle w:val="TextBody"/>
        <w:bidi w:val="0"/>
        <w:spacing w:lineRule="auto" w:line="333" w:before="0" w:after="0"/>
        <w:ind w:left="0" w:right="0" w:firstLine="720"/>
        <w:jc w:val="both"/>
        <w:rPr/>
      </w:pPr>
      <w:r>
        <w:rPr>
          <w:rFonts w:ascii="Times New Roman;serif" w:hAnsi="Times New Roman;serif"/>
          <w:b/>
          <w:color w:val="010000"/>
          <w:sz w:val="24"/>
        </w:rPr>
        <w:t>3.</w:t>
      </w:r>
      <w:r>
        <w:rPr>
          <w:color w:val="000000"/>
        </w:rPr>
        <w:t> </w:t>
      </w:r>
      <w:r>
        <w:rPr>
          <w:rFonts w:ascii="Times New Roman;serif" w:hAnsi="Times New Roman;serif"/>
          <w:b/>
          <w:color w:val="000000"/>
          <w:sz w:val="24"/>
        </w:rPr>
        <w:t>Effective Date; Duration</w:t>
      </w:r>
      <w:r>
        <w:rPr>
          <w:rFonts w:ascii="Times New Roman;serif" w:hAnsi="Times New Roman;serif"/>
          <w:b w:val="false"/>
          <w:color w:val="000000"/>
          <w:sz w:val="24"/>
        </w:rPr>
        <w:t>. The Plan shall be effective as of the Effective Date. The expiration date of the Plan, on and after which date no Awards may be granted hereunder, shall be the tenth (10</w:t>
      </w:r>
      <w:r>
        <w:rPr>
          <w:rFonts w:ascii="Times New Roman;serif" w:hAnsi="Times New Roman;serif"/>
          <w:b w:val="false"/>
          <w:color w:val="000000"/>
          <w:sz w:val="16"/>
        </w:rPr>
        <w:t>th</w:t>
      </w:r>
      <w:r>
        <w:rPr>
          <w:rFonts w:ascii="Times New Roman;serif" w:hAnsi="Times New Roman;serif"/>
          <w:b w:val="false"/>
          <w:color w:val="000000"/>
          <w:sz w:val="24"/>
        </w:rPr>
        <w:t xml:space="preserve">) anniversary of the Effective Date; </w:t>
      </w:r>
      <w:r>
        <w:rPr>
          <w:rFonts w:ascii="Times New Roman;serif" w:hAnsi="Times New Roman;serif"/>
          <w:b w:val="false"/>
          <w:i/>
          <w:color w:val="000000"/>
          <w:sz w:val="24"/>
        </w:rPr>
        <w:t>provided</w:t>
      </w:r>
      <w:r>
        <w:rPr>
          <w:rFonts w:ascii="Times New Roman;serif" w:hAnsi="Times New Roman;serif"/>
          <w:b w:val="false"/>
          <w:color w:val="000000"/>
          <w:sz w:val="24"/>
        </w:rPr>
        <w:t>, that such expiration shall not affect Awards then outstanding, and the terms and conditions of the Plan shall continue to apply to such Awards.</w:t>
      </w:r>
    </w:p>
    <w:p>
      <w:pPr>
        <w:pStyle w:val="TextBody"/>
        <w:bidi w:val="0"/>
        <w:spacing w:lineRule="auto" w:line="333" w:before="0" w:after="0"/>
        <w:ind w:left="0" w:right="0" w:firstLine="720"/>
        <w:jc w:val="both"/>
        <w:rPr/>
      </w:pPr>
      <w:r>
        <w:rPr>
          <w:rFonts w:ascii="Times New Roman;serif" w:hAnsi="Times New Roman;serif"/>
          <w:b/>
          <w:color w:val="010000"/>
          <w:sz w:val="24"/>
        </w:rPr>
        <w:t>4.</w:t>
      </w:r>
      <w:r>
        <w:rPr>
          <w:color w:val="000000"/>
        </w:rPr>
        <w:t> </w:t>
      </w:r>
      <w:r>
        <w:rPr>
          <w:rFonts w:ascii="Times New Roman;serif" w:hAnsi="Times New Roman;serif"/>
          <w:b/>
          <w:color w:val="000000"/>
          <w:sz w:val="24"/>
        </w:rPr>
        <w:t>Administration</w:t>
      </w:r>
      <w:r>
        <w:rPr>
          <w:rFonts w:ascii="Times New Roman;serif" w:hAnsi="Times New Roman;serif"/>
          <w:b w:val="false"/>
          <w:color w:val="000000"/>
          <w:sz w:val="24"/>
        </w:rPr>
        <w:t xml:space="preserve">. </w:t>
      </w:r>
    </w:p>
    <w:p>
      <w:pPr>
        <w:pStyle w:val="TextBody"/>
        <w:bidi w:val="0"/>
        <w:spacing w:lineRule="auto" w:line="333" w:before="0" w:after="0"/>
        <w:ind w:left="0" w:right="0" w:firstLine="720"/>
        <w:jc w:val="both"/>
        <w:rPr/>
      </w:pPr>
      <w:r>
        <w:rPr>
          <w:rFonts w:ascii="Times New Roman;serif" w:hAnsi="Times New Roman;serif"/>
          <w:b w:val="false"/>
          <w:color w:val="010000"/>
          <w:sz w:val="24"/>
        </w:rPr>
        <w:t>(a)</w:t>
      </w:r>
      <w:r>
        <w:rPr>
          <w:color w:val="000000"/>
        </w:rPr>
        <w:t> </w:t>
      </w:r>
      <w:r>
        <w:rPr>
          <w:rFonts w:ascii="Times New Roman;serif" w:hAnsi="Times New Roman;serif"/>
          <w:b w:val="false"/>
          <w:color w:val="000000"/>
          <w:sz w:val="24"/>
          <w:u w:val="single"/>
        </w:rPr>
        <w:t>General</w:t>
      </w:r>
      <w:r>
        <w:rPr>
          <w:rFonts w:ascii="Times New Roman;serif" w:hAnsi="Times New Roman;serif"/>
          <w:b w:val="false"/>
          <w:color w:val="000000"/>
          <w:sz w:val="24"/>
        </w:rPr>
        <w:t>. The Committee shall administer the Plan. To the extent required to comply with the provisions of Rule 16b-3 promulgated under the Exchange Act (if the Board is not acting as the Committee under the Plan) it is intended that each member of the Committee shall, at the time such member takes any action with respect to an Award under the Plan that is intended to qualify for the exemptions provided by Rule 16b-3 promulgated under the Exchange Act be a Qualifying Director. Awards may only be granted by Qualifying Directors.</w:t>
      </w:r>
    </w:p>
    <w:p>
      <w:pPr>
        <w:pStyle w:val="TextBody"/>
        <w:bidi w:val="0"/>
        <w:spacing w:lineRule="auto" w:line="333"/>
        <w:ind w:left="0" w:right="0" w:firstLine="720"/>
        <w:jc w:val="both"/>
        <w:rPr/>
      </w:pPr>
      <w:r>
        <w:rPr>
          <w:rFonts w:ascii="Times New Roman;serif" w:hAnsi="Times New Roman;serif"/>
          <w:b w:val="false"/>
          <w:color w:val="010000"/>
          <w:sz w:val="24"/>
        </w:rPr>
        <w:t>(b)</w:t>
      </w:r>
      <w:r>
        <w:rPr>
          <w:color w:val="000000"/>
        </w:rPr>
        <w:t> </w:t>
      </w:r>
      <w:r>
        <w:rPr>
          <w:rFonts w:ascii="Times New Roman;serif" w:hAnsi="Times New Roman;serif"/>
          <w:b w:val="false"/>
          <w:color w:val="000000"/>
          <w:sz w:val="24"/>
          <w:u w:val="single"/>
        </w:rPr>
        <w:t>Committee Authority</w:t>
      </w:r>
      <w:r>
        <w:rPr>
          <w:rFonts w:ascii="Times New Roman;serif" w:hAnsi="Times New Roman;serif"/>
          <w:b w:val="false"/>
          <w:color w:val="000000"/>
          <w:sz w:val="24"/>
        </w:rPr>
        <w:t xml:space="preserve">. Subject to the provisions of the Plan, applicable law and the Inducement Award Rules,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of Common Stock to be covered by, or with respect to which payments, rights, or other matters are to be calculated in connection with, Awards; (iv) determine the terms and conditions of any Award; (v) determine whether, to what extent, and under what circumstances Awards may be settled in, or exercised for, cash, shares of Common Stock, other securities, other Awards or other property, or canceled, forfeited, or suspended and the method or methods by which Awards may be settled, exercised, canceled, forfeited, or suspended; (vi) determine whether, to what extent, and under what circumstances the delivery of cash, shares of Common Stock, other securities, other Awards, or other property and other amounts payable with respect to an Award shall be deferred either automatically or at the election of the Participant or of the Committee; (vii) interpret, administer, reconcile any inconsistency in, correct any defect in and/or supply any omission in the Plan and any instrument or agreement relating to, or Award granted under, the Plan; (viii) establish, amend, suspend, or waive any rules and regulations and appoint such agents as the Committee shall deem appropriate for the proper administration of the Plan; (ix) adopt Sub-Plans; and (x) make any other determination and take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73"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any other action that the Committee deems necessary or desirable for the administration of the Plan. </w:t>
      </w:r>
    </w:p>
    <w:p>
      <w:pPr>
        <w:pStyle w:val="TextBody"/>
        <w:bidi w:val="0"/>
        <w:spacing w:lineRule="auto" w:line="333" w:before="0" w:after="0"/>
        <w:ind w:left="0" w:right="0" w:firstLine="720"/>
        <w:jc w:val="both"/>
        <w:rPr/>
      </w:pPr>
      <w:r>
        <w:rPr>
          <w:rFonts w:ascii="Times New Roman;serif" w:hAnsi="Times New Roman;serif"/>
          <w:b w:val="false"/>
          <w:color w:val="010000"/>
          <w:sz w:val="24"/>
        </w:rPr>
        <w:t>(c)</w:t>
      </w:r>
      <w:r>
        <w:rPr>
          <w:color w:val="000000"/>
        </w:rPr>
        <w:t> </w:t>
      </w:r>
      <w:r>
        <w:rPr>
          <w:rFonts w:ascii="Times New Roman;serif" w:hAnsi="Times New Roman;serif"/>
          <w:b w:val="false"/>
          <w:color w:val="000000"/>
          <w:sz w:val="24"/>
          <w:u w:val="single"/>
        </w:rPr>
        <w:t>Delegation</w:t>
      </w:r>
      <w:r>
        <w:rPr>
          <w:rFonts w:ascii="Times New Roman;serif" w:hAnsi="Times New Roman;serif"/>
          <w:b w:val="false"/>
          <w:color w:val="000000"/>
          <w:sz w:val="24"/>
        </w:rPr>
        <w:t>. Except to the extent prohibited by applicable law or the applicable rules and regulations of any securities exchange or inter-dealer quotation system on which the securities of the Company are listed or traded or the Inducement Award Rules,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any member of the Company Group, the authority to act on behalf of the Committee with respect to any matter, right, obligation, or election which is the responsibility of, or which is allocated to, the Committee herein, and which may be so delegated as a matter of law, except with respect to grants of Awards to persons who are subject to Section 16 of the Exchange Act.</w:t>
      </w:r>
    </w:p>
    <w:p>
      <w:pPr>
        <w:pStyle w:val="TextBody"/>
        <w:bidi w:val="0"/>
        <w:spacing w:lineRule="auto" w:line="333" w:before="0" w:after="0"/>
        <w:ind w:left="0" w:right="0" w:firstLine="720"/>
        <w:jc w:val="both"/>
        <w:rPr/>
      </w:pPr>
      <w:r>
        <w:rPr>
          <w:rFonts w:ascii="Times New Roman;serif" w:hAnsi="Times New Roman;serif"/>
          <w:b w:val="false"/>
          <w:color w:val="010000"/>
          <w:sz w:val="24"/>
        </w:rPr>
        <w:t>(d)</w:t>
      </w:r>
      <w:r>
        <w:rPr>
          <w:color w:val="000000"/>
        </w:rPr>
        <w:t> </w:t>
      </w:r>
      <w:r>
        <w:rPr>
          <w:rFonts w:ascii="Times New Roman;serif" w:hAnsi="Times New Roman;serif"/>
          <w:b w:val="false"/>
          <w:color w:val="000000"/>
          <w:sz w:val="24"/>
          <w:u w:val="single"/>
        </w:rPr>
        <w:t>Finality of Decisions</w:t>
      </w:r>
      <w:r>
        <w:rPr>
          <w:rFonts w:ascii="Times New Roman;serif" w:hAnsi="Times New Roman;serif"/>
          <w:b w:val="false"/>
          <w:color w:val="000000"/>
          <w:sz w:val="24"/>
        </w:rPr>
        <w:t>. Unless otherwise expressly provided in the Plan, all designations, determinations, interpretations, and other decisions under or with respect to the Plan, any Award or any Award Agreement shall be within the sole discretion of the Committee, may be made at any time and shall be final, conclusive and binding upon all Persons, including, without limitation, any member of the Company Group, any Participant, any holder or beneficiary of any Award, and any stockholder of the Company.</w:t>
      </w:r>
    </w:p>
    <w:p>
      <w:pPr>
        <w:pStyle w:val="TextBody"/>
        <w:bidi w:val="0"/>
        <w:spacing w:lineRule="auto" w:line="333"/>
        <w:ind w:left="0" w:right="0" w:firstLine="720"/>
        <w:jc w:val="both"/>
        <w:rPr/>
      </w:pPr>
      <w:r>
        <w:rPr>
          <w:rFonts w:ascii="Times New Roman;serif" w:hAnsi="Times New Roman;serif"/>
          <w:b w:val="false"/>
          <w:color w:val="010000"/>
          <w:sz w:val="24"/>
        </w:rPr>
        <w:t>(e)</w:t>
      </w:r>
      <w:r>
        <w:rPr>
          <w:color w:val="000000"/>
        </w:rPr>
        <w:t> </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No member of the Board, the Committee or any employee or agent of any member of the Company Group (each such Person, an “</w:t>
      </w:r>
      <w:r>
        <w:rPr>
          <w:rFonts w:ascii="Times New Roman;serif" w:hAnsi="Times New Roman;serif"/>
          <w:b w:val="false"/>
          <w:color w:val="000000"/>
          <w:sz w:val="24"/>
          <w:u w:val="single"/>
        </w:rPr>
        <w:t>Indemnifiable Person</w:t>
      </w:r>
      <w:r>
        <w:rPr>
          <w:color w:val="000000"/>
        </w:rPr>
        <w:t>”</w:t>
      </w:r>
      <w:r>
        <w:rPr>
          <w:rFonts w:ascii="Times New Roman;serif" w:hAnsi="Times New Roman;serif"/>
          <w:b w:val="false"/>
          <w:color w:val="000000"/>
          <w:sz w:val="24"/>
        </w:rPr>
        <w:t xml:space="preserve">)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or determination made with respect to the Plan or any Award hereunder and against and from any and all amounts paid by such Indemnifiable Person with the Company’s approval,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Company shall have the right, at its own expense, to assume and defend any such action, suit or proceeding and once the Company gives notice of its intent to assume the defense, the Company shall have sole control over such defense with counsel of the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74" name="Frame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Company’s choice. The foregoing right of indemnification shall not be available to an Indemnifiable Person to the extent that a final judgment or other final adjudication (in either case not subject to further appeal) binding upon such Indemnifiable Person determines that the acts, omissions or determinations of such Indemnifiable Person giving rise to the indemnification claim resulted from such Indemnifiable Person’s fraud or willful criminal act or omission or that such right of indemnification is otherwise prohibited by law or by the organizational documents of any member of the Company Group. The foregoing right of indemnification shall not be exclusive of or otherwise supersede any other rights of indemnification to which such Indemnifiable Persons may be entitled under the organizational documents of any member of the Company Group, as a matter of law, under an individual indemnification agreement or contract or otherwise, or any other power that the Company may have to indemnify such Indemnifiable Persons or hold such Indemnifiable Persons harmless.</w:t>
      </w:r>
    </w:p>
    <w:p>
      <w:pPr>
        <w:pStyle w:val="TextBody"/>
        <w:bidi w:val="0"/>
        <w:spacing w:lineRule="auto" w:line="333" w:before="0" w:after="0"/>
        <w:ind w:left="0" w:right="0" w:firstLine="720"/>
        <w:jc w:val="both"/>
        <w:rPr/>
      </w:pPr>
      <w:r>
        <w:rPr>
          <w:rFonts w:ascii="Times New Roman;serif" w:hAnsi="Times New Roman;serif"/>
          <w:b w:val="false"/>
          <w:color w:val="010000"/>
          <w:sz w:val="24"/>
        </w:rPr>
        <w:t>(f)</w:t>
      </w:r>
      <w:r>
        <w:rPr>
          <w:color w:val="000000"/>
        </w:rPr>
        <w:t> </w:t>
      </w:r>
      <w:r>
        <w:rPr>
          <w:rFonts w:ascii="Times New Roman;serif" w:hAnsi="Times New Roman;serif"/>
          <w:b w:val="false"/>
          <w:color w:val="000000"/>
          <w:sz w:val="24"/>
          <w:u w:val="single"/>
        </w:rPr>
        <w:t>Board Authority</w:t>
      </w:r>
      <w:r>
        <w:rPr>
          <w:rFonts w:ascii="Times New Roman;serif" w:hAnsi="Times New Roman;serif"/>
          <w:b w:val="false"/>
          <w:color w:val="000000"/>
          <w:sz w:val="24"/>
        </w:rPr>
        <w:t>. Notwithstanding anything to the contrary contained in the Plan, the Board may, in its sole discretion, at any time and from time to time, grant Awards and administer the Plan with respect to such Awards. Any such actions by the Board shall be subject to the applicable rules of the securities exchange or inter-dealer quotation system on which the Common Stock is listed or quoted and the Inducement Award Rules. In any such case, the Board shall have all the authority granted to the Committee under the Plan.</w:t>
      </w:r>
    </w:p>
    <w:p>
      <w:pPr>
        <w:pStyle w:val="TextBody"/>
        <w:bidi w:val="0"/>
        <w:spacing w:lineRule="auto" w:line="333" w:before="0" w:after="0"/>
        <w:ind w:left="0" w:right="0" w:firstLine="720"/>
        <w:jc w:val="both"/>
        <w:rPr/>
      </w:pPr>
      <w:r>
        <w:rPr>
          <w:rFonts w:ascii="Times New Roman;serif" w:hAnsi="Times New Roman;serif"/>
          <w:b/>
          <w:color w:val="010000"/>
          <w:sz w:val="24"/>
        </w:rPr>
        <w:t>5.</w:t>
      </w:r>
      <w:r>
        <w:rPr>
          <w:color w:val="000000"/>
        </w:rPr>
        <w:t> </w:t>
      </w:r>
      <w:r>
        <w:rPr>
          <w:rFonts w:ascii="Times New Roman;serif" w:hAnsi="Times New Roman;serif"/>
          <w:b/>
          <w:color w:val="000000"/>
          <w:sz w:val="24"/>
        </w:rPr>
        <w:t>Grant of Awards; Shares Subject to the Plan; Limitations</w:t>
      </w:r>
      <w:r>
        <w:rPr>
          <w:rFonts w:ascii="Times New Roman;serif" w:hAnsi="Times New Roman;serif"/>
          <w:b w:val="false"/>
          <w:color w:val="000000"/>
          <w:sz w:val="24"/>
        </w:rPr>
        <w:t xml:space="preserve">. </w:t>
      </w:r>
    </w:p>
    <w:p>
      <w:pPr>
        <w:pStyle w:val="TextBody"/>
        <w:bidi w:val="0"/>
        <w:spacing w:lineRule="auto" w:line="333" w:before="0" w:after="0"/>
        <w:ind w:left="0" w:right="0" w:firstLine="720"/>
        <w:jc w:val="both"/>
        <w:rPr/>
      </w:pPr>
      <w:r>
        <w:rPr>
          <w:rFonts w:ascii="Times New Roman;serif" w:hAnsi="Times New Roman;serif"/>
          <w:b w:val="false"/>
          <w:color w:val="010000"/>
          <w:sz w:val="24"/>
        </w:rPr>
        <w:t>(a)</w:t>
      </w:r>
      <w:r>
        <w:rPr>
          <w:color w:val="000000"/>
        </w:rPr>
        <w:t> </w:t>
      </w:r>
      <w:r>
        <w:rPr>
          <w:rFonts w:ascii="Times New Roman;serif" w:hAnsi="Times New Roman;serif"/>
          <w:b w:val="false"/>
          <w:color w:val="000000"/>
          <w:sz w:val="24"/>
          <w:u w:val="single"/>
        </w:rPr>
        <w:t>Grants</w:t>
      </w:r>
      <w:r>
        <w:rPr>
          <w:rFonts w:ascii="Times New Roman;serif" w:hAnsi="Times New Roman;serif"/>
          <w:b w:val="false"/>
          <w:color w:val="000000"/>
          <w:sz w:val="24"/>
        </w:rPr>
        <w:t>. The Committee may, from time to time, grant Awards to one or more Eligible Persons.</w:t>
      </w:r>
    </w:p>
    <w:p>
      <w:pPr>
        <w:pStyle w:val="TextBody"/>
        <w:bidi w:val="0"/>
        <w:spacing w:lineRule="auto" w:line="333" w:before="0" w:after="0"/>
        <w:ind w:left="0" w:right="0" w:firstLine="720"/>
        <w:jc w:val="both"/>
        <w:rPr/>
      </w:pPr>
      <w:r>
        <w:rPr>
          <w:rFonts w:ascii="Times New Roman;serif" w:hAnsi="Times New Roman;serif"/>
          <w:b w:val="false"/>
          <w:color w:val="010000"/>
          <w:sz w:val="24"/>
        </w:rPr>
        <w:t>(b)</w:t>
      </w:r>
      <w:r>
        <w:rPr>
          <w:color w:val="000000"/>
        </w:rPr>
        <w:t> </w:t>
      </w:r>
      <w:r>
        <w:rPr>
          <w:rFonts w:ascii="Times New Roman;serif" w:hAnsi="Times New Roman;serif"/>
          <w:b w:val="false"/>
          <w:color w:val="000000"/>
          <w:sz w:val="24"/>
          <w:u w:val="single"/>
        </w:rPr>
        <w:t>Share Reserve</w:t>
      </w:r>
      <w:r>
        <w:rPr>
          <w:rFonts w:ascii="Times New Roman;serif" w:hAnsi="Times New Roman;serif"/>
          <w:b w:val="false"/>
          <w:color w:val="000000"/>
          <w:sz w:val="24"/>
        </w:rPr>
        <w:t>. Subject to Section 12 of the Plan, 2,000,000 shares of Common Stock (the “</w:t>
      </w:r>
      <w:r>
        <w:rPr>
          <w:rFonts w:ascii="Times New Roman;serif" w:hAnsi="Times New Roman;serif"/>
          <w:b w:val="false"/>
          <w:color w:val="000000"/>
          <w:sz w:val="24"/>
          <w:u w:val="single"/>
        </w:rPr>
        <w:t>Plan Share Reserve</w:t>
      </w:r>
      <w:r>
        <w:rPr>
          <w:color w:val="000000"/>
        </w:rPr>
        <w:t>”</w:t>
      </w:r>
      <w:r>
        <w:rPr>
          <w:rFonts w:ascii="Times New Roman;serif" w:hAnsi="Times New Roman;serif"/>
          <w:b w:val="false"/>
          <w:color w:val="000000"/>
          <w:sz w:val="24"/>
        </w:rPr>
        <w:t xml:space="preserve">) shall be available for Awards under the Plan. Each Award granted under the Plan will reduce the Plan Share Reserve by the number of shares of Common Stock underlying the Award. </w:t>
      </w:r>
    </w:p>
    <w:p>
      <w:pPr>
        <w:pStyle w:val="TextBody"/>
        <w:bidi w:val="0"/>
        <w:spacing w:lineRule="auto" w:line="333"/>
        <w:ind w:left="0" w:right="0" w:firstLine="720"/>
        <w:jc w:val="both"/>
        <w:rPr/>
      </w:pPr>
      <w:r>
        <w:rPr>
          <w:rFonts w:ascii="Times New Roman;serif" w:hAnsi="Times New Roman;serif"/>
          <w:b w:val="false"/>
          <w:color w:val="010000"/>
          <w:sz w:val="24"/>
        </w:rPr>
        <w:t>(c)</w:t>
      </w:r>
      <w:r>
        <w:rPr>
          <w:color w:val="000000"/>
        </w:rPr>
        <w:t> </w:t>
      </w:r>
      <w:r>
        <w:rPr>
          <w:rFonts w:ascii="Times New Roman;serif" w:hAnsi="Times New Roman;serif"/>
          <w:b w:val="false"/>
          <w:color w:val="000000"/>
          <w:sz w:val="24"/>
          <w:u w:val="single"/>
        </w:rPr>
        <w:t>Share Counting</w:t>
      </w:r>
      <w:r>
        <w:rPr>
          <w:rFonts w:ascii="Times New Roman;serif" w:hAnsi="Times New Roman;serif"/>
          <w:b w:val="false"/>
          <w:color w:val="000000"/>
          <w:sz w:val="24"/>
        </w:rPr>
        <w:t xml:space="preserve">. Other than with respect to Substitute Awards, to the extent that an Award expires or is canceled, forfeited, or terminated without issuance to the Participant of the full number of shares of Common Stock to which the Award related, the unissued shares underlying such Award will be returned to the Plan Share Reserve and again be available for grant under the Plan. Shares of Common Stock shall be deemed to have been issued in settlement of Awards if the Fair Market Value equivalent of such shares is paid in cash;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no shares shall be deemed to have been issued in settlement of a SAR, Other Equity-Based Award or Restricted Stock Unit that only provides for settlement in, and settles only in, cash. Shares of Common Stock withheld in payment of the Exercise Price or taxes relating to an Award and shares equal to the number of shares surrendered in payment of any Exercise Price, SAR Base Price, or taxes relating to an Award shall constitute shares issued to the Participant and shall reduce the Plan Share Reserve.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85445"/>
                <wp:effectExtent l="0" t="0" r="0" b="0"/>
                <wp:wrapNone/>
                <wp:docPr id="75" name="Frame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firstLine="72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Source of Shares</w:t>
      </w:r>
      <w:r>
        <w:rPr>
          <w:rFonts w:ascii="Times New Roman;serif" w:hAnsi="Times New Roman;serif"/>
          <w:b w:val="false"/>
          <w:color w:val="000000"/>
          <w:sz w:val="24"/>
        </w:rPr>
        <w:t xml:space="preserve">. Shares of Common Stock issued by the Company in settlement of Awards may be authorized and unissued shares, shares held in the treasury of the Company, shares purchased on the open market or by private purchase or a combination of the foregoing. </w:t>
      </w:r>
    </w:p>
    <w:p>
      <w:pPr>
        <w:pStyle w:val="TextBody"/>
        <w:bidi w:val="0"/>
        <w:spacing w:lineRule="auto" w:line="333" w:before="0" w:after="0"/>
        <w:ind w:left="0" w:right="0" w:firstLine="720"/>
        <w:jc w:val="both"/>
        <w:rPr/>
      </w:pPr>
      <w:r>
        <w:rPr>
          <w:rFonts w:ascii="Times New Roman;serif" w:hAnsi="Times New Roman;serif"/>
          <w:b w:val="false"/>
          <w:color w:val="010000"/>
          <w:sz w:val="24"/>
        </w:rPr>
        <w:t>(e)</w:t>
      </w:r>
      <w:r>
        <w:rPr>
          <w:color w:val="000000"/>
        </w:rPr>
        <w:t> </w:t>
      </w:r>
      <w:r>
        <w:rPr>
          <w:rFonts w:ascii="Times New Roman;serif" w:hAnsi="Times New Roman;serif"/>
          <w:b w:val="false"/>
          <w:color w:val="000000"/>
          <w:sz w:val="24"/>
          <w:u w:val="single"/>
        </w:rPr>
        <w:t>Substitute Awards</w:t>
      </w:r>
      <w:r>
        <w:rPr>
          <w:rFonts w:ascii="Times New Roman;serif" w:hAnsi="Times New Roman;serif"/>
          <w:b w:val="false"/>
          <w:color w:val="000000"/>
          <w:sz w:val="24"/>
        </w:rPr>
        <w:t>. Awards may, in the sole discretion of the Committee, be granted under the Plan in assumption of, or in substitution for, outstanding awards previously granted by an entity directly or indirectly acquired by the Company or with which the Company combines (“</w:t>
      </w:r>
      <w:r>
        <w:rPr>
          <w:rFonts w:ascii="Times New Roman;serif" w:hAnsi="Times New Roman;serif"/>
          <w:b w:val="false"/>
          <w:color w:val="000000"/>
          <w:sz w:val="24"/>
          <w:u w:val="single"/>
        </w:rPr>
        <w:t>Substitute Awards</w:t>
      </w:r>
      <w:r>
        <w:rPr>
          <w:color w:val="000000"/>
        </w:rPr>
        <w:t>”</w:t>
      </w:r>
      <w:r>
        <w:rPr>
          <w:rFonts w:ascii="Times New Roman;serif" w:hAnsi="Times New Roman;serif"/>
          <w:b w:val="false"/>
          <w:color w:val="000000"/>
          <w:sz w:val="24"/>
        </w:rPr>
        <w:t>). Substitute Awards shall not be counted against the Plan Share Reserve. Subject to applicable stock exchange requirements, available shares under a stockholder-approved plan of an entity directly or indirectly acquired by the Company or with which the Company combines (as appropriately adjusted to reflect the acquisition or combination transaction) may be used for Awards under the Plan and shall not reduce the number of shares of Common Stock available for issuance under the Plan.</w:t>
      </w:r>
    </w:p>
    <w:p>
      <w:pPr>
        <w:pStyle w:val="TextBody"/>
        <w:bidi w:val="0"/>
        <w:spacing w:lineRule="auto" w:line="333" w:before="0" w:after="0"/>
        <w:ind w:left="0" w:right="0" w:firstLine="720"/>
        <w:jc w:val="both"/>
        <w:rPr/>
      </w:pPr>
      <w:r>
        <w:rPr>
          <w:rFonts w:ascii="Times New Roman;serif" w:hAnsi="Times New Roman;serif"/>
          <w:b/>
          <w:color w:val="010000"/>
          <w:sz w:val="24"/>
        </w:rPr>
        <w:t>6.</w:t>
      </w:r>
      <w:r>
        <w:rPr>
          <w:color w:val="000000"/>
        </w:rPr>
        <w:t> </w:t>
      </w:r>
      <w:r>
        <w:rPr>
          <w:rFonts w:ascii="Times New Roman;serif" w:hAnsi="Times New Roman;serif"/>
          <w:b/>
          <w:color w:val="000000"/>
          <w:sz w:val="24"/>
        </w:rPr>
        <w:t>Eligibility</w:t>
      </w:r>
      <w:r>
        <w:rPr>
          <w:rFonts w:ascii="Times New Roman;serif" w:hAnsi="Times New Roman;serif"/>
          <w:b w:val="false"/>
          <w:color w:val="000000"/>
          <w:sz w:val="24"/>
        </w:rPr>
        <w:t>. Participation in the Plan shall be limited to Eligible Persons.</w:t>
      </w:r>
    </w:p>
    <w:p>
      <w:pPr>
        <w:pStyle w:val="TextBody"/>
        <w:bidi w:val="0"/>
        <w:spacing w:lineRule="auto" w:line="333" w:before="0" w:after="0"/>
        <w:ind w:left="0" w:right="0" w:firstLine="720"/>
        <w:jc w:val="both"/>
        <w:rPr/>
      </w:pPr>
      <w:r>
        <w:rPr>
          <w:rFonts w:ascii="Times New Roman;serif" w:hAnsi="Times New Roman;serif"/>
          <w:b/>
          <w:color w:val="010000"/>
          <w:sz w:val="24"/>
        </w:rPr>
        <w:t>7.</w:t>
      </w:r>
      <w:r>
        <w:rPr>
          <w:color w:val="000000"/>
        </w:rPr>
        <w:t> </w:t>
      </w:r>
      <w:r>
        <w:rPr>
          <w:rFonts w:ascii="Times New Roman;serif" w:hAnsi="Times New Roman;serif"/>
          <w:b/>
          <w:color w:val="000000"/>
          <w:sz w:val="24"/>
        </w:rPr>
        <w:t>Options</w:t>
      </w:r>
      <w:r>
        <w:rPr>
          <w:rFonts w:ascii="Times New Roman;serif" w:hAnsi="Times New Roman;serif"/>
          <w:b w:val="false"/>
          <w:color w:val="000000"/>
          <w:sz w:val="24"/>
        </w:rPr>
        <w:t>.</w:t>
      </w:r>
      <w:r>
        <w:rPr>
          <w:color w:val="000000"/>
        </w:rPr>
        <w:t xml:space="preserve"> </w:t>
      </w:r>
    </w:p>
    <w:p>
      <w:pPr>
        <w:pStyle w:val="TextBody"/>
        <w:bidi w:val="0"/>
        <w:spacing w:lineRule="auto" w:line="333" w:before="0" w:after="0"/>
        <w:ind w:left="0" w:right="0" w:firstLine="720"/>
        <w:jc w:val="both"/>
        <w:rPr/>
      </w:pPr>
      <w:r>
        <w:rPr>
          <w:rFonts w:ascii="Times New Roman;serif" w:hAnsi="Times New Roman;serif"/>
          <w:b w:val="false"/>
          <w:color w:val="010000"/>
          <w:sz w:val="24"/>
        </w:rPr>
        <w:t>(a)</w:t>
      </w:r>
      <w:r>
        <w:rPr>
          <w:color w:val="000000"/>
        </w:rPr>
        <w:t> </w:t>
      </w:r>
      <w:r>
        <w:rPr>
          <w:rFonts w:ascii="Times New Roman;serif" w:hAnsi="Times New Roman;serif"/>
          <w:b w:val="false"/>
          <w:color w:val="000000"/>
          <w:sz w:val="24"/>
          <w:u w:val="single"/>
        </w:rPr>
        <w:t>General</w:t>
      </w:r>
      <w:r>
        <w:rPr>
          <w:rFonts w:ascii="Times New Roman;serif" w:hAnsi="Times New Roman;serif"/>
          <w:b w:val="false"/>
          <w:color w:val="000000"/>
          <w:sz w:val="24"/>
        </w:rPr>
        <w:t xml:space="preserve">. Each Option granted under the Plan shall be evidenced by an Award Agreement, which agreement need not be the same for each Participant. Each Option so granted shall be subject to the conditions set forth in this Section 7, and to such other conditions not inconsistent with the Plan as may be reflected in the applicable Award Agreement. All Options granted under the Plan shall be Nonqualified Stock Options. </w:t>
      </w:r>
    </w:p>
    <w:p>
      <w:pPr>
        <w:pStyle w:val="TextBody"/>
        <w:bidi w:val="0"/>
        <w:spacing w:lineRule="auto" w:line="333" w:before="0" w:after="0"/>
        <w:ind w:left="0" w:right="0" w:firstLine="720"/>
        <w:jc w:val="both"/>
        <w:rPr/>
      </w:pPr>
      <w:r>
        <w:rPr>
          <w:rFonts w:ascii="Times New Roman;serif" w:hAnsi="Times New Roman;serif"/>
          <w:b w:val="false"/>
          <w:color w:val="010000"/>
          <w:sz w:val="24"/>
        </w:rPr>
        <w:t>(b)</w:t>
      </w:r>
      <w:r>
        <w:rPr>
          <w:color w:val="000000"/>
        </w:rPr>
        <w:t> </w:t>
      </w:r>
      <w:r>
        <w:rPr>
          <w:rFonts w:ascii="Times New Roman;serif" w:hAnsi="Times New Roman;serif"/>
          <w:b w:val="false"/>
          <w:color w:val="000000"/>
          <w:sz w:val="24"/>
          <w:u w:val="single"/>
        </w:rPr>
        <w:t>Exercise Price</w:t>
      </w:r>
      <w:r>
        <w:rPr>
          <w:rFonts w:ascii="Times New Roman;serif" w:hAnsi="Times New Roman;serif"/>
          <w:b w:val="false"/>
          <w:color w:val="000000"/>
          <w:sz w:val="24"/>
        </w:rPr>
        <w:t>. Except as otherwise provided by the Committee in the case of Substitute Awards, the exercise price (“</w:t>
      </w:r>
      <w:r>
        <w:rPr>
          <w:rFonts w:ascii="Times New Roman;serif" w:hAnsi="Times New Roman;serif"/>
          <w:b w:val="false"/>
          <w:color w:val="000000"/>
          <w:sz w:val="24"/>
          <w:u w:val="single"/>
        </w:rPr>
        <w:t>Exercise Price</w:t>
      </w:r>
      <w:r>
        <w:rPr>
          <w:color w:val="000000"/>
        </w:rPr>
        <w:t>”</w:t>
      </w:r>
      <w:r>
        <w:rPr>
          <w:rFonts w:ascii="Times New Roman;serif" w:hAnsi="Times New Roman;serif"/>
          <w:b w:val="false"/>
          <w:color w:val="000000"/>
          <w:sz w:val="24"/>
        </w:rPr>
        <w:t>) per share of Common Stock for each Option shall not be less than 100% of the Grant Date Fair Market Value of such share.</w:t>
      </w:r>
    </w:p>
    <w:p>
      <w:pPr>
        <w:pStyle w:val="TextBody"/>
        <w:bidi w:val="0"/>
        <w:spacing w:lineRule="auto" w:line="333" w:before="0" w:after="0"/>
        <w:ind w:left="0" w:right="0" w:firstLine="720"/>
        <w:jc w:val="both"/>
        <w:rPr/>
      </w:pPr>
      <w:r>
        <w:rPr>
          <w:rFonts w:ascii="Times New Roman;serif" w:hAnsi="Times New Roman;serif"/>
          <w:b w:val="false"/>
          <w:color w:val="010000"/>
          <w:sz w:val="24"/>
        </w:rPr>
        <w:t>(c)</w:t>
      </w:r>
      <w:r>
        <w:rPr>
          <w:color w:val="000000"/>
        </w:rPr>
        <w:t> </w:t>
      </w:r>
      <w:r>
        <w:rPr>
          <w:rFonts w:ascii="Times New Roman;serif" w:hAnsi="Times New Roman;serif"/>
          <w:b w:val="false"/>
          <w:color w:val="000000"/>
          <w:sz w:val="24"/>
          <w:u w:val="single"/>
        </w:rPr>
        <w:t>Vesting and Expiration; Termination</w:t>
      </w:r>
      <w:r>
        <w:rPr>
          <w:rFonts w:ascii="Times New Roman;serif" w:hAnsi="Times New Roman;serif"/>
          <w:b w:val="false"/>
          <w:color w:val="000000"/>
          <w:sz w:val="24"/>
        </w:rPr>
        <w:t>.</w:t>
      </w:r>
    </w:p>
    <w:p>
      <w:pPr>
        <w:pStyle w:val="TextBody"/>
        <w:bidi w:val="0"/>
        <w:spacing w:lineRule="auto" w:line="333" w:before="0" w:after="0"/>
        <w:ind w:left="0" w:right="0" w:firstLine="720"/>
        <w:jc w:val="both"/>
        <w:rPr/>
      </w:pPr>
      <w:r>
        <w:rPr>
          <w:rFonts w:ascii="Times New Roman;serif" w:hAnsi="Times New Roman;serif"/>
          <w:b w:val="false"/>
          <w:color w:val="010000"/>
          <w:sz w:val="24"/>
        </w:rPr>
        <w:t>(i)</w:t>
      </w:r>
      <w:r>
        <w:rPr>
          <w:color w:val="000000"/>
        </w:rPr>
        <w:t> </w:t>
      </w:r>
      <w:r>
        <w:rPr>
          <w:rFonts w:ascii="Times New Roman;serif" w:hAnsi="Times New Roman;serif"/>
          <w:b w:val="false"/>
          <w:color w:val="000000"/>
          <w:sz w:val="24"/>
        </w:rPr>
        <w:t xml:space="preserve">Options shall vest and become exercisable in such manner and on such date or dates or upon such event or events as determined by the Committee; </w:t>
      </w:r>
      <w:r>
        <w:rPr>
          <w:rFonts w:ascii="Times New Roman;serif" w:hAnsi="Times New Roman;serif"/>
          <w:b w:val="false"/>
          <w:i/>
          <w:color w:val="000000"/>
          <w:sz w:val="24"/>
        </w:rPr>
        <w:t>provided</w:t>
      </w:r>
      <w:r>
        <w:rPr>
          <w:rFonts w:ascii="Times New Roman;serif" w:hAnsi="Times New Roman;serif"/>
          <w:b w:val="false"/>
          <w:color w:val="000000"/>
          <w:sz w:val="24"/>
        </w:rPr>
        <w:t>, that notwithstanding any such vesting dates or events, the Committee may in its sole discretion accelerate the vesting of any Options at any time and for any reason.</w:t>
      </w:r>
    </w:p>
    <w:p>
      <w:pPr>
        <w:pStyle w:val="TextBody"/>
        <w:bidi w:val="0"/>
        <w:spacing w:lineRule="auto" w:line="333" w:before="0" w:after="0"/>
        <w:ind w:left="0" w:right="0" w:firstLine="720"/>
        <w:jc w:val="both"/>
        <w:rPr/>
      </w:pPr>
      <w:r>
        <w:rPr>
          <w:rFonts w:ascii="Times New Roman;serif" w:hAnsi="Times New Roman;serif"/>
          <w:b w:val="false"/>
          <w:color w:val="010000"/>
          <w:sz w:val="24"/>
        </w:rPr>
        <w:t>(ii)</w:t>
      </w:r>
      <w:r>
        <w:rPr>
          <w:color w:val="000000"/>
        </w:rPr>
        <w:t> </w:t>
      </w:r>
      <w:r>
        <w:rPr>
          <w:rFonts w:ascii="Times New Roman;serif" w:hAnsi="Times New Roman;serif"/>
          <w:b w:val="false"/>
          <w:color w:val="000000"/>
          <w:sz w:val="24"/>
        </w:rPr>
        <w:t>Options shall expire upon a date determined by the Committee, not to exceed ten (10) years from the Date of Grant (the “</w:t>
      </w:r>
      <w:r>
        <w:rPr>
          <w:rFonts w:ascii="Times New Roman;serif" w:hAnsi="Times New Roman;serif"/>
          <w:b w:val="false"/>
          <w:color w:val="000000"/>
          <w:sz w:val="24"/>
          <w:u w:val="single"/>
        </w:rPr>
        <w:t>Option Period</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if the Option Period would expire at a time when trading in the shares of Common Stock is prohibited by the Company’s insider trading policy (or Company-imposed “blackout period”), then the Option Period shall be automatically extended until the thirtieth (30</w:t>
      </w:r>
      <w:r>
        <w:rPr>
          <w:rFonts w:ascii="Times New Roman;serif" w:hAnsi="Times New Roman;serif"/>
          <w:b w:val="false"/>
          <w:color w:val="000000"/>
          <w:sz w:val="16"/>
        </w:rPr>
        <w:t>th</w:t>
      </w:r>
      <w:r>
        <w:rPr>
          <w:rFonts w:ascii="Times New Roman;serif" w:hAnsi="Times New Roman;serif"/>
          <w:b w:val="false"/>
          <w:color w:val="000000"/>
          <w:sz w:val="24"/>
        </w:rPr>
        <w:t xml:space="preserve">) day following the expiration of such prohibition. </w:t>
      </w:r>
    </w:p>
    <w:p>
      <w:pPr>
        <w:pStyle w:val="TextBody"/>
        <w:bidi w:val="0"/>
        <w:spacing w:lineRule="auto" w:line="333"/>
        <w:ind w:left="0" w:right="0" w:firstLine="720"/>
        <w:jc w:val="both"/>
        <w:rPr/>
      </w:pPr>
      <w:r>
        <w:rPr>
          <w:rFonts w:ascii="Times New Roman;serif" w:hAnsi="Times New Roman;serif"/>
          <w:b w:val="false"/>
          <w:color w:val="010000"/>
          <w:sz w:val="24"/>
        </w:rPr>
        <w:t>(iii)</w:t>
      </w:r>
      <w:r>
        <w:rPr>
          <w:color w:val="000000"/>
        </w:rPr>
        <w:t> </w:t>
      </w:r>
      <w:r>
        <w:rPr>
          <w:rFonts w:ascii="Times New Roman;serif" w:hAnsi="Times New Roman;serif"/>
          <w:b w:val="false"/>
          <w:color w:val="000000"/>
          <w:sz w:val="24"/>
        </w:rPr>
        <w:t xml:space="preserve">Unless otherwise provided by the Committee, whether in an Award Agreement or otherwise, in the event of: (A) a Participant’s Termination by the Service Recipient for Cause, all outstanding Options granted to such Participant shall immediately terminate and expire; (B) a Participant’s Termination due to death or Disability, each outstanding unvested Option granted to such Participant shall immediately terminate and expire, and each outstanding vested Option shall remain exercisable for one (1) year thereafter (but in no event beyond the expiration of the Option Period); and (C) a Participant’s Termination for any other reason, each outstanding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85445"/>
                <wp:effectExtent l="0" t="0" r="0" b="0"/>
                <wp:wrapNone/>
                <wp:docPr id="76" name="Frame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unvested Option granted to such Participant shall immediately terminate and expire, and each outstanding vested Option shall remain exercisable for ninety (90) days thereafter (but in no event beyond the expiration of the Option Period).</w:t>
      </w:r>
    </w:p>
    <w:p>
      <w:pPr>
        <w:pStyle w:val="TextBody"/>
        <w:bidi w:val="0"/>
        <w:spacing w:lineRule="auto" w:line="333" w:before="0" w:after="0"/>
        <w:ind w:left="0" w:right="0" w:firstLine="720"/>
        <w:jc w:val="both"/>
        <w:rPr/>
      </w:pPr>
      <w:r>
        <w:rPr>
          <w:rFonts w:ascii="Times New Roman;serif" w:hAnsi="Times New Roman;serif"/>
          <w:b w:val="false"/>
          <w:color w:val="010000"/>
          <w:sz w:val="24"/>
        </w:rPr>
        <w:t>(d)</w:t>
      </w:r>
      <w:r>
        <w:rPr>
          <w:color w:val="000000"/>
        </w:rPr>
        <w:t> </w:t>
      </w:r>
      <w:r>
        <w:rPr>
          <w:rFonts w:ascii="Times New Roman;serif" w:hAnsi="Times New Roman;serif"/>
          <w:b w:val="false"/>
          <w:color w:val="000000"/>
          <w:sz w:val="24"/>
          <w:u w:val="single"/>
        </w:rPr>
        <w:t>Method of Exercise and Form of Payment</w:t>
      </w:r>
      <w:r>
        <w:rPr>
          <w:rFonts w:ascii="Times New Roman;serif" w:hAnsi="Times New Roman;serif"/>
          <w:b w:val="false"/>
          <w:color w:val="000000"/>
          <w:sz w:val="24"/>
        </w:rPr>
        <w:t xml:space="preserve">. No shares of Common Stock shall be issued pursuant to any exercise of an Option until payment in full of the Exercise Price therefor is received by the Company and the Participant has paid to the Company an amount equal to any Federal, state, local and non-U.S. income, employment and any other applicable taxes required to be withheld. Options which have become exercisable may be exercised by delivery of written or electronic notice of exercise to the Company (or telephonic instructions to the extent provided by the Committee) in accordance with the terms of the Option accompanied by payment of the Exercise Price. The Exercise Price shall be payable: (i) in cash, check, cash equivalent and/or shares of Common Stock valued at the Fair Market Value at the time the Option is exercised (including, pursuant to procedures approved by the Committee, by means of attestation of ownership of a sufficient number of shares of Common Stock in lieu of actual issuance of such shares to the Company); </w:t>
      </w:r>
      <w:r>
        <w:rPr>
          <w:rFonts w:ascii="Times New Roman;serif" w:hAnsi="Times New Roman;serif"/>
          <w:b w:val="false"/>
          <w:i/>
          <w:color w:val="000000"/>
          <w:sz w:val="24"/>
        </w:rPr>
        <w:t>provided</w:t>
      </w:r>
      <w:r>
        <w:rPr>
          <w:rFonts w:ascii="Times New Roman;serif" w:hAnsi="Times New Roman;serif"/>
          <w:b w:val="false"/>
          <w:color w:val="000000"/>
          <w:sz w:val="24"/>
        </w:rPr>
        <w:t>, that such shares of Common Stock are not subject to any pledge or other security interest and have been held by the Participant for at least six (6) months (or such other period as established from time to time by the Committee in order to avoid adverse accounting treatment applying generally accepted accounting principles (“</w:t>
      </w:r>
      <w:r>
        <w:rPr>
          <w:rFonts w:ascii="Times New Roman;serif" w:hAnsi="Times New Roman;serif"/>
          <w:b w:val="false"/>
          <w:color w:val="000000"/>
          <w:sz w:val="24"/>
          <w:u w:val="single"/>
        </w:rPr>
        <w:t>GAAP</w:t>
      </w:r>
      <w:r>
        <w:rPr>
          <w:color w:val="000000"/>
        </w:rPr>
        <w:t>”</w:t>
      </w:r>
      <w:r>
        <w:rPr>
          <w:rFonts w:ascii="Times New Roman;serif" w:hAnsi="Times New Roman;serif"/>
          <w:b w:val="false"/>
          <w:color w:val="000000"/>
          <w:sz w:val="24"/>
        </w:rPr>
        <w:t>)); or (ii) by such other method as the Committee may permit, in its sole discretion, including, without limitation (A) in other property having a fair market value on the date of exercise equal to the Exercise Price; (B) by means of a broker-assisted “cashless exercise” pursuant to which the Company is delivered (including telephonically to the extent permitted by the Committee) a copy of irrevocable instructions to a stockbroker to sell the shares of Common Stock otherwise issuable upon the exercise of the Option and to deliver promptly to the Company an amount equal to the Exercise Price; or (C) a “net exercise” procedure effected by withholding the minimum number of shares of Common Stock otherwise issuable in respect of an Option that are needed to pay the Exercise Price and any applicable taxes determined in accordance with Section 14(d) hereof. Any fractional shares of Common Stock shall be settled in cash.</w:t>
      </w:r>
    </w:p>
    <w:p>
      <w:pPr>
        <w:pStyle w:val="TextBody"/>
        <w:bidi w:val="0"/>
        <w:spacing w:lineRule="auto" w:line="333" w:before="0" w:after="0"/>
        <w:ind w:left="0" w:right="0" w:firstLine="720"/>
        <w:jc w:val="both"/>
        <w:rPr/>
      </w:pPr>
      <w:r>
        <w:rPr>
          <w:rFonts w:ascii="Times New Roman;serif" w:hAnsi="Times New Roman;serif"/>
          <w:b w:val="false"/>
          <w:color w:val="010000"/>
          <w:sz w:val="24"/>
        </w:rPr>
        <w:t>(e)</w:t>
      </w:r>
      <w:r>
        <w:rPr>
          <w:color w:val="000000"/>
        </w:rPr>
        <w:t> </w:t>
      </w:r>
      <w:r>
        <w:rPr>
          <w:rFonts w:ascii="Times New Roman;serif" w:hAnsi="Times New Roman;serif"/>
          <w:b w:val="false"/>
          <w:color w:val="000000"/>
          <w:sz w:val="24"/>
          <w:u w:val="single"/>
        </w:rPr>
        <w:t>Compliance With Laws, etc</w:t>
      </w:r>
      <w:r>
        <w:rPr>
          <w:rFonts w:ascii="Times New Roman;serif" w:hAnsi="Times New Roman;serif"/>
          <w:b w:val="false"/>
          <w:color w:val="000000"/>
          <w:sz w:val="24"/>
        </w:rPr>
        <w:t>. Notwithstanding the foregoing, in no event shall a Participant be permitted to exercise an Option in a manner which the Committee determines would violate the Sarbanes-Oxley Act of 2002, as it may be amended from time to time, or any other applicable law or the applicable rules and regulations of the Securities and Exchange Commission or the applicable rules and regulations of any securities exchange or inter-dealer quotation system on which the securities of the Company are listed or traded.</w:t>
      </w:r>
    </w:p>
    <w:p>
      <w:pPr>
        <w:pStyle w:val="TextBody"/>
        <w:bidi w:val="0"/>
        <w:spacing w:lineRule="auto" w:line="333" w:before="0" w:after="0"/>
        <w:ind w:left="0" w:right="0" w:firstLine="720"/>
        <w:jc w:val="both"/>
        <w:rPr/>
      </w:pPr>
      <w:r>
        <w:rPr>
          <w:rFonts w:ascii="Times New Roman;serif" w:hAnsi="Times New Roman;serif"/>
          <w:b/>
          <w:color w:val="010000"/>
          <w:sz w:val="24"/>
        </w:rPr>
        <w:t>8.</w:t>
      </w:r>
      <w:r>
        <w:rPr>
          <w:color w:val="000000"/>
        </w:rPr>
        <w:t> </w:t>
      </w:r>
      <w:r>
        <w:rPr>
          <w:rFonts w:ascii="Times New Roman;serif" w:hAnsi="Times New Roman;serif"/>
          <w:b/>
          <w:color w:val="000000"/>
          <w:sz w:val="24"/>
        </w:rPr>
        <w:t>Restricted Stock and Restricted Stock Units</w:t>
      </w:r>
      <w:r>
        <w:rPr>
          <w:rFonts w:ascii="Times New Roman;serif" w:hAnsi="Times New Roman;serif"/>
          <w:b w:val="false"/>
          <w:color w:val="000000"/>
          <w:sz w:val="24"/>
        </w:rPr>
        <w:t>.</w:t>
      </w:r>
      <w:r>
        <w:rPr>
          <w:color w:val="000000"/>
        </w:rPr>
        <w:t xml:space="preserve"> </w:t>
      </w:r>
    </w:p>
    <w:p>
      <w:pPr>
        <w:pStyle w:val="TextBody"/>
        <w:bidi w:val="0"/>
        <w:spacing w:lineRule="auto" w:line="333"/>
        <w:ind w:left="0" w:right="0" w:firstLine="720"/>
        <w:jc w:val="both"/>
        <w:rPr/>
      </w:pPr>
      <w:r>
        <w:rPr>
          <w:rFonts w:ascii="Times New Roman;serif" w:hAnsi="Times New Roman;serif"/>
          <w:b w:val="false"/>
          <w:color w:val="010000"/>
          <w:sz w:val="24"/>
        </w:rPr>
        <w:t>(a)</w:t>
      </w:r>
      <w:r>
        <w:rPr>
          <w:color w:val="000000"/>
        </w:rPr>
        <w:t> </w:t>
      </w:r>
      <w:r>
        <w:rPr>
          <w:rFonts w:ascii="Times New Roman;serif" w:hAnsi="Times New Roman;serif"/>
          <w:b w:val="false"/>
          <w:color w:val="000000"/>
          <w:sz w:val="24"/>
          <w:u w:val="single"/>
        </w:rPr>
        <w:t>General</w:t>
      </w:r>
      <w:r>
        <w:rPr>
          <w:rFonts w:ascii="Times New Roman;serif" w:hAnsi="Times New Roman;serif"/>
          <w:b w:val="false"/>
          <w:color w:val="000000"/>
          <w:sz w:val="24"/>
        </w:rPr>
        <w:t>. Each grant of Restricted Stock and Restricted Stock Units shall be evidenced by an Award Agreement. Each Restricted Stock and Restricted Stock Unit so granted shall be subject to the conditions set forth in this Section 8, and to such other conditions not inconsistent with the Plan as may be reflected in the applicable Award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85445"/>
                <wp:effectExtent l="0" t="0" r="0" b="0"/>
                <wp:wrapNone/>
                <wp:docPr id="77" name="Frame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firstLine="720"/>
        <w:jc w:val="both"/>
        <w:rPr/>
      </w:pPr>
      <w:r>
        <w:rPr>
          <w:rFonts w:ascii="Times New Roman;serif" w:hAnsi="Times New Roman;serif"/>
          <w:b w:val="false"/>
          <w:color w:val="010000"/>
          <w:sz w:val="24"/>
        </w:rPr>
        <w:t>(b)</w:t>
      </w:r>
      <w:r>
        <w:rPr>
          <w:color w:val="000000"/>
        </w:rPr>
        <w:t> </w:t>
      </w:r>
      <w:r>
        <w:rPr>
          <w:rFonts w:ascii="Times New Roman;serif" w:hAnsi="Times New Roman;serif"/>
          <w:b w:val="false"/>
          <w:color w:val="000000"/>
          <w:sz w:val="24"/>
          <w:u w:val="single"/>
        </w:rPr>
        <w:t>Stock Certificates and Book-Entry; Escrow or Similar Arrangement</w:t>
      </w:r>
      <w:r>
        <w:rPr>
          <w:rFonts w:ascii="Times New Roman;serif" w:hAnsi="Times New Roman;serif"/>
          <w:b w:val="false"/>
          <w:color w:val="000000"/>
          <w:sz w:val="24"/>
        </w:rPr>
        <w:t>. Upon the grant of Restricted Stock, the Committee shall cause a stock certificate registered in the name of the Participant to be issued or shall cause share(s) of Common Stock to be registered in the name of the Participant and held in book-entry form subject to the Company’s directions and, if the Committee determines that the Restricted Stock shall be held by the Company or in escrow rather than issued to the Participant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Subject to the restrictions set forth in this Section 8, Section 14(b) of the Plan and the applicable Award Agreement, a Participant generally shall have the rights and privileges of a stockholder as to shares of Restricted Stock, including, without limitation, the right to vote such Restricted Stock. To the extent shares of Restricted Stock are forfeited, any stock certificates issued to the Participant evidencing such shares shall be returned to the Company, and all rights of the Participant to such shares and as a stockholder with respect thereto shall terminate without further obligation on the part of the Company. A Participant shall have no rights or privileges as a stockholder as to Restricted Stock Units.</w:t>
      </w:r>
    </w:p>
    <w:p>
      <w:pPr>
        <w:pStyle w:val="TextBody"/>
        <w:bidi w:val="0"/>
        <w:spacing w:lineRule="auto" w:line="333" w:before="0" w:after="0"/>
        <w:ind w:left="0" w:right="0" w:firstLine="720"/>
        <w:jc w:val="both"/>
        <w:rPr/>
      </w:pPr>
      <w:r>
        <w:rPr>
          <w:rFonts w:ascii="Times New Roman;serif" w:hAnsi="Times New Roman;serif"/>
          <w:b w:val="false"/>
          <w:color w:val="010000"/>
          <w:sz w:val="24"/>
        </w:rPr>
        <w:t>(c)</w:t>
      </w:r>
      <w:r>
        <w:rPr>
          <w:color w:val="000000"/>
        </w:rPr>
        <w:t> </w:t>
      </w:r>
      <w:r>
        <w:rPr>
          <w:rFonts w:ascii="Times New Roman;serif" w:hAnsi="Times New Roman;serif"/>
          <w:b w:val="false"/>
          <w:color w:val="000000"/>
          <w:sz w:val="24"/>
          <w:u w:val="single"/>
        </w:rPr>
        <w:t>Vesting; Termination</w:t>
      </w:r>
      <w:r>
        <w:rPr>
          <w:rFonts w:ascii="Times New Roman;serif" w:hAnsi="Times New Roman;serif"/>
          <w:b w:val="false"/>
          <w:color w:val="000000"/>
          <w:sz w:val="24"/>
        </w:rPr>
        <w:t xml:space="preserve">. </w:t>
      </w:r>
    </w:p>
    <w:p>
      <w:pPr>
        <w:pStyle w:val="TextBody"/>
        <w:bidi w:val="0"/>
        <w:spacing w:lineRule="auto" w:line="333" w:before="0" w:after="0"/>
        <w:ind w:left="0" w:right="0" w:firstLine="720"/>
        <w:jc w:val="both"/>
        <w:rPr/>
      </w:pPr>
      <w:r>
        <w:rPr>
          <w:rFonts w:ascii="Times New Roman;serif" w:hAnsi="Times New Roman;serif"/>
          <w:b w:val="false"/>
          <w:color w:val="010000"/>
          <w:sz w:val="24"/>
        </w:rPr>
        <w:t>(i)</w:t>
      </w:r>
      <w:r>
        <w:rPr>
          <w:color w:val="000000"/>
        </w:rPr>
        <w:t> </w:t>
      </w:r>
      <w:r>
        <w:rPr>
          <w:rFonts w:ascii="Times New Roman;serif" w:hAnsi="Times New Roman;serif"/>
          <w:b w:val="false"/>
          <w:color w:val="000000"/>
          <w:sz w:val="24"/>
        </w:rPr>
        <w:t xml:space="preserve">Restricted Stock and Restricted Stock Units shall vest, and any applicable Restricted Period shall lapse, in such manner and on such date or dates or upon such event or events as determined by the Committee; </w:t>
      </w:r>
      <w:r>
        <w:rPr>
          <w:rFonts w:ascii="Times New Roman;serif" w:hAnsi="Times New Roman;serif"/>
          <w:b w:val="false"/>
          <w:i/>
          <w:color w:val="000000"/>
          <w:sz w:val="24"/>
        </w:rPr>
        <w:t>provided</w:t>
      </w:r>
      <w:r>
        <w:rPr>
          <w:rFonts w:ascii="Times New Roman;serif" w:hAnsi="Times New Roman;serif"/>
          <w:b w:val="false"/>
          <w:color w:val="000000"/>
          <w:sz w:val="24"/>
        </w:rPr>
        <w:t>, that, notwithstanding any such dates or events, the Committee may, in its sole discretion, accelerate the vesting of any Restricted Stock or Restricted Stock Unit or the lapsing of any applicable Restricted Period at any time and for any reason.</w:t>
      </w:r>
    </w:p>
    <w:p>
      <w:pPr>
        <w:pStyle w:val="TextBody"/>
        <w:bidi w:val="0"/>
        <w:spacing w:lineRule="auto" w:line="333" w:before="0" w:after="0"/>
        <w:ind w:left="0" w:right="0" w:firstLine="720"/>
        <w:jc w:val="both"/>
        <w:rPr/>
      </w:pPr>
      <w:r>
        <w:rPr>
          <w:rFonts w:ascii="Times New Roman;serif" w:hAnsi="Times New Roman;serif"/>
          <w:b w:val="false"/>
          <w:color w:val="010000"/>
          <w:sz w:val="24"/>
        </w:rPr>
        <w:t>(ii)</w:t>
      </w:r>
      <w:r>
        <w:rPr>
          <w:color w:val="000000"/>
        </w:rPr>
        <w:t> </w:t>
      </w:r>
      <w:r>
        <w:rPr>
          <w:rFonts w:ascii="Times New Roman;serif" w:hAnsi="Times New Roman;serif"/>
          <w:b w:val="false"/>
          <w:color w:val="000000"/>
          <w:sz w:val="24"/>
        </w:rPr>
        <w:t xml:space="preserve">Unless otherwise provided by the Committee, whether in an Award Agreement or otherwise, in the event of a Participant’s Termination for any reason prior to the time that such Participant’s Restricted Stock or Restricted Stock Units, as applicable, have vested, (A) all vesting with respect to such Participant’s Restricted Stock or Restricted Stock Units, as applicable, shall cease and (B) unvested shares of Restricted Stock and unvested Restricted Stock Units, as applicable, shall be forfeited to the Company by the Participant for no consideration as of the date of such Termination. </w:t>
      </w:r>
    </w:p>
    <w:p>
      <w:pPr>
        <w:pStyle w:val="TextBody"/>
        <w:bidi w:val="0"/>
        <w:spacing w:lineRule="auto" w:line="333" w:before="0" w:after="0"/>
        <w:ind w:left="0" w:right="0" w:firstLine="720"/>
        <w:jc w:val="both"/>
        <w:rPr/>
      </w:pPr>
      <w:r>
        <w:rPr>
          <w:rFonts w:ascii="Times New Roman;serif" w:hAnsi="Times New Roman;serif"/>
          <w:b w:val="false"/>
          <w:color w:val="010000"/>
          <w:sz w:val="24"/>
        </w:rPr>
        <w:t>(d)</w:t>
      </w:r>
      <w:r>
        <w:rPr>
          <w:color w:val="000000"/>
        </w:rPr>
        <w:t> </w:t>
      </w:r>
      <w:r>
        <w:rPr>
          <w:rFonts w:ascii="Times New Roman;serif" w:hAnsi="Times New Roman;serif"/>
          <w:b w:val="false"/>
          <w:color w:val="000000"/>
          <w:sz w:val="24"/>
          <w:u w:val="single"/>
        </w:rPr>
        <w:t>Issuance of Restricted Stock and Settlement of Restricted Stock Units</w:t>
      </w:r>
      <w:r>
        <w:rPr>
          <w:rFonts w:ascii="Times New Roman;serif" w:hAnsi="Times New Roman;serif"/>
          <w:b w:val="false"/>
          <w:color w:val="000000"/>
          <w:sz w:val="24"/>
        </w:rPr>
        <w:t xml:space="preserve">. </w:t>
      </w:r>
    </w:p>
    <w:p>
      <w:pPr>
        <w:pStyle w:val="TextBody"/>
        <w:bidi w:val="0"/>
        <w:spacing w:lineRule="auto" w:line="333"/>
        <w:ind w:left="0" w:right="0" w:firstLine="720"/>
        <w:jc w:val="both"/>
        <w:rPr/>
      </w:pPr>
      <w:r>
        <w:rPr>
          <w:rFonts w:ascii="Times New Roman;serif" w:hAnsi="Times New Roman;serif"/>
          <w:b w:val="false"/>
          <w:color w:val="010000"/>
          <w:sz w:val="24"/>
        </w:rPr>
        <w:t>(i)</w:t>
      </w:r>
      <w:r>
        <w:rPr>
          <w:color w:val="000000"/>
        </w:rPr>
        <w:t> </w:t>
      </w:r>
      <w:r>
        <w:rPr>
          <w:rFonts w:ascii="Times New Roman;serif" w:hAnsi="Times New Roman;serif"/>
          <w:b w:val="false"/>
          <w:color w:val="000000"/>
          <w:sz w:val="24"/>
        </w:rPr>
        <w:t xml:space="preserve">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issue to the Participant, or the Participant’s beneficiary, without charge, the stock certificate (or, if applicable, a notice evidencing a book-entry notation) evidencing the shares of Restricted Stock which have not then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78" name="Frame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been forfeited and with respect to which the Restricted Period has expired (rounded down to the nearest full share). </w:t>
      </w:r>
    </w:p>
    <w:p>
      <w:pPr>
        <w:pStyle w:val="TextBody"/>
        <w:bidi w:val="0"/>
        <w:spacing w:lineRule="auto" w:line="333" w:before="0" w:after="0"/>
        <w:ind w:left="0" w:right="0" w:firstLine="720"/>
        <w:jc w:val="both"/>
        <w:rPr/>
      </w:pPr>
      <w:r>
        <w:rPr>
          <w:rFonts w:ascii="Times New Roman;serif" w:hAnsi="Times New Roman;serif"/>
          <w:b w:val="false"/>
          <w:color w:val="010000"/>
          <w:sz w:val="24"/>
        </w:rPr>
        <w:t>(ii)</w:t>
      </w:r>
      <w:r>
        <w:rPr>
          <w:color w:val="000000"/>
        </w:rPr>
        <w:t> </w:t>
      </w:r>
      <w:r>
        <w:rPr>
          <w:rFonts w:ascii="Times New Roman;serif" w:hAnsi="Times New Roman;serif"/>
          <w:b w:val="false"/>
          <w:color w:val="000000"/>
          <w:sz w:val="24"/>
        </w:rPr>
        <w:t xml:space="preserve">Unless otherwise provided by the Committee in an Award Agreement or otherwise, upon the expiration of the Restricted Period with respect to any outstanding Restricted Stock Units, the Company shall issue to the Participant or the Participant’s beneficiary, without charge, one (1) share of Common Stock (or other securities or other property, as applicable) for each such outstanding Restricted Stock Unit;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Committee may, in its sole discretion, elect to (A) pay cash or part cash and part shares of Common Stock in lieu of issuing only shares of Common Stock in respect of such Restricted Stock Units; or (B) defer the issuance of shares of Common Stock (or cash or part cash and part shares of Common Stock, as the case may be) beyond the expiration of the Restricted Period if such extension would not cause adverse tax consequences under Section 409A of the Code. If a cash payment is made in lieu of issuing shares of Common Stock in respect of such Restricted Stock Units, the amount of such payment shall be equal to the Fair Market Value per share of the Common Stock as of the date on which the Restricted Period lapsed with respect to such Restricted Stock Units. </w:t>
      </w:r>
    </w:p>
    <w:p>
      <w:pPr>
        <w:pStyle w:val="TextBody"/>
        <w:bidi w:val="0"/>
        <w:spacing w:lineRule="auto" w:line="333" w:before="0" w:after="0"/>
        <w:ind w:left="0" w:right="0" w:firstLine="720"/>
        <w:jc w:val="both"/>
        <w:rPr/>
      </w:pPr>
      <w:r>
        <w:rPr>
          <w:rFonts w:ascii="Times New Roman;serif" w:hAnsi="Times New Roman;serif"/>
          <w:b w:val="false"/>
          <w:color w:val="010000"/>
          <w:sz w:val="24"/>
        </w:rPr>
        <w:t>(e)</w:t>
      </w:r>
      <w:r>
        <w:rPr>
          <w:color w:val="000000"/>
        </w:rPr>
        <w:t> </w:t>
      </w:r>
      <w:r>
        <w:rPr>
          <w:rFonts w:ascii="Times New Roman;serif" w:hAnsi="Times New Roman;serif"/>
          <w:b w:val="false"/>
          <w:color w:val="000000"/>
          <w:sz w:val="24"/>
          <w:u w:val="single"/>
        </w:rPr>
        <w:t>Legends on Restricted Stock</w:t>
      </w:r>
      <w:r>
        <w:rPr>
          <w:rFonts w:ascii="Times New Roman;serif" w:hAnsi="Times New Roman;serif"/>
          <w:b w:val="false"/>
          <w:color w:val="000000"/>
          <w:sz w:val="24"/>
        </w:rPr>
        <w:t>. Each certificate, if any, or book entry representing Restricted Stock awarded under the Plan, if any, shall bear a legend or book entry notation substantially in the form of the following, in addition to any other information the Company deems appropriate, until the lapse of all restrictions with respect to such shares of Common Stock:</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2"/>
        <w:gridCol w:w="3162"/>
        <w:gridCol w:w="3166"/>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TRANSFER OF THIS CERTIFICATE AND THE SHARES REPRESENTED HEREBY IS RESTRICTED PURSUANT TO THE TERMS OF THE ZOOMINFO TECHNOLOGIES INC. INDUCEMENT EQUITY INCENTIVE PLAN AND A RESTRICTED STOCK AWARD AGREEMENT BETWEEN ZOOMINFO TECHNOLOGIES INC. AND PARTICIPANT. A COPY OF SUCH PLAN AND AWARD AGREEMENT IS ON FILE AT THE PRINCIPAL EXECUTIVE OFFICES OF ZOOMINFO TECHNOLOGIES INC.</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720"/>
        <w:jc w:val="both"/>
        <w:rPr/>
      </w:pPr>
      <w:r>
        <w:rPr>
          <w:rFonts w:ascii="Times New Roman;serif" w:hAnsi="Times New Roman;serif"/>
          <w:b/>
          <w:color w:val="010000"/>
          <w:sz w:val="24"/>
        </w:rPr>
        <w:t>9.</w:t>
      </w:r>
      <w:r>
        <w:rPr>
          <w:color w:val="000000"/>
        </w:rPr>
        <w:t> </w:t>
      </w:r>
      <w:r>
        <w:rPr>
          <w:rFonts w:ascii="Times New Roman;serif" w:hAnsi="Times New Roman;serif"/>
          <w:b/>
          <w:color w:val="000000"/>
          <w:sz w:val="24"/>
        </w:rPr>
        <w:t>Reserved.</w:t>
      </w:r>
      <w:r>
        <w:rPr>
          <w:color w:val="000000"/>
        </w:rPr>
        <w:t xml:space="preserve"> </w:t>
      </w:r>
    </w:p>
    <w:p>
      <w:pPr>
        <w:pStyle w:val="TextBody"/>
        <w:bidi w:val="0"/>
        <w:spacing w:lineRule="auto" w:line="333" w:before="0" w:after="0"/>
        <w:ind w:left="0" w:right="0" w:firstLine="720"/>
        <w:jc w:val="both"/>
        <w:rPr/>
      </w:pPr>
      <w:r>
        <w:rPr>
          <w:rFonts w:ascii="Times New Roman;serif" w:hAnsi="Times New Roman;serif"/>
          <w:b/>
          <w:color w:val="010000"/>
          <w:sz w:val="24"/>
        </w:rPr>
        <w:t>10.</w:t>
      </w:r>
      <w:r>
        <w:rPr>
          <w:color w:val="000000"/>
        </w:rPr>
        <w:t> </w:t>
      </w:r>
      <w:r>
        <w:rPr>
          <w:rFonts w:ascii="Times New Roman;serif" w:hAnsi="Times New Roman;serif"/>
          <w:b/>
          <w:color w:val="000000"/>
          <w:sz w:val="24"/>
        </w:rPr>
        <w:t>Other Equity-Based Awards</w:t>
      </w:r>
      <w:r>
        <w:rPr>
          <w:rFonts w:ascii="Times New Roman;serif" w:hAnsi="Times New Roman;serif"/>
          <w:b w:val="false"/>
          <w:color w:val="000000"/>
          <w:sz w:val="24"/>
        </w:rPr>
        <w:t>. The Committee may grant Other Equity-Based Awards under the Plan to Eligible Persons, alone or in tandem with other Awards, in such amounts and dependent on such conditions as the Committee shall from time to time in its sole discretion determine. Each Other Equity-Based Award granted under the Plan shall be evidenced by an Award Agreement and shall be subject to such conditions not inconsistent with the Plan as may be reflected in the applicable Award Agreement.</w:t>
      </w:r>
    </w:p>
    <w:p>
      <w:pPr>
        <w:pStyle w:val="TextBody"/>
        <w:bidi w:val="0"/>
        <w:spacing w:lineRule="auto" w:line="333" w:before="0" w:after="0"/>
        <w:ind w:left="0" w:right="0" w:firstLine="720"/>
        <w:jc w:val="both"/>
        <w:rPr/>
      </w:pPr>
      <w:r>
        <w:rPr>
          <w:rFonts w:ascii="Times New Roman;serif" w:hAnsi="Times New Roman;serif"/>
          <w:b/>
          <w:color w:val="010000"/>
          <w:sz w:val="24"/>
        </w:rPr>
        <w:t>11.</w:t>
      </w:r>
      <w:r>
        <w:rPr>
          <w:color w:val="000000"/>
        </w:rPr>
        <w:t> </w:t>
      </w:r>
      <w:r>
        <w:rPr>
          <w:rFonts w:ascii="Times New Roman;serif" w:hAnsi="Times New Roman;serif"/>
          <w:b/>
          <w:color w:val="000000"/>
          <w:sz w:val="24"/>
        </w:rPr>
        <w:t>Reserved.</w:t>
      </w:r>
    </w:p>
    <w:p>
      <w:pPr>
        <w:pStyle w:val="TextBody"/>
        <w:bidi w:val="0"/>
        <w:spacing w:lineRule="auto" w:line="333" w:before="0" w:after="0"/>
        <w:ind w:left="0" w:right="0" w:firstLine="720"/>
        <w:jc w:val="both"/>
        <w:rPr/>
      </w:pPr>
      <w:r>
        <w:rPr>
          <w:rFonts w:ascii="Times New Roman;serif" w:hAnsi="Times New Roman;serif"/>
          <w:b/>
          <w:color w:val="010000"/>
          <w:sz w:val="24"/>
        </w:rPr>
        <w:t>12.</w:t>
      </w:r>
      <w:r>
        <w:rPr>
          <w:color w:val="000000"/>
        </w:rPr>
        <w:t> </w:t>
      </w:r>
      <w:r>
        <w:rPr>
          <w:rFonts w:ascii="Times New Roman;serif" w:hAnsi="Times New Roman;serif"/>
          <w:b/>
          <w:color w:val="000000"/>
          <w:sz w:val="24"/>
        </w:rPr>
        <w:t>Changes in Capital Structure and Similar Events</w:t>
      </w:r>
      <w:r>
        <w:rPr>
          <w:rFonts w:ascii="Times New Roman;serif" w:hAnsi="Times New Roman;serif"/>
          <w:b w:val="false"/>
          <w:color w:val="000000"/>
          <w:sz w:val="24"/>
        </w:rPr>
        <w:t>. Notwithstanding any other provision in this Plan to the contrary, the following provisions shall apply to all Awards granted hereunder:</w:t>
      </w:r>
    </w:p>
    <w:p>
      <w:pPr>
        <w:pStyle w:val="TextBody"/>
        <w:bidi w:val="0"/>
        <w:spacing w:lineRule="auto" w:line="333"/>
        <w:ind w:left="0" w:right="0" w:firstLine="720"/>
        <w:jc w:val="both"/>
        <w:rPr/>
      </w:pPr>
      <w:r>
        <w:rPr>
          <w:rFonts w:ascii="Times New Roman;serif" w:hAnsi="Times New Roman;serif"/>
          <w:b w:val="false"/>
          <w:color w:val="010000"/>
          <w:sz w:val="24"/>
        </w:rPr>
        <w:t>(a)</w:t>
      </w:r>
      <w:r>
        <w:rPr>
          <w:color w:val="000000"/>
        </w:rPr>
        <w:t> </w:t>
      </w:r>
      <w:r>
        <w:rPr>
          <w:rFonts w:ascii="Times New Roman;serif" w:hAnsi="Times New Roman;serif"/>
          <w:b w:val="false"/>
          <w:color w:val="000000"/>
          <w:sz w:val="24"/>
          <w:u w:val="single"/>
        </w:rPr>
        <w:t>General</w:t>
      </w:r>
      <w:r>
        <w:rPr>
          <w:rFonts w:ascii="Times New Roman;serif" w:hAnsi="Times New Roman;serif"/>
          <w:b w:val="false"/>
          <w:color w:val="000000"/>
          <w:sz w:val="24"/>
        </w:rPr>
        <w:t xml:space="preserve">. In the event of (i) any dividend (other than regular cash dividends) or other distribution (whether in the form of cash, shares of Common Stock, other securities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79" name="Frame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color w:val="000000"/>
          <w:sz w:val="24"/>
        </w:rPr>
        <w:t>property), recapitalization, stock split, reverse stock split, reorganization, merger,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that affects the shares of Common Stock (including a Change in Control); or (ii) unusual or nonrecurring events affecting the Company, including changes in applicable rules, rulings, regulations or other requirements, that the Committee determines, in its sole discretion, could result in substantial dilution or enlargement of the rights intended to be granted to, or available for, Participants (any event in (i) or (ii), an “</w:t>
      </w:r>
      <w:r>
        <w:rPr>
          <w:rFonts w:ascii="Times New Roman;serif" w:hAnsi="Times New Roman;serif"/>
          <w:b w:val="false"/>
          <w:color w:val="000000"/>
          <w:sz w:val="24"/>
          <w:u w:val="single"/>
        </w:rPr>
        <w:t>Adjustment Event</w:t>
      </w:r>
      <w:r>
        <w:rPr>
          <w:color w:val="000000"/>
        </w:rPr>
        <w:t>”</w:t>
      </w:r>
      <w:r>
        <w:rPr>
          <w:rFonts w:ascii="Times New Roman;serif" w:hAnsi="Times New Roman;serif"/>
          <w:b w:val="false"/>
          <w:color w:val="000000"/>
          <w:sz w:val="24"/>
        </w:rPr>
        <w:t xml:space="preserve">), the Committee shall, in respect of any such Adjustment Event, make such proportionate substitution or adjustment, if any, as it deems equitable, to any or all of (A) the Plan Share Reserve, or any other limit applicable under the Plan with respect to the number of Awards which may be granted hereunder; (B) the number of shares of Common Stock or other securities of the Company (or number and kind of other securities or other property) which may be issued in respect of Awards or with respect to which Awards may be granted under the Plan or any Sub-Plan; and (C) the terms of any outstanding Award, including, without limitation, (I) the number of shares of Common Stock or other securities of the Company (or number and kind of other securities or other property) subject to outstanding Awards or to which outstanding Awards relate; (II) the Exercise Price or SAR Base Price with respect to any Option or SAR, as applicable or any amount payable as a condition of issuance of shares of Common Stock (in the case of any other Award); or (III) any applicable performance measures;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in the case of any “equity restructuring” (within the meaning of the Financial Accounting Standards Board Accounting Standards Codification Topic 718 (or any successor pronouncement thereto)), the Committee shall make an equitable or proportionate adjustment to outstanding Awards to reflect such equity restructuring. </w:t>
      </w:r>
    </w:p>
    <w:p>
      <w:pPr>
        <w:pStyle w:val="TextBody"/>
        <w:bidi w:val="0"/>
        <w:spacing w:lineRule="auto" w:line="333" w:before="0" w:after="0"/>
        <w:ind w:left="0" w:right="0" w:firstLine="720"/>
        <w:jc w:val="both"/>
        <w:rPr/>
      </w:pPr>
      <w:r>
        <w:rPr>
          <w:rFonts w:ascii="Times New Roman;serif" w:hAnsi="Times New Roman;serif"/>
          <w:b w:val="false"/>
          <w:color w:val="010000"/>
          <w:sz w:val="24"/>
        </w:rPr>
        <w:t>(b)</w:t>
      </w:r>
      <w:r>
        <w:rPr>
          <w:color w:val="000000"/>
        </w:rPr>
        <w:t> </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Without limiting the foregoing, in connection with any Adjustment Event that is a Change in Control, the Committee may, in its sole discretion, provide for any one or more of the following:</w:t>
      </w:r>
    </w:p>
    <w:p>
      <w:pPr>
        <w:pStyle w:val="TextBody"/>
        <w:bidi w:val="0"/>
        <w:spacing w:lineRule="auto" w:line="333" w:before="0" w:after="0"/>
        <w:ind w:left="0" w:right="0" w:firstLine="720"/>
        <w:jc w:val="both"/>
        <w:rPr/>
      </w:pPr>
      <w:r>
        <w:rPr>
          <w:rFonts w:ascii="Times New Roman;serif" w:hAnsi="Times New Roman;serif"/>
          <w:b w:val="false"/>
          <w:color w:val="010000"/>
          <w:sz w:val="24"/>
        </w:rPr>
        <w:t>(i)</w:t>
      </w:r>
      <w:r>
        <w:rPr>
          <w:color w:val="000000"/>
        </w:rPr>
        <w:t> </w:t>
      </w:r>
      <w:r>
        <w:rPr>
          <w:rFonts w:ascii="Times New Roman;serif" w:hAnsi="Times New Roman;serif"/>
          <w:b w:val="false"/>
          <w:color w:val="000000"/>
          <w:sz w:val="24"/>
        </w:rPr>
        <w:t>substitution or assumption of, acceleration of the vesting of, exercisability of, or lapse of restrictions on, any one or more outstanding Awards; and</w:t>
      </w:r>
    </w:p>
    <w:p>
      <w:pPr>
        <w:pStyle w:val="TextBody"/>
        <w:bidi w:val="0"/>
        <w:spacing w:lineRule="auto" w:line="333"/>
        <w:ind w:left="0" w:right="0" w:firstLine="720"/>
        <w:jc w:val="both"/>
        <w:rPr/>
      </w:pPr>
      <w:r>
        <w:rPr>
          <w:rFonts w:ascii="Times New Roman;serif" w:hAnsi="Times New Roman;serif"/>
          <w:b w:val="false"/>
          <w:color w:val="010000"/>
          <w:sz w:val="24"/>
        </w:rPr>
        <w:t>(ii)</w:t>
      </w:r>
      <w:r>
        <w:rPr>
          <w:color w:val="000000"/>
        </w:rPr>
        <w:t> </w:t>
      </w:r>
      <w:r>
        <w:rPr>
          <w:rFonts w:ascii="Times New Roman;serif" w:hAnsi="Times New Roman;serif"/>
          <w:b w:val="false"/>
          <w:color w:val="000000"/>
          <w:sz w:val="24"/>
        </w:rPr>
        <w:t xml:space="preserve">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pursuant to clause (i) above), the value of such Awards, if any, as determined by the Committee (which value, if applicable, may be based upon the price per share of Common 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SAR Base Price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85445"/>
                <wp:effectExtent l="0" t="0" r="0" b="0"/>
                <wp:wrapNone/>
                <wp:docPr id="80" name="Frame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Option or SAR (it being understood that, in such event, any Option or SAR having a per share Exercise Price or SAR Base Price equal to, or in excess of, the Fair Market Value of a share of Common Stock subject thereto may be canceled and terminated without any payment or consideration therefor).</w: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For purposes of clause (i) above, an award will be considered granted in substitution of an Award if it has an equivalent value (as determined consistent with clause (ii) above) with the original Award, whether designated in securities of the acquiror in such Change in Control transaction (or an Affiliate thereof), or in cash or other property (including in the same consideration that other stockholders of the Company receive in connection with such Change in Control transaction), and retains the vesting schedule applicable to the original Award.</w: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Payments to holders pursuant to clause (ii) above shall be made in cash or, in the sole discretion of the Committee, in the form of such other consideration necessary for a Participant to receive property, cash, or securities (or combination thereof) as such Participant would have been entitled to receive upon the occurrence of the transaction if the Participant had been, immediately prior to such transaction, the holder of the number of shares of Common Stock covered by the Award at such time (less any applicable Exercise Price or SAR Base Price).</w:t>
      </w:r>
    </w:p>
    <w:p>
      <w:pPr>
        <w:pStyle w:val="TextBody"/>
        <w:bidi w:val="0"/>
        <w:spacing w:lineRule="auto" w:line="333" w:before="0" w:after="0"/>
        <w:ind w:left="0" w:right="0" w:firstLine="720"/>
        <w:jc w:val="both"/>
        <w:rPr/>
      </w:pPr>
      <w:r>
        <w:rPr>
          <w:rFonts w:ascii="Times New Roman;serif" w:hAnsi="Times New Roman;serif"/>
          <w:b w:val="false"/>
          <w:color w:val="010000"/>
          <w:sz w:val="24"/>
        </w:rPr>
        <w:t>(c)</w:t>
      </w:r>
      <w:r>
        <w:rPr>
          <w:color w:val="000000"/>
        </w:rPr>
        <w:t> </w:t>
      </w:r>
      <w:r>
        <w:rPr>
          <w:rFonts w:ascii="Times New Roman;serif" w:hAnsi="Times New Roman;serif"/>
          <w:b w:val="false"/>
          <w:color w:val="000000"/>
          <w:sz w:val="24"/>
          <w:u w:val="single"/>
        </w:rPr>
        <w:t>Other Requirements</w:t>
      </w:r>
      <w:r>
        <w:rPr>
          <w:rFonts w:ascii="Times New Roman;serif" w:hAnsi="Times New Roman;serif"/>
          <w:b w:val="false"/>
          <w:color w:val="000000"/>
          <w:sz w:val="24"/>
        </w:rPr>
        <w:t>. Prior to any payment or adjustment contemplated under this Section 12, the Committee may require a Participant to (i) represent and warrant as to the unencumbered title to the Participant’s Awards; (ii) bear such Participant’s pro rata share of any post-closing indemnity obligations, and be subject to the same post-closing purchase price adjustments, escrow terms, offset rights, holdback terms, and similar conditions as the other holders of Common Stock, subject to any limitations or reductions as may be necessary to comply with Section 409A of the Code; and (iii) deliver customary transfer documentation as reasonably determined by the Committee.</w:t>
      </w:r>
    </w:p>
    <w:p>
      <w:pPr>
        <w:pStyle w:val="TextBody"/>
        <w:bidi w:val="0"/>
        <w:spacing w:lineRule="auto" w:line="333" w:before="0" w:after="0"/>
        <w:ind w:left="0" w:right="0" w:firstLine="720"/>
        <w:jc w:val="both"/>
        <w:rPr/>
      </w:pPr>
      <w:r>
        <w:rPr>
          <w:rFonts w:ascii="Times New Roman;serif" w:hAnsi="Times New Roman;serif"/>
          <w:b w:val="false"/>
          <w:color w:val="010000"/>
          <w:sz w:val="24"/>
        </w:rPr>
        <w:t>(d)</w:t>
      </w:r>
      <w:r>
        <w:rPr>
          <w:color w:val="000000"/>
        </w:rPr>
        <w:t> </w:t>
      </w:r>
      <w:r>
        <w:rPr>
          <w:rFonts w:ascii="Times New Roman;serif" w:hAnsi="Times New Roman;serif"/>
          <w:b w:val="false"/>
          <w:color w:val="000000"/>
          <w:sz w:val="24"/>
          <w:u w:val="single"/>
        </w:rPr>
        <w:t>Fractional Shares</w:t>
      </w:r>
      <w:r>
        <w:rPr>
          <w:rFonts w:ascii="Times New Roman;serif" w:hAnsi="Times New Roman;serif"/>
          <w:b w:val="false"/>
          <w:color w:val="000000"/>
          <w:sz w:val="24"/>
        </w:rPr>
        <w:t>. Any adjustment provided under this Section 12 may provide for the elimination of any fractional share that might otherwise become subject to an Award.</w:t>
      </w:r>
    </w:p>
    <w:p>
      <w:pPr>
        <w:pStyle w:val="TextBody"/>
        <w:bidi w:val="0"/>
        <w:spacing w:lineRule="auto" w:line="333" w:before="0" w:after="0"/>
        <w:ind w:left="0" w:right="0" w:firstLine="720"/>
        <w:jc w:val="both"/>
        <w:rPr/>
      </w:pPr>
      <w:r>
        <w:rPr>
          <w:rFonts w:ascii="Times New Roman;serif" w:hAnsi="Times New Roman;serif"/>
          <w:b w:val="false"/>
          <w:color w:val="010000"/>
          <w:sz w:val="24"/>
        </w:rPr>
        <w:t>(e)</w:t>
      </w:r>
      <w:r>
        <w:rPr>
          <w:color w:val="000000"/>
        </w:rPr>
        <w:t> </w:t>
      </w:r>
      <w:r>
        <w:rPr>
          <w:rFonts w:ascii="Times New Roman;serif" w:hAnsi="Times New Roman;serif"/>
          <w:b w:val="false"/>
          <w:color w:val="000000"/>
          <w:sz w:val="24"/>
          <w:u w:val="single"/>
        </w:rPr>
        <w:t>Binding Effect</w:t>
      </w:r>
      <w:r>
        <w:rPr>
          <w:rFonts w:ascii="Times New Roman;serif" w:hAnsi="Times New Roman;serif"/>
          <w:b w:val="false"/>
          <w:color w:val="000000"/>
          <w:sz w:val="24"/>
        </w:rPr>
        <w:t>. Any adjustment, substitution, determination of value or other action taken by the Committee under this Section 12 shall be conclusive and binding for all purposes.</w:t>
      </w:r>
    </w:p>
    <w:p>
      <w:pPr>
        <w:pStyle w:val="TextBody"/>
        <w:bidi w:val="0"/>
        <w:spacing w:lineRule="auto" w:line="333" w:before="0" w:after="0"/>
        <w:ind w:left="0" w:right="0" w:firstLine="720"/>
        <w:jc w:val="both"/>
        <w:rPr/>
      </w:pPr>
      <w:r>
        <w:rPr>
          <w:rFonts w:ascii="Times New Roman;serif" w:hAnsi="Times New Roman;serif"/>
          <w:b/>
          <w:color w:val="010000"/>
          <w:sz w:val="24"/>
        </w:rPr>
        <w:t>13.</w:t>
      </w:r>
      <w:r>
        <w:rPr>
          <w:color w:val="000000"/>
        </w:rPr>
        <w:t> </w:t>
      </w:r>
      <w:r>
        <w:rPr>
          <w:rFonts w:ascii="Times New Roman;serif" w:hAnsi="Times New Roman;serif"/>
          <w:b/>
          <w:color w:val="000000"/>
          <w:sz w:val="24"/>
        </w:rPr>
        <w:t>Amendments and Termination</w:t>
      </w:r>
      <w:r>
        <w:rPr>
          <w:rFonts w:ascii="Times New Roman;serif" w:hAnsi="Times New Roman;serif"/>
          <w:b w:val="false"/>
          <w:color w:val="000000"/>
          <w:sz w:val="24"/>
        </w:rPr>
        <w:t>.</w:t>
      </w:r>
      <w:r>
        <w:rPr>
          <w:color w:val="000000"/>
        </w:rPr>
        <w:t xml:space="preserve"> </w:t>
      </w:r>
    </w:p>
    <w:p>
      <w:pPr>
        <w:pStyle w:val="TextBody"/>
        <w:bidi w:val="0"/>
        <w:spacing w:lineRule="auto" w:line="333"/>
        <w:ind w:left="0" w:right="0" w:firstLine="720"/>
        <w:jc w:val="both"/>
        <w:rPr/>
      </w:pPr>
      <w:r>
        <w:rPr>
          <w:rFonts w:ascii="Times New Roman;serif" w:hAnsi="Times New Roman;serif"/>
          <w:b w:val="false"/>
          <w:color w:val="010000"/>
          <w:sz w:val="24"/>
        </w:rPr>
        <w:t>(a)</w:t>
      </w:r>
      <w:r>
        <w:rPr>
          <w:color w:val="000000"/>
        </w:rPr>
        <w:t> </w:t>
      </w:r>
      <w:r>
        <w:rPr>
          <w:rFonts w:ascii="Times New Roman;serif" w:hAnsi="Times New Roman;serif"/>
          <w:b w:val="false"/>
          <w:color w:val="000000"/>
          <w:sz w:val="24"/>
          <w:u w:val="single"/>
        </w:rPr>
        <w:t>Amendment and Termination of the Plan</w:t>
      </w:r>
      <w:r>
        <w:rPr>
          <w:rFonts w:ascii="Times New Roman;serif" w:hAnsi="Times New Roman;serif"/>
          <w:b w:val="false"/>
          <w:color w:val="000000"/>
          <w:sz w:val="24"/>
        </w:rPr>
        <w:t xml:space="preserve">. The Board may amend, alter, suspend, discontinue, or terminate the Plan or any portion thereof at any time;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no such amendment, alteration, suspension, discontinuance or termination shall be made without stockholder approval if (i) such approval is necessary to comply with any regulatory requirement applicable to the Plan (including, without limitation, as necessary to comply with any rules or regulations of any securities exchange or inter-dealer quotation system on which the securities of the Company may be listed or quoted) or for changes in GAAP to new accounting standards; (ii) it would materially increase the number of securities which may be issued under the Plan (except for increases pursuant to Section 5 or 12 of the Plan); or (iii) it would materially modify the requirements for participation in the Plan; </w:t>
      </w:r>
      <w:r>
        <w:rPr>
          <w:rFonts w:ascii="Times New Roman;serif" w:hAnsi="Times New Roman;serif"/>
          <w:b w:val="false"/>
          <w:i/>
          <w:color w:val="000000"/>
          <w:sz w:val="24"/>
        </w:rPr>
        <w:t>provided, further</w:t>
      </w:r>
      <w:r>
        <w:rPr>
          <w:rFonts w:ascii="Times New Roman;serif" w:hAnsi="Times New Roman;serif"/>
          <w:b w:val="false"/>
          <w:color w:val="000000"/>
          <w:sz w:val="24"/>
        </w:rPr>
        <w:t xml:space="preserve">, that any such amendment,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85445"/>
                <wp:effectExtent l="0" t="0" r="0" b="0"/>
                <wp:wrapNone/>
                <wp:docPr id="81" name="Frame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Notwithstanding the foregoing, no amendment shall be made to Section 13(c) of the Plan without stockholder approval.</w:t>
      </w:r>
    </w:p>
    <w:p>
      <w:pPr>
        <w:pStyle w:val="TextBody"/>
        <w:bidi w:val="0"/>
        <w:spacing w:lineRule="auto" w:line="333" w:before="0" w:after="0"/>
        <w:ind w:left="0" w:right="0" w:firstLine="720"/>
        <w:jc w:val="both"/>
        <w:rPr/>
      </w:pPr>
      <w:r>
        <w:rPr>
          <w:rFonts w:ascii="Times New Roman;serif" w:hAnsi="Times New Roman;serif"/>
          <w:b w:val="false"/>
          <w:color w:val="010000"/>
          <w:sz w:val="24"/>
        </w:rPr>
        <w:t>(b)</w:t>
      </w:r>
      <w:r>
        <w:rPr>
          <w:color w:val="000000"/>
        </w:rPr>
        <w:t> </w:t>
      </w:r>
      <w:r>
        <w:rPr>
          <w:rFonts w:ascii="Times New Roman;serif" w:hAnsi="Times New Roman;serif"/>
          <w:b w:val="false"/>
          <w:color w:val="000000"/>
          <w:sz w:val="24"/>
          <w:u w:val="single"/>
        </w:rPr>
        <w:t>Amendment of Award Agreements</w:t>
      </w:r>
      <w:r>
        <w:rPr>
          <w:rFonts w:ascii="Times New Roman;serif" w:hAnsi="Times New Roman;serif"/>
          <w:b w:val="false"/>
          <w:color w:val="000000"/>
          <w:sz w:val="24"/>
        </w:rPr>
        <w:t xml:space="preserve">. The Committee may, to the extent consistent with the terms of the Plan and any applicable Award Agreement, waive any conditions or rights under, amend any terms of, or alter, suspend, discontinue, cancel or terminate, any Award theretofore granted or the associated Award Agreement, prospectively or retroactively (including after a Participant’s Termination); </w:t>
      </w:r>
      <w:r>
        <w:rPr>
          <w:rFonts w:ascii="Times New Roman;serif" w:hAnsi="Times New Roman;serif"/>
          <w:b w:val="false"/>
          <w:i/>
          <w:color w:val="000000"/>
          <w:sz w:val="24"/>
        </w:rPr>
        <w:t>provided</w:t>
      </w:r>
      <w:r>
        <w:rPr>
          <w:rFonts w:ascii="Times New Roman;serif" w:hAnsi="Times New Roman;serif"/>
          <w:b w:val="false"/>
          <w:color w:val="000000"/>
          <w:sz w:val="24"/>
        </w:rPr>
        <w:t>, that, other than pursuant to Section 12,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w:t>
      </w:r>
    </w:p>
    <w:p>
      <w:pPr>
        <w:pStyle w:val="TextBody"/>
        <w:bidi w:val="0"/>
        <w:spacing w:lineRule="auto" w:line="333" w:before="0" w:after="0"/>
        <w:ind w:left="0" w:right="0" w:firstLine="720"/>
        <w:jc w:val="both"/>
        <w:rPr/>
      </w:pPr>
      <w:r>
        <w:rPr>
          <w:rFonts w:ascii="Times New Roman;serif" w:hAnsi="Times New Roman;serif"/>
          <w:b w:val="false"/>
          <w:color w:val="010000"/>
          <w:sz w:val="24"/>
        </w:rPr>
        <w:t>(c)</w:t>
      </w:r>
      <w:r>
        <w:rPr>
          <w:color w:val="000000"/>
        </w:rPr>
        <w:t> </w:t>
      </w:r>
      <w:r>
        <w:rPr>
          <w:rFonts w:ascii="Times New Roman;serif" w:hAnsi="Times New Roman;serif"/>
          <w:b w:val="false"/>
          <w:color w:val="000000"/>
          <w:sz w:val="24"/>
          <w:u w:val="single"/>
        </w:rPr>
        <w:t>No Repricing</w:t>
      </w:r>
      <w:r>
        <w:rPr>
          <w:rFonts w:ascii="Times New Roman;serif" w:hAnsi="Times New Roman;serif"/>
          <w:b w:val="false"/>
          <w:color w:val="000000"/>
          <w:sz w:val="24"/>
        </w:rPr>
        <w:t>. Notwithstanding anything in the Plan to the contrary, without stockholder approval, except as otherwise permitted under Section 12 of the Plan, (i) no amendment or modification may reduce the Exercise Price of any Option or the SAR Base Price of any SAR; (ii) the Committee may not cancel any outstanding Option or SAR and replace it with a new Option or SAR (with a lower Exercise Price or SAR Base Price, as the case may be) or other Award or cash payment that is greater than the intrinsic value (if any) of the canceled Option or SAR; and (iii) the Committee may not take any other action which is considered a “repricing” for purposes of the stockholder approval rules of any securities exchange or inter-dealer quotation system on which the securities of the Company are listed or quoted.</w:t>
      </w:r>
    </w:p>
    <w:p>
      <w:pPr>
        <w:pStyle w:val="TextBody"/>
        <w:bidi w:val="0"/>
        <w:spacing w:lineRule="auto" w:line="333" w:before="0" w:after="0"/>
        <w:ind w:left="0" w:right="0" w:firstLine="720"/>
        <w:jc w:val="both"/>
        <w:rPr/>
      </w:pPr>
      <w:r>
        <w:rPr>
          <w:rFonts w:ascii="Times New Roman;serif" w:hAnsi="Times New Roman;serif"/>
          <w:b/>
          <w:color w:val="010000"/>
          <w:sz w:val="24"/>
        </w:rPr>
        <w:t>14.</w:t>
      </w:r>
      <w:r>
        <w:rPr>
          <w:color w:val="000000"/>
        </w:rPr>
        <w:t> </w:t>
      </w:r>
      <w:r>
        <w:rPr>
          <w:rFonts w:ascii="Times New Roman;serif" w:hAnsi="Times New Roman;serif"/>
          <w:b/>
          <w:color w:val="000000"/>
          <w:sz w:val="24"/>
        </w:rPr>
        <w:t>General</w:t>
      </w:r>
      <w:r>
        <w:rPr>
          <w:rFonts w:ascii="Times New Roman;serif" w:hAnsi="Times New Roman;serif"/>
          <w:b w:val="false"/>
          <w:color w:val="000000"/>
          <w:sz w:val="24"/>
        </w:rPr>
        <w:t xml:space="preserve">. </w:t>
      </w:r>
    </w:p>
    <w:p>
      <w:pPr>
        <w:pStyle w:val="TextBody"/>
        <w:bidi w:val="0"/>
        <w:spacing w:lineRule="auto" w:line="333" w:before="0" w:after="0"/>
        <w:ind w:left="0" w:right="0" w:firstLine="720"/>
        <w:jc w:val="both"/>
        <w:rPr/>
      </w:pPr>
      <w:r>
        <w:rPr>
          <w:rFonts w:ascii="Times New Roman;serif" w:hAnsi="Times New Roman;serif"/>
          <w:b w:val="false"/>
          <w:color w:val="010000"/>
          <w:sz w:val="24"/>
        </w:rPr>
        <w:t>(a)</w:t>
      </w:r>
      <w:r>
        <w:rPr>
          <w:color w:val="000000"/>
        </w:rPr>
        <w:t> </w:t>
      </w:r>
      <w:r>
        <w:rPr>
          <w:rFonts w:ascii="Times New Roman;serif" w:hAnsi="Times New Roman;serif"/>
          <w:b w:val="false"/>
          <w:color w:val="000000"/>
          <w:sz w:val="24"/>
          <w:u w:val="single"/>
        </w:rPr>
        <w:t>Award Agreements</w:t>
      </w:r>
      <w:r>
        <w:rPr>
          <w:rFonts w:ascii="Times New Roman;serif" w:hAnsi="Times New Roman;serif"/>
          <w:b w:val="false"/>
          <w:color w:val="000000"/>
          <w:sz w:val="24"/>
        </w:rPr>
        <w:t>. Each Award under the Plan shall be evidenced by an Award Agreement, which shall be delivered to the Participant to whom such Award was granted and shall specify the terms and conditions of the Award and any rules applicable thereto, including, without limitation, the effect on such Award of the death, Disability or Termination of a Participant, or of such other events as may be determined by the Committee. For purposes of the Plan, an Award Agreement may be in any such form (written or electronic) as determined by the Committee (including, without limitation, a Board or Committee resolution, an employment agreement, a notice, a certificate or a letter) evidencing the Award. The Committee need not require an Award Agreement to be signed by the Participant or a duly authorized representative of the Company.</w:t>
      </w:r>
    </w:p>
    <w:p>
      <w:pPr>
        <w:pStyle w:val="TextBody"/>
        <w:bidi w:val="0"/>
        <w:spacing w:lineRule="auto" w:line="333" w:before="0" w:after="0"/>
        <w:ind w:left="0" w:right="0" w:firstLine="720"/>
        <w:jc w:val="both"/>
        <w:rPr/>
      </w:pPr>
      <w:r>
        <w:rPr>
          <w:rFonts w:ascii="Times New Roman;serif" w:hAnsi="Times New Roman;serif"/>
          <w:b w:val="false"/>
          <w:color w:val="010000"/>
          <w:sz w:val="24"/>
        </w:rPr>
        <w:t>(b)</w:t>
      </w:r>
      <w:r>
        <w:rPr>
          <w:color w:val="000000"/>
        </w:rPr>
        <w:t> </w:t>
      </w:r>
      <w:r>
        <w:rPr>
          <w:rFonts w:ascii="Times New Roman;serif" w:hAnsi="Times New Roman;serif"/>
          <w:b w:val="false"/>
          <w:color w:val="000000"/>
          <w:sz w:val="24"/>
          <w:u w:val="single"/>
        </w:rPr>
        <w:t>Nontransferability</w:t>
      </w:r>
      <w:r>
        <w:rPr>
          <w:rFonts w:ascii="Times New Roman;serif" w:hAnsi="Times New Roman;serif"/>
          <w:b w:val="false"/>
          <w:color w:val="000000"/>
          <w:sz w:val="24"/>
        </w:rPr>
        <w:t xml:space="preserve">. </w:t>
      </w:r>
    </w:p>
    <w:p>
      <w:pPr>
        <w:pStyle w:val="TextBody"/>
        <w:bidi w:val="0"/>
        <w:spacing w:lineRule="auto" w:line="333"/>
        <w:ind w:left="0" w:right="0" w:firstLine="720"/>
        <w:jc w:val="both"/>
        <w:rPr/>
      </w:pPr>
      <w:r>
        <w:rPr>
          <w:rFonts w:ascii="Times New Roman;serif" w:hAnsi="Times New Roman;serif"/>
          <w:b w:val="false"/>
          <w:color w:val="010000"/>
          <w:sz w:val="24"/>
        </w:rPr>
        <w:t>(i)</w:t>
      </w:r>
      <w:r>
        <w:rPr>
          <w:color w:val="000000"/>
        </w:rPr>
        <w:t> </w:t>
      </w:r>
      <w:r>
        <w:rPr>
          <w:rFonts w:ascii="Times New Roman;serif" w:hAnsi="Times New Roman;serif"/>
          <w:b w:val="false"/>
          <w:color w:val="000000"/>
          <w:sz w:val="24"/>
        </w:rPr>
        <w:t xml:space="preserve">Each Award shall be exercisable only by such Participant to whom such Award was granted during the Participant’s lifetime, or, if permissible under applicable law, by the Participant’s legal guardian or representative. No Award may be assigned, alienated, pledged, attached, sold or otherwise transferred or encumbered by a Participant (unless such transfer is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82" name="Frame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color w:val="000000"/>
          <w:sz w:val="24"/>
        </w:rPr>
        <w:t xml:space="preserve">specifically required pursuant to a domestic relations order or by applicable law) other than by will or by the laws of descent and distribution and any such purported assignment, alienation, pledge, attachment, sale, transfer or encumbrance shall be void and unenforceable against any member of the Company Group; </w:t>
      </w:r>
      <w:r>
        <w:rPr>
          <w:rFonts w:ascii="Times New Roman;serif" w:hAnsi="Times New Roman;serif"/>
          <w:b w:val="false"/>
          <w:i/>
          <w:color w:val="000000"/>
          <w:sz w:val="24"/>
        </w:rPr>
        <w:t>provided</w:t>
      </w:r>
      <w:r>
        <w:rPr>
          <w:rFonts w:ascii="Times New Roman;serif" w:hAnsi="Times New Roman;serif"/>
          <w:b w:val="false"/>
          <w:color w:val="000000"/>
          <w:sz w:val="24"/>
        </w:rPr>
        <w:t>, that the designation of a beneficiary shall not constitute an assignment, alienation, pledge, attachment, sale, transfer or encumbrance.</w:t>
      </w:r>
    </w:p>
    <w:p>
      <w:pPr>
        <w:pStyle w:val="TextBody"/>
        <w:bidi w:val="0"/>
        <w:spacing w:lineRule="auto" w:line="333" w:before="0" w:after="0"/>
        <w:ind w:left="0" w:right="0" w:firstLine="720"/>
        <w:jc w:val="both"/>
        <w:rPr/>
      </w:pPr>
      <w:r>
        <w:rPr>
          <w:rFonts w:ascii="Times New Roman;serif" w:hAnsi="Times New Roman;serif"/>
          <w:b w:val="false"/>
          <w:color w:val="010000"/>
          <w:sz w:val="24"/>
        </w:rPr>
        <w:t>(ii)</w:t>
      </w:r>
      <w:r>
        <w:rPr>
          <w:color w:val="000000"/>
        </w:rPr>
        <w:t> </w:t>
      </w:r>
      <w:r>
        <w:rPr>
          <w:rFonts w:ascii="Times New Roman;serif" w:hAnsi="Times New Roman;serif"/>
          <w:b w:val="false"/>
          <w:color w:val="000000"/>
          <w:sz w:val="24"/>
        </w:rPr>
        <w:t>Notwithstanding the foregoing, the Committee may, in its sole discretion, permit Awards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or any successor form of registration statement promulgated by the Securities and Exchange Commission (collectively, the “</w:t>
      </w:r>
      <w:r>
        <w:rPr>
          <w:rFonts w:ascii="Times New Roman;serif" w:hAnsi="Times New Roman;serif"/>
          <w:b w:val="false"/>
          <w:color w:val="000000"/>
          <w:sz w:val="24"/>
          <w:u w:val="single"/>
        </w:rPr>
        <w:t>Immediate Family Members</w:t>
      </w:r>
      <w:r>
        <w:rPr>
          <w:color w:val="000000"/>
        </w:rPr>
        <w:t>”</w:t>
      </w:r>
      <w:r>
        <w:rPr>
          <w:rFonts w:ascii="Times New Roman;serif" w:hAnsi="Times New Roman;serif"/>
          <w:b w:val="false"/>
          <w:color w:val="000000"/>
          <w:sz w:val="24"/>
        </w:rPr>
        <w:t>); (B) a trust solely for the benefit of the Participant and the Participant’s Immediate Family Members; (C) a partnership or limited liability company whose only partners or stockholders are the Participant and the Participant’s Immediate Family Members; or (D) a beneficiary to whom donations are eligible to be treated as “charitable contributions” for federal income tax purposes (each transferee described in clauses (A), (B), (C) and (D) above is hereinafter referred to as a “</w:t>
      </w:r>
      <w:r>
        <w:rPr>
          <w:rFonts w:ascii="Times New Roman;serif" w:hAnsi="Times New Roman;serif"/>
          <w:b w:val="false"/>
          <w:color w:val="000000"/>
          <w:sz w:val="24"/>
          <w:u w:val="single"/>
        </w:rPr>
        <w:t>Permitted Transferee</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the Participant gives the Committee advance written notice describing the terms and conditions of the proposed transfer and the Committee notifies the Participant in writing that such a transfer would comply with the requirements of the Plan.</w:t>
      </w:r>
    </w:p>
    <w:p>
      <w:pPr>
        <w:pStyle w:val="TextBody"/>
        <w:bidi w:val="0"/>
        <w:spacing w:lineRule="auto" w:line="333" w:before="0" w:after="0"/>
        <w:ind w:left="0" w:right="0" w:firstLine="720"/>
        <w:jc w:val="both"/>
        <w:rPr/>
      </w:pPr>
      <w:r>
        <w:rPr>
          <w:rFonts w:ascii="Times New Roman;serif" w:hAnsi="Times New Roman;serif"/>
          <w:b w:val="false"/>
          <w:color w:val="010000"/>
          <w:sz w:val="24"/>
        </w:rPr>
        <w:t>(iii)</w:t>
      </w:r>
      <w:r>
        <w:rPr>
          <w:color w:val="000000"/>
        </w:rPr>
        <w:t> </w:t>
      </w:r>
      <w:r>
        <w:rPr>
          <w:rFonts w:ascii="Times New Roman;serif" w:hAnsi="Times New Roman;serif"/>
          <w:b w:val="false"/>
          <w:color w:val="000000"/>
          <w:sz w:val="24"/>
        </w:rPr>
        <w:t>The terms of any Award transferred in accordance with clause (ii) above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neither the Committee nor the Company shall be required to provide any notice to a Permitted Transferee, whether or not such notice is or would otherwise have been required to be given to the Participant under the Plan or otherwise; and (D) the consequences of a Participant’s Termination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pStyle w:val="TextBody"/>
        <w:bidi w:val="0"/>
        <w:spacing w:lineRule="auto" w:line="333" w:before="0" w:after="0"/>
        <w:ind w:left="0" w:right="0" w:firstLine="720"/>
        <w:jc w:val="both"/>
        <w:rPr/>
      </w:pPr>
      <w:r>
        <w:rPr>
          <w:rFonts w:ascii="Times New Roman;serif" w:hAnsi="Times New Roman;serif"/>
          <w:b w:val="false"/>
          <w:color w:val="010000"/>
          <w:sz w:val="24"/>
        </w:rPr>
        <w:t>(c)</w:t>
      </w:r>
      <w:r>
        <w:rPr>
          <w:color w:val="000000"/>
        </w:rPr>
        <w:t> </w:t>
      </w:r>
      <w:r>
        <w:rPr>
          <w:rFonts w:ascii="Times New Roman;serif" w:hAnsi="Times New Roman;serif"/>
          <w:b w:val="false"/>
          <w:color w:val="000000"/>
          <w:sz w:val="24"/>
          <w:u w:val="single"/>
        </w:rPr>
        <w:t>Dividends and Dividend Equivalents</w:t>
      </w:r>
      <w:r>
        <w:rPr>
          <w:rFonts w:ascii="Times New Roman;serif" w:hAnsi="Times New Roman;serif"/>
          <w:b w:val="false"/>
          <w:color w:val="000000"/>
          <w:sz w:val="24"/>
        </w:rPr>
        <w:t xml:space="preserve">. </w:t>
      </w:r>
    </w:p>
    <w:p>
      <w:pPr>
        <w:pStyle w:val="TextBody"/>
        <w:bidi w:val="0"/>
        <w:spacing w:lineRule="auto" w:line="333"/>
        <w:ind w:left="0" w:right="0" w:firstLine="720"/>
        <w:jc w:val="both"/>
        <w:rPr/>
      </w:pPr>
      <w:r>
        <w:rPr>
          <w:rFonts w:ascii="Times New Roman;serif" w:hAnsi="Times New Roman;serif"/>
          <w:b w:val="false"/>
          <w:color w:val="010000"/>
          <w:sz w:val="24"/>
        </w:rPr>
        <w:t>(i)</w:t>
      </w:r>
      <w:r>
        <w:rPr>
          <w:color w:val="000000"/>
        </w:rPr>
        <w:t> </w:t>
      </w:r>
      <w:r>
        <w:rPr>
          <w:rFonts w:ascii="Times New Roman;serif" w:hAnsi="Times New Roman;serif"/>
          <w:b w:val="false"/>
          <w:color w:val="000000"/>
          <w:sz w:val="24"/>
        </w:rPr>
        <w:t xml:space="preserve">The Committee may, in its sole discretion, provide a Participant as part of an Award with dividends, dividend equivalents, or similar payments in respect of Awards, payable in cash,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83" name="Frame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shares of Common Stock, other securities, other Awards or other property, on a current or deferred basis, on such terms and conditions as may be determined by the Committee in its sole discretion, including, without limitation, payment directly to the Participant, withholding of such amounts by the Company subject to vesting of the Award or reinvestment in additional shares of Common Stock. </w:t>
      </w:r>
    </w:p>
    <w:p>
      <w:pPr>
        <w:pStyle w:val="TextBody"/>
        <w:bidi w:val="0"/>
        <w:spacing w:lineRule="auto" w:line="333" w:before="0" w:after="0"/>
        <w:ind w:left="0" w:right="0" w:firstLine="720"/>
        <w:jc w:val="both"/>
        <w:rPr/>
      </w:pPr>
      <w:r>
        <w:rPr>
          <w:rFonts w:ascii="Times New Roman;serif" w:hAnsi="Times New Roman;serif"/>
          <w:b w:val="false"/>
          <w:color w:val="010000"/>
          <w:sz w:val="24"/>
        </w:rPr>
        <w:t>(ii)</w:t>
      </w:r>
      <w:r>
        <w:rPr>
          <w:color w:val="000000"/>
        </w:rPr>
        <w:t> </w:t>
      </w:r>
      <w:r>
        <w:rPr>
          <w:rFonts w:ascii="Times New Roman;serif" w:hAnsi="Times New Roman;serif"/>
          <w:b w:val="false"/>
          <w:color w:val="000000"/>
          <w:sz w:val="24"/>
        </w:rPr>
        <w:t>Without limiting the foregoing, unless otherwise provided in the Award Agreement, any dividend otherwise payable in respect of any share of Restricted Stock that remains subject to vesting conditions at the time of payment of such dividend shall be retained by the Company and remain subject to the same vesting conditions as the share of Restricted Stock to which the dividend relates and shall be delivered (without interest) to the Participant within fifteen (15) days following the date on which such restrictions on such Restricted Stock lapse (and the right to any such accumulated dividends shall be forfeited upon the forfeiture of the Restricted Stock to which such dividends relate).</w:t>
      </w:r>
    </w:p>
    <w:p>
      <w:pPr>
        <w:pStyle w:val="TextBody"/>
        <w:bidi w:val="0"/>
        <w:spacing w:lineRule="auto" w:line="333" w:before="0" w:after="0"/>
        <w:ind w:left="0" w:right="0" w:firstLine="720"/>
        <w:jc w:val="both"/>
        <w:rPr/>
      </w:pPr>
      <w:r>
        <w:rPr>
          <w:rFonts w:ascii="Times New Roman;serif" w:hAnsi="Times New Roman;serif"/>
          <w:b w:val="false"/>
          <w:color w:val="010000"/>
          <w:sz w:val="24"/>
        </w:rPr>
        <w:t>(iii)</w:t>
      </w:r>
      <w:r>
        <w:rPr>
          <w:color w:val="000000"/>
        </w:rPr>
        <w:t> </w:t>
      </w:r>
      <w:r>
        <w:rPr>
          <w:rFonts w:ascii="Times New Roman;serif" w:hAnsi="Times New Roman;serif"/>
          <w:b w:val="false"/>
          <w:color w:val="000000"/>
          <w:sz w:val="24"/>
        </w:rPr>
        <w:t xml:space="preserve">To the extent provided in an Award Agreement, the holder of outstanding Restricted Stock Units shall be entitled to be credited with dividend equivalent payments (upon the payment by the Company of dividends on shares of Common Stock) either in cash or, in the sole discretion of the Committee, in shares of Common Stock having a Fair Market Value equal to the amount of such dividends (and interest may, in the sole discretion of the Committee, be credited on the amount of cash dividend equivalents at a rate and subject to such terms as determined by the Committee), which accumulated dividend equivalents (and interest thereon, if applicable) shall be payable at the same time as the underlying Restricted Stock Units are settled following the date on which the Restricted Period lapses with respect to such Restricted Stock Units, and if such Restricted Stock Units are forfeited, the Participant shall have no right to such dividend equivalent payments (or interest thereon, if applicable). </w:t>
      </w:r>
    </w:p>
    <w:p>
      <w:pPr>
        <w:pStyle w:val="TextBody"/>
        <w:bidi w:val="0"/>
        <w:spacing w:lineRule="auto" w:line="333" w:before="0" w:after="0"/>
        <w:ind w:left="0" w:right="0" w:firstLine="720"/>
        <w:jc w:val="both"/>
        <w:rPr/>
      </w:pPr>
      <w:r>
        <w:rPr>
          <w:rFonts w:ascii="Times New Roman;serif" w:hAnsi="Times New Roman;serif"/>
          <w:b w:val="false"/>
          <w:color w:val="010000"/>
          <w:sz w:val="24"/>
        </w:rPr>
        <w:t>(d)</w:t>
      </w:r>
      <w:r>
        <w:rPr>
          <w:color w:val="000000"/>
        </w:rPr>
        <w:t> </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xml:space="preserve">. </w:t>
      </w:r>
    </w:p>
    <w:p>
      <w:pPr>
        <w:pStyle w:val="TextBody"/>
        <w:bidi w:val="0"/>
        <w:spacing w:lineRule="auto" w:line="333" w:before="0" w:after="0"/>
        <w:ind w:left="0" w:right="0" w:firstLine="720"/>
        <w:jc w:val="both"/>
        <w:rPr/>
      </w:pPr>
      <w:r>
        <w:rPr>
          <w:rFonts w:ascii="Times New Roman;serif" w:hAnsi="Times New Roman;serif"/>
          <w:b w:val="false"/>
          <w:color w:val="010000"/>
          <w:sz w:val="24"/>
        </w:rPr>
        <w:t>(i)</w:t>
      </w:r>
      <w:r>
        <w:rPr>
          <w:color w:val="000000"/>
        </w:rPr>
        <w:t> </w:t>
      </w:r>
      <w:r>
        <w:rPr>
          <w:rFonts w:ascii="Times New Roman;serif" w:hAnsi="Times New Roman;serif"/>
          <w:b w:val="false"/>
          <w:color w:val="000000"/>
          <w:sz w:val="24"/>
        </w:rPr>
        <w:t>A Participant shall be required to pay to the Company or one or more of its Subsidiaries, as applicable, an amount in cash (by check or wire transfer) equal to the aggregate amount of any income, employment and/or other applicable taxes that are statutorily required to be withheld in respect of an Award. Alternatively, the Company or any of its Subsidiaries may elect, in its sole discretion, to satisfy this requirement by withholding such amount from any cash compensation or other cash amounts owing to a Participant.</w:t>
      </w:r>
    </w:p>
    <w:p>
      <w:pPr>
        <w:pStyle w:val="TextBody"/>
        <w:bidi w:val="0"/>
        <w:spacing w:lineRule="auto" w:line="333"/>
        <w:ind w:left="0" w:right="0" w:firstLine="720"/>
        <w:jc w:val="both"/>
        <w:rPr/>
      </w:pPr>
      <w:r>
        <w:rPr>
          <w:rFonts w:ascii="Times New Roman;serif" w:hAnsi="Times New Roman;serif"/>
          <w:b w:val="false"/>
          <w:color w:val="010000"/>
          <w:sz w:val="24"/>
        </w:rPr>
        <w:t>(ii)</w:t>
      </w:r>
      <w:r>
        <w:rPr>
          <w:color w:val="000000"/>
        </w:rPr>
        <w:t> </w:t>
      </w:r>
      <w:r>
        <w:rPr>
          <w:rFonts w:ascii="Times New Roman;serif" w:hAnsi="Times New Roman;serif"/>
          <w:b w:val="false"/>
          <w:color w:val="000000"/>
          <w:sz w:val="24"/>
        </w:rPr>
        <w:t xml:space="preserve">Without limiting the foregoing, the Committee may (but is not obligated to), in its sole discretion, permit or require a Participant to satisfy, all or any portion of the minimum income, employment and/or other applicable taxes that are statutorily required to be withheld with respect to an Award by (A) the delivery of shares of Common Stock (which are not subject to any pledge or other security interest) that have been both held by the Participant and vested for at least six (6) months (or such other period as established from time to time by the Committee in order to avoid adverse accounting treatment under applicable accounting standards) having an aggregate Fair Market Value equal to such minimum statutorily required withholding liability (or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4" name="Frame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portion thereof); or (B) having the Company withhold from the shares of Common Stock otherwise issuable or deliverable to, or that would otherwise be retained by, the Participant upon the grant, exercise, vesting or settlement of the Award, as applicable, a number of shares of Common Stock with an aggregate Fair Market Value equal to an amount, subject to clause (iii) below, not in excess of such minimum statutorily required withholding liability (or portion thereof).</w:t>
      </w:r>
    </w:p>
    <w:p>
      <w:pPr>
        <w:pStyle w:val="TextBody"/>
        <w:bidi w:val="0"/>
        <w:spacing w:lineRule="auto" w:line="333" w:before="0" w:after="0"/>
        <w:ind w:left="0" w:right="0" w:firstLine="720"/>
        <w:jc w:val="both"/>
        <w:rPr/>
      </w:pPr>
      <w:r>
        <w:rPr>
          <w:rFonts w:ascii="Times New Roman;serif" w:hAnsi="Times New Roman;serif"/>
          <w:b w:val="false"/>
          <w:color w:val="010000"/>
          <w:sz w:val="24"/>
        </w:rPr>
        <w:t>(iii)</w:t>
      </w:r>
      <w:r>
        <w:rPr>
          <w:color w:val="000000"/>
        </w:rPr>
        <w:t> </w:t>
      </w:r>
      <w:r>
        <w:rPr>
          <w:rFonts w:ascii="Times New Roman;serif" w:hAnsi="Times New Roman;serif"/>
          <w:b w:val="false"/>
          <w:color w:val="000000"/>
          <w:sz w:val="24"/>
        </w:rPr>
        <w:t>The Committee, subject to its having considered the applicable accounting impact of any such determination, has full discretion to allow Participants to satisfy, in whole or in part, any additional income, employment and/or other applicable taxes payable by them with respect to an Award by electing to have the Company withhold from the shares of Common Stock otherwise issuable or deliverable to, or that would otherwise be retained by, a Participant upon the grant, exercise, vesting or settlement of the Award, as applicable, shares of Common Stock having an aggregate Fair Market Value that is greater than the applicable minimum required statutory withholding liability (but such withholding may in no event be in excess of the maximum statutory withholding amount(s) in a Participant’s relevant tax jurisdictions).</w:t>
      </w:r>
    </w:p>
    <w:p>
      <w:pPr>
        <w:pStyle w:val="TextBody"/>
        <w:bidi w:val="0"/>
        <w:spacing w:lineRule="auto" w:line="333" w:before="0" w:after="0"/>
        <w:ind w:left="0" w:right="0" w:firstLine="720"/>
        <w:jc w:val="both"/>
        <w:rPr/>
      </w:pPr>
      <w:r>
        <w:rPr>
          <w:rFonts w:ascii="Times New Roman;serif" w:hAnsi="Times New Roman;serif"/>
          <w:b w:val="false"/>
          <w:color w:val="010000"/>
          <w:sz w:val="24"/>
        </w:rPr>
        <w:t>(e)</w:t>
      </w:r>
      <w:r>
        <w:rPr>
          <w:color w:val="000000"/>
        </w:rPr>
        <w:t> </w:t>
      </w:r>
      <w:r>
        <w:rPr>
          <w:rFonts w:ascii="Times New Roman;serif" w:hAnsi="Times New Roman;serif"/>
          <w:b w:val="false"/>
          <w:color w:val="000000"/>
          <w:sz w:val="24"/>
          <w:u w:val="single"/>
        </w:rPr>
        <w:t>Data Protection</w:t>
      </w:r>
      <w:r>
        <w:rPr>
          <w:rFonts w:ascii="Times New Roman;serif" w:hAnsi="Times New Roman;serif"/>
          <w:b w:val="false"/>
          <w:color w:val="000000"/>
          <w:sz w:val="24"/>
        </w:rPr>
        <w:t>. By participating in the Plan or accepting any rights granted under it, each Participant consents to the collection and processing of personal data relating to the Participant so that the Company and its Affiliates can fulfill their obligations and exercise their rights under the Plan and generally administer and manage the Plan. This data will include, but may not be limited to, data about participation in the Plan and shares offered or received, purchased, or sold under the Plan from time to time and other appropriate financial and other data (such as the date on which the Awards were granted) about the Participant and the Participant’s participation in the Plan.</w:t>
      </w:r>
    </w:p>
    <w:p>
      <w:pPr>
        <w:pStyle w:val="TextBody"/>
        <w:bidi w:val="0"/>
        <w:spacing w:lineRule="auto" w:line="333"/>
        <w:ind w:left="0" w:right="0" w:firstLine="720"/>
        <w:jc w:val="both"/>
        <w:rPr/>
      </w:pPr>
      <w:r>
        <w:rPr>
          <w:rFonts w:ascii="Times New Roman;serif" w:hAnsi="Times New Roman;serif"/>
          <w:b w:val="false"/>
          <w:color w:val="010000"/>
          <w:sz w:val="24"/>
        </w:rPr>
        <w:t>(f)</w:t>
      </w:r>
      <w:r>
        <w:rPr>
          <w:color w:val="000000"/>
        </w:rPr>
        <w:t> </w:t>
      </w:r>
      <w:r>
        <w:rPr>
          <w:rFonts w:ascii="Times New Roman;serif" w:hAnsi="Times New Roman;serif"/>
          <w:b w:val="false"/>
          <w:color w:val="000000"/>
          <w:sz w:val="24"/>
          <w:u w:val="single"/>
        </w:rPr>
        <w:t>No Claim to Awards; No Rights to Continued Employment; Waiver</w:t>
      </w:r>
      <w:r>
        <w:rPr>
          <w:rFonts w:ascii="Times New Roman;serif" w:hAnsi="Times New Roman;serif"/>
          <w:b w:val="false"/>
          <w:color w:val="000000"/>
          <w:sz w:val="24"/>
        </w:rPr>
        <w:t xml:space="preserve">. No employee of any member of the Company Group,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Service Recipient or any other member of the Company Group, nor shall it be construed as giving any Participant any rights to continued service on the Board. The Service Recipient or any other member of the Company Group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85" name="Frame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beyond the period provided under the Plan or any Award Agreement, except to the extent of any provision to the contrary in any written employment contract or other agreement between the Service Recipient and/or any member of the Company Group and the Participant, whether any such agreement is executed before, on or after the Date of Grant.</w:t>
      </w:r>
    </w:p>
    <w:p>
      <w:pPr>
        <w:pStyle w:val="TextBody"/>
        <w:bidi w:val="0"/>
        <w:spacing w:lineRule="auto" w:line="333" w:before="0" w:after="0"/>
        <w:ind w:left="0" w:right="0" w:firstLine="720"/>
        <w:jc w:val="both"/>
        <w:rPr/>
      </w:pPr>
      <w:r>
        <w:rPr>
          <w:rFonts w:ascii="Times New Roman;serif" w:hAnsi="Times New Roman;serif"/>
          <w:b w:val="false"/>
          <w:color w:val="010000"/>
          <w:sz w:val="24"/>
        </w:rPr>
        <w:t>(g)</w:t>
      </w:r>
      <w:r>
        <w:rPr>
          <w:color w:val="000000"/>
        </w:rPr>
        <w:t> </w:t>
      </w:r>
      <w:r>
        <w:rPr>
          <w:rFonts w:ascii="Times New Roman;serif" w:hAnsi="Times New Roman;serif"/>
          <w:b w:val="false"/>
          <w:color w:val="000000"/>
          <w:sz w:val="24"/>
          <w:u w:val="single"/>
        </w:rPr>
        <w:t>International Participants</w:t>
      </w:r>
      <w:r>
        <w:rPr>
          <w:rFonts w:ascii="Times New Roman;serif" w:hAnsi="Times New Roman;serif"/>
          <w:b w:val="false"/>
          <w:color w:val="000000"/>
          <w:sz w:val="24"/>
        </w:rPr>
        <w:t>. With respect to Participants who reside or work outside of the United States of America, the Committee may, in its sole discretion, amend the terms of the Plan and create or amend Sub-Plans or amend outstanding Awards with respect to such Participants in order to permit or facilitate participation in the Plan by such Participants, conform such terms with the requirements of local law or to obtain more favorable tax or other treatment for a Participant or any member of the Company Group.</w:t>
      </w:r>
    </w:p>
    <w:p>
      <w:pPr>
        <w:pStyle w:val="TextBody"/>
        <w:bidi w:val="0"/>
        <w:spacing w:lineRule="auto" w:line="333" w:before="0" w:after="0"/>
        <w:ind w:left="0" w:right="0" w:firstLine="720"/>
        <w:jc w:val="both"/>
        <w:rPr/>
      </w:pPr>
      <w:r>
        <w:rPr>
          <w:rFonts w:ascii="Times New Roman;serif" w:hAnsi="Times New Roman;serif"/>
          <w:b w:val="false"/>
          <w:color w:val="010000"/>
          <w:sz w:val="24"/>
        </w:rPr>
        <w:t>(h)</w:t>
      </w:r>
      <w:r>
        <w:rPr>
          <w:color w:val="000000"/>
        </w:rPr>
        <w:t> </w:t>
      </w:r>
      <w:r>
        <w:rPr>
          <w:rFonts w:ascii="Times New Roman;serif" w:hAnsi="Times New Roman;serif"/>
          <w:b w:val="false"/>
          <w:color w:val="000000"/>
          <w:sz w:val="24"/>
          <w:u w:val="single"/>
        </w:rPr>
        <w:t>Designation and Change of Beneficiary</w:t>
      </w:r>
      <w:r>
        <w:rPr>
          <w:rFonts w:ascii="Times New Roman;serif" w:hAnsi="Times New Roman;serif"/>
          <w:b w:val="false"/>
          <w:color w:val="000000"/>
          <w:sz w:val="24"/>
        </w:rPr>
        <w:t xml:space="preserve">. To the extent permitted by the Company, each Participant may file with the Committee a written designation of one or more Persons as the beneficiary(ies) who shall be entitled to receive the amounts payable with respect to an Award, if any, due under the Plan upon the Participant’s death. A Participant may, from time to time, revoke or change the Participant’s beneficiary designation without the consent of any prior beneficiary by filing a new designation with the Committee. The last such designation received by the Committee shall be controlling; </w:t>
      </w:r>
      <w:r>
        <w:rPr>
          <w:rFonts w:ascii="Times New Roman;serif" w:hAnsi="Times New Roman;serif"/>
          <w:b w:val="false"/>
          <w:i/>
          <w:color w:val="000000"/>
          <w:sz w:val="24"/>
        </w:rPr>
        <w:t>provided</w:t>
      </w:r>
      <w:r>
        <w:rPr>
          <w:rFonts w:ascii="Times New Roman;serif" w:hAnsi="Times New Roman;serif"/>
          <w:b w:val="false"/>
          <w:color w:val="000000"/>
          <w:sz w:val="24"/>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the Participant’s spouse or, if the Participant is unmarried at the time of death, the Participant’s estate.</w:t>
      </w:r>
    </w:p>
    <w:p>
      <w:pPr>
        <w:pStyle w:val="TextBody"/>
        <w:bidi w:val="0"/>
        <w:spacing w:lineRule="auto" w:line="333" w:before="0" w:after="0"/>
        <w:ind w:left="0" w:right="0" w:firstLine="720"/>
        <w:jc w:val="both"/>
        <w:rPr/>
      </w:pPr>
      <w:r>
        <w:rPr>
          <w:rFonts w:ascii="Times New Roman;serif" w:hAnsi="Times New Roman;serif"/>
          <w:b w:val="false"/>
          <w:color w:val="010000"/>
          <w:sz w:val="24"/>
        </w:rPr>
        <w:t>(i)</w:t>
      </w:r>
      <w:r>
        <w:rPr>
          <w:color w:val="000000"/>
        </w:rPr>
        <w:t> </w:t>
      </w:r>
      <w:r>
        <w:rPr>
          <w:rFonts w:ascii="Times New Roman;serif" w:hAnsi="Times New Roman;serif"/>
          <w:b w:val="false"/>
          <w:color w:val="000000"/>
          <w:sz w:val="24"/>
          <w:u w:val="single"/>
        </w:rPr>
        <w:t>Termination</w:t>
      </w:r>
      <w:r>
        <w:rPr>
          <w:rFonts w:ascii="Times New Roman;serif" w:hAnsi="Times New Roman;serif"/>
          <w:b w:val="false"/>
          <w:color w:val="000000"/>
          <w:sz w:val="24"/>
        </w:rPr>
        <w:t>. Except as otherwise provided in an Award Agreement, unless determined otherwise by the Committee at any point following such event: (i) neither a temporary absence from employment or service due to illness, vacation or leave of absence (including, without limitation, a call to active duty for military service through a Reserve or National Guard unit) nor a transfer from employment or service with one Service Recipient to employment or service with another Service Recipient (or vice-versa) shall be considered a Termination; and (ii) if a Participant undergoes a Termination, but such Participant continues to provide services to the Company Group in a non-employee capacity, such change in status shall not be considered a Termination for purposes of the Plan. Further, unless otherwise determined by the Committee, in the event that any Service Recipient ceases to be a member of the Company Group (by reason of sale, divestiture, spin-off or other similar transaction), unless a Participant’s employment or service is transferred to another entity that would constitute a Service Recipient immediately following such transaction, such Participant shall be deemed to have suffered a Termination hereunder as of the date of the consummation of such transaction.</w:t>
      </w:r>
    </w:p>
    <w:p>
      <w:pPr>
        <w:pStyle w:val="TextBody"/>
        <w:bidi w:val="0"/>
        <w:spacing w:lineRule="auto" w:line="333"/>
        <w:ind w:left="0" w:right="0" w:firstLine="720"/>
        <w:jc w:val="both"/>
        <w:rPr/>
      </w:pPr>
      <w:r>
        <w:rPr>
          <w:rFonts w:ascii="Times New Roman;serif" w:hAnsi="Times New Roman;serif"/>
          <w:b w:val="false"/>
          <w:color w:val="010000"/>
          <w:sz w:val="24"/>
        </w:rPr>
        <w:t>(j)</w:t>
      </w:r>
      <w:r>
        <w:rPr>
          <w:color w:val="000000"/>
        </w:rPr>
        <w:t> </w:t>
      </w:r>
      <w:r>
        <w:rPr>
          <w:rFonts w:ascii="Times New Roman;serif" w:hAnsi="Times New Roman;serif"/>
          <w:b w:val="false"/>
          <w:color w:val="000000"/>
          <w:sz w:val="24"/>
          <w:u w:val="single"/>
        </w:rPr>
        <w:t>No Rights as a Stockholder</w:t>
      </w:r>
      <w:r>
        <w:rPr>
          <w:rFonts w:ascii="Times New Roman;serif" w:hAnsi="Times New Roman;serif"/>
          <w:b w:val="false"/>
          <w:color w:val="000000"/>
          <w:sz w:val="24"/>
        </w:rPr>
        <w:t>. Except as otherwise specifically provided in the Plan or any Award Agreement, no Person shall be entitled to the privileges of ownership in respect of shares of Common Stock which are subject to Awards hereunder until such shares have been issued or delivered to such Person.</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85445"/>
                <wp:effectExtent l="0" t="0" r="0" b="0"/>
                <wp:wrapNone/>
                <wp:docPr id="86" name="Frame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firstLine="720"/>
        <w:jc w:val="both"/>
        <w:rPr/>
      </w:pPr>
      <w:r>
        <w:rPr>
          <w:rFonts w:ascii="Times New Roman;serif" w:hAnsi="Times New Roman;serif"/>
          <w:b w:val="false"/>
          <w:color w:val="010000"/>
          <w:sz w:val="24"/>
        </w:rPr>
        <w:t>(k)</w:t>
      </w:r>
      <w:r>
        <w:rPr>
          <w:color w:val="000000"/>
        </w:rPr>
        <w:t> </w:t>
      </w:r>
      <w:r>
        <w:rPr>
          <w:rFonts w:ascii="Times New Roman;serif" w:hAnsi="Times New Roman;serif"/>
          <w:b w:val="false"/>
          <w:color w:val="000000"/>
          <w:sz w:val="24"/>
          <w:u w:val="single"/>
        </w:rPr>
        <w:t>Government and Other Regulations</w:t>
      </w:r>
      <w:r>
        <w:rPr>
          <w:rFonts w:ascii="Times New Roman;serif" w:hAnsi="Times New Roman;serif"/>
          <w:b w:val="false"/>
          <w:color w:val="000000"/>
          <w:sz w:val="24"/>
        </w:rPr>
        <w:t>.</w:t>
      </w:r>
    </w:p>
    <w:p>
      <w:pPr>
        <w:pStyle w:val="TextBody"/>
        <w:bidi w:val="0"/>
        <w:spacing w:lineRule="auto" w:line="333" w:before="0" w:after="0"/>
        <w:ind w:left="0" w:right="0" w:firstLine="720"/>
        <w:jc w:val="both"/>
        <w:rPr/>
      </w:pPr>
      <w:r>
        <w:rPr>
          <w:rFonts w:ascii="Times New Roman;serif" w:hAnsi="Times New Roman;serif"/>
          <w:b w:val="false"/>
          <w:color w:val="010000"/>
          <w:sz w:val="24"/>
        </w:rPr>
        <w:t>(i)</w:t>
      </w:r>
      <w:r>
        <w:rPr>
          <w:color w:val="000000"/>
        </w:rPr>
        <w:t> </w:t>
      </w:r>
      <w:r>
        <w:rPr>
          <w:rFonts w:ascii="Times New Roman;serif" w:hAnsi="Times New Roman;serif"/>
          <w:b w:val="false"/>
          <w:color w:val="000000"/>
          <w:sz w:val="24"/>
        </w:rPr>
        <w:t>The obligation of the Company to settle Awards in shares of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(if the Company has requested such an opinion),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Common Stock to be offered or sold under the Plan. The Committee shall have the authority to provide that all shares of Common Stock or other securities of any member of the Company Group issued under the Plan shall be subject to such stop-transfer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on which the securities of the Company are listed or quoted and any other applicable Federal, state, local or non-U.S. laws, rules, regulations and other requirements, and, without limiting the generality of Section 8 of the Plan, the Committee may cause a legend or legends to be put on certificates representing shares of Common Stock or other securities of any member of the Company Group issued under the Plan to make appropriate reference to such restrictions or may cause such Common Stock or other securities of any member of the Company Group issued under the Plan in book-entry form to be held subject to the Company’s instructions or subject to appropriate stop-transfer orders. Notwithstanding any provision in the Plan to the contrary, the Committee reserves the right to add any additional terms or provisions to any Award granted under the Plan that the Committee, in its sole discretion, deems necessary or advisable in order that such Award complies with the legal requirements of any governmental entity to whose jurisdiction the Award is subject.</w:t>
      </w:r>
    </w:p>
    <w:p>
      <w:pPr>
        <w:pStyle w:val="TextBody"/>
        <w:bidi w:val="0"/>
        <w:spacing w:lineRule="auto" w:line="333"/>
        <w:ind w:left="0" w:right="0" w:firstLine="720"/>
        <w:jc w:val="both"/>
        <w:rPr/>
      </w:pPr>
      <w:r>
        <w:rPr>
          <w:rFonts w:ascii="Times New Roman;serif" w:hAnsi="Times New Roman;serif"/>
          <w:b w:val="false"/>
          <w:color w:val="010000"/>
          <w:sz w:val="24"/>
        </w:rPr>
        <w:t>(ii)</w:t>
      </w:r>
      <w:r>
        <w:rPr>
          <w:color w:val="000000"/>
        </w:rPr>
        <w:t> </w:t>
      </w:r>
      <w:r>
        <w:rPr>
          <w:rFonts w:ascii="Times New Roman;serif" w:hAnsi="Times New Roman;serif"/>
          <w:b w:val="false"/>
          <w:color w:val="000000"/>
          <w:sz w:val="24"/>
        </w:rPr>
        <w:t xml:space="preserve">The Committee may cancel an Award or any portion thereof if it determines, in its sole discretion,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the Company shall, subject to any limitations or reductions as may be necessary to comply with Section 409A of the Code, (A) pay to the Participant an amount equal to the excess of (I) the aggregate Fair Market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85445"/>
                <wp:effectExtent l="0" t="0" r="0" b="0"/>
                <wp:wrapNone/>
                <wp:docPr id="87" name="Frame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Value of the shares of Common Stock subject to such Award or portion thereof canceled (determined as of the applicable exercise date, or the date that the shares would have been vested or issued, as applicable); over (II) the aggregate Exercise Price or SAR Base Price (in the case of an Option or SAR, respectively) or any amount payable as a condition of issuance of shares of Common Stock (in the case of any other Award). Such amount shall be delivered to the Participant as soon as practicable following the cancellation of such Award or portion thereof, or (B) in the case of Restricted Stock, Restricted Stock Units or Other Equity-Based Awards, provide the Participant with a cash payment or equity subject to deferred vesting and delivery consistent with the vesting restrictions applicable to such Restricted Stock, Restricted Stock Units or Other Equity-Based Awards, or the underlying shares in respect thereof.</w:t>
      </w:r>
    </w:p>
    <w:p>
      <w:pPr>
        <w:pStyle w:val="TextBody"/>
        <w:bidi w:val="0"/>
        <w:spacing w:lineRule="auto" w:line="333" w:before="0" w:after="0"/>
        <w:ind w:left="0" w:right="0" w:firstLine="720"/>
        <w:jc w:val="both"/>
        <w:rPr/>
      </w:pPr>
      <w:r>
        <w:rPr>
          <w:rFonts w:ascii="Times New Roman;serif" w:hAnsi="Times New Roman;serif"/>
          <w:b w:val="false"/>
          <w:color w:val="010000"/>
          <w:sz w:val="24"/>
        </w:rPr>
        <w:t>(l)</w:t>
      </w:r>
      <w:r>
        <w:rPr>
          <w:color w:val="000000"/>
        </w:rPr>
        <w:t> </w:t>
      </w:r>
      <w:r>
        <w:rPr>
          <w:rFonts w:ascii="Times New Roman;serif" w:hAnsi="Times New Roman;serif"/>
          <w:b w:val="false"/>
          <w:color w:val="000000"/>
          <w:sz w:val="24"/>
          <w:u w:val="single"/>
        </w:rPr>
        <w:t>No Section 83(b) Elections Without Consent of Company</w:t>
      </w:r>
      <w:r>
        <w:rPr>
          <w:rFonts w:ascii="Times New Roman;serif" w:hAnsi="Times New Roman;serif"/>
          <w:b w:val="false"/>
          <w:color w:val="000000"/>
          <w:sz w:val="24"/>
        </w:rPr>
        <w:t>. No election under Section 83(b) of the Code or under a similar provision of law may be made unless expressly permitted by the terms of the applicable Award Agreement or by action of the Committee in writing prior to the making of such election. If a Participant, in connection with the acquisition of shares of Common Stock under the Plan or otherwise, is expressly permitted to make such election and the Participant makes the election, the Participant shall notify the Company of such election within ten (10) days after filing notice of the election with the Internal Revenue Service or other governmental authority, in addition to any filing and notification required pursuant to Section 83(b) of the Code or other applicable provision.</w:t>
      </w:r>
    </w:p>
    <w:p>
      <w:pPr>
        <w:pStyle w:val="TextBody"/>
        <w:bidi w:val="0"/>
        <w:spacing w:lineRule="auto" w:line="333" w:before="0" w:after="0"/>
        <w:ind w:left="0" w:right="0" w:firstLine="720"/>
        <w:jc w:val="both"/>
        <w:rPr/>
      </w:pPr>
      <w:r>
        <w:rPr>
          <w:rFonts w:ascii="Times New Roman;serif" w:hAnsi="Times New Roman;serif"/>
          <w:b w:val="false"/>
          <w:color w:val="010000"/>
          <w:sz w:val="24"/>
        </w:rPr>
        <w:t>(m)</w:t>
      </w:r>
      <w:r>
        <w:rPr>
          <w:color w:val="000000"/>
        </w:rPr>
        <w:t> </w:t>
      </w:r>
      <w:r>
        <w:rPr>
          <w:rFonts w:ascii="Times New Roman;serif" w:hAnsi="Times New Roman;serif"/>
          <w:b w:val="false"/>
          <w:color w:val="000000"/>
          <w:sz w:val="24"/>
          <w:u w:val="single"/>
        </w:rPr>
        <w:t>Payments to Persons Other Than Participants</w:t>
      </w:r>
      <w:r>
        <w:rPr>
          <w:rFonts w:ascii="Times New Roman;serif" w:hAnsi="Times New Roman;serif"/>
          <w:b w:val="false"/>
          <w:color w:val="000000"/>
          <w:sz w:val="24"/>
        </w:rPr>
        <w:t>. If the Committee shall find that any Person to whom any amount is payable under the Plan is unable to care for the Participant’s affairs because of illness or accident, or is a minor, or has died, then any payment due to such Person or the Participant’s estate (unless a prior claim therefor has been made by a duly appointed legal representative) may, if the Committee so directs the Company, be paid to the Participant’s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pStyle w:val="TextBody"/>
        <w:bidi w:val="0"/>
        <w:spacing w:lineRule="auto" w:line="333" w:before="0" w:after="0"/>
        <w:ind w:left="0" w:right="0" w:firstLine="720"/>
        <w:jc w:val="both"/>
        <w:rPr/>
      </w:pPr>
      <w:r>
        <w:rPr>
          <w:rFonts w:ascii="Times New Roman;serif" w:hAnsi="Times New Roman;serif"/>
          <w:b w:val="false"/>
          <w:color w:val="010000"/>
          <w:sz w:val="24"/>
        </w:rPr>
        <w:t>(n)</w:t>
      </w:r>
      <w:r>
        <w:rPr>
          <w:color w:val="000000"/>
        </w:rPr>
        <w:t> </w:t>
      </w:r>
      <w:r>
        <w:rPr>
          <w:rFonts w:ascii="Times New Roman;serif" w:hAnsi="Times New Roman;serif"/>
          <w:b w:val="false"/>
          <w:color w:val="000000"/>
          <w:sz w:val="24"/>
          <w:u w:val="single"/>
        </w:rPr>
        <w:t>Nonexclusivity of the Plan</w:t>
      </w:r>
      <w:r>
        <w:rPr>
          <w:rFonts w:ascii="Times New Roman;serif" w:hAnsi="Times New Roman;serif"/>
          <w:b w:val="false"/>
          <w:color w:val="000000"/>
          <w:sz w:val="24"/>
        </w:rPr>
        <w:t>. Neither the adoption of the Plan by the Board nor the submission of the Plan to the stockholders of the Company for approval shall be construed as creating any limitations on the power of the Board to adopt such other incentive arrangements as it may deem desirable, including, without limitation, the granting of equity-based awards otherwise than under the Plan, and such arrangements may be either applicable generally or only in specific cases.</w:t>
      </w:r>
    </w:p>
    <w:p>
      <w:pPr>
        <w:pStyle w:val="TextBody"/>
        <w:bidi w:val="0"/>
        <w:spacing w:lineRule="auto" w:line="333"/>
        <w:ind w:left="0" w:right="0" w:firstLine="720"/>
        <w:jc w:val="both"/>
        <w:rPr/>
      </w:pPr>
      <w:r>
        <w:rPr>
          <w:rFonts w:ascii="Times New Roman;serif" w:hAnsi="Times New Roman;serif"/>
          <w:b w:val="false"/>
          <w:color w:val="010000"/>
          <w:sz w:val="24"/>
        </w:rPr>
        <w:t>(o)</w:t>
      </w:r>
      <w:r>
        <w:rPr>
          <w:color w:val="000000"/>
        </w:rPr>
        <w:t> </w:t>
      </w:r>
      <w:r>
        <w:rPr>
          <w:rFonts w:ascii="Times New Roman;serif" w:hAnsi="Times New Roman;serif"/>
          <w:b w:val="false"/>
          <w:color w:val="000000"/>
          <w:sz w:val="24"/>
          <w:u w:val="single"/>
        </w:rPr>
        <w:t>No Trust or Fund Created</w:t>
      </w:r>
      <w:r>
        <w:rPr>
          <w:rFonts w:ascii="Times New Roman;serif" w:hAnsi="Times New Roman;serif"/>
          <w:b w:val="false"/>
          <w:color w:val="000000"/>
          <w:sz w:val="24"/>
        </w:rPr>
        <w:t xml:space="preserve">. Neither the Plan nor any Award shall create or be construed to create a trust or separate fund of any kind or a fiduciary relationship between any member of the Company Group, on the one hand, and a Participant or other Person, on the other hand. No provision of the Plan or any Award shall require the Company, for the purpose of satisfying any obligations under the Plan, to purchase assets or place any assets in a trust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85445"/>
                <wp:effectExtent l="0" t="0" r="0" b="0"/>
                <wp:wrapNone/>
                <wp:docPr id="88" name="Frame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entity to which contributions are made or otherwise to segregate any assets, nor shall the Company be obligated to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service providers under general law.</w:t>
      </w:r>
    </w:p>
    <w:p>
      <w:pPr>
        <w:pStyle w:val="TextBody"/>
        <w:bidi w:val="0"/>
        <w:spacing w:lineRule="auto" w:line="333" w:before="0" w:after="0"/>
        <w:ind w:left="0" w:right="0" w:firstLine="720"/>
        <w:jc w:val="both"/>
        <w:rPr/>
      </w:pPr>
      <w:r>
        <w:rPr>
          <w:rFonts w:ascii="Times New Roman;serif" w:hAnsi="Times New Roman;serif"/>
          <w:b w:val="false"/>
          <w:color w:val="010000"/>
          <w:sz w:val="24"/>
        </w:rPr>
        <w:t>(p)</w:t>
      </w:r>
      <w:r>
        <w:rPr>
          <w:color w:val="000000"/>
        </w:rPr>
        <w:t> </w:t>
      </w:r>
      <w:r>
        <w:rPr>
          <w:rFonts w:ascii="Times New Roman;serif" w:hAnsi="Times New Roman;serif"/>
          <w:b w:val="false"/>
          <w:color w:val="000000"/>
          <w:sz w:val="24"/>
          <w:u w:val="single"/>
        </w:rPr>
        <w:t>Reliance on Reports</w:t>
      </w:r>
      <w:r>
        <w:rPr>
          <w:rFonts w:ascii="Times New Roman;serif" w:hAnsi="Times New Roman;serif"/>
          <w:b w:val="false"/>
          <w:color w:val="000000"/>
          <w:sz w:val="24"/>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any member of the Company Group and/or any other information furnished in connection with the Plan by any agent of the Company or the Committee or the Board, other than himself or herself.</w:t>
      </w:r>
    </w:p>
    <w:p>
      <w:pPr>
        <w:pStyle w:val="TextBody"/>
        <w:bidi w:val="0"/>
        <w:spacing w:lineRule="auto" w:line="333" w:before="0" w:after="0"/>
        <w:ind w:left="0" w:right="0" w:firstLine="720"/>
        <w:jc w:val="both"/>
        <w:rPr/>
      </w:pPr>
      <w:r>
        <w:rPr>
          <w:rFonts w:ascii="Times New Roman;serif" w:hAnsi="Times New Roman;serif"/>
          <w:b w:val="false"/>
          <w:color w:val="010000"/>
          <w:sz w:val="24"/>
        </w:rPr>
        <w:t>(q)</w:t>
      </w:r>
      <w:r>
        <w:rPr>
          <w:color w:val="000000"/>
        </w:rPr>
        <w:t> </w:t>
      </w:r>
      <w:r>
        <w:rPr>
          <w:rFonts w:ascii="Times New Roman;serif" w:hAnsi="Times New Roman;serif"/>
          <w:b w:val="false"/>
          <w:color w:val="000000"/>
          <w:sz w:val="24"/>
          <w:u w:val="single"/>
        </w:rPr>
        <w:t>Relationship to Other Benefits</w:t>
      </w:r>
      <w:r>
        <w:rPr>
          <w:rFonts w:ascii="Times New Roman;serif" w:hAnsi="Times New Roman;serif"/>
          <w:b w:val="false"/>
          <w:color w:val="000000"/>
          <w:sz w:val="24"/>
        </w:rPr>
        <w:t>. No payment under the Plan shall be taken into account in determining any benefits under any pension, retirement, profit sharing, group insurance or other benefit plan of the Company except as otherwise specifically provided in such other plan or as required by applicable law.</w:t>
      </w:r>
    </w:p>
    <w:p>
      <w:pPr>
        <w:pStyle w:val="TextBody"/>
        <w:bidi w:val="0"/>
        <w:spacing w:lineRule="auto" w:line="333" w:before="0" w:after="0"/>
        <w:ind w:left="0" w:right="0" w:firstLine="720"/>
        <w:jc w:val="both"/>
        <w:rPr/>
      </w:pPr>
      <w:r>
        <w:rPr>
          <w:rFonts w:ascii="Times New Roman;serif" w:hAnsi="Times New Roman;serif"/>
          <w:b w:val="false"/>
          <w:color w:val="010000"/>
          <w:sz w:val="24"/>
        </w:rPr>
        <w:t>(r)</w:t>
      </w:r>
      <w:r>
        <w:rPr>
          <w:color w:val="000000"/>
        </w:rPr>
        <w:t>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The Plan shall be governed by and construed in accordance with the internal laws of the State of Delaware applicable to contracts made and performed wholly within the State of Delaware, without giving effect to the conflict of laws provisions thereof. EACH PARTICIPANT WHO ACCEPTS AN AWARD IRREVOCABLY WAIVES ALL RIGHT TO A TRIAL BY JURY IN ANY SUIT, ACTION, OR OTHER PROCEEDING INSTITUTED BY OR AGAINST SUCH PARTICIPANT IN RESPECT OF THE PARTICIPANT’S RIGHTS OR OBLIGATIONS HEREUNDER</w:t>
      </w:r>
    </w:p>
    <w:p>
      <w:pPr>
        <w:pStyle w:val="TextBody"/>
        <w:bidi w:val="0"/>
        <w:spacing w:lineRule="auto" w:line="333" w:before="0" w:after="0"/>
        <w:ind w:left="0" w:right="0" w:firstLine="720"/>
        <w:jc w:val="both"/>
        <w:rPr/>
      </w:pPr>
      <w:r>
        <w:rPr>
          <w:rFonts w:ascii="Times New Roman;serif" w:hAnsi="Times New Roman;serif"/>
          <w:b w:val="false"/>
          <w:color w:val="010000"/>
          <w:sz w:val="24"/>
        </w:rPr>
        <w:t>(s)</w:t>
      </w:r>
      <w:r>
        <w:rPr>
          <w:color w:val="000000"/>
        </w:rPr>
        <w:t> </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the Plan or any Award or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Award and the remainder of the Plan and any such Award shall remain in full force and effect.</w:t>
      </w:r>
    </w:p>
    <w:p>
      <w:pPr>
        <w:pStyle w:val="TextBody"/>
        <w:bidi w:val="0"/>
        <w:spacing w:lineRule="auto" w:line="333" w:before="0" w:after="0"/>
        <w:ind w:left="0" w:right="0" w:firstLine="720"/>
        <w:jc w:val="both"/>
        <w:rPr/>
      </w:pPr>
      <w:r>
        <w:rPr>
          <w:rFonts w:ascii="Times New Roman;serif" w:hAnsi="Times New Roman;serif"/>
          <w:b w:val="false"/>
          <w:color w:val="010000"/>
          <w:sz w:val="24"/>
        </w:rPr>
        <w:t>(t)</w:t>
      </w:r>
      <w:r>
        <w:rPr>
          <w:color w:val="000000"/>
        </w:rPr>
        <w:t> </w:t>
      </w:r>
      <w:r>
        <w:rPr>
          <w:rFonts w:ascii="Times New Roman;serif" w:hAnsi="Times New Roman;serif"/>
          <w:b w:val="false"/>
          <w:color w:val="000000"/>
          <w:sz w:val="24"/>
          <w:u w:val="single"/>
        </w:rPr>
        <w:t>Obligations Binding on Successors</w:t>
      </w:r>
      <w:r>
        <w:rPr>
          <w:rFonts w:ascii="Times New Roman;serif" w:hAnsi="Times New Roman;serif"/>
          <w:b w:val="false"/>
          <w:color w:val="000000"/>
          <w:sz w:val="24"/>
        </w:rPr>
        <w:t>.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pStyle w:val="TextBody"/>
        <w:bidi w:val="0"/>
        <w:spacing w:lineRule="auto" w:line="333" w:before="0" w:after="0"/>
        <w:ind w:left="0" w:right="0" w:firstLine="720"/>
        <w:jc w:val="both"/>
        <w:rPr/>
      </w:pPr>
      <w:r>
        <w:rPr>
          <w:rFonts w:ascii="Times New Roman;serif" w:hAnsi="Times New Roman;serif"/>
          <w:b w:val="false"/>
          <w:color w:val="010000"/>
          <w:sz w:val="24"/>
        </w:rPr>
        <w:t>(u)</w:t>
      </w:r>
      <w:r>
        <w:rPr>
          <w:color w:val="000000"/>
        </w:rPr>
        <w:t> </w:t>
      </w:r>
      <w:r>
        <w:rPr>
          <w:rFonts w:ascii="Times New Roman;serif" w:hAnsi="Times New Roman;serif"/>
          <w:b w:val="false"/>
          <w:color w:val="000000"/>
          <w:sz w:val="24"/>
          <w:u w:val="single"/>
        </w:rPr>
        <w:t>Section 409A of the Code</w:t>
      </w:r>
      <w:r>
        <w:rPr>
          <w:rFonts w:ascii="Times New Roman;serif" w:hAnsi="Times New Roman;serif"/>
          <w:b w:val="false"/>
          <w:color w:val="000000"/>
          <w:sz w:val="24"/>
        </w:rPr>
        <w:t xml:space="preserve">. </w:t>
      </w:r>
    </w:p>
    <w:p>
      <w:pPr>
        <w:pStyle w:val="TextBody"/>
        <w:bidi w:val="0"/>
        <w:spacing w:lineRule="auto" w:line="333"/>
        <w:ind w:left="0" w:right="0" w:firstLine="720"/>
        <w:jc w:val="both"/>
        <w:rPr/>
      </w:pPr>
      <w:r>
        <w:rPr>
          <w:rFonts w:ascii="Times New Roman;serif" w:hAnsi="Times New Roman;serif"/>
          <w:b w:val="false"/>
          <w:color w:val="010000"/>
          <w:sz w:val="24"/>
        </w:rPr>
        <w:t>(i)</w:t>
      </w:r>
      <w:r>
        <w:rPr>
          <w:color w:val="000000"/>
        </w:rPr>
        <w:t> </w:t>
      </w:r>
      <w:r>
        <w:rPr>
          <w:rFonts w:ascii="Times New Roman;serif" w:hAnsi="Times New Roman;serif"/>
          <w:b w:val="false"/>
          <w:color w:val="000000"/>
          <w:sz w:val="24"/>
        </w:rPr>
        <w:t xml:space="preserve">Notwithstanding any provision of the Plan to the contrary, it is intended that the provisions of the Plan comply with Section 409A of the Code, and all provisions of the Plan shall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85445"/>
                <wp:effectExtent l="0" t="0" r="0" b="0"/>
                <wp:wrapNone/>
                <wp:docPr id="89" name="Frame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(including any taxes and penalties under Section 409A of the Code), and neither the Service Recipient nor any other member of the Company Group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separate payments.</w:t>
      </w:r>
    </w:p>
    <w:p>
      <w:pPr>
        <w:pStyle w:val="TextBody"/>
        <w:bidi w:val="0"/>
        <w:spacing w:lineRule="auto" w:line="333" w:before="0" w:after="0"/>
        <w:ind w:left="0" w:right="0" w:firstLine="720"/>
        <w:jc w:val="both"/>
        <w:rPr/>
      </w:pPr>
      <w:r>
        <w:rPr>
          <w:rFonts w:ascii="Times New Roman;serif" w:hAnsi="Times New Roman;serif"/>
          <w:b w:val="false"/>
          <w:color w:val="010000"/>
          <w:sz w:val="24"/>
        </w:rPr>
        <w:t>(ii)</w:t>
      </w:r>
      <w:r>
        <w:rPr>
          <w:color w:val="000000"/>
        </w:rPr>
        <w:t> </w:t>
      </w:r>
      <w:r>
        <w:rPr>
          <w:rFonts w:ascii="Times New Roman;serif" w:hAnsi="Times New Roman;serif"/>
          <w:b w:val="false"/>
          <w:color w:val="000000"/>
          <w:sz w:val="24"/>
        </w:rPr>
        <w:t>Notwithstanding anything in the Plan to the contrary, if a Participant is a “specified employee” within the meaning of Section 409A(a)(2)(B)(i) of the Code, no payments in respect of any Awards that are “deferred compensation” subject to Section 409A of the Code and which would otherwise be payable upon the Participant’s “separation from service” (as defined in Section 409A of the Code) shall be made to such Participant prior to the date that is six (6) months after the date of such Participant’s “separation from service” or, if earlier, the date of the Participant’s death. Following any applicable six (6) month delay, all such delayed payments will be paid in a single lump sum on the earliest date permitted under Section 409A of the Code that is also a business day.</w:t>
      </w:r>
    </w:p>
    <w:p>
      <w:pPr>
        <w:pStyle w:val="TextBody"/>
        <w:bidi w:val="0"/>
        <w:spacing w:lineRule="auto" w:line="333" w:before="0" w:after="0"/>
        <w:ind w:left="0" w:right="0" w:firstLine="720"/>
        <w:jc w:val="both"/>
        <w:rPr/>
      </w:pPr>
      <w:r>
        <w:rPr>
          <w:rFonts w:ascii="Times New Roman;serif" w:hAnsi="Times New Roman;serif"/>
          <w:b w:val="false"/>
          <w:color w:val="010000"/>
          <w:sz w:val="24"/>
        </w:rPr>
        <w:t>(iii)</w:t>
      </w:r>
      <w:r>
        <w:rPr>
          <w:color w:val="000000"/>
        </w:rPr>
        <w:t> </w:t>
      </w:r>
      <w:r>
        <w:rPr>
          <w:rFonts w:ascii="Times New Roman;serif" w:hAnsi="Times New Roman;serif"/>
          <w:b w:val="false"/>
          <w:color w:val="000000"/>
          <w:sz w:val="24"/>
        </w:rPr>
        <w:t>Unless otherwise provided by the Committee in an Award Agreement or otherwise, 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or (B) a Disability, no such acceleration shall be permitted unless the Disability also satisfies the definition of “Disability” pursuant to Section 409A of the Code.</w:t>
      </w:r>
    </w:p>
    <w:p>
      <w:pPr>
        <w:pStyle w:val="TextBody"/>
        <w:bidi w:val="0"/>
        <w:spacing w:lineRule="auto" w:line="333"/>
        <w:ind w:left="0" w:right="0" w:firstLine="720"/>
        <w:jc w:val="both"/>
        <w:rPr/>
      </w:pPr>
      <w:r>
        <w:rPr>
          <w:rFonts w:ascii="Times New Roman;serif" w:hAnsi="Times New Roman;serif"/>
          <w:b w:val="false"/>
          <w:color w:val="010000"/>
          <w:sz w:val="24"/>
        </w:rPr>
        <w:t>(v)</w:t>
      </w:r>
      <w:r>
        <w:rPr>
          <w:color w:val="000000"/>
        </w:rPr>
        <w:t> </w:t>
      </w:r>
      <w:r>
        <w:rPr>
          <w:rFonts w:ascii="Times New Roman;serif" w:hAnsi="Times New Roman;serif"/>
          <w:b w:val="false"/>
          <w:color w:val="000000"/>
          <w:sz w:val="24"/>
          <w:u w:val="single"/>
        </w:rPr>
        <w:t>Clawback/Repayment</w:t>
      </w:r>
      <w:r>
        <w:rPr>
          <w:rFonts w:ascii="Times New Roman;serif" w:hAnsi="Times New Roman;serif"/>
          <w:b w:val="false"/>
          <w:color w:val="000000"/>
          <w:sz w:val="24"/>
        </w:rPr>
        <w:t>. All Awards shall be subject to reduction, cancellation, forfeiture or recoupment to the extent necessary to comply with (i) any clawback, forfeiture or other similar policy adopted by the Board or the Committee and as in effect from time to time; and (ii) applicable law. Further,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5445"/>
                <wp:effectExtent l="0" t="0" r="0" b="0"/>
                <wp:wrapNone/>
                <wp:docPr id="90" name="Frame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firstLine="720"/>
        <w:jc w:val="both"/>
        <w:rPr/>
      </w:pPr>
      <w:r>
        <w:rPr>
          <w:rFonts w:ascii="Times New Roman;serif" w:hAnsi="Times New Roman;serif"/>
          <w:b w:val="false"/>
          <w:color w:val="010000"/>
          <w:sz w:val="24"/>
        </w:rPr>
        <w:t>(w)</w:t>
      </w:r>
      <w:r>
        <w:rPr>
          <w:color w:val="000000"/>
        </w:rPr>
        <w:t> </w:t>
      </w:r>
      <w:r>
        <w:rPr>
          <w:rFonts w:ascii="Times New Roman;serif" w:hAnsi="Times New Roman;serif"/>
          <w:b w:val="false"/>
          <w:color w:val="000000"/>
          <w:sz w:val="24"/>
          <w:u w:val="single"/>
        </w:rPr>
        <w:t>Detrimental Activity</w:t>
      </w:r>
      <w:r>
        <w:rPr>
          <w:rFonts w:ascii="Times New Roman;serif" w:hAnsi="Times New Roman;serif"/>
          <w:b w:val="false"/>
          <w:color w:val="000000"/>
          <w:sz w:val="24"/>
        </w:rPr>
        <w:t>. Notwithstanding anything to the contrary contained herein, if a Participant has engaged in any Detrimental Activity, as determined by the Committee, the Committee may, in its sole discretion, provide for one or more of the following:</w:t>
      </w:r>
    </w:p>
    <w:p>
      <w:pPr>
        <w:pStyle w:val="TextBody"/>
        <w:bidi w:val="0"/>
        <w:spacing w:lineRule="auto" w:line="333" w:before="0" w:after="0"/>
        <w:ind w:left="0" w:right="0" w:firstLine="720"/>
        <w:jc w:val="both"/>
        <w:rPr/>
      </w:pPr>
      <w:r>
        <w:rPr>
          <w:rFonts w:ascii="Times New Roman;serif" w:hAnsi="Times New Roman;serif"/>
          <w:b w:val="false"/>
          <w:color w:val="010000"/>
          <w:sz w:val="24"/>
        </w:rPr>
        <w:t>(i)</w:t>
      </w:r>
      <w:r>
        <w:rPr>
          <w:color w:val="000000"/>
        </w:rPr>
        <w:t> </w:t>
      </w:r>
      <w:r>
        <w:rPr>
          <w:rFonts w:ascii="Times New Roman;serif" w:hAnsi="Times New Roman;serif"/>
          <w:b w:val="false"/>
          <w:color w:val="000000"/>
          <w:sz w:val="24"/>
        </w:rPr>
        <w:t>cancellation of any or all of such Participant’s outstanding Awards; or</w:t>
      </w:r>
    </w:p>
    <w:p>
      <w:pPr>
        <w:pStyle w:val="TextBody"/>
        <w:bidi w:val="0"/>
        <w:spacing w:lineRule="auto" w:line="333" w:before="0" w:after="0"/>
        <w:ind w:left="0" w:right="0" w:firstLine="720"/>
        <w:jc w:val="both"/>
        <w:rPr/>
      </w:pPr>
      <w:r>
        <w:rPr>
          <w:rFonts w:ascii="Times New Roman;serif" w:hAnsi="Times New Roman;serif"/>
          <w:b w:val="false"/>
          <w:color w:val="010000"/>
          <w:sz w:val="24"/>
        </w:rPr>
        <w:t>(ii)</w:t>
      </w:r>
      <w:r>
        <w:rPr>
          <w:color w:val="000000"/>
        </w:rPr>
        <w:t> </w:t>
      </w:r>
      <w:r>
        <w:rPr>
          <w:rFonts w:ascii="Times New Roman;serif" w:hAnsi="Times New Roman;serif"/>
          <w:b w:val="false"/>
          <w:color w:val="000000"/>
          <w:sz w:val="24"/>
        </w:rPr>
        <w:t xml:space="preserve">forfeiture by the Participant of any gain realized on the vesting or exercise of Awards, and repayment of any such gain promptly to the Company. </w:t>
      </w:r>
    </w:p>
    <w:p>
      <w:pPr>
        <w:pStyle w:val="TextBody"/>
        <w:bidi w:val="0"/>
        <w:spacing w:lineRule="auto" w:line="333" w:before="0" w:after="0"/>
        <w:ind w:left="0" w:right="0" w:firstLine="720"/>
        <w:jc w:val="both"/>
        <w:rPr/>
      </w:pPr>
      <w:r>
        <w:rPr>
          <w:rFonts w:ascii="Times New Roman;serif" w:hAnsi="Times New Roman;serif"/>
          <w:b w:val="false"/>
          <w:color w:val="010000"/>
          <w:sz w:val="24"/>
        </w:rPr>
        <w:t>(x)</w:t>
      </w:r>
      <w:r>
        <w:rPr>
          <w:color w:val="000000"/>
        </w:rPr>
        <w:t> </w:t>
      </w:r>
      <w:r>
        <w:rPr>
          <w:rFonts w:ascii="Times New Roman;serif" w:hAnsi="Times New Roman;serif"/>
          <w:b w:val="false"/>
          <w:color w:val="000000"/>
          <w:sz w:val="24"/>
          <w:u w:val="single"/>
        </w:rPr>
        <w:t>Right of Offset</w:t>
      </w:r>
      <w:r>
        <w:rPr>
          <w:rFonts w:ascii="Times New Roman;serif" w:hAnsi="Times New Roman;serif"/>
          <w:b w:val="false"/>
          <w:color w:val="000000"/>
          <w:sz w:val="24"/>
        </w:rPr>
        <w:t>. The Company will have the right to offset against its obligation to deliver shares of Common Stock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Participant then owes to any member of the Company Group and any amounts the Committee otherwise deems appropriate pursuant to any tax equalization policy or agreement. Notwithstanding the foregoing, if an Award is “deferred compensation” subject to Section 409A of the Code, the Committee will have no right to offset against its obligation to deliver shares of Common Stock (or other property or cash) under the Plan or any Award Agreement if such offset could subject the Participant to the additional tax imposed under Section 409A of the Code in respect of an outstanding Award.</w:t>
      </w:r>
    </w:p>
    <w:p>
      <w:pPr>
        <w:pStyle w:val="TextBody"/>
        <w:bidi w:val="0"/>
        <w:spacing w:lineRule="auto" w:line="333" w:before="0" w:after="0"/>
        <w:ind w:left="0" w:right="0" w:firstLine="720"/>
        <w:jc w:val="both"/>
        <w:rPr/>
      </w:pPr>
      <w:r>
        <w:rPr>
          <w:rFonts w:ascii="Times New Roman;serif" w:hAnsi="Times New Roman;serif"/>
          <w:b w:val="false"/>
          <w:color w:val="010000"/>
          <w:sz w:val="24"/>
        </w:rPr>
        <w:t>(y)</w:t>
      </w:r>
      <w:r>
        <w:rPr>
          <w:color w:val="000000"/>
        </w:rPr>
        <w:t> </w:t>
      </w:r>
      <w:r>
        <w:rPr>
          <w:rFonts w:ascii="Times New Roman;serif" w:hAnsi="Times New Roman;serif"/>
          <w:b w:val="false"/>
          <w:color w:val="000000"/>
          <w:sz w:val="24"/>
          <w:u w:val="single"/>
        </w:rPr>
        <w:t>Expenses; Titles and Headings</w:t>
      </w:r>
      <w:r>
        <w:rPr>
          <w:rFonts w:ascii="Times New Roman;serif" w:hAnsi="Times New Roman;serif"/>
          <w:b w:val="false"/>
          <w:color w:val="000000"/>
          <w:sz w:val="24"/>
        </w:rPr>
        <w:t>. The expenses of administering the Plan shall be borne by the Company Group. The titles and headings of the sections in the Plan are for convenience of reference only, and in the event of any conflict, the text of the Plan, rather than such titles or headings, shall control.</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10.3</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91"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color w:val="000000"/>
          <w:sz w:val="24"/>
        </w:rPr>
      </w:pPr>
      <w:r>
        <w:rPr>
          <w:rFonts w:ascii="Times New Roman;serif" w:hAnsi="Times New Roman;serif"/>
          <w:b/>
          <w:color w:val="000000"/>
          <w:sz w:val="24"/>
        </w:rPr>
        <w:t>RESTRICTED STOCK UNIT GRANT NOTICE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ZOOMINFO TECHNOLOGIES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INDUCEMENT EQUITY INCENTIVE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ZoomInfo Technologies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pursuant to its Inducement Equity Incentive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 This Award is granted as an inducement material to the Participant entering into employment with the Company or a Subsidiary, in accordance with Nasdaq Listing Rule 5635(c)(4), and is made outside of the ZoomInfo Technologies Inc. 2020 Omnibus Incentive Plan and the share reserve thereunder.</w:t>
      </w:r>
    </w:p>
    <w:tbl>
      <w:tblPr>
        <w:tblW w:w="10205" w:type="dxa"/>
        <w:jc w:val="left"/>
        <w:tblInd w:w="0" w:type="dxa"/>
        <w:tblLayout w:type="fixed"/>
        <w:tblCellMar>
          <w:top w:w="28" w:type="dxa"/>
          <w:left w:w="28" w:type="dxa"/>
          <w:bottom w:w="28" w:type="dxa"/>
          <w:right w:w="28" w:type="dxa"/>
        </w:tblCellMar>
      </w:tblPr>
      <w:tblGrid>
        <w:gridCol w:w="762"/>
        <w:gridCol w:w="669"/>
        <w:gridCol w:w="674"/>
        <w:gridCol w:w="2439"/>
        <w:gridCol w:w="2341"/>
        <w:gridCol w:w="3320"/>
      </w:tblGrid>
      <w:tr>
        <w:trPr/>
        <w:tc>
          <w:tcPr>
            <w:tcW w:w="7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r>
      <w:tr>
        <w:trPr/>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Participant: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###PARTICIPANT_NAME###</w:t>
            </w:r>
          </w:p>
        </w:tc>
      </w:tr>
      <w:tr>
        <w:trPr/>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Date of Grant: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###GRANT_DATE###</w:t>
            </w:r>
          </w:p>
        </w:tc>
      </w:tr>
      <w:tr>
        <w:trPr/>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Vesting Commencement Date:</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###ALTERNATIVE_VEST_BASE_DATE###</w:t>
            </w:r>
          </w:p>
        </w:tc>
      </w:tr>
      <w:tr>
        <w:trPr/>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Number of Restricted Stock Units:</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###TOTAL_AWARDS###</w:t>
            </w:r>
          </w:p>
        </w:tc>
      </w:tr>
      <w:tr>
        <w:trPr/>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Vesting Schedule:</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###VEST_SCHEDULE_DESCRIPTION###</w:t>
            </w:r>
          </w:p>
        </w:tc>
      </w:tr>
      <w:tr>
        <w:trPr/>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If a Change in Control occurs and during the 12-month period following such Change in Control, the Participant’s service is terminated by the Service Recipient without Cause or due to the Participant’s resignation for Good Reason (as defined below), all unvested Restricted Stock Units shall become fully vested upon the date of the Participant’s Termination.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03"/>
        <w:gridCol w:w="443"/>
        <w:gridCol w:w="444"/>
        <w:gridCol w:w="2578"/>
        <w:gridCol w:w="2578"/>
        <w:gridCol w:w="3659"/>
      </w:tblGrid>
      <w:tr>
        <w:trPr/>
        <w:tc>
          <w:tcPr>
            <w:tcW w:w="50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5"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shall have the meaning given to such term in any employment or consulting agreement between the Participant and the Service Recipient in effect at the time of the Participant’s Termination. In the absence of any such employment or consulting agreement or the absence of any definition of “Good Reason” contained therein, “Good Reason” means the occurrence of one or more of the following events arising without the express written consent of the Participant, but only if the Participant notifies the Service Recipient in writing of the event within 60 days following the occurrence of the event, the event remains uncured after the expiration of 30 days from receipt of such notice, and the Participant resigns effective no later than 30 days following the Service Recipient’s failure to cure the event: (i) a material diminution in the Participant’s base salary or target bonus opportunity, (ii) a material diminution in the Participant’s authority, duties or responsibilities, (iii) a material change in geographic location at which the Participant performs services, or (iv) any material breach by the Company of this Restricted Stock Unit Agreement.</w:t>
            </w:r>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In the event of the Participant’s Termination due to death or Disability, all of the unvested Restricted Stock Units then held by the Participant, covering up to a maximum of 5,000 shares of Common Stock (inclusive of the number of shares covered by other unvested awards held by the Participant at the time of such death or Disability), shall become fully vested. This acceleration shall not occur if the Participant’s death was caused by suicide or by murder by an immediate beneficiary of the Participant.</w:t>
            </w:r>
          </w:p>
        </w:tc>
      </w:tr>
      <w:tr>
        <w:trPr/>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Dividend Equivalents:</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Restricted Stock Units shall be credited with dividend equivalent payments to be paid in cash (without interest) on the corresponding vesting dates, as provided in Section 14(c)(iii) of the Plan.</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ZOOMINFO TECHNOLOGIES INC.</w: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By: Henry Schuck</w:t>
        <w:br/>
        <w:t>Title: Chief Executive Officer</w:t>
      </w:r>
    </w:p>
    <w:p>
      <w:pPr>
        <w:pStyle w:val="TextBody"/>
        <w:bidi w:val="0"/>
        <w:spacing w:lineRule="auto" w:line="288" w:before="0" w:after="480"/>
        <w:jc w:val="both"/>
        <w:rPr>
          <w:rFonts w:ascii="Times New Roman;serif" w:hAnsi="Times New Roman;serif"/>
          <w:b/>
          <w:color w:val="000000"/>
          <w:sz w:val="24"/>
        </w:rPr>
      </w:pPr>
      <w:r>
        <w:rPr>
          <w:rFonts w:ascii="Times New Roman;serif" w:hAnsi="Times New Roman;serif"/>
          <w:b/>
          <w:color w:val="000000"/>
          <w:sz w:val="24"/>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pStyle w:val="TextBody"/>
        <w:bidi w:val="0"/>
        <w:spacing w:lineRule="auto" w:line="288" w:before="0" w:after="480"/>
        <w:jc w:val="both"/>
        <w:rPr>
          <w:rFonts w:ascii="Times New Roman;serif" w:hAnsi="Times New Roman;serif"/>
          <w:b w:val="false"/>
          <w:color w:val="000000"/>
          <w:sz w:val="22"/>
        </w:rPr>
      </w:pPr>
      <w:r>
        <w:rPr>
          <w:rFonts w:ascii="Times New Roman;serif" w:hAnsi="Times New Roman;serif"/>
          <w:b w:val="false"/>
          <w:color w:val="000000"/>
          <w:sz w:val="22"/>
        </w:rPr>
        <w:t>PARTICIPANT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w:t>
      </w:r>
    </w:p>
    <w:p>
      <w:pPr>
        <w:pStyle w:val="TextBody"/>
        <w:bidi w:val="0"/>
        <w:spacing w:lineRule="auto" w:line="288" w:before="0" w:after="480"/>
        <w:jc w:val="both"/>
        <w:rPr>
          <w:rFonts w:ascii="Times New Roman;serif" w:hAnsi="Times New Roman;serif"/>
          <w:b w:val="false"/>
          <w:color w:val="000000"/>
          <w:sz w:val="22"/>
        </w:rPr>
      </w:pPr>
      <w:r>
        <w:rPr>
          <w:rFonts w:ascii="Times New Roman;serif" w:hAnsi="Times New Roman;serif"/>
          <w:b w:val="false"/>
          <w:color w:val="000000"/>
          <w:sz w:val="22"/>
        </w:rPr>
        <w:t>By:</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Date:____________________________</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RESTRICTED STOCK UNIT AGREEMENT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ZOOMINFO TECHNOLOGIES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INDUCEMENT EQUITY INCENTIVE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Pursuant to the Restricted Stock Unit Grant Notice (the “</w:t>
      </w:r>
      <w:r>
        <w:rPr>
          <w:rFonts w:ascii="Times New Roman;serif" w:hAnsi="Times New Roman;serif"/>
          <w:b w:val="false"/>
          <w:color w:val="000000"/>
          <w:sz w:val="24"/>
          <w:u w:val="single"/>
        </w:rPr>
        <w:t>Grant Notice</w:t>
      </w:r>
      <w:r>
        <w:rPr>
          <w:color w:val="000000"/>
        </w:rPr>
        <w:t>”</w:t>
      </w:r>
      <w:r>
        <w:rPr>
          <w:rFonts w:ascii="Times New Roman;serif" w:hAnsi="Times New Roman;serif"/>
          <w:b w:val="false"/>
          <w:color w:val="000000"/>
          <w:sz w:val="24"/>
        </w:rPr>
        <w:t>) delivered to the Participant (as defined in the Grant Notice), and subject to the terms of this Restricted Stock Unit Agreement (this “</w:t>
      </w:r>
      <w:r>
        <w:rPr>
          <w:rFonts w:ascii="Times New Roman;serif" w:hAnsi="Times New Roman;serif"/>
          <w:b w:val="false"/>
          <w:color w:val="000000"/>
          <w:sz w:val="24"/>
          <w:u w:val="single"/>
        </w:rPr>
        <w:t>Restricted Stock Unit Agreement</w:t>
      </w:r>
      <w:r>
        <w:rPr>
          <w:color w:val="000000"/>
        </w:rPr>
        <w:t>”</w:t>
      </w:r>
      <w:r>
        <w:rPr>
          <w:rFonts w:ascii="Times New Roman;serif" w:hAnsi="Times New Roman;serif"/>
          <w:b w:val="false"/>
          <w:color w:val="000000"/>
          <w:sz w:val="24"/>
        </w:rPr>
        <w:t>) and the ZoomInfo Technologies Inc. Inducement Equity Incentive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ZoomInfo Technologies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the Participant agree as follows. Capitalized terms not otherwise defined herein shall have the same meaning as set forth in the Plan.</w:t>
      </w:r>
    </w:p>
    <w:p>
      <w:pPr>
        <w:pStyle w:val="TextBody"/>
        <w:bidi w:val="0"/>
        <w:spacing w:lineRule="auto" w:line="288" w:before="0" w:after="240"/>
        <w:jc w:val="both"/>
        <w:rPr/>
      </w:pPr>
      <w:r>
        <w:rPr>
          <w:rFonts w:ascii="Times New Roman;serif" w:hAnsi="Times New Roman;serif"/>
          <w:b w:val="false"/>
          <w:color w:val="000000"/>
          <w:sz w:val="24"/>
        </w:rPr>
        <w:t>1.</w:t>
      </w:r>
      <w:r>
        <w:rPr>
          <w:rFonts w:ascii="Times New Roman;serif" w:hAnsi="Times New Roman;serif"/>
          <w:b/>
          <w:color w:val="000000"/>
          <w:sz w:val="24"/>
          <w:u w:val="single"/>
        </w:rPr>
        <w:t>Grant of Restricted Stock Units</w:t>
      </w:r>
      <w:r>
        <w:rPr>
          <w:rFonts w:ascii="Times New Roman;serif" w:hAnsi="Times New Roman;serif"/>
          <w:b w:val="false"/>
          <w:color w:val="000000"/>
          <w:sz w:val="24"/>
        </w:rPr>
        <w:t>. Subject to the terms and conditions set forth herein and in the Plan, the Company hereby grants to the 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pStyle w:val="TextBody"/>
        <w:bidi w:val="0"/>
        <w:spacing w:lineRule="auto" w:line="288" w:before="0" w:after="240"/>
        <w:jc w:val="both"/>
        <w:rPr/>
      </w:pPr>
      <w:r>
        <w:rPr>
          <w:rFonts w:ascii="Times New Roman;serif" w:hAnsi="Times New Roman;serif"/>
          <w:b w:val="false"/>
          <w:color w:val="000000"/>
          <w:sz w:val="24"/>
        </w:rPr>
        <w:t>2.</w:t>
      </w:r>
      <w:r>
        <w:rPr>
          <w:rFonts w:ascii="Times New Roman;serif" w:hAnsi="Times New Roman;serif"/>
          <w:b/>
          <w:color w:val="000000"/>
          <w:sz w:val="24"/>
          <w:u w:val="single"/>
        </w:rPr>
        <w:t>Vesting</w:t>
      </w:r>
      <w:r>
        <w:rPr>
          <w:rFonts w:ascii="Times New Roman;serif" w:hAnsi="Times New Roman;serif"/>
          <w:b w:val="false"/>
          <w:color w:val="000000"/>
          <w:sz w:val="24"/>
        </w:rPr>
        <w:t>. Subject to the conditions contained herein and in the Plan, the Restricted Stock Units shall vest as provided in the Grant Notice.</w:t>
      </w:r>
    </w:p>
    <w:p>
      <w:pPr>
        <w:pStyle w:val="TextBody"/>
        <w:bidi w:val="0"/>
        <w:spacing w:lineRule="auto" w:line="288" w:before="0" w:after="240"/>
        <w:jc w:val="both"/>
        <w:rPr/>
      </w:pPr>
      <w:r>
        <w:rPr>
          <w:rFonts w:ascii="Times New Roman;serif" w:hAnsi="Times New Roman;serif"/>
          <w:b w:val="false"/>
          <w:color w:val="000000"/>
          <w:sz w:val="24"/>
        </w:rPr>
        <w:t>3.</w:t>
      </w:r>
      <w:r>
        <w:rPr>
          <w:rFonts w:ascii="Times New Roman;serif" w:hAnsi="Times New Roman;serif"/>
          <w:b/>
          <w:color w:val="000000"/>
          <w:sz w:val="24"/>
          <w:u w:val="single"/>
        </w:rPr>
        <w:t>Settlement of Restricted Stock Units</w:t>
      </w:r>
      <w:r>
        <w:rPr>
          <w:rFonts w:ascii="Times New Roman;serif" w:hAnsi="Times New Roman;serif"/>
          <w:b w:val="false"/>
          <w:color w:val="000000"/>
          <w:sz w:val="24"/>
        </w:rPr>
        <w:t>. Subject to any election by the Committee pursuant to Section 8(d)(ii) of the Plan, including, but not limited to, arranging a mandatory “sell to cover” on Participant’s behalf (without further authorization), the Company will deliver to the Participant, without charge, as soon as reasonably practicable (and, in any event, within two and one-half months)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pStyle w:val="TextBody"/>
        <w:bidi w:val="0"/>
        <w:spacing w:lineRule="auto" w:line="288" w:before="0" w:after="240"/>
        <w:jc w:val="both"/>
        <w:rPr/>
      </w:pPr>
      <w:r>
        <w:rPr>
          <w:rFonts w:ascii="Times New Roman;serif" w:hAnsi="Times New Roman;serif"/>
          <w:b w:val="false"/>
          <w:color w:val="000000"/>
          <w:sz w:val="24"/>
        </w:rPr>
        <w:t>4.</w:t>
      </w:r>
      <w:r>
        <w:rPr>
          <w:rFonts w:ascii="Times New Roman;serif" w:hAnsi="Times New Roman;serif"/>
          <w:b/>
          <w:color w:val="000000"/>
          <w:sz w:val="24"/>
          <w:u w:val="single"/>
        </w:rPr>
        <w:t>Treatment of Restricted Stock Units Upon Termination</w:t>
      </w:r>
      <w:r>
        <w:rPr>
          <w:rFonts w:ascii="Times New Roman;serif" w:hAnsi="Times New Roman;serif"/>
          <w:b w:val="false"/>
          <w:color w:val="000000"/>
          <w:sz w:val="24"/>
        </w:rPr>
        <w:t xml:space="preserve">. The provisions of Section 8(c)(ii) of the Plan are incorporated herein by reference and made a part hereof. </w:t>
      </w:r>
    </w:p>
    <w:p>
      <w:pPr>
        <w:pStyle w:val="TextBody"/>
        <w:bidi w:val="0"/>
        <w:spacing w:lineRule="auto" w:line="288" w:before="0" w:after="240"/>
        <w:jc w:val="both"/>
        <w:rPr/>
      </w:pPr>
      <w:r>
        <w:rPr>
          <w:rFonts w:ascii="Times New Roman;serif" w:hAnsi="Times New Roman;serif"/>
          <w:b w:val="false"/>
          <w:color w:val="000000"/>
          <w:sz w:val="24"/>
        </w:rPr>
        <w:t>5.</w:t>
      </w:r>
      <w:r>
        <w:rPr>
          <w:rFonts w:ascii="Times New Roman;serif" w:hAnsi="Times New Roman;serif"/>
          <w:b/>
          <w:color w:val="000000"/>
          <w:sz w:val="24"/>
          <w:u w:val="single"/>
        </w:rPr>
        <w:t>Company; Participant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term “Company” as used in this Restricted Stock Unit Agreement with reference to employment shall include the Company and its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in accordance with Section 14(b) of the Plan, the word “Participant” shall be deemed to include such person or persons.</w:t>
      </w:r>
    </w:p>
    <w:p>
      <w:pPr>
        <w:pStyle w:val="TextBody"/>
        <w:bidi w:val="0"/>
        <w:spacing w:lineRule="auto" w:line="288" w:before="0" w:after="240"/>
        <w:jc w:val="both"/>
        <w:rPr/>
      </w:pPr>
      <w:r>
        <w:rPr>
          <w:rFonts w:ascii="Times New Roman;serif" w:hAnsi="Times New Roman;serif"/>
          <w:b w:val="false"/>
          <w:color w:val="000000"/>
          <w:sz w:val="24"/>
        </w:rPr>
        <w:t>6.</w:t>
      </w:r>
      <w:r>
        <w:rPr>
          <w:rFonts w:ascii="Times New Roman;serif" w:hAnsi="Times New Roman;serif"/>
          <w:b/>
          <w:color w:val="000000"/>
          <w:sz w:val="24"/>
          <w:u w:val="single"/>
        </w:rPr>
        <w:t>Non-Transferability</w:t>
      </w:r>
      <w:r>
        <w:rPr>
          <w:rFonts w:ascii="Times New Roman;serif" w:hAnsi="Times New Roman;serif"/>
          <w:b w:val="false"/>
          <w:color w:val="000000"/>
          <w:sz w:val="24"/>
        </w:rPr>
        <w:t>. The Restricted Stock Units are not transferable by the Participant except to Permitted Transferees in 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pStyle w:val="TextBody"/>
        <w:bidi w:val="0"/>
        <w:spacing w:lineRule="auto" w:line="288" w:before="0" w:after="240"/>
        <w:jc w:val="both"/>
        <w:rPr/>
      </w:pPr>
      <w:r>
        <w:rPr>
          <w:rFonts w:ascii="Times New Roman;serif" w:hAnsi="Times New Roman;serif"/>
          <w:b w:val="false"/>
          <w:color w:val="000000"/>
          <w:sz w:val="24"/>
        </w:rPr>
        <w:t>7.</w:t>
      </w:r>
      <w:r>
        <w:rPr>
          <w:rFonts w:ascii="Times New Roman;serif" w:hAnsi="Times New Roman;serif"/>
          <w:b/>
          <w:color w:val="000000"/>
          <w:sz w:val="24"/>
          <w:u w:val="single"/>
        </w:rPr>
        <w:t>Rights as Shareholder</w:t>
      </w:r>
      <w:r>
        <w:rPr>
          <w:rFonts w:ascii="Times New Roman;serif" w:hAnsi="Times New Roman;serif"/>
          <w:b w:val="false"/>
          <w:color w:val="000000"/>
          <w:sz w:val="24"/>
        </w:rPr>
        <w:t>. The Participant or a Permitted Transferee of the Restricted Stock Units shall have no rights as a 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pStyle w:val="TextBody"/>
        <w:bidi w:val="0"/>
        <w:spacing w:lineRule="auto" w:line="288" w:before="0" w:after="240"/>
        <w:jc w:val="both"/>
        <w:rPr/>
      </w:pPr>
      <w:r>
        <w:rPr>
          <w:rFonts w:ascii="Times New Roman;serif" w:hAnsi="Times New Roman;serif"/>
          <w:b w:val="false"/>
          <w:color w:val="000000"/>
          <w:sz w:val="24"/>
        </w:rPr>
        <w:t>8.</w:t>
      </w:r>
      <w:r>
        <w:rPr>
          <w:rFonts w:ascii="Times New Roman;serif" w:hAnsi="Times New Roman;serif"/>
          <w:b/>
          <w:color w:val="000000"/>
          <w:sz w:val="24"/>
          <w:u w:val="single"/>
        </w:rPr>
        <w:t>Tax Withholding</w:t>
      </w:r>
      <w:r>
        <w:rPr>
          <w:rFonts w:ascii="Times New Roman;serif" w:hAnsi="Times New Roman;serif"/>
          <w:b w:val="false"/>
          <w:color w:val="000000"/>
          <w:sz w:val="24"/>
        </w:rPr>
        <w:t>. The provisions of Section 14(d) of the Plan are incorporated herein by reference and made a part hereof. Without limiting the Company’s rights to satisfy withholding obligations as described under Section 14(d) of the Plan, the Participant hereby authorizes the Company to satisfy the applicable tax withholding obligations from proceeds of the sale of shares of Common Stock issuable in respect of the Restricted Stock Units through a mandatory sale arranged by the Company (on Participant’s behalf pursuant to this authorization).</w:t>
      </w:r>
    </w:p>
    <w:p>
      <w:pPr>
        <w:pStyle w:val="TextBody"/>
        <w:bidi w:val="0"/>
        <w:spacing w:lineRule="auto" w:line="288" w:before="0" w:after="240"/>
        <w:jc w:val="both"/>
        <w:rPr/>
      </w:pPr>
      <w:r>
        <w:rPr>
          <w:rFonts w:ascii="Times New Roman;serif" w:hAnsi="Times New Roman;serif"/>
          <w:b w:val="false"/>
          <w:color w:val="000000"/>
          <w:sz w:val="24"/>
        </w:rPr>
        <w:t>9.</w:t>
      </w:r>
      <w:r>
        <w:rPr>
          <w:rFonts w:ascii="Times New Roman;serif" w:hAnsi="Times New Roman;serif"/>
          <w:b/>
          <w:color w:val="000000"/>
          <w:sz w:val="24"/>
          <w:u w:val="single"/>
        </w:rPr>
        <w:t>Notice</w:t>
      </w:r>
      <w:r>
        <w:rPr>
          <w:rFonts w:ascii="Times New Roman;serif" w:hAnsi="Times New Roman;serif"/>
          <w:b w:val="false"/>
          <w:color w:val="000000"/>
          <w:sz w:val="24"/>
        </w:rPr>
        <w:t xml:space="preserve">. Every notice or other communication relating to this Restricted Stock Unit Agreement between the 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color w:val="000000"/>
          <w:sz w:val="24"/>
          <w:u w:val="single"/>
        </w:rPr>
        <w:t>provided</w:t>
      </w:r>
      <w:r>
        <w:rPr>
          <w:rFonts w:ascii="Times New Roman;serif" w:hAnsi="Times New Roman;serif"/>
          <w:b w:val="false"/>
          <w:color w:val="000000"/>
          <w:sz w:val="24"/>
        </w:rPr>
        <w:t>, 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10.</w:t>
      </w:r>
      <w:r>
        <w:rPr>
          <w:rFonts w:ascii="Times New Roman;serif" w:hAnsi="Times New Roman;serif"/>
          <w:b/>
          <w:color w:val="000000"/>
          <w:sz w:val="24"/>
          <w:u w:val="single"/>
        </w:rPr>
        <w:t>No Right to Continued Service</w:t>
      </w:r>
      <w:r>
        <w:rPr>
          <w:rFonts w:ascii="Times New Roman;serif" w:hAnsi="Times New Roman;serif"/>
          <w:b w:val="false"/>
          <w:color w:val="000000"/>
          <w:sz w:val="24"/>
        </w:rPr>
        <w:t>. This Restricted Stock Unit Agreement does not confer upon the Participant any right to continue as an employee or other service provider to the Company.</w:t>
      </w:r>
    </w:p>
    <w:p>
      <w:pPr>
        <w:pStyle w:val="TextBody"/>
        <w:bidi w:val="0"/>
        <w:spacing w:lineRule="auto" w:line="288" w:before="0" w:after="240"/>
        <w:jc w:val="both"/>
        <w:rPr/>
      </w:pPr>
      <w:r>
        <w:rPr>
          <w:rFonts w:ascii="Times New Roman;serif" w:hAnsi="Times New Roman;serif"/>
          <w:b w:val="false"/>
          <w:color w:val="000000"/>
          <w:sz w:val="24"/>
        </w:rPr>
        <w:t>11.</w:t>
      </w:r>
      <w:r>
        <w:rPr>
          <w:rFonts w:ascii="Times New Roman;serif" w:hAnsi="Times New Roman;serif"/>
          <w:b/>
          <w:color w:val="000000"/>
          <w:sz w:val="24"/>
          <w:u w:val="single"/>
        </w:rPr>
        <w:t>Binding Effect</w:t>
      </w:r>
      <w:r>
        <w:rPr>
          <w:rFonts w:ascii="Times New Roman;serif" w:hAnsi="Times New Roman;serif"/>
          <w:b w:val="false"/>
          <w:color w:val="000000"/>
          <w:sz w:val="24"/>
        </w:rPr>
        <w:t>. This Restricted Stock Unit Agreement shall be binding upon the heirs, executors, administrators and successors of the parties hereto.</w:t>
      </w:r>
    </w:p>
    <w:p>
      <w:pPr>
        <w:pStyle w:val="TextBody"/>
        <w:bidi w:val="0"/>
        <w:spacing w:lineRule="auto" w:line="288" w:before="0" w:after="240"/>
        <w:jc w:val="both"/>
        <w:rPr/>
      </w:pPr>
      <w:r>
        <w:rPr>
          <w:rFonts w:ascii="Times New Roman;serif" w:hAnsi="Times New Roman;serif"/>
          <w:b w:val="false"/>
          <w:color w:val="000000"/>
          <w:sz w:val="24"/>
        </w:rPr>
        <w:t>12.</w:t>
      </w:r>
      <w:r>
        <w:rPr>
          <w:rFonts w:ascii="Times New Roman;serif" w:hAnsi="Times New Roman;serif"/>
          <w:b/>
          <w:color w:val="000000"/>
          <w:sz w:val="24"/>
          <w:u w:val="single"/>
        </w:rPr>
        <w:t>Waiver and Amendments</w:t>
      </w:r>
      <w:r>
        <w:rPr>
          <w:rFonts w:ascii="Times New Roman;serif" w:hAnsi="Times New Roman;serif"/>
          <w:b w:val="false"/>
          <w:color w:val="000000"/>
          <w:sz w:val="24"/>
        </w:rPr>
        <w:t xml:space="preserve">. Except as otherwise set forth in Section 13 of the Plan, any waiver, alteration, amendment or modification of any of the terms of this Restricted Stock Unit Agreement shall be valid only if made in writing and signed by the parties hereto;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pStyle w:val="TextBody"/>
        <w:bidi w:val="0"/>
        <w:spacing w:lineRule="auto" w:line="288" w:before="0" w:after="240"/>
        <w:jc w:val="both"/>
        <w:rPr/>
      </w:pPr>
      <w:r>
        <w:rPr>
          <w:rFonts w:ascii="Times New Roman;serif" w:hAnsi="Times New Roman;serif"/>
          <w:b w:val="false"/>
          <w:color w:val="000000"/>
          <w:sz w:val="24"/>
        </w:rPr>
        <w:t>13.</w:t>
      </w:r>
      <w:r>
        <w:rPr>
          <w:rFonts w:ascii="Times New Roman;serif" w:hAnsi="Times New Roman;serif"/>
          <w:b/>
          <w:color w:val="000000"/>
          <w:sz w:val="24"/>
          <w:u w:val="single"/>
        </w:rPr>
        <w:t>Clawback/Forfeiture</w:t>
      </w:r>
      <w:r>
        <w:rPr>
          <w:rFonts w:ascii="Times New Roman;serif" w:hAnsi="Times New Roman;serif"/>
          <w:b w:val="false"/>
          <w:color w:val="000000"/>
          <w:sz w:val="24"/>
        </w:rPr>
        <w:t>. Notwithstanding anything to the contrary contained herein or in the Plan, if the Participant has engaged in or 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or a portion of the Restricted Stock Units shall be subject to reduction, cancellation, forfeiture or recoupment to the extent necessary to comply with applicable law or with any clawback policy that may be adopted by the Company in the future including, without limitation, any such policy required to comply with the final SEC rules and/or Nasdaq Stock Market listing standards with respect to recoupment adopted pursuant to the Dodd-Frank Wall Street Reform and Consumer Protection Act. In the event that any award granted pursuant to this Agreement becomes subject to recoupment pursuant to any policy, the Company may utilize any method of recovery specified in any such policy in connection with any award recoupments required or permitted under any such policy.</w:t>
      </w:r>
    </w:p>
    <w:p>
      <w:pPr>
        <w:pStyle w:val="TextBody"/>
        <w:bidi w:val="0"/>
        <w:spacing w:lineRule="auto" w:line="288" w:before="0" w:after="240"/>
        <w:jc w:val="both"/>
        <w:rPr/>
      </w:pPr>
      <w:r>
        <w:rPr>
          <w:rFonts w:ascii="Times New Roman;serif" w:hAnsi="Times New Roman;serif"/>
          <w:b w:val="false"/>
          <w:color w:val="000000"/>
          <w:sz w:val="24"/>
        </w:rPr>
        <w:t>14.</w:t>
      </w:r>
      <w:r>
        <w:rPr>
          <w:rFonts w:ascii="Times New Roman;serif" w:hAnsi="Times New Roman;serif"/>
          <w:b/>
          <w:color w:val="000000"/>
          <w:sz w:val="24"/>
          <w:u w:val="single"/>
        </w:rPr>
        <w:t>Prior Agreements; Restrictive Covenants</w:t>
      </w:r>
      <w:r>
        <w:rPr>
          <w:rFonts w:ascii="Times New Roman;serif" w:hAnsi="Times New Roman;serif"/>
          <w:b w:val="false"/>
          <w:color w:val="000000"/>
          <w:sz w:val="24"/>
        </w:rPr>
        <w:t xml:space="preserve">. The Participant shall execute and return to the Company a copy of the Restrictive Covenant Agreement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15.</w:t>
      </w:r>
      <w:r>
        <w:rPr>
          <w:rFonts w:ascii="Times New Roman;serif" w:hAnsi="Times New Roman;serif"/>
          <w:b/>
          <w:color w:val="000000"/>
          <w:sz w:val="24"/>
          <w:u w:val="single"/>
        </w:rPr>
        <w:t>Governing Law</w:t>
      </w:r>
      <w:r>
        <w:rPr>
          <w:rFonts w:ascii="Times New Roman;serif" w:hAnsi="Times New Roman;serif"/>
          <w:b w:val="false"/>
          <w:color w:val="000000"/>
          <w:sz w:val="24"/>
        </w:rPr>
        <w:t>. This Restricted Stock Unit Agreement shall be construed and interpreted in accordance with 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16.</w:t>
      </w:r>
      <w:r>
        <w:rPr>
          <w:rFonts w:ascii="Times New Roman;serif" w:hAnsi="Times New Roman;serif"/>
          <w:b/>
          <w:color w:val="000000"/>
          <w:sz w:val="24"/>
          <w:u w:val="single"/>
        </w:rPr>
        <w:t>Plan</w:t>
      </w:r>
      <w:r>
        <w:rPr>
          <w:rFonts w:ascii="Times New Roman;serif" w:hAnsi="Times New Roman;serif"/>
          <w:b w:val="false"/>
          <w:color w:val="000000"/>
          <w:sz w:val="24"/>
        </w:rPr>
        <w:t>. The terms and provisions of the Plan are incorporated herein by reference. In the event of a conflict or inconsistency between the terms and provisions of the Plan and the provisions of this Restricted Stock Unit Agreement (including the Grant Notice), the Plan shall govern and control.</w:t>
      </w:r>
    </w:p>
    <w:p>
      <w:pPr>
        <w:pStyle w:val="TextBody"/>
        <w:bidi w:val="0"/>
        <w:spacing w:lineRule="auto" w:line="288" w:before="0" w:after="240"/>
        <w:jc w:val="both"/>
        <w:rPr/>
      </w:pPr>
      <w:r>
        <w:rPr>
          <w:rFonts w:ascii="Times New Roman;serif" w:hAnsi="Times New Roman;serif"/>
          <w:b w:val="false"/>
          <w:color w:val="000000"/>
          <w:sz w:val="24"/>
        </w:rPr>
        <w:t>17.</w:t>
      </w:r>
      <w:r>
        <w:rPr>
          <w:rFonts w:ascii="Times New Roman;serif" w:hAnsi="Times New Roman;serif"/>
          <w:b/>
          <w:color w:val="000000"/>
          <w:sz w:val="24"/>
          <w:u w:val="single"/>
        </w:rPr>
        <w:t>Section 409A</w:t>
      </w:r>
      <w:r>
        <w:rPr>
          <w:rFonts w:ascii="Times New Roman;serif" w:hAnsi="Times New Roman;serif"/>
          <w:b w:val="false"/>
          <w:color w:val="000000"/>
          <w:sz w:val="24"/>
        </w:rPr>
        <w:t>. It is intended that the Restricted Stock Units granted hereunder shall be exempt from Section 409A of the Code, if applicable, pursuant to the “short-term deferral” rule applicable to such section, as set forth in the regulations or other guidance published by the Internal Revenue Service thereunder.</w:t>
      </w:r>
    </w:p>
    <w:p>
      <w:pPr>
        <w:pStyle w:val="TextBody"/>
        <w:bidi w:val="0"/>
        <w:spacing w:lineRule="auto" w:line="288" w:before="0" w:after="240"/>
        <w:jc w:val="both"/>
        <w:rPr/>
      </w:pPr>
      <w:r>
        <w:rPr>
          <w:rFonts w:ascii="Times New Roman;serif" w:hAnsi="Times New Roman;serif"/>
          <w:b w:val="false"/>
          <w:color w:val="000000"/>
          <w:sz w:val="24"/>
        </w:rPr>
        <w:t>18.</w:t>
      </w:r>
      <w:r>
        <w:rPr>
          <w:rFonts w:ascii="Times New Roman;serif" w:hAnsi="Times New Roman;serif"/>
          <w:b/>
          <w:color w:val="000000"/>
          <w:sz w:val="24"/>
          <w:u w:val="single"/>
        </w:rPr>
        <w:t>Imposition of Other Requirements</w:t>
      </w:r>
      <w:r>
        <w:rPr>
          <w:rFonts w:ascii="Times New Roman;serif" w:hAnsi="Times New Roman;serif"/>
          <w:b w:val="false"/>
          <w:color w:val="000000"/>
          <w:sz w:val="24"/>
        </w:rPr>
        <w:t>. The Company reserves the right to impose other requirements on the Participant’s 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88" w:before="0" w:after="240"/>
        <w:jc w:val="both"/>
        <w:rPr/>
      </w:pPr>
      <w:r>
        <w:rPr>
          <w:rFonts w:ascii="Times New Roman;serif" w:hAnsi="Times New Roman;serif"/>
          <w:b w:val="false"/>
          <w:color w:val="000000"/>
          <w:sz w:val="24"/>
        </w:rPr>
        <w:t>19.</w:t>
      </w:r>
      <w:r>
        <w:rPr>
          <w:rFonts w:ascii="Times New Roman;serif" w:hAnsi="Times New Roman;serif"/>
          <w:b/>
          <w:color w:val="000000"/>
          <w:sz w:val="24"/>
          <w:u w:val="single"/>
        </w:rPr>
        <w:t>Electronic Delivery and Acceptance</w:t>
      </w:r>
      <w:r>
        <w:rPr>
          <w:rFonts w:ascii="Times New Roman;serif" w:hAnsi="Times New Roman;serif"/>
          <w:b w:val="false"/>
          <w:color w:val="000000"/>
          <w:sz w:val="24"/>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88" w:before="0" w:after="240"/>
        <w:jc w:val="both"/>
        <w:rPr/>
      </w:pPr>
      <w:r>
        <w:rPr>
          <w:rFonts w:ascii="Times New Roman;serif" w:hAnsi="Times New Roman;serif"/>
          <w:b w:val="false"/>
          <w:color w:val="000000"/>
          <w:sz w:val="24"/>
        </w:rPr>
        <w:t>20.</w:t>
      </w:r>
      <w:r>
        <w:rPr>
          <w:rFonts w:ascii="Times New Roman;serif" w:hAnsi="Times New Roman;serif"/>
          <w:b/>
          <w:color w:val="000000"/>
          <w:sz w:val="24"/>
          <w:u w:val="single"/>
        </w:rPr>
        <w:t>Additional Terms for Non-U.S. Participants</w:t>
      </w:r>
      <w:r>
        <w:rPr>
          <w:rFonts w:ascii="Times New Roman;serif" w:hAnsi="Times New Roman;serif"/>
          <w:b w:val="false"/>
          <w:color w:val="000000"/>
          <w:sz w:val="24"/>
        </w:rPr>
        <w:t xml:space="preserve">. Notwithstanding anything to the contrary herein, if the Participant resides and/or works outside of the United States, the Participant shall be subject to the Additional Terms and Conditions for Non-U.S. Participants attached hereto as </w:t>
      </w:r>
      <w:r>
        <w:rPr>
          <w:rFonts w:ascii="Times New Roman;serif" w:hAnsi="Times New Roman;serif"/>
          <w:b w:val="false"/>
          <w:color w:val="000000"/>
          <w:sz w:val="24"/>
          <w:u w:val="single"/>
        </w:rPr>
        <w:t>Addendum A</w:t>
      </w:r>
      <w:r>
        <w:rPr>
          <w:color w:val="000000"/>
        </w:rPr>
        <w:t xml:space="preserve"> </w:t>
      </w:r>
      <w:r>
        <w:rPr>
          <w:rFonts w:ascii="Times New Roman;serif" w:hAnsi="Times New Roman;serif"/>
          <w:b w:val="false"/>
          <w:color w:val="000000"/>
          <w:sz w:val="24"/>
        </w:rPr>
        <w:t xml:space="preserve">and to any Country-Specific Terms and Conditions attached hereto as </w:t>
      </w:r>
      <w:r>
        <w:rPr>
          <w:rFonts w:ascii="Times New Roman;serif" w:hAnsi="Times New Roman;serif"/>
          <w:b w:val="false"/>
          <w:color w:val="000000"/>
          <w:sz w:val="24"/>
          <w:u w:val="single"/>
        </w:rPr>
        <w:t>Addendum B</w:t>
      </w:r>
      <w:r>
        <w:rPr>
          <w:rFonts w:ascii="Times New Roman;serif" w:hAnsi="Times New Roman;serif"/>
          <w:b w:val="false"/>
          <w:color w:val="000000"/>
          <w:sz w:val="24"/>
        </w:rPr>
        <w:t>. If the Participant is a citizen or resident of a country (or is considered as such for local law purposes) other than the one in which the Participant is currently residing or working or if the Participant relocates to one of the countries included in the Country-Specific Terms and Conditions after the grant of the Restricted Stock Units, the special terms and conditions for such country will apply to the Participant to the extent the Company determines that the application of such terms and conditions is necessary or advisable in order to comply with local law or facilitate the administration of the Plan. The Additional Terms and Conditions for Non-U.S. Participants and the Country-Specific Terms and Conditions constitute part of this Restricted Stock Unit Agreement and are incorporated herein by reference.</w:t>
      </w:r>
    </w:p>
    <w:p>
      <w:pPr>
        <w:pStyle w:val="TextBody"/>
        <w:bidi w:val="0"/>
        <w:spacing w:lineRule="auto" w:line="288"/>
        <w:jc w:val="left"/>
        <w:rPr/>
      </w:pPr>
      <w:r>
        <w:rPr>
          <w:rFonts w:ascii="Times New Roman;serif" w:hAnsi="Times New Roman;serif"/>
          <w:b/>
          <w:color w:val="000000"/>
          <w:sz w:val="24"/>
          <w:u w:val="single"/>
        </w:rPr>
        <w:t>Entire Agreement</w:t>
      </w:r>
      <w:r>
        <w:rPr>
          <w:rFonts w:ascii="Times New Roman;serif" w:hAnsi="Times New Roman;serif"/>
          <w:b w:val="false"/>
          <w:color w:val="000000"/>
          <w:sz w:val="24"/>
        </w:rPr>
        <w:t>. This Restricted Stock Unit Agreement, the Grant Notice and the Plan constitute the entire agreement of the parties hereto in respect of the subject matter contained herein and supersede all prior agreements and understandings of the parties, oral and written, with respect to such subject matter.</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ADDENDUM A </w:t>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ADDITIONAL TERMS AND CONDITIONS FOR NON-U.S. PARTICIPANTS</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Addendum A includes additional terms and conditions that govern the Restricted Stock Units granted to the Participant if the Participant works or resides outside of the United States.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but not defined herein are defined in the Plan or the Restricted Stock Unit Agreement and have the meanings set forth therein.</w:t>
      </w:r>
    </w:p>
    <w:p>
      <w:pPr>
        <w:pStyle w:val="TextBody"/>
        <w:bidi w:val="0"/>
        <w:spacing w:lineRule="auto" w:line="288" w:before="0" w:after="240"/>
        <w:jc w:val="both"/>
        <w:rPr/>
      </w:pPr>
      <w:r>
        <w:rPr>
          <w:rFonts w:ascii="Times New Roman;serif" w:hAnsi="Times New Roman;serif"/>
          <w:b w:val="false"/>
          <w:color w:val="000000"/>
          <w:sz w:val="24"/>
        </w:rPr>
        <w:t>1.</w:t>
      </w:r>
      <w:r>
        <w:rPr>
          <w:rFonts w:ascii="Times New Roman;serif" w:hAnsi="Times New Roman;serif"/>
          <w:b/>
          <w:color w:val="000000"/>
          <w:sz w:val="24"/>
          <w:u w:val="single"/>
        </w:rPr>
        <w:t>Termination of Employment</w:t>
      </w:r>
      <w:r>
        <w:rPr>
          <w:rFonts w:ascii="Times New Roman;serif" w:hAnsi="Times New Roman;serif"/>
          <w:b w:val="false"/>
          <w:color w:val="000000"/>
          <w:sz w:val="24"/>
        </w:rPr>
        <w:t>. For purposes of the Restricted Stock Unit Agreement and the Plan, including Section 4 of the Restricted Stock Unit Agreement and Section 8(c)(ii) of the Plan, the date of the Participant’s Termination shall be deemed to be the date on which the Participant ceases to be actively employed by the Service Recipient, which shall not be extended by any notice period, whether mandated or implied under local law during which the Participant is not actually employed (e.g., garden leave or similar leave) or during or for which the Participant receives pay in lieu of notice or severance pay. The Company shall have the sole discretion to determine when the Participant is no longer an employee of the Service Recipient for purposes of the Restricted Stock Unit Agreement without reference to any other agreement, written or oral, including the Participant’s contract of employment, if applicable.</w:t>
      </w:r>
    </w:p>
    <w:p>
      <w:pPr>
        <w:pStyle w:val="TextBody"/>
        <w:bidi w:val="0"/>
        <w:spacing w:lineRule="auto" w:line="288" w:before="0" w:after="240"/>
        <w:jc w:val="both"/>
        <w:rPr/>
      </w:pPr>
      <w:r>
        <w:rPr>
          <w:rFonts w:ascii="Times New Roman;serif" w:hAnsi="Times New Roman;serif"/>
          <w:b w:val="false"/>
          <w:color w:val="000000"/>
          <w:sz w:val="24"/>
        </w:rPr>
        <w:t>2.</w:t>
      </w:r>
      <w:r>
        <w:rPr>
          <w:rFonts w:ascii="Times New Roman;serif" w:hAnsi="Times New Roman;serif"/>
          <w:b/>
          <w:color w:val="000000"/>
          <w:sz w:val="24"/>
          <w:u w:val="single"/>
        </w:rPr>
        <w:t>No Acquired Right</w:t>
      </w:r>
      <w:r>
        <w:rPr>
          <w:rFonts w:ascii="Times New Roman;serif" w:hAnsi="Times New Roman;serif"/>
          <w:b w:val="false"/>
          <w:color w:val="000000"/>
          <w:sz w:val="24"/>
        </w:rPr>
        <w:t>. The Participant acknowledges and agrees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Plan is established voluntarily by the Company, the grant of awards under the Plan is made at the discretion of the Committee and the Plan may be modified, amended, suspended or terminated by the Company at any time. All decisions with respect to future awards, if any, will be at the sole discretion of the Committee.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Participant is voluntarily participating in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Restricted Stock Units (and any similar awards the Company may in the future grant to the Participant, even if such awards are made repeatedly or regularly, and regardless of their amount) and the shares of Common Stock acquired under the Plan (i) are wholly discretionary and occasional, are not a term or condition of employment and do not form part of a contract of employment, or any other working arrangement, between the Participant and the Company, the Service Recipient or any Subsidiary, (ii) do not create any contractual entitlement to receive future awards under the Plan or benefits in lieu thereof and are not intended to replace any pension rights or compensation, as applicable, and (iii) do not form part of normal or expected salary or remuneration for purposes of determining pension payments or any other purposes, including without limitation termination indemnities, severance, resignation, payment in lieu of notice, redundancy, end of service payments, bonuses, long-term service awards, pension or retirement benefits, welfare benefits or similar payments, if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Restricted Stock Units and the shares of Common Stock acquired under the Plan are not intended to replace any pension rights or compensation.</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In the event that the Participant is an employee and the Participant’s employer is not the Company, the grant of the Restricted Stock Units and any similar awards the Company may grant in the future to the Participant will not be interpreted to form an employment contract or relationship with the Company and, furthermore, the grant of the Restricted Stock Units and any similar awards the Company may grant in the future to the Participant will not be interpreted to form an employment contract with the Service Recipient or any Subsidiary.</w: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The future value of the underlying shares of Common Stock is unknown and cannot be predicted with certainty. The Company shall not be liable for any foreign exchange rate fluctuation between the Participant’s local currency and the United States Dollar that may affect the value of the Restricted Stock Units or the shares of Common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The Participant shall have no rights, claim or entitlement to compensation or damages as a result of the Participant’s cessation of employment or service for any reason whatsoever, whether or not later found to be invalid or in breach of contract or local labor law, insofar as these rights, claim or entitlement arise or may arise from the Participant’s ceasing to have rights under the Restricted Stock Units as a result of such cessation or loss or diminution in value of the Restricted Stock Units or any of the shares of Common Stock issuable under the Restricted Stock Units as a result of such cessation, and the Participant irrevocably releases the Company and its Subsidiaries from any such rights, entitlement or claim that may arise. If, notwithstanding the foregoing, any such right or claim is found by a court of competent jurisdiction to have arisen, then, by signing the Restricted Stock Unit Agreement, the Participant shall be deemed to have irrevocably waived the Participant’s entitlement to pursue such rights or claim.</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u w:val="single"/>
        </w:rPr>
        <w:t>Foreign Asset/Account and Tax Reporting Requirements; Exchange Controls</w:t>
      </w:r>
      <w:r>
        <w:rPr>
          <w:rFonts w:ascii="Times New Roman;serif" w:hAnsi="Times New Roman;serif"/>
          <w:b w:val="false"/>
          <w:color w:val="000000"/>
          <w:sz w:val="24"/>
        </w:rPr>
        <w:t>. The Participant may be subject to foreign asset/account, exchange control and/or tax reporting requirements as a result of the vesting of the Restricted Stock Units, the acquisition, holding and/or transfer of shares of Common Stock or cash (including dividends and the proceeds arising from the sale of shares) from the Participant’s participation in the Plan and/or the opening and maintaining of a brokerage or bank account in connection with the Plan. The Participant may be required to report such assets, accounts, account balances and values, any cross-border transactions, and/or related transactions to the applicable authorities in the Participant’s country and the Participant may be required to report any acquisition or sale of shares of Common Stock and any taxable income attributable to the Restricted Stock Units to the applicable tax authority or other authority in the Participant’s country (including on the Participant’s annual tax return, if applicable). The Participant may also be required to repatriate sales proceeds or other funds received as a result of the Participant’s participation in the Plan to the Participant’s country through a designated bank or broker and/or within a certain period of time after receipt. The Participant acknowledges that the Participant is responsible for ensuring compliance with any applicable foreign asset/account, exchange control and tax reporting and other requirements and should consult the Participant’s own personal tax and legal advisors, as applicable, on these matters.</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u w:val="single"/>
        </w:rPr>
        <w:t>Data Protection (Jurisdictions other than European Union/European Economic Area/United Kingdom)</w:t>
      </w:r>
      <w:r>
        <w:rPr>
          <w:rFonts w:ascii="Times New Roman;serif" w:hAnsi="Times New Roman;serif"/>
          <w:b/>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color w:val="000000"/>
          <w:sz w:val="24"/>
        </w:rPr>
        <w:t>In order to facilitate the Participant’s participation in the Plan and the administration of the Restricted Stock Units, it will be necessary for contractual and legal purposes for the Company (or the Service Recipient or their payroll administrators) to collect, hold and process certain personal information and sensitive personal information about the Participant (including, without limitation, the Participant’s name, home address, telephone number, date of birth, nationality, social insurance or other identification number and job title and details of the Restricted Stock Units and other awards granted, cancelled, exercised, vested, unvested or outstanding and shares of Common Stock held by the Participant). The Participant consents explicitly, willingly, and unambiguously to the Company and the Service Recipient (and their Subsidiaries and payroll administrators) collecting, holding and processing the Participant’s personal data and transferring this data (in electronic or other form) by and among, as applicable, the Company, the Service Recipient and the Subsidiaries and other third parties (collectively, the “</w:t>
      </w:r>
      <w:r>
        <w:rPr>
          <w:rFonts w:ascii="Times New Roman;serif" w:hAnsi="Times New Roman;serif"/>
          <w:b/>
          <w:color w:val="000000"/>
          <w:sz w:val="24"/>
          <w:u w:val="single"/>
        </w:rPr>
        <w:t>Data Recipients</w:t>
      </w:r>
      <w:r>
        <w:rPr>
          <w:color w:val="000000"/>
        </w:rPr>
        <w:t>”</w:t>
      </w:r>
      <w:r>
        <w:rPr>
          <w:rFonts w:ascii="Times New Roman;serif" w:hAnsi="Times New Roman;serif"/>
          <w:b/>
          <w:color w:val="000000"/>
          <w:sz w:val="24"/>
        </w:rPr>
        <w:t>) insofar as is reasonably necessary to implement, administer and manage the Plan and the Restricted Stock Units. The Participant authorizes the Data Recipients to receive, possess, use, retain and transfer the data for the purposes of implementing, administering and managing the Plan and the Restricted Stock Units. The Participant understands that the data may be transferred to a broker or third party as may be selected by the Company in the future which is assisting the Company with the implementation, administration and management of the Plan. The Participant understands that the Data Recipients may be located in the United States or elsewhere, and that the Data Recipient’s country may have a lower standard of data privacy laws and protections than the Participant’s country.</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color w:val="000000"/>
          <w:sz w:val="24"/>
        </w:rPr>
        <w:t>The Data Recipients will treat the Participant’s personal data as private and confidential and will not disclose such data for purposes other than the management and administration of the Plan and the Restricted Stock Units and will take reasonable measures to keep the Participant’s personal data private, confidential, accurate and current. The Participant understands that the data will be held only as long as is necessary to implement, administer and manage the Participant’s participation in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color w:val="000000"/>
          <w:sz w:val="24"/>
        </w:rPr>
        <w:t xml:space="preserve">The Participant understands that the Participant may, at any time, make a request to view the Participant’s personal data, require any necessary corrections to it or withdraw the consents herein in writing by contacting the Company and that these rights are subject to legal restrictions but acknowledges that without the use of such data it may not be practicable for the Company to administer the Participant’s involvement in the Plan in a timely fashion or at all and this may be detrimental to the Participant and may result in the possible exclusion of the Participant from continued participation with respect to the Restricted Stock Units or any future awards under the Plan. </w:t>
      </w:r>
    </w:p>
    <w:p>
      <w:pPr>
        <w:pStyle w:val="TextBody"/>
        <w:bidi w:val="0"/>
        <w:spacing w:lineRule="auto" w:line="288" w:before="0" w:after="240"/>
        <w:jc w:val="both"/>
        <w:rPr/>
      </w:pPr>
      <w:r>
        <w:rPr>
          <w:rFonts w:ascii="Times New Roman;serif" w:hAnsi="Times New Roman;serif"/>
          <w:b w:val="false"/>
          <w:color w:val="000000"/>
          <w:sz w:val="24"/>
        </w:rPr>
        <w:t>5.</w:t>
      </w:r>
      <w:r>
        <w:rPr>
          <w:rFonts w:ascii="Times New Roman;serif" w:hAnsi="Times New Roman;serif"/>
          <w:b/>
          <w:color w:val="000000"/>
          <w:sz w:val="24"/>
          <w:u w:val="single"/>
        </w:rPr>
        <w:t>Data Protection (European Union/European Economic Area/United Kingdom)</w:t>
      </w:r>
      <w:r>
        <w:rPr>
          <w:rFonts w:ascii="Times New Roman;serif" w:hAnsi="Times New Roman;serif"/>
          <w:b/>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color w:val="000000"/>
          <w:sz w:val="24"/>
        </w:rPr>
        <w:t xml:space="preserve">In order to facilitate the Participant’s participation in the Plan and the administration of the Restricted Stock Units, it will be necessary for contractual, legitimate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rPr>
        <w:t>interest and legal purposes for the Company (or the Service Recipient or their payroll administrators) to collect, hold and process certain personal data and, where required for legal purposes with the Participant’s freely given consent, any special category personal data about the Participant. Such personal data includes, without limitation, the Participant’s name, home address, telephone number, date of birth, nationality, social insurance or other identification number and job title and details of the Restricted Stock Units and other awards granted, cancelled, exercised, vested, unvested or outstanding and shares of Common Stock held by the Participant. The Participant hereby acknowledges and agrees to the Company and the Service Recipient (and their Subsidiaries and payroll administrators) collecting, holding and processing the Participant’s personal data and transferring this data (in electronic or other form) by and among, as applicable, the Company, the Service Recipient and their Subsidiaries and other third parties (collectively, the “</w:t>
      </w:r>
      <w:r>
        <w:rPr>
          <w:rFonts w:ascii="Times New Roman;serif" w:hAnsi="Times New Roman;serif"/>
          <w:b/>
          <w:color w:val="000000"/>
          <w:sz w:val="24"/>
          <w:u w:val="single"/>
        </w:rPr>
        <w:t>Data Recipients</w:t>
      </w:r>
      <w:r>
        <w:rPr>
          <w:color w:val="000000"/>
        </w:rPr>
        <w:t>”</w:t>
      </w:r>
      <w:r>
        <w:rPr>
          <w:rFonts w:ascii="Times New Roman;serif" w:hAnsi="Times New Roman;serif"/>
          <w:b/>
          <w:color w:val="000000"/>
          <w:sz w:val="24"/>
        </w:rPr>
        <w:t>) insofar as is reasonably necessary to implement, administer and manage the Plan and the Restricted Stock Units. The Participant understands that the Data Recipients will receive, possess, use, retain and transfer the data for the purposes of implementing, administering and managing the Plan and the Restricted Stock Units. The Participant understands that the data may be transferred to a broker or third party as may be selected by the Company in the future which is assisting the Company with the implementation, administration and management of the Plan. The Participant understands that the Data Recipients may be located in the United States or elsewhere, and that the Data Recipient’s country may have a different or lower standard of data privacy laws and protections than the Participant’s country.</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color w:val="000000"/>
          <w:sz w:val="24"/>
        </w:rPr>
        <w:t>The Data Recipients will treat the Participant’s personal data as private and confidential and will not disclose such data for purposes other than the management and administration of the Plan and the Restricted Stock Units and will take reasonable measures to keep the Participant’s personal data private, confidential, accurate and current. The Participant understands that the data will be held only as long as is necessary to implement, administer and manage the Participant’s participation in the Plan and for legal requirements thereafter. The Participant shall notify the Company of any changes to the Participant’s personal data.</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color w:val="000000"/>
          <w:sz w:val="24"/>
        </w:rPr>
        <w:t xml:space="preserve">The Participant understands that the Participant may, at any time, exercise the rights granted to the Participant by the Data Protection Laws (as defined below) and other applicable data protection laws including the right to make a request to access or be provided with a copy of the Participant’s personal data, request additional information about the storage and processing of the data, request that the personal data is restricted or otherwise object to its processing by the Company, require any necessary corrections to it or withdraw any consents provided by the Participant in writing by contacting the Company and that these rights are subject to legal restrictions. The Participant acknowledges that without the Company’s use of such data it may not be practicable for the Company to administer the Participant’s involvement in the Plan in a timely fashion or at all and this may be detrimental to the Participant and may result in the possible exclusion of the Participant from continued participation with respect to the Restricted Stock Units or any future awards under the Plan. The Participant is referred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privacy notice provided by the employing Subsidiary for further information about the processing of the Participant’s personal data and rights under applicable data protection 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color w:val="000000"/>
          <w:sz w:val="24"/>
        </w:rPr>
        <w:t>For the purpose of this Section 5, “</w:t>
      </w:r>
      <w:r>
        <w:rPr>
          <w:rFonts w:ascii="Times New Roman;serif" w:hAnsi="Times New Roman;serif"/>
          <w:b/>
          <w:color w:val="000000"/>
          <w:sz w:val="24"/>
          <w:u w:val="single"/>
        </w:rPr>
        <w:t>Data Protection Laws</w:t>
      </w:r>
      <w:r>
        <w:rPr>
          <w:color w:val="000000"/>
        </w:rPr>
        <w:t xml:space="preserve">” </w:t>
      </w:r>
      <w:r>
        <w:rPr>
          <w:rFonts w:ascii="Times New Roman;serif" w:hAnsi="Times New Roman;serif"/>
          <w:b/>
          <w:color w:val="000000"/>
          <w:sz w:val="24"/>
        </w:rPr>
        <w:t>means any law, enactment, regulation or order concerning the processing of personal data including the Data Protection Act 2018 (“</w:t>
      </w:r>
      <w:r>
        <w:rPr>
          <w:rFonts w:ascii="Times New Roman;serif" w:hAnsi="Times New Roman;serif"/>
          <w:b/>
          <w:color w:val="000000"/>
          <w:sz w:val="24"/>
          <w:u w:val="single"/>
        </w:rPr>
        <w:t>DPA</w:t>
      </w:r>
      <w:r>
        <w:rPr>
          <w:color w:val="000000"/>
        </w:rPr>
        <w:t>”</w:t>
      </w:r>
      <w:r>
        <w:rPr>
          <w:rFonts w:ascii="Times New Roman;serif" w:hAnsi="Times New Roman;serif"/>
          <w:b/>
          <w:color w:val="000000"/>
          <w:sz w:val="24"/>
        </w:rPr>
        <w:t>), the General Data Protection Regulation (Regulation (EU) 2016/679) (the “</w:t>
      </w:r>
      <w:r>
        <w:rPr>
          <w:rFonts w:ascii="Times New Roman;serif" w:hAnsi="Times New Roman;serif"/>
          <w:b/>
          <w:color w:val="000000"/>
          <w:sz w:val="24"/>
          <w:u w:val="single"/>
        </w:rPr>
        <w:t>GDPR</w:t>
      </w:r>
      <w:r>
        <w:rPr>
          <w:color w:val="000000"/>
        </w:rPr>
        <w:t>”</w:t>
      </w:r>
      <w:r>
        <w:rPr>
          <w:rFonts w:ascii="Times New Roman;serif" w:hAnsi="Times New Roman;serif"/>
          <w:b/>
          <w:color w:val="000000"/>
          <w:sz w:val="24"/>
        </w:rPr>
        <w:t>), the GDPR as it forms part of retained EU law (as defined in the European Union (Withdrawal) Act 2018), the Privacy and Electronic Communications Regulations (EC Directive) Regulations 2003 (“</w:t>
      </w:r>
      <w:r>
        <w:rPr>
          <w:rFonts w:ascii="Times New Roman;serif" w:hAnsi="Times New Roman;serif"/>
          <w:b/>
          <w:color w:val="000000"/>
          <w:sz w:val="24"/>
          <w:u w:val="single"/>
        </w:rPr>
        <w:t>PECR</w:t>
      </w:r>
      <w:r>
        <w:rPr>
          <w:color w:val="000000"/>
        </w:rPr>
        <w:t>”</w:t>
      </w:r>
      <w:r>
        <w:rPr>
          <w:rFonts w:ascii="Times New Roman;serif" w:hAnsi="Times New Roman;serif"/>
          <w:b/>
          <w:color w:val="000000"/>
          <w:sz w:val="24"/>
        </w:rPr>
        <w:t>), and any subordinate legislation or statutory codes of practice implemented in connection with the DPA, GDPR, PECR and any law that is intended to supplement, amend or replace the foregoing together with any other applicable law in any jurisdiction that regulates the collection, protection or processing of personal data as may come into effect from time to time.</w:t>
      </w:r>
    </w:p>
    <w:p>
      <w:pPr>
        <w:pStyle w:val="TextBody"/>
        <w:bidi w:val="0"/>
        <w:spacing w:lineRule="auto" w:line="288" w:before="0" w:after="240"/>
        <w:jc w:val="both"/>
        <w:rPr/>
      </w:pPr>
      <w:r>
        <w:rPr>
          <w:rFonts w:ascii="Times New Roman;serif" w:hAnsi="Times New Roman;serif"/>
          <w:b w:val="false"/>
          <w:color w:val="000000"/>
          <w:sz w:val="24"/>
        </w:rPr>
        <w:t>6.</w:t>
      </w:r>
      <w:r>
        <w:rPr>
          <w:rFonts w:ascii="Times New Roman;serif" w:hAnsi="Times New Roman;serif"/>
          <w:b/>
          <w:color w:val="000000"/>
          <w:sz w:val="24"/>
          <w:u w:val="single"/>
        </w:rPr>
        <w:t>Withholding; Responsibility for Taxes</w:t>
      </w:r>
      <w:r>
        <w:rPr>
          <w:rFonts w:ascii="Times New Roman;serif" w:hAnsi="Times New Roman;serif"/>
          <w:b w:val="false"/>
          <w:color w:val="000000"/>
          <w:sz w:val="24"/>
        </w:rPr>
        <w:t xml:space="preserve">. This provision supplements Section 8 of the Restricted Stock Unit Agreement and Section 14(d) of the Plan. </w:t>
      </w:r>
    </w:p>
    <w:p>
      <w:pPr>
        <w:pStyle w:val="TextBody"/>
        <w:bidi w:val="0"/>
        <w:spacing w:lineRule="auto" w:line="288" w:before="0" w:after="240"/>
        <w:ind w:left="0" w:right="0" w:firstLine="720"/>
        <w:jc w:val="both"/>
        <w:rPr/>
      </w:pPr>
      <w:r>
        <w:rPr>
          <w:rFonts w:ascii="Times New Roman;serif" w:hAnsi="Times New Roman;serif"/>
          <w:b w:val="false"/>
          <w:color w:val="000000"/>
          <w:sz w:val="24"/>
        </w:rPr>
        <w:t>For purposes of Section 8 of the Restricted Stock Unit Agreement, applicable tax withholding obligations shall include applicable income taxes, employment taxes, social insurance, social security, national insurance contribution, payroll taxes, contributions, levies, payment on account obligations or other amounts (collectively, “</w:t>
      </w:r>
      <w:r>
        <w:rPr>
          <w:rFonts w:ascii="Times New Roman;serif" w:hAnsi="Times New Roman;serif"/>
          <w:b w:val="false"/>
          <w:color w:val="000000"/>
          <w:sz w:val="24"/>
          <w:u w:val="single"/>
        </w:rPr>
        <w:t>Applicable Taxes</w:t>
      </w:r>
      <w:r>
        <w:rPr>
          <w:color w:val="000000"/>
        </w:rPr>
        <w:t>”</w:t>
      </w:r>
      <w:r>
        <w:rPr>
          <w:rFonts w:ascii="Times New Roman;serif" w:hAnsi="Times New Roman;serif"/>
          <w:b w:val="false"/>
          <w:color w:val="000000"/>
          <w:sz w:val="24"/>
        </w:rPr>
        <w:t>) required to be collected, withheld or accounted for with respect to the grant or vesting of the Restricted Stock Units. The Participant acknowledges that regardless of any action the Company (or the Service Recipient) takes, the ultimate liability for the Applicable Taxes is and remains the Participant’s responsibility and that the Company (and the Service Recipient) (i) make no representations or undertakings regarding the treatment of any Applicable Taxes in connection with any aspect of the Restricted Stock Units, including the grant, vesting or settlement of the Restricted Stock Units, and the subsequent sale of any shares of Common Stock acquired at settlement; and (ii) do not commit to structure the terms of the grant or any aspect of the Restricted Stock Units to reduce or eliminate the Participant’s liability for any Applicable Taxes. Further, if the Participant is subject to taxation in more than one jurisdiction between the Date of Grant and the date of any relevant taxable or tax withholding event, as applicable, the Participant acknowledges that the Company and/or the Service Recipient (or former Service Recipient, as applicable) may be required to withhold or account for Applicable Taxes (if any) in more than one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ADDENDUM B </w:t>
      </w:r>
    </w:p>
    <w:p>
      <w:pPr>
        <w:pStyle w:val="TextBody"/>
        <w:bidi w:val="0"/>
        <w:spacing w:before="0" w:after="0"/>
        <w:ind w:left="0" w:right="0" w:firstLine="72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COUNTRY-SPECIFIC TERMS AND CONDITIONS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These Country-Specific Terms and Conditions include additional terms and conditions and disclosures (if any) that govern the Restricted Stock Units granted to the Participant under the Plan if the Participant resides or works in one of the countries listed below. Capitalized terms used but not defined in these Country-Specific Terms and Conditions are defined in the Plan or the Restricted Stock Unit Agreement and have the meanings set forth therein.</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Australia</w:t>
      </w:r>
    </w:p>
    <w:p>
      <w:pPr>
        <w:pStyle w:val="TextBody"/>
        <w:bidi w:val="0"/>
        <w:spacing w:lineRule="auto" w:line="288" w:before="0" w:after="240"/>
        <w:jc w:val="both"/>
        <w:rPr/>
      </w:pPr>
      <w:r>
        <w:rPr>
          <w:rFonts w:ascii="Times New Roman;serif" w:hAnsi="Times New Roman;serif"/>
          <w:b w:val="false"/>
          <w:color w:val="000000"/>
          <w:sz w:val="24"/>
          <w:u w:val="single"/>
        </w:rPr>
        <w:t>Offer Document</w:t>
      </w:r>
      <w:r>
        <w:rPr>
          <w:color w:val="000000"/>
        </w:rPr>
        <w:t xml:space="preserve"> </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The information below (the “</w:t>
      </w:r>
      <w:r>
        <w:rPr>
          <w:rFonts w:ascii="Times New Roman;serif" w:hAnsi="Times New Roman;serif"/>
          <w:b w:val="false"/>
          <w:color w:val="000000"/>
          <w:sz w:val="24"/>
          <w:u w:val="single"/>
        </w:rPr>
        <w:t>Offer Document</w:t>
      </w:r>
      <w:r>
        <w:rPr>
          <w:color w:val="000000"/>
        </w:rPr>
        <w:t>”</w:t>
      </w:r>
      <w:r>
        <w:rPr>
          <w:rFonts w:ascii="Times New Roman;serif" w:hAnsi="Times New Roman;serif"/>
          <w:b w:val="false"/>
          <w:color w:val="000000"/>
          <w:sz w:val="24"/>
        </w:rPr>
        <w:t>) sets out information regarding the participation of Australian resident employees of the Company and its Australian subsidiaries in the Plan.</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Offer Document</w:t>
      </w:r>
    </w:p>
    <w:tbl>
      <w:tblPr>
        <w:tblW w:w="10205" w:type="dxa"/>
        <w:jc w:val="left"/>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shd w:fill="F2F2F2" w:val="clear"/>
            <w:tcMar>
              <w:top w:w="30" w:type="dxa"/>
              <w:bottom w:w="30" w:type="dxa"/>
            </w:tcMar>
            <w:vAlign w:val="center"/>
          </w:tcPr>
          <w:p>
            <w:pPr>
              <w:pStyle w:val="TableContents"/>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 xml:space="preserve">Investment in securities involves a degree of risk and there is no guarantee of the future value of, or returns from, securities the Participant may acquire under the Plan. Employees who elect to participate in the Plan should consider all risk factors relevant to the acquisition of securities under the Plan as set out in this document and any associated documents. </w:t>
            </w:r>
          </w:p>
          <w:p>
            <w:pPr>
              <w:pStyle w:val="TableContents"/>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The information contained in this document and any associated documents is general information only. It is not advice or information specific to the Participant’s objectives, financial situation or needs. Australian employees should consider obtaining their own financial product advice from an independent person who is licensed by the Australian Securities and Investments Commission to give advice about participation in the Plan.</w:t>
            </w:r>
          </w:p>
        </w:tc>
      </w:tr>
    </w:tbl>
    <w:p>
      <w:pPr>
        <w:pStyle w:val="TextBody"/>
        <w:bidi w:val="0"/>
        <w:spacing w:before="0" w:after="240"/>
        <w:jc w:val="both"/>
        <w:rPr/>
      </w:pPr>
      <w:r>
        <w:rPr/>
      </w:r>
    </w:p>
    <w:p>
      <w:pPr>
        <w:pStyle w:val="TextBody"/>
        <w:bidi w:val="0"/>
        <w:spacing w:lineRule="auto" w:line="288" w:before="0" w:after="240"/>
        <w:jc w:val="both"/>
        <w:rPr/>
      </w:pPr>
      <w:r>
        <w:rPr>
          <w:rFonts w:ascii="Times New Roman;serif" w:hAnsi="Times New Roman;serif"/>
          <w:b w:val="false"/>
          <w:color w:val="000000"/>
          <w:sz w:val="24"/>
        </w:rPr>
        <w:t>1.</w:t>
      </w:r>
      <w:r>
        <w:rPr>
          <w:rFonts w:ascii="Times New Roman;serif" w:hAnsi="Times New Roman;serif"/>
          <w:b/>
          <w:color w:val="000000"/>
          <w:sz w:val="24"/>
        </w:rPr>
        <w:t>OFFER AND TERMS OF PARTICIPATION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Offer Document relates to an invitation by the Company to eligible employees in Australia to participate in the Plan.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terms of the Participant’s participation are set out in the Plan, the Prospectus, the Restricted Stock Unit Agreement and this Offer Document.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participating in the Plan, the Participant will be bound by terms set out in the Plan, the Prospectus, the Restricted Stock Unit Agreement and this Offer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2.</w:t>
      </w:r>
      <w:r>
        <w:rPr>
          <w:rFonts w:ascii="Times New Roman;serif" w:hAnsi="Times New Roman;serif"/>
          <w:b/>
          <w:color w:val="000000"/>
          <w:sz w:val="24"/>
        </w:rPr>
        <w:t>HOW CAN A PARTICIPANT ASCERTAIN THE CURRENT MARKET PRICE OF SHARES UNDERLYING THE RESTRICTED STOCK UNIT AWARD IN AUSTRALIAN DOLLARS?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Participant could, from time to time, ascertain the market price of a share of Common Stock by obtaining that price from the NASDAQ website, the Company website or The Wall Street Journal, and multiplying that price by a published exchange rate to convert U.S. Dollars into Australian Dollars, to determine the Australian dollar equivalent of that current market price.</w:t>
      </w:r>
    </w:p>
    <w:p>
      <w:pPr>
        <w:pStyle w:val="TextBody"/>
        <w:bidi w:val="0"/>
        <w:spacing w:lineRule="auto" w:line="288" w:before="0" w:after="240"/>
        <w:jc w:val="both"/>
        <w:rPr/>
      </w:pPr>
      <w:r>
        <w:rPr>
          <w:rFonts w:ascii="Times New Roman;serif" w:hAnsi="Times New Roman;serif"/>
          <w:b w:val="false"/>
          <w:color w:val="000000"/>
          <w:sz w:val="24"/>
        </w:rPr>
        <w:t>3.</w:t>
      </w:r>
      <w:r>
        <w:rPr>
          <w:rFonts w:ascii="Times New Roman;serif" w:hAnsi="Times New Roman;serif"/>
          <w:b/>
          <w:color w:val="000000"/>
          <w:sz w:val="24"/>
        </w:rPr>
        <w:t>RISKS OF ACQUIRING AND HOLDING SHARES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Acquiring and holding shares of Common Stock involves risk. These risks include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There is no guarantee that the shares of Common Stock will grow in value - they may decline in value. Stock markets are subject to fluctuations and the price of shares can rise and fall, depending upon the Company’s performance and other internal and external factors.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There is no assurance that the Company will pay dividends even if its earnings increase.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There are tax implications involved in acquiring and holding shares of Common Stock and the tax regime applying to the Participant may change.</w:t>
      </w:r>
    </w:p>
    <w:p>
      <w:pPr>
        <w:pStyle w:val="TextBody"/>
        <w:bidi w:val="0"/>
        <w:spacing w:lineRule="auto" w:line="288" w:before="0" w:after="240"/>
        <w:jc w:val="left"/>
        <w:rPr/>
      </w:pPr>
      <w:r>
        <w:rPr>
          <w:rFonts w:ascii="Times New Roman;serif" w:hAnsi="Times New Roman;serif"/>
          <w:b w:val="false"/>
          <w:color w:val="000000"/>
          <w:sz w:val="24"/>
          <w:u w:val="single"/>
        </w:rPr>
        <w:t>Tax Deferred Scheme</w:t>
      </w:r>
      <w:r>
        <w:rPr>
          <w:rFonts w:ascii="Times New Roman;serif" w:hAnsi="Times New Roman;serif"/>
          <w:b w:val="false"/>
          <w:color w:val="000000"/>
          <w:sz w:val="24"/>
        </w:rPr>
        <w:t>. Subdivision 83A-C of the Income Tax Assessment Act 1997 (Cth) applies to the scheme (subject to the requirements of applicable Australian tax legislation).</w:t>
      </w:r>
    </w:p>
    <w:p>
      <w:pPr>
        <w:pStyle w:val="TextBody"/>
        <w:bidi w:val="0"/>
        <w:spacing w:lineRule="auto" w:line="288" w:before="0" w:after="240"/>
        <w:jc w:val="left"/>
        <w:rPr/>
      </w:pPr>
      <w:r>
        <w:rPr>
          <w:rFonts w:ascii="Times New Roman;serif" w:hAnsi="Times New Roman;serif"/>
          <w:b w:val="false"/>
          <w:color w:val="000000"/>
          <w:sz w:val="24"/>
          <w:u w:val="single"/>
        </w:rPr>
        <w:t>Data Privacy</w:t>
      </w:r>
      <w:r>
        <w:rPr>
          <w:rFonts w:ascii="Times New Roman;serif" w:hAnsi="Times New Roman;serif"/>
          <w:b w:val="false"/>
          <w:color w:val="000000"/>
          <w:sz w:val="24"/>
        </w:rPr>
        <w:t>. The following supplements Section 4 of Addendum A of the Restricted Stock Unit Agreement:</w:t>
      </w:r>
    </w:p>
    <w:p>
      <w:pPr>
        <w:pStyle w:val="TextBody"/>
        <w:bidi w:val="0"/>
        <w:spacing w:lineRule="auto" w:line="288" w:before="0" w:after="240"/>
        <w:ind w:left="0" w:right="0" w:firstLine="810"/>
        <w:jc w:val="both"/>
        <w:rPr/>
      </w:pPr>
      <w:r>
        <w:rPr>
          <w:rFonts w:ascii="Times New Roman;serif" w:hAnsi="Times New Roman;serif"/>
          <w:b w:val="false"/>
          <w:color w:val="000000"/>
          <w:sz w:val="24"/>
        </w:rPr>
        <w:t>(i) The Participant understands that recipients of the data described in Section 4 of Addendum A of the Restricted Stock Unit Agreement (the “</w:t>
      </w:r>
      <w:r>
        <w:rPr>
          <w:rFonts w:ascii="Times New Roman;serif" w:hAnsi="Times New Roman;serif"/>
          <w:b w:val="false"/>
          <w:color w:val="000000"/>
          <w:sz w:val="24"/>
          <w:u w:val="single"/>
        </w:rPr>
        <w:t>Data</w:t>
      </w:r>
      <w:r>
        <w:rPr>
          <w:color w:val="000000"/>
        </w:rPr>
        <w:t>”</w:t>
      </w:r>
      <w:r>
        <w:rPr>
          <w:rFonts w:ascii="Times New Roman;serif" w:hAnsi="Times New Roman;serif"/>
          <w:b w:val="false"/>
          <w:color w:val="000000"/>
          <w:sz w:val="24"/>
        </w:rPr>
        <w:t>) may be located in the United States.</w:t>
      </w:r>
    </w:p>
    <w:p>
      <w:pPr>
        <w:pStyle w:val="TextBody"/>
        <w:bidi w:val="0"/>
        <w:spacing w:lineRule="auto" w:line="288" w:before="0" w:after="240"/>
        <w:ind w:left="0" w:right="0" w:firstLine="810"/>
        <w:jc w:val="both"/>
        <w:rPr/>
      </w:pPr>
      <w:r>
        <w:rPr>
          <w:rFonts w:ascii="Times New Roman;serif" w:hAnsi="Times New Roman;serif"/>
          <w:b w:val="false"/>
          <w:color w:val="000000"/>
          <w:sz w:val="24"/>
        </w:rPr>
        <w:t>(ii) The Participant understands that, by consenting to the disclosure of the Data to recipients located overseas, Australian Privacy Principle (“</w:t>
      </w:r>
      <w:r>
        <w:rPr>
          <w:rFonts w:ascii="Times New Roman;serif" w:hAnsi="Times New Roman;serif"/>
          <w:b w:val="false"/>
          <w:color w:val="000000"/>
          <w:sz w:val="24"/>
          <w:u w:val="single"/>
        </w:rPr>
        <w:t>APP</w:t>
      </w:r>
      <w:r>
        <w:rPr>
          <w:color w:val="000000"/>
        </w:rPr>
        <w:t>”</w:t>
      </w:r>
      <w:r>
        <w:rPr>
          <w:rFonts w:ascii="Times New Roman;serif" w:hAnsi="Times New Roman;serif"/>
          <w:b w:val="false"/>
          <w:color w:val="000000"/>
          <w:sz w:val="24"/>
        </w:rPr>
        <w:t>) 8.1 will not apply to the disclosure and as a result the Company and the Service Recipient will not be accountable under the Privacy Act 1988 (Cth) and the Participant may not be able to seek redress under the Privacy Act 1988 (Cth) in respect of this Data.</w:t>
      </w:r>
    </w:p>
    <w:p>
      <w:pPr>
        <w:pStyle w:val="TextBody"/>
        <w:bidi w:val="0"/>
        <w:spacing w:lineRule="auto" w:line="288" w:before="0" w:after="240"/>
        <w:ind w:left="0" w:right="0" w:firstLine="810"/>
        <w:jc w:val="both"/>
        <w:rPr>
          <w:rFonts w:ascii="Times New Roman;serif" w:hAnsi="Times New Roman;serif"/>
          <w:b w:val="false"/>
          <w:color w:val="000000"/>
          <w:sz w:val="24"/>
        </w:rPr>
      </w:pPr>
      <w:r>
        <w:rPr>
          <w:rFonts w:ascii="Times New Roman;serif" w:hAnsi="Times New Roman;serif"/>
          <w:b w:val="false"/>
          <w:color w:val="000000"/>
          <w:sz w:val="24"/>
        </w:rPr>
        <w:t>(iii) The Participant acknowledges that the privacy policy of the Service Recipient contains information about how the Participant may access the Data about the Participant that it holds and seek the correction of such Data. It also contains information about how the Participant may complain about a breach of the APPs and how the Service Recipient will deal with such a complaint.</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Canada (Ontario)</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Award Payable Only in Shares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 discretion in the Plan or anything to the contrary in the Restricted Stock Unit Agreement, including Section 8(d) of the Plan, the grant of the Restricted Stock Units does not provide the Participant any right to receive a cash payment and the Restricted Stock Units may be settled only by delivery of shares of Common Stock. </w:t>
      </w:r>
    </w:p>
    <w:p>
      <w:pPr>
        <w:pStyle w:val="TextBody"/>
        <w:bidi w:val="0"/>
        <w:spacing w:lineRule="auto" w:line="288" w:before="0" w:after="240"/>
        <w:jc w:val="left"/>
        <w:rPr/>
      </w:pPr>
      <w:r>
        <w:rPr>
          <w:rFonts w:ascii="Times New Roman;serif" w:hAnsi="Times New Roman;serif"/>
          <w:b w:val="false"/>
          <w:color w:val="000000"/>
          <w:sz w:val="24"/>
          <w:u w:val="single"/>
        </w:rPr>
        <w:t>Securities Law Information</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Shares of Common Stock acquired under the Plan are subject to certain restrictions on resale imposed by Canadian provincial and territorial securities laws, as applicable. Notwithstanding any other provision of the Plan to the contrary, any transfer or resale of any shares of Common Stock acquired by the Participant pursuant to the Plan must be in accordance with the resale rules under applicable Canadian provincial and territorial securities laws, including Ontario Securities Commission Rule 72-503 Distributions Outside Canada (“</w:t>
      </w:r>
      <w:r>
        <w:rPr>
          <w:rFonts w:ascii="Times New Roman;serif" w:hAnsi="Times New Roman;serif"/>
          <w:b w:val="false"/>
          <w:color w:val="000000"/>
          <w:sz w:val="24"/>
          <w:u w:val="single"/>
        </w:rPr>
        <w:t>72-503</w:t>
      </w:r>
      <w:r>
        <w:rPr>
          <w:color w:val="000000"/>
        </w:rPr>
        <w:t>”</w:t>
      </w:r>
      <w:r>
        <w:rPr>
          <w:rFonts w:ascii="Times New Roman;serif" w:hAnsi="Times New Roman;serif"/>
          <w:b w:val="false"/>
          <w:color w:val="000000"/>
          <w:sz w:val="24"/>
        </w:rPr>
        <w:t>), if the Participant is a resident in the Province of Ontario. In Ontario, the prospectus requirement does not apply to the first trade of shares of Common Stock issued in connection with the Restricted Stock Units, provided the conditions set forth in section 2.8 of 72-503 are satisfied. The shares of Common Stock acquired under the Plan may not be transferred or sold in Canada or to a Canadian resident other than in accordance with applicable provincial or territorial securities laws. The Participant is advised to consult the Participant’s own legal advisor prior to any resale of shares of Common Stock.</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Data Protection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3 of Addendum A of the Restricted Stock Unit Agreement is amended to add the following to the end of Section 4(a): In connection therewith, it is possible that personal data may be disclosed to governments, courts or law enforcement or regulatory agencies in that other country in accordance with the laws of that country.</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Termination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the Restricted Stock Unit Agreement and the Plan, including Section 4 of the Restricted Stock Unit Agreement and Section 8(c)(ii) of the Plan, the date of the Participant’s Termination shall be deemed to be the date on which the Participant ceases to be actively employed by the Service Recipient, which term “actively employed” shall include any period for which the Participant is deemed to be actively employed for purposes of applicable employment standards legislation, and shall exclude any other period of non-working notice of termination or any notice period, whether mandated or implied under local law during which the Participant is not actually employed (e.g., garden leave or similar leave) or during or for which the Participant receives pay in lieu of notice or severance pay. The Company shall have the sole discretion to determine when the Participant is no longer actively employed for purposes of the Restricted Stock Unit Agreement and the Plan without reference to any other agreement, written or oral, including the Participant’s contract of employment, if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India</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Exchange Control Notification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Participant’s participation in the Plan and purchase of shares of Common Stock is subject to and conditional upon the Participant’s compliance with all applicable laws including but not limited to the (Indian) Foreign Exchange Management Act, 1999 and the regulations thereunder, as amended.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Participant must repatriate any proceeds from the sale of shares of Common Stock acquired under the Plan and any dividends on such shares to India within the stipulated period. The Participant should consult the Participant’s own advisor with respect to such requirements.</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UK</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Sub-Plan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Restricted Stock Units are granted subject to the Sub-Plan for U.K. Employees and all references to the Plan shall include the Sub-Plan.</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Award Payable Only in Common Stock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 discretion in the Plan or anything to the contrary in the Restricted Stock Unit Agreement or the Plan, including Section 8(d) of the Plan, the grant of the Restricted Stock Units does not provide the Participant any right to receive a cash payment and the Restricted Stock Units may be settled only in shares of Common Stock.</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Termination of Service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Participant has no right to compensation or damages on account of any loss in respect of Restricted Stock Units under the Plan where the loss arises or is claimed to arise in whole or part from: (a) the termination of the Participant’s office or employment; or (b) notice to terminate the Participant’s office or employment. This exclusion of liability shall apply however termination of office or employment, or the giving of notice, is caused, and however compensation or damages are claimed. For the purpose of the Plan, the implied duty of trust and confidence is expressly excluded.</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Taxes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Participant agrees to indemnify the Company and the Service Recipient (as applicable) for any Applicable Taxes that may be payable with respect to the full number of shares of Common Stock vested and issued (including those shares of Common Stock that are deemed issued). </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Employer NIC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As a condition to the issuance of shares of Common Stock under the Restricted Stock Units, the Company may require the Participant to agree to accept all liability for and pay all secondary Class 1 National Insurance Contributions, and (and to the extent lawful for the Participant to bear the cost) any employer’s health and social care levy or similar payments, which would otherwise be payable by the Company or the Service Recipient (or any successor or any affiliate employing or previously employing the Participant) with respect to the issuance of shares of Common stock under the Restricted Stock Units or any other event giving rise to taxation under the Restricted Stock Units (the “</w:t>
      </w:r>
      <w:r>
        <w:rPr>
          <w:rFonts w:ascii="Times New Roman;serif" w:hAnsi="Times New Roman;serif"/>
          <w:b w:val="false"/>
          <w:color w:val="000000"/>
          <w:sz w:val="24"/>
          <w:u w:val="single"/>
        </w:rPr>
        <w:t>Employer NIC</w:t>
      </w:r>
      <w:r>
        <w:rPr>
          <w:color w:val="000000"/>
        </w:rPr>
        <w:t>”</w:t>
      </w:r>
      <w:r>
        <w:rPr>
          <w:rFonts w:ascii="Times New Roman;serif" w:hAnsi="Times New Roman;serif"/>
          <w:b w:val="false"/>
          <w:color w:val="000000"/>
          <w:sz w:val="24"/>
        </w:rPr>
        <w:t>). The Participant agrees that the Participant will execute, within the time period specified by the Company, a joint election (the “</w:t>
      </w:r>
      <w:r>
        <w:rPr>
          <w:rFonts w:ascii="Times New Roman;serif" w:hAnsi="Times New Roman;serif"/>
          <w:b w:val="false"/>
          <w:color w:val="000000"/>
          <w:sz w:val="24"/>
          <w:u w:val="single"/>
        </w:rPr>
        <w:t>Joint Election</w:t>
      </w:r>
      <w:r>
        <w:rPr>
          <w:color w:val="000000"/>
        </w:rPr>
        <w:t>”</w:t>
      </w:r>
      <w:r>
        <w:rPr>
          <w:rFonts w:ascii="Times New Roman;serif" w:hAnsi="Times New Roman;serif"/>
          <w:b w:val="false"/>
          <w:color w:val="000000"/>
          <w:sz w:val="24"/>
        </w:rPr>
        <w:t>) provided by the Company and any other consent or elections required to effect the transfer of the Employer NIC. The Participant further agrees to execute such other joint elections and any other consent or elections as may be required between the Participant and any successor to the Company and/or the Service Recipient. The Participant further agrees that the Company and/or the Service Recipient may collect the Employer NIC by any of the means set forth in the Joint Election or other applicable consent or election.</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RESTRICTIVE COVENANT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10.4</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color w:val="000000"/>
          <w:sz w:val="24"/>
        </w:rPr>
      </w:pPr>
      <w:r>
        <w:rPr>
          <w:rFonts w:ascii="Times New Roman;serif" w:hAnsi="Times New Roman;serif"/>
          <w:b/>
          <w:color w:val="000000"/>
          <w:sz w:val="24"/>
        </w:rPr>
        <w:t>PERFORMANCE STOCK UNIT GRANT NOTICE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ZOOMINFO TECHNOLOGIES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INDUCEMENT EQUITY INCENTIVE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ZoomInfo Technologies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pursuant to its Inducement Equity Incentive Plan, as it may be amended and restated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hereby grants to the Participant set forth below the number of performance-vesting Restricted Stock Units set forth below (the “</w:t>
      </w:r>
      <w:r>
        <w:rPr>
          <w:rFonts w:ascii="Times New Roman;serif" w:hAnsi="Times New Roman;serif"/>
          <w:b w:val="false"/>
          <w:color w:val="000000"/>
          <w:sz w:val="24"/>
          <w:u w:val="single"/>
        </w:rPr>
        <w:t>Performance Stock Units</w:t>
      </w:r>
      <w:r>
        <w:rPr>
          <w:color w:val="000000"/>
        </w:rPr>
        <w:t>”</w:t>
      </w:r>
      <w:r>
        <w:rPr>
          <w:rFonts w:ascii="Times New Roman;serif" w:hAnsi="Times New Roman;serif"/>
          <w:b w:val="false"/>
          <w:color w:val="000000"/>
          <w:sz w:val="24"/>
        </w:rPr>
        <w:t>). The Performance Stock Units are subject to all of the terms and conditions as set forth in this Performance Stock Unit Grant Notice (the “</w:t>
      </w:r>
      <w:r>
        <w:rPr>
          <w:rFonts w:ascii="Times New Roman;serif" w:hAnsi="Times New Roman;serif"/>
          <w:b w:val="false"/>
          <w:color w:val="000000"/>
          <w:sz w:val="24"/>
          <w:u w:val="single"/>
        </w:rPr>
        <w:t>Grant Notice</w:t>
      </w:r>
      <w:r>
        <w:rPr>
          <w:color w:val="000000"/>
        </w:rPr>
        <w:t>”</w:t>
      </w:r>
      <w:r>
        <w:rPr>
          <w:rFonts w:ascii="Times New Roman;serif" w:hAnsi="Times New Roman;serif"/>
          <w:b w:val="false"/>
          <w:color w:val="000000"/>
          <w:sz w:val="24"/>
        </w:rPr>
        <w:t>), the Performance Stock Unit Agreement (attached hereto or previously provided to the Participant in connection with a prior grant) (the “</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and together with the Grant Notice, the “</w:t>
      </w:r>
      <w:r>
        <w:rPr>
          <w:rFonts w:ascii="Times New Roman;serif" w:hAnsi="Times New Roman;serif"/>
          <w:b w:val="false"/>
          <w:color w:val="000000"/>
          <w:sz w:val="24"/>
          <w:u w:val="single"/>
        </w:rPr>
        <w:t>Award Agreement</w:t>
      </w:r>
      <w:r>
        <w:rPr>
          <w:color w:val="000000"/>
        </w:rPr>
        <w:t>”</w:t>
      </w:r>
      <w:r>
        <w:rPr>
          <w:rFonts w:ascii="Times New Roman;serif" w:hAnsi="Times New Roman;serif"/>
          <w:b w:val="false"/>
          <w:color w:val="000000"/>
          <w:sz w:val="24"/>
        </w:rPr>
        <w:t>), and in the Plan, all of which are incorporated herein in their entirety. Capitalized terms not otherwise defined herein shall have the meaning set forth in the Plan. This Award is granted as an inducement material to the Participant entering into employment with the Company or a Subsidiary, in accordance with Nasdaq Listing Rule 5635(c)(4), and is made outside of the ZoomInfo Technologies Inc. 2020 Omnibus Incentive Plan and the share reserve thereunder.</w:t>
      </w:r>
    </w:p>
    <w:tbl>
      <w:tblPr>
        <w:tblW w:w="8759" w:type="dxa"/>
        <w:jc w:val="left"/>
        <w:tblInd w:w="0" w:type="dxa"/>
        <w:tblLayout w:type="fixed"/>
        <w:tblCellMar>
          <w:top w:w="28" w:type="dxa"/>
          <w:left w:w="28" w:type="dxa"/>
          <w:bottom w:w="28" w:type="dxa"/>
          <w:right w:w="28" w:type="dxa"/>
        </w:tblCellMar>
      </w:tblPr>
      <w:tblGrid>
        <w:gridCol w:w="1417"/>
        <w:gridCol w:w="1244"/>
        <w:gridCol w:w="1254"/>
        <w:gridCol w:w="1418"/>
        <w:gridCol w:w="1418"/>
        <w:gridCol w:w="2008"/>
      </w:tblGrid>
      <w:tr>
        <w:trPr/>
        <w:tc>
          <w:tcPr>
            <w:tcW w:w="14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Participant:</w:t>
            </w:r>
          </w:p>
        </w:tc>
        <w:tc>
          <w:tcPr>
            <w:tcW w:w="4844" w:type="dxa"/>
            <w:gridSpan w:val="3"/>
            <w:tcBorders>
              <w:top w:val="single" w:sz="8" w:space="0" w:color="000000"/>
              <w:left w:val="single" w:sz="8" w:space="0" w:color="000000"/>
              <w:right w:val="single" w:sz="8"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###PARTICIPANT_NAME###</w:t>
            </w:r>
          </w:p>
        </w:tc>
      </w:tr>
      <w:tr>
        <w:trPr/>
        <w:tc>
          <w:tcPr>
            <w:tcW w:w="391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Date of Grant:</w:t>
            </w:r>
          </w:p>
        </w:tc>
        <w:tc>
          <w:tcPr>
            <w:tcW w:w="4844" w:type="dxa"/>
            <w:gridSpan w:val="3"/>
            <w:tcBorders>
              <w:top w:val="single" w:sz="8" w:space="0" w:color="000000"/>
              <w:left w:val="single" w:sz="8" w:space="0" w:color="000000"/>
              <w:right w:val="single" w:sz="8"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###GRANT_DATE###</w:t>
            </w:r>
          </w:p>
        </w:tc>
      </w:tr>
      <w:tr>
        <w:trPr/>
        <w:tc>
          <w:tcPr>
            <w:tcW w:w="391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Vesting Commencement Date:</w:t>
            </w:r>
          </w:p>
        </w:tc>
        <w:tc>
          <w:tcPr>
            <w:tcW w:w="4844" w:type="dxa"/>
            <w:gridSpan w:val="3"/>
            <w:tcBorders>
              <w:top w:val="single" w:sz="8" w:space="0" w:color="000000"/>
              <w:left w:val="single" w:sz="8" w:space="0" w:color="000000"/>
              <w:right w:val="single" w:sz="8"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###ALTERNATIVE_VEST_BASE_DATE###</w:t>
            </w:r>
          </w:p>
        </w:tc>
      </w:tr>
      <w:tr>
        <w:trPr/>
        <w:tc>
          <w:tcPr>
            <w:tcW w:w="3915" w:type="dxa"/>
            <w:gridSpan w:val="3"/>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Number of Performance Stock Units:</w:t>
            </w:r>
          </w:p>
        </w:tc>
        <w:tc>
          <w:tcPr>
            <w:tcW w:w="4844" w:type="dxa"/>
            <w:gridSpan w:val="3"/>
            <w:tcBorders>
              <w:top w:val="single" w:sz="8" w:space="0" w:color="000000"/>
              <w:left w:val="single" w:sz="8" w:space="0" w:color="000000"/>
              <w:bottom w:val="single" w:sz="8" w:space="0" w:color="000000"/>
              <w:right w:val="single" w:sz="8"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###TOTAL_AWARDS###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99"/>
        <w:gridCol w:w="351"/>
        <w:gridCol w:w="352"/>
        <w:gridCol w:w="2665"/>
        <w:gridCol w:w="2665"/>
        <w:gridCol w:w="3773"/>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3773" w:type="dxa"/>
            <w:tcBorders/>
            <w:vAlign w:val="center"/>
          </w:tcPr>
          <w:p>
            <w:pPr>
              <w:pStyle w:val="TableContents"/>
              <w:bidi w:val="0"/>
              <w:spacing w:before="0" w:after="283"/>
              <w:jc w:val="left"/>
              <w:rPr>
                <w:sz w:val="4"/>
                <w:szCs w:val="4"/>
              </w:rPr>
            </w:pPr>
            <w:r>
              <w:rPr>
                <w:sz w:val="4"/>
                <w:szCs w:val="4"/>
              </w:rPr>
            </w:r>
          </w:p>
        </w:tc>
      </w:tr>
      <w:tr>
        <w:trPr/>
        <w:tc>
          <w:tcPr>
            <w:tcW w:w="1102" w:type="dxa"/>
            <w:gridSpan w:val="3"/>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Vesting Schedule:</w:t>
            </w:r>
          </w:p>
        </w:tc>
        <w:tc>
          <w:tcPr>
            <w:tcW w:w="910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 xml:space="preserve">The Performance Stock Units will be one hundred percent (100%) unvested as of the Date of Grant. Subject to the Participant’s continued Service Relationship (as defined below) with the Company through the applicable Vesting Date (as defined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attached hereto), the Performance Stock Units shall vest on the applicable Vesting Date(s) based on the Company’s achievement of the performance goal(s) set forth and described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For purposes of this Award Agreement, the term “</w:t>
            </w:r>
            <w:r>
              <w:rPr>
                <w:rFonts w:ascii="Times New Roman;serif" w:hAnsi="Times New Roman;serif"/>
                <w:b w:val="false"/>
                <w:color w:val="000000"/>
                <w:sz w:val="24"/>
                <w:u w:val="single"/>
              </w:rPr>
              <w:t>Service Relationship</w:t>
            </w:r>
            <w:r>
              <w:rPr>
                <w:color w:val="000000"/>
              </w:rPr>
              <w:t xml:space="preserve">” </w:t>
            </w:r>
            <w:r>
              <w:rPr>
                <w:rFonts w:ascii="Times New Roman;serif" w:hAnsi="Times New Roman;serif"/>
                <w:b w:val="false"/>
                <w:color w:val="000000"/>
                <w:sz w:val="24"/>
              </w:rPr>
              <w:t>means any relationship as a full-time or part-time employee, officer, non-employee director, consultant or advisor of the Company or any successor entity (e.g., a Service Relationship shall be deemed to continue without interruption in the event an individual’s status changes from full-time employee to part-time employee or consultant). For the avoidance of doubt, no partial or pro-rata vesting will occur for performance below the applicable threshold for any Performance Year (as defined below) or for the partial Service Relationship of any applicable Performance Year.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13"/>
        <w:gridCol w:w="452"/>
        <w:gridCol w:w="453"/>
        <w:gridCol w:w="2570"/>
        <w:gridCol w:w="2570"/>
        <w:gridCol w:w="3647"/>
      </w:tblGrid>
      <w:tr>
        <w:trPr/>
        <w:tc>
          <w:tcPr>
            <w:tcW w:w="51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if a Change in Control occurs prior to the end of the Performance Period, then:</w:t>
              <w:br/>
              <w:br/>
              <w:t>(A) upon the consummation of such Change in Control, each then-outstanding Performance Stock Unit shall be converted, on a one-for-one basis, and for purposes of determining the number of Performance Stock Units subject to conversion, shall assume that the Annual Performance Factor for the remaining relevant Performance Years was attained at Target levels, into a time-based vesting Restricted Stock Unit (each such converted Restricted Stock Unit, a “Converted RSU”), that vests over the remaining Performance Period on the originally scheduled Vesting Dates, subject to the Participant’s continued Service Relationship with the Company (or its successor, combined or surviving entity, as the case may be) through the consummation of the Change in Control and each subsequent Vesting Date(s) (as applicable);</w:t>
            </w:r>
          </w:p>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 if the Participant’s Service Relationship is terminated by the Company without Cause or by the Participant for Good Reason (each as defined in the Plan) within the twelve (12) month period following the Change in Control, (each such termination event, a “Qualifying Termination”), all then-unvested Converted RSUs shall vest in full immediately upon such Qualifying Termination; and</w:t>
            </w:r>
          </w:p>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 following a Change in Control, no additional performance measurement and/or goals may be applied to any portion of the Performance Stock Units.</w:t>
            </w:r>
          </w:p>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Unless the context otherwise requires, references to “Performance Stock Units” shall be deemed to include “Converted RSUs” to the extent applicable following a Change in Control.</w:t>
            </w:r>
          </w:p>
        </w:tc>
      </w:tr>
      <w:tr>
        <w:trPr/>
        <w:tc>
          <w:tcPr>
            <w:tcW w:w="141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Dividend Equivalents:</w:t>
            </w:r>
          </w:p>
        </w:tc>
        <w:tc>
          <w:tcPr>
            <w:tcW w:w="8787" w:type="dxa"/>
            <w:gridSpan w:val="3"/>
            <w:tcBorders>
              <w:top w:val="single" w:sz="8" w:space="0" w:color="000000"/>
              <w:left w:val="single" w:sz="8" w:space="0" w:color="000000"/>
              <w:bottom w:val="single" w:sz="8" w:space="0" w:color="000000"/>
              <w:right w:val="single" w:sz="8"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Performance Stock Units shall be credited with dividend equivalent payments to be paid in cash (without interest) on the corresponding vesting dates, as provided in Section 14(c)(iii) of the Plan.</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ZOOMINFO TECHNOLOGIES INC.</w: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By: Henry Schuck</w:t>
        <w:br/>
        <w:t>Title: Chief Executive Officer</w:t>
      </w:r>
    </w:p>
    <w:p>
      <w:pPr>
        <w:pStyle w:val="TextBody"/>
        <w:bidi w:val="0"/>
        <w:spacing w:lineRule="auto" w:line="288" w:before="0" w:after="480"/>
        <w:jc w:val="both"/>
        <w:rPr>
          <w:rFonts w:ascii="Times New Roman;serif" w:hAnsi="Times New Roman;serif"/>
          <w:b/>
          <w:color w:val="000000"/>
          <w:sz w:val="24"/>
        </w:rPr>
      </w:pPr>
      <w:r>
        <w:rPr>
          <w:rFonts w:ascii="Times New Roman;serif" w:hAnsi="Times New Roman;serif"/>
          <w:b/>
          <w:color w:val="000000"/>
          <w:sz w:val="24"/>
        </w:rPr>
        <w:t>THE UNDERSIGNED PARTICIPANT ACKNOWLEDGES RECEIPT OF THIS PERFORMANCE STOCK UNIT GRANT NOTICE, THE PERFORMANCE STOCK UNIT AGREEMENT AND THE PLAN, AND, AS AN EXPRESS CONDITION TO THE GRANT OF PERFORMANCE STOCK UNITS HEREUNDER, AGREES TO BE BOUND BY THE TERMS OF THIS PERFORMANCE STOCK UNIT GRANT NOTICE, THE PERFORMANCE STOCK UNIT AGREEMENT AND THE PLAN.</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PARTICIPANT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w:t>
      </w:r>
    </w:p>
    <w:p>
      <w:pPr>
        <w:pStyle w:val="TextBody"/>
        <w:bidi w:val="0"/>
        <w:spacing w:lineRule="auto" w:line="288"/>
        <w:jc w:val="left"/>
        <w:rPr/>
      </w:pPr>
      <w:r>
        <w:rPr>
          <w:rFonts w:ascii="Times New Roman;serif" w:hAnsi="Times New Roman;serif"/>
          <w:b w:val="false"/>
          <w:color w:val="000000"/>
          <w:sz w:val="22"/>
        </w:rPr>
        <w:t>By:</w:t>
      </w:r>
      <w:r>
        <w:rPr>
          <w:rFonts w:ascii="Times New Roman;serif" w:hAnsi="Times New Roman;serif"/>
          <w:b w:val="false"/>
          <w:color w:val="000000"/>
          <w:sz w:val="22"/>
          <w:u w:val="single"/>
        </w:rPr>
        <w:br/>
        <w:br/>
      </w:r>
      <w:r>
        <w:rPr>
          <w:rFonts w:ascii="Times New Roman;serif" w:hAnsi="Times New Roman;serif"/>
          <w:b w:val="false"/>
          <w:color w:val="000000"/>
          <w:sz w:val="22"/>
        </w:rPr>
        <w:t>Date:_________________________</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PERFORMANCE STOCK UNIT AGREEMENT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ZOOMINFO TECHNOLOGIES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INDUCEMENT EQUITY INCENTIVE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Pursuant to the Performance Stock Unit Grant Notice (the “</w:t>
      </w:r>
      <w:r>
        <w:rPr>
          <w:rFonts w:ascii="Times New Roman;serif" w:hAnsi="Times New Roman;serif"/>
          <w:b w:val="false"/>
          <w:color w:val="000000"/>
          <w:sz w:val="24"/>
          <w:u w:val="single"/>
        </w:rPr>
        <w:t>Grant Notice</w:t>
      </w:r>
      <w:r>
        <w:rPr>
          <w:color w:val="000000"/>
        </w:rPr>
        <w:t>”</w:t>
      </w:r>
      <w:r>
        <w:rPr>
          <w:rFonts w:ascii="Times New Roman;serif" w:hAnsi="Times New Roman;serif"/>
          <w:b w:val="false"/>
          <w:color w:val="000000"/>
          <w:sz w:val="24"/>
        </w:rPr>
        <w:t>) delivered to the Participant (as defined in the Grant Notice), and subject to the terms of this Performance Stock Unit Agreement (this “</w:t>
      </w:r>
      <w:r>
        <w:rPr>
          <w:rFonts w:ascii="Times New Roman;serif" w:hAnsi="Times New Roman;serif"/>
          <w:b w:val="false"/>
          <w:color w:val="000000"/>
          <w:sz w:val="24"/>
          <w:u w:val="single"/>
        </w:rPr>
        <w:t>Performance Stock Unit Agreement</w:t>
      </w:r>
      <w:r>
        <w:rPr>
          <w:color w:val="000000"/>
        </w:rPr>
        <w:t>”</w:t>
      </w:r>
      <w:r>
        <w:rPr>
          <w:rFonts w:ascii="Times New Roman;serif" w:hAnsi="Times New Roman;serif"/>
          <w:b w:val="false"/>
          <w:color w:val="000000"/>
          <w:sz w:val="24"/>
        </w:rPr>
        <w:t>) and the ZoomInfo Technologies Inc. Inducement Equity Incentive Plan, as it may be amended and restated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ZoomInfo Technologies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the Participant agree as follows. Capitalized terms not otherwise defined herein shall have the same meaning as set forth in the Plan.</w:t>
      </w:r>
    </w:p>
    <w:p>
      <w:pPr>
        <w:pStyle w:val="TextBody"/>
        <w:bidi w:val="0"/>
        <w:spacing w:lineRule="auto" w:line="288" w:before="0" w:after="240"/>
        <w:jc w:val="both"/>
        <w:rPr/>
      </w:pPr>
      <w:r>
        <w:rPr>
          <w:rFonts w:ascii="Times New Roman;serif" w:hAnsi="Times New Roman;serif"/>
          <w:b w:val="false"/>
          <w:color w:val="000000"/>
          <w:sz w:val="24"/>
        </w:rPr>
        <w:t>1.</w:t>
      </w:r>
      <w:r>
        <w:rPr>
          <w:rFonts w:ascii="Times New Roman;serif" w:hAnsi="Times New Roman;serif"/>
          <w:b/>
          <w:color w:val="000000"/>
          <w:sz w:val="24"/>
          <w:u w:val="single"/>
        </w:rPr>
        <w:t>Grant of Performance Stock Units</w:t>
      </w:r>
      <w:r>
        <w:rPr>
          <w:rFonts w:ascii="Times New Roman;serif" w:hAnsi="Times New Roman;serif"/>
          <w:b w:val="false"/>
          <w:color w:val="000000"/>
          <w:sz w:val="24"/>
        </w:rPr>
        <w:t>. Subject to the terms and conditions set forth herein and in the Plan, the Company hereby grants to the Participant the number of Performance Stock Units provided in the Grant Notice (with each Performance Stock Unit representing an unfunded, unsecured right to receive one share of Common Stock). The Company may make one or more additional grants of Performance Stock Units to the Participant under this Performance Stock Unit Agreement by providing the Participant with a new Grant Notice, which may also include any terms and conditions differing from this Performance Stock Unit Agreement to the extent provided therein. The Company reserves all rights with respect to the granting of additional Performance Stock Units hereunder and makes no implied promise to grant additional Performance Stock Units.</w:t>
      </w:r>
    </w:p>
    <w:p>
      <w:pPr>
        <w:pStyle w:val="TextBody"/>
        <w:bidi w:val="0"/>
        <w:spacing w:lineRule="auto" w:line="288" w:before="0" w:after="240"/>
        <w:jc w:val="both"/>
        <w:rPr/>
      </w:pPr>
      <w:r>
        <w:rPr>
          <w:rFonts w:ascii="Times New Roman;serif" w:hAnsi="Times New Roman;serif"/>
          <w:b w:val="false"/>
          <w:color w:val="000000"/>
          <w:sz w:val="24"/>
        </w:rPr>
        <w:t>2.</w:t>
      </w:r>
      <w:r>
        <w:rPr>
          <w:rFonts w:ascii="Times New Roman;serif" w:hAnsi="Times New Roman;serif"/>
          <w:b/>
          <w:color w:val="000000"/>
          <w:sz w:val="24"/>
          <w:u w:val="single"/>
        </w:rPr>
        <w:t>Vesting</w:t>
      </w:r>
      <w:r>
        <w:rPr>
          <w:rFonts w:ascii="Times New Roman;serif" w:hAnsi="Times New Roman;serif"/>
          <w:b w:val="false"/>
          <w:color w:val="000000"/>
          <w:sz w:val="24"/>
        </w:rPr>
        <w:t>. Subject to the conditions contained herein and in the Plan, the Performance Stock Units shall vest as provided in the Grant Notice.</w:t>
      </w:r>
    </w:p>
    <w:p>
      <w:pPr>
        <w:pStyle w:val="TextBody"/>
        <w:bidi w:val="0"/>
        <w:spacing w:lineRule="auto" w:line="288" w:before="0" w:after="240"/>
        <w:jc w:val="both"/>
        <w:rPr/>
      </w:pPr>
      <w:r>
        <w:rPr>
          <w:rFonts w:ascii="Times New Roman;serif" w:hAnsi="Times New Roman;serif"/>
          <w:b w:val="false"/>
          <w:color w:val="000000"/>
          <w:sz w:val="24"/>
        </w:rPr>
        <w:t>3.</w:t>
      </w:r>
      <w:r>
        <w:rPr>
          <w:rFonts w:ascii="Times New Roman;serif" w:hAnsi="Times New Roman;serif"/>
          <w:b/>
          <w:color w:val="000000"/>
          <w:sz w:val="24"/>
          <w:u w:val="single"/>
        </w:rPr>
        <w:t>Settlement of Performance Stock Units</w:t>
      </w:r>
      <w:r>
        <w:rPr>
          <w:rFonts w:ascii="Times New Roman;serif" w:hAnsi="Times New Roman;serif"/>
          <w:b w:val="false"/>
          <w:color w:val="000000"/>
          <w:sz w:val="24"/>
        </w:rPr>
        <w:t>. Subject to any election by the Committee pursuant to Section 8(d)(ii) of the Plan, including, but not limited to, arranging a mandatory “sell to cover” on Participant’s behalf (without further authorization), the Company will deliver to the Participant, without charge, as soon as reasonably practicable (and, in any event, within two and one-half months) following the applicable vesting date, one share of Common Stock for each Performance Stock Unit (as adjusted under the Plan, as applicable) which becomes vested hereunder and such vested Performance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Performance Stock Unit Agreement to the contrary, the Company shall have no obligation to issue or transfer any shares of Common Stock as contemplated by this Performance Stock Unit Agreement unless and until such issuance or transfer complies with all relevant provisions of law and the requirements of any stock exchange on which the Company’s shares of Common Stock are listed for trading.</w:t>
      </w:r>
    </w:p>
    <w:p>
      <w:pPr>
        <w:pStyle w:val="TextBody"/>
        <w:bidi w:val="0"/>
        <w:spacing w:lineRule="auto" w:line="288" w:before="0" w:after="240"/>
        <w:jc w:val="both"/>
        <w:rPr/>
      </w:pPr>
      <w:r>
        <w:rPr>
          <w:rFonts w:ascii="Times New Roman;serif" w:hAnsi="Times New Roman;serif"/>
          <w:b w:val="false"/>
          <w:color w:val="000000"/>
          <w:sz w:val="24"/>
        </w:rPr>
        <w:t>4.</w:t>
      </w:r>
      <w:r>
        <w:rPr>
          <w:rFonts w:ascii="Times New Roman;serif" w:hAnsi="Times New Roman;serif"/>
          <w:b/>
          <w:color w:val="000000"/>
          <w:sz w:val="24"/>
          <w:u w:val="single"/>
        </w:rPr>
        <w:t>Treatment of Performance Stock Units Upon Termination</w:t>
      </w:r>
      <w:r>
        <w:rPr>
          <w:rFonts w:ascii="Times New Roman;serif" w:hAnsi="Times New Roman;serif"/>
          <w:b w:val="false"/>
          <w:color w:val="000000"/>
          <w:sz w:val="24"/>
        </w:rPr>
        <w:t xml:space="preserve">. The provisions of Section 8(c)(ii) of the Plan are incorporated herein by reference and made a part hereof.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5.</w:t>
      </w:r>
      <w:r>
        <w:rPr>
          <w:rFonts w:ascii="Times New Roman;serif" w:hAnsi="Times New Roman;serif"/>
          <w:b/>
          <w:color w:val="000000"/>
          <w:sz w:val="24"/>
          <w:u w:val="single"/>
        </w:rPr>
        <w:t>Company; Participant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term “Company” as used in this Performance Stock Unit Agreement with reference to employment shall include the Company and its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Whenever the word “Participant” is used in any provision of this Performance Stock Unit Agreement under circumstances where the provision should logically be construed to apply to the executors, the administrators, or the person or persons to whom the Performance Stock Units may be transferred in accordance with Section 14(b) of the Plan, the word “Participant” shall be deemed to include such person or persons.</w:t>
      </w:r>
    </w:p>
    <w:p>
      <w:pPr>
        <w:pStyle w:val="TextBody"/>
        <w:bidi w:val="0"/>
        <w:spacing w:lineRule="auto" w:line="288" w:before="0" w:after="240"/>
        <w:jc w:val="both"/>
        <w:rPr/>
      </w:pPr>
      <w:r>
        <w:rPr>
          <w:rFonts w:ascii="Times New Roman;serif" w:hAnsi="Times New Roman;serif"/>
          <w:b w:val="false"/>
          <w:color w:val="000000"/>
          <w:sz w:val="24"/>
        </w:rPr>
        <w:t>6.</w:t>
      </w:r>
      <w:r>
        <w:rPr>
          <w:rFonts w:ascii="Times New Roman;serif" w:hAnsi="Times New Roman;serif"/>
          <w:b/>
          <w:color w:val="000000"/>
          <w:sz w:val="24"/>
          <w:u w:val="single"/>
        </w:rPr>
        <w:t>Non-Transferability</w:t>
      </w:r>
      <w:r>
        <w:rPr>
          <w:rFonts w:ascii="Times New Roman;serif" w:hAnsi="Times New Roman;serif"/>
          <w:b w:val="false"/>
          <w:color w:val="000000"/>
          <w:sz w:val="24"/>
        </w:rPr>
        <w:t>. The Performance Stock Units are not transferable by the Participant except to Permitted Transferees in accordance with Section 14(b) of the Plan. Except as otherwise provided herein, no assignment or transfer of the Performance Stock Units, or of the rights represented thereby, whether voluntary or involuntary, by operation of law or otherwise, shall vest in the assignee or transferee any interest or right herein whatsoever, but immediately upon such assignment or transfer the Performance Stock Units shall terminate and become of no further effect.</w:t>
      </w:r>
    </w:p>
    <w:p>
      <w:pPr>
        <w:pStyle w:val="TextBody"/>
        <w:bidi w:val="0"/>
        <w:spacing w:lineRule="auto" w:line="288" w:before="0" w:after="240"/>
        <w:jc w:val="both"/>
        <w:rPr/>
      </w:pPr>
      <w:r>
        <w:rPr>
          <w:rFonts w:ascii="Times New Roman;serif" w:hAnsi="Times New Roman;serif"/>
          <w:b w:val="false"/>
          <w:color w:val="000000"/>
          <w:sz w:val="24"/>
        </w:rPr>
        <w:t>7.</w:t>
      </w:r>
      <w:r>
        <w:rPr>
          <w:rFonts w:ascii="Times New Roman;serif" w:hAnsi="Times New Roman;serif"/>
          <w:b/>
          <w:color w:val="000000"/>
          <w:sz w:val="24"/>
          <w:u w:val="single"/>
        </w:rPr>
        <w:t>Rights as Shareholder</w:t>
      </w:r>
      <w:r>
        <w:rPr>
          <w:rFonts w:ascii="Times New Roman;serif" w:hAnsi="Times New Roman;serif"/>
          <w:b w:val="false"/>
          <w:color w:val="000000"/>
          <w:sz w:val="24"/>
        </w:rPr>
        <w:t>. The Participant or a Permitted Transferee of the Performance Stock Units shall have no rights as a shareholder with respect to any share of Common Stock underlying a Performance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pStyle w:val="TextBody"/>
        <w:bidi w:val="0"/>
        <w:spacing w:lineRule="auto" w:line="288" w:before="0" w:after="240"/>
        <w:jc w:val="both"/>
        <w:rPr/>
      </w:pPr>
      <w:r>
        <w:rPr>
          <w:rFonts w:ascii="Times New Roman;serif" w:hAnsi="Times New Roman;serif"/>
          <w:b w:val="false"/>
          <w:color w:val="000000"/>
          <w:sz w:val="24"/>
        </w:rPr>
        <w:t>8.</w:t>
      </w:r>
      <w:r>
        <w:rPr>
          <w:rFonts w:ascii="Times New Roman;serif" w:hAnsi="Times New Roman;serif"/>
          <w:b/>
          <w:color w:val="000000"/>
          <w:sz w:val="24"/>
          <w:u w:val="single"/>
        </w:rPr>
        <w:t>Tax Withholding</w:t>
      </w:r>
      <w:r>
        <w:rPr>
          <w:rFonts w:ascii="Times New Roman;serif" w:hAnsi="Times New Roman;serif"/>
          <w:b w:val="false"/>
          <w:color w:val="000000"/>
          <w:sz w:val="24"/>
        </w:rPr>
        <w:t>. The provisions of Section 14(d) of the Plan are incorporated herein by reference and made a part hereof. Without limiting the Company’s rights to satisfy withholding obligations as described under Section 14(d) of the Plan, the Participant hereby authorizes the Company to satisfy the applicable tax withholding obligations from proceeds of the sale of shares of Common Stock issuable in respect of the Performance Stock Units through a mandatory sale arranged by the Company (on Participant’s behalf pursuant to this authorization).</w:t>
      </w:r>
    </w:p>
    <w:p>
      <w:pPr>
        <w:pStyle w:val="TextBody"/>
        <w:bidi w:val="0"/>
        <w:spacing w:lineRule="auto" w:line="288" w:before="0" w:after="240"/>
        <w:jc w:val="both"/>
        <w:rPr/>
      </w:pPr>
      <w:r>
        <w:rPr>
          <w:rFonts w:ascii="Times New Roman;serif" w:hAnsi="Times New Roman;serif"/>
          <w:b w:val="false"/>
          <w:color w:val="000000"/>
          <w:sz w:val="24"/>
        </w:rPr>
        <w:t>9.</w:t>
      </w:r>
      <w:r>
        <w:rPr>
          <w:rFonts w:ascii="Times New Roman;serif" w:hAnsi="Times New Roman;serif"/>
          <w:b/>
          <w:color w:val="000000"/>
          <w:sz w:val="24"/>
          <w:u w:val="single"/>
        </w:rPr>
        <w:t>Notice</w:t>
      </w:r>
      <w:r>
        <w:rPr>
          <w:rFonts w:ascii="Times New Roman;serif" w:hAnsi="Times New Roman;serif"/>
          <w:b w:val="false"/>
          <w:color w:val="000000"/>
          <w:sz w:val="24"/>
        </w:rPr>
        <w:t xml:space="preserve">. Every notice or other communication relating to this Performance Stock Unit Agreement between the 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delivered, transmitted or sent in accordance with the procedures established by such third-party plan administrator and communicated to the Participant from time to time.</w:t>
      </w:r>
    </w:p>
    <w:p>
      <w:pPr>
        <w:pStyle w:val="TextBody"/>
        <w:bidi w:val="0"/>
        <w:spacing w:lineRule="auto" w:line="288" w:before="0" w:after="240"/>
        <w:jc w:val="both"/>
        <w:rPr/>
      </w:pPr>
      <w:r>
        <w:rPr>
          <w:rFonts w:ascii="Times New Roman;serif" w:hAnsi="Times New Roman;serif"/>
          <w:b w:val="false"/>
          <w:color w:val="000000"/>
          <w:sz w:val="24"/>
        </w:rPr>
        <w:t>10.</w:t>
      </w:r>
      <w:r>
        <w:rPr>
          <w:rFonts w:ascii="Times New Roman;serif" w:hAnsi="Times New Roman;serif"/>
          <w:b/>
          <w:color w:val="000000"/>
          <w:sz w:val="24"/>
          <w:u w:val="single"/>
        </w:rPr>
        <w:t>No Right to Continued Service</w:t>
      </w:r>
      <w:r>
        <w:rPr>
          <w:rFonts w:ascii="Times New Roman;serif" w:hAnsi="Times New Roman;serif"/>
          <w:b w:val="false"/>
          <w:color w:val="000000"/>
          <w:sz w:val="24"/>
        </w:rPr>
        <w:t>. This Performance Stock Unit Agreement does not confer upon the Participant any right to continue as an employee or other service provider to the Company.</w:t>
      </w:r>
    </w:p>
    <w:p>
      <w:pPr>
        <w:pStyle w:val="TextBody"/>
        <w:bidi w:val="0"/>
        <w:spacing w:lineRule="auto" w:line="288" w:before="0" w:after="240"/>
        <w:jc w:val="both"/>
        <w:rPr/>
      </w:pPr>
      <w:r>
        <w:rPr>
          <w:rFonts w:ascii="Times New Roman;serif" w:hAnsi="Times New Roman;serif"/>
          <w:b w:val="false"/>
          <w:color w:val="000000"/>
          <w:sz w:val="24"/>
        </w:rPr>
        <w:t>11.</w:t>
      </w:r>
      <w:r>
        <w:rPr>
          <w:rFonts w:ascii="Times New Roman;serif" w:hAnsi="Times New Roman;serif"/>
          <w:b/>
          <w:color w:val="000000"/>
          <w:sz w:val="24"/>
          <w:u w:val="single"/>
        </w:rPr>
        <w:t>Binding Effect</w:t>
      </w:r>
      <w:r>
        <w:rPr>
          <w:rFonts w:ascii="Times New Roman;serif" w:hAnsi="Times New Roman;serif"/>
          <w:b w:val="false"/>
          <w:color w:val="000000"/>
          <w:sz w:val="24"/>
        </w:rPr>
        <w:t>. This Performance Stock Unit Agreement shall be binding upon the heirs, executors, administrators and successors of the parties hereto.</w:t>
      </w:r>
    </w:p>
    <w:p>
      <w:pPr>
        <w:pStyle w:val="TextBody"/>
        <w:bidi w:val="0"/>
        <w:spacing w:lineRule="auto" w:line="288" w:before="0" w:after="240"/>
        <w:jc w:val="both"/>
        <w:rPr/>
      </w:pPr>
      <w:r>
        <w:rPr>
          <w:rFonts w:ascii="Times New Roman;serif" w:hAnsi="Times New Roman;serif"/>
          <w:b w:val="false"/>
          <w:color w:val="000000"/>
          <w:sz w:val="24"/>
        </w:rPr>
        <w:t>12.</w:t>
      </w:r>
      <w:r>
        <w:rPr>
          <w:rFonts w:ascii="Times New Roman;serif" w:hAnsi="Times New Roman;serif"/>
          <w:b/>
          <w:color w:val="000000"/>
          <w:sz w:val="24"/>
          <w:u w:val="single"/>
        </w:rPr>
        <w:t>Waiver and Amendments</w:t>
      </w:r>
      <w:r>
        <w:rPr>
          <w:rFonts w:ascii="Times New Roman;serif" w:hAnsi="Times New Roman;serif"/>
          <w:b w:val="false"/>
          <w:color w:val="000000"/>
          <w:sz w:val="24"/>
        </w:rPr>
        <w:t xml:space="preserve">. Except as otherwise set forth in Section 13 of the Plan, any waiver, alteration, amendment or modification of any of the terms of this Performance Stock Unit Agreement shall be valid only if made in writing and signed by the parties hereto;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pStyle w:val="TextBody"/>
        <w:bidi w:val="0"/>
        <w:spacing w:lineRule="auto" w:line="288" w:before="0" w:after="240"/>
        <w:jc w:val="both"/>
        <w:rPr/>
      </w:pPr>
      <w:r>
        <w:rPr>
          <w:rFonts w:ascii="Times New Roman;serif" w:hAnsi="Times New Roman;serif"/>
          <w:b w:val="false"/>
          <w:color w:val="000000"/>
          <w:sz w:val="24"/>
        </w:rPr>
        <w:t>13.</w:t>
      </w:r>
      <w:r>
        <w:rPr>
          <w:rFonts w:ascii="Times New Roman;serif" w:hAnsi="Times New Roman;serif"/>
          <w:b/>
          <w:color w:val="000000"/>
          <w:sz w:val="24"/>
          <w:u w:val="single"/>
        </w:rPr>
        <w:t>Clawback/Forfeiture</w:t>
      </w:r>
      <w:r>
        <w:rPr>
          <w:rFonts w:ascii="Times New Roman;serif" w:hAnsi="Times New Roman;serif"/>
          <w:b w:val="false"/>
          <w:color w:val="000000"/>
          <w:sz w:val="24"/>
        </w:rPr>
        <w:t>. Notwithstanding anything to the contrary contained herein or in the Plan, if the Participant has engaged in or engages in any Detrimental Activity, then the Committee may, in its sole discretion, take actions permitted under the Plan, including: (a) canceling the Performance Stock Units, or (b) requiring that the Participant forfeit any gain realized on the disposition of any shares of Common Stock received in settlement of any Performance Stock Units, and repay such gain to the Company. In addition, if the Participant receives any amount in excess of what the Participant should have received under the terms of this Performance Stock Unit Agreement for any reason (including without limitation by reason of a financial restatement, mistake in calculations or other administrative error), then the Participant shall be required to repay any such excess amount to the Company. Without limiting the foregoing, all or a portion of the Performance Stock Units shall be subject to reduction, cancellation, forfeiture or recoupment to the extent necessary to comply with applicable law or with any clawback policy that may be adopted by the Company in the future including, without limitation, any such policy required to comply with the final SEC rules and/or Nasdaq Stock Market listing standards with respect to recoupment adopted pursuant to the Dodd-Frank Wall Street Reform and Consumer Protection Act. In the event that any award granted pursuant to this Agreement becomes subject to recoupment pursuant to any policy, the Company may utilize any method of recovery specified in any such policy in connection with any award recoupments required or permitted under any such policy.</w:t>
      </w:r>
    </w:p>
    <w:p>
      <w:pPr>
        <w:pStyle w:val="TextBody"/>
        <w:bidi w:val="0"/>
        <w:spacing w:lineRule="auto" w:line="288" w:before="0" w:after="240"/>
        <w:jc w:val="both"/>
        <w:rPr/>
      </w:pPr>
      <w:r>
        <w:rPr>
          <w:rFonts w:ascii="Times New Roman;serif" w:hAnsi="Times New Roman;serif"/>
          <w:b w:val="false"/>
          <w:color w:val="000000"/>
          <w:sz w:val="24"/>
        </w:rPr>
        <w:t>14.</w:t>
      </w:r>
      <w:r>
        <w:rPr>
          <w:rFonts w:ascii="Times New Roman;serif" w:hAnsi="Times New Roman;serif"/>
          <w:b/>
          <w:color w:val="000000"/>
          <w:sz w:val="24"/>
          <w:u w:val="single"/>
        </w:rPr>
        <w:t>Prior Agreements; Restrictive Covenants</w:t>
      </w:r>
      <w:r>
        <w:rPr>
          <w:rFonts w:ascii="Times New Roman;serif" w:hAnsi="Times New Roman;serif"/>
          <w:b w:val="false"/>
          <w:color w:val="000000"/>
          <w:sz w:val="24"/>
        </w:rPr>
        <w:t xml:space="preserve">. The Participant shall execute and return to the Company a copy of the Restrictive Covenant Agreement attached hereto as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15.</w:t>
      </w:r>
      <w:r>
        <w:rPr>
          <w:rFonts w:ascii="Times New Roman;serif" w:hAnsi="Times New Roman;serif"/>
          <w:b/>
          <w:color w:val="000000"/>
          <w:sz w:val="24"/>
          <w:u w:val="single"/>
        </w:rPr>
        <w:t>Governing Law</w:t>
      </w:r>
      <w:r>
        <w:rPr>
          <w:rFonts w:ascii="Times New Roman;serif" w:hAnsi="Times New Roman;serif"/>
          <w:b w:val="false"/>
          <w:color w:val="000000"/>
          <w:sz w:val="24"/>
        </w:rPr>
        <w:t xml:space="preserve">. This Performance Stock Unit Agreement shall be construed and interpreted in accordance with the laws of the State of Delaware, without regard to the principles of conflicts of law thereof. Notwithstanding anything contained in this Performance Stock Unit Agreement, the Grant Notice or the Plan to the contrary, if any suit or claim is instituted by the Participant or the Company relating to this Performance Stock Unit Agreement, the Grant Notice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the Plan, the Participant hereby submits to the exclusive jurisdiction of and venue in the courts of Delaware.</w:t>
      </w:r>
    </w:p>
    <w:p>
      <w:pPr>
        <w:pStyle w:val="TextBody"/>
        <w:bidi w:val="0"/>
        <w:spacing w:lineRule="auto" w:line="288" w:before="0" w:after="240"/>
        <w:jc w:val="both"/>
        <w:rPr/>
      </w:pPr>
      <w:r>
        <w:rPr>
          <w:rFonts w:ascii="Times New Roman;serif" w:hAnsi="Times New Roman;serif"/>
          <w:b w:val="false"/>
          <w:color w:val="000000"/>
          <w:sz w:val="24"/>
        </w:rPr>
        <w:t>16.</w:t>
      </w:r>
      <w:r>
        <w:rPr>
          <w:rFonts w:ascii="Times New Roman;serif" w:hAnsi="Times New Roman;serif"/>
          <w:b/>
          <w:color w:val="000000"/>
          <w:sz w:val="24"/>
          <w:u w:val="single"/>
        </w:rPr>
        <w:t>Plan</w:t>
      </w:r>
      <w:r>
        <w:rPr>
          <w:rFonts w:ascii="Times New Roman;serif" w:hAnsi="Times New Roman;serif"/>
          <w:b w:val="false"/>
          <w:color w:val="000000"/>
          <w:sz w:val="24"/>
        </w:rPr>
        <w:t>. The terms and provisions of the Plan are incorporated herein by reference. In the event of a conflict or inconsistency between the terms and provisions of the Plan and the provisions of this Performance Stock Unit Agreement (including the Grant Notice), the Plan shall govern and control.</w:t>
      </w:r>
    </w:p>
    <w:p>
      <w:pPr>
        <w:pStyle w:val="TextBody"/>
        <w:bidi w:val="0"/>
        <w:spacing w:lineRule="auto" w:line="288" w:before="0" w:after="240"/>
        <w:jc w:val="both"/>
        <w:rPr/>
      </w:pPr>
      <w:r>
        <w:rPr>
          <w:rFonts w:ascii="Times New Roman;serif" w:hAnsi="Times New Roman;serif"/>
          <w:b w:val="false"/>
          <w:color w:val="000000"/>
          <w:sz w:val="24"/>
        </w:rPr>
        <w:t>17.</w:t>
      </w:r>
      <w:r>
        <w:rPr>
          <w:rFonts w:ascii="Times New Roman;serif" w:hAnsi="Times New Roman;serif"/>
          <w:b/>
          <w:color w:val="000000"/>
          <w:sz w:val="24"/>
          <w:u w:val="single"/>
        </w:rPr>
        <w:t>Section 409A</w:t>
      </w:r>
      <w:r>
        <w:rPr>
          <w:rFonts w:ascii="Times New Roman;serif" w:hAnsi="Times New Roman;serif"/>
          <w:b w:val="false"/>
          <w:color w:val="000000"/>
          <w:sz w:val="24"/>
        </w:rPr>
        <w:t>. It is intended that the Performance Stock Units granted hereunder shall be exempt from Section 409A of the Code, if applicable, pursuant to the “short-term deferral” rule applicable to such section, as set forth in the regulations or other guidance published by the Internal Revenue Service thereunder.</w:t>
      </w:r>
    </w:p>
    <w:p>
      <w:pPr>
        <w:pStyle w:val="TextBody"/>
        <w:bidi w:val="0"/>
        <w:spacing w:lineRule="auto" w:line="288" w:before="0" w:after="240"/>
        <w:jc w:val="both"/>
        <w:rPr/>
      </w:pPr>
      <w:r>
        <w:rPr>
          <w:rFonts w:ascii="Times New Roman;serif" w:hAnsi="Times New Roman;serif"/>
          <w:b w:val="false"/>
          <w:color w:val="000000"/>
          <w:sz w:val="24"/>
        </w:rPr>
        <w:t>18.</w:t>
      </w:r>
      <w:r>
        <w:rPr>
          <w:rFonts w:ascii="Times New Roman;serif" w:hAnsi="Times New Roman;serif"/>
          <w:b/>
          <w:color w:val="000000"/>
          <w:sz w:val="24"/>
          <w:u w:val="single"/>
        </w:rPr>
        <w:t>Imposition of Other Requirements</w:t>
      </w:r>
      <w:r>
        <w:rPr>
          <w:rFonts w:ascii="Times New Roman;serif" w:hAnsi="Times New Roman;serif"/>
          <w:b w:val="false"/>
          <w:color w:val="000000"/>
          <w:sz w:val="24"/>
        </w:rPr>
        <w:t>. The Company reserves the right to impose other requirements on the Participant’s participation in the Plan, on the Performance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88" w:before="0" w:after="240"/>
        <w:jc w:val="both"/>
        <w:rPr/>
      </w:pPr>
      <w:r>
        <w:rPr>
          <w:rFonts w:ascii="Times New Roman;serif" w:hAnsi="Times New Roman;serif"/>
          <w:b w:val="false"/>
          <w:color w:val="000000"/>
          <w:sz w:val="24"/>
        </w:rPr>
        <w:t>19.</w:t>
      </w:r>
      <w:r>
        <w:rPr>
          <w:rFonts w:ascii="Times New Roman;serif" w:hAnsi="Times New Roman;serif"/>
          <w:b/>
          <w:color w:val="000000"/>
          <w:sz w:val="24"/>
          <w:u w:val="single"/>
        </w:rPr>
        <w:t>Electronic Delivery and Acceptance</w:t>
      </w:r>
      <w:r>
        <w:rPr>
          <w:rFonts w:ascii="Times New Roman;serif" w:hAnsi="Times New Roman;serif"/>
          <w:b w:val="false"/>
          <w:color w:val="000000"/>
          <w:sz w:val="24"/>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88" w:before="0" w:after="240"/>
        <w:jc w:val="both"/>
        <w:rPr/>
      </w:pPr>
      <w:r>
        <w:rPr>
          <w:rFonts w:ascii="Times New Roman;serif" w:hAnsi="Times New Roman;serif"/>
          <w:b w:val="false"/>
          <w:color w:val="000000"/>
          <w:sz w:val="24"/>
        </w:rPr>
        <w:t>20.</w:t>
      </w:r>
      <w:r>
        <w:rPr>
          <w:rFonts w:ascii="Times New Roman;serif" w:hAnsi="Times New Roman;serif"/>
          <w:b/>
          <w:color w:val="000000"/>
          <w:sz w:val="24"/>
          <w:u w:val="single"/>
        </w:rPr>
        <w:t>Additional Terms for Non-U.S. Participants</w:t>
      </w:r>
      <w:r>
        <w:rPr>
          <w:rFonts w:ascii="Times New Roman;serif" w:hAnsi="Times New Roman;serif"/>
          <w:b w:val="false"/>
          <w:color w:val="000000"/>
          <w:sz w:val="24"/>
        </w:rPr>
        <w:t xml:space="preserve">. Notwithstanding anything to the contrary herein, if the Participant resides and/or works outside of the United States, the Participant shall be subject to the Additional Terms and Conditions for Non-U.S. Participants attached hereto as </w:t>
      </w:r>
      <w:r>
        <w:rPr>
          <w:rFonts w:ascii="Times New Roman;serif" w:hAnsi="Times New Roman;serif"/>
          <w:b w:val="false"/>
          <w:color w:val="000000"/>
          <w:sz w:val="24"/>
          <w:u w:val="single"/>
        </w:rPr>
        <w:t>Addendum A</w:t>
      </w:r>
      <w:r>
        <w:rPr>
          <w:color w:val="000000"/>
        </w:rPr>
        <w:t xml:space="preserve"> </w:t>
      </w:r>
      <w:r>
        <w:rPr>
          <w:rFonts w:ascii="Times New Roman;serif" w:hAnsi="Times New Roman;serif"/>
          <w:b w:val="false"/>
          <w:color w:val="000000"/>
          <w:sz w:val="24"/>
        </w:rPr>
        <w:t xml:space="preserve">and to any Country-Specific Terms and Conditions attached hereto as </w:t>
      </w:r>
      <w:r>
        <w:rPr>
          <w:rFonts w:ascii="Times New Roman;serif" w:hAnsi="Times New Roman;serif"/>
          <w:b w:val="false"/>
          <w:color w:val="000000"/>
          <w:sz w:val="24"/>
          <w:u w:val="single"/>
        </w:rPr>
        <w:t>Addendum B</w:t>
      </w:r>
      <w:r>
        <w:rPr>
          <w:rFonts w:ascii="Times New Roman;serif" w:hAnsi="Times New Roman;serif"/>
          <w:b w:val="false"/>
          <w:color w:val="000000"/>
          <w:sz w:val="24"/>
        </w:rPr>
        <w:t>. If the Participant is a citizen or resident of a country (or is considered as such for local law purposes) other than the one in which the Participant is currently residing or working or if the Participant relocates to one of the countries included in the Country-Specific Terms and Conditions after the grant of the Performance Stock Units, the special terms and conditions for such country will apply to the Participant to the extent the Company determines that the application of such terms and conditions is necessary or advisable in order to comply with local law or facilitate the administration of the Plan. The Additional Terms and Conditions for Non-U.S. Participants and the Country-Specific Terms and Conditions constitute part of this Performance Stock Unit Agreement and are incorporated herein by reference.</w:t>
      </w:r>
    </w:p>
    <w:p>
      <w:pPr>
        <w:pStyle w:val="TextBody"/>
        <w:bidi w:val="0"/>
        <w:spacing w:lineRule="auto" w:line="288"/>
        <w:jc w:val="left"/>
        <w:rPr/>
      </w:pPr>
      <w:r>
        <w:rPr>
          <w:rFonts w:ascii="Times New Roman;serif" w:hAnsi="Times New Roman;serif"/>
          <w:b/>
          <w:color w:val="000000"/>
          <w:sz w:val="24"/>
          <w:u w:val="single"/>
        </w:rPr>
        <w:t>Entire Agreement</w:t>
      </w:r>
      <w:r>
        <w:rPr>
          <w:rFonts w:ascii="Times New Roman;serif" w:hAnsi="Times New Roman;serif"/>
          <w:b w:val="false"/>
          <w:color w:val="000000"/>
          <w:sz w:val="24"/>
        </w:rPr>
        <w:t>. This Performance Stock Unit Agreement, the Grant Notice and the Plan constitute the entire agreement of the parties hereto in respect of the subject matter contained herein and supersede all prior agreements and understandings of the parties, oral and written, with respect to such subject matter.</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ADDENDUM A </w:t>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ADDITIONAL TERMS AND CONDITIONS FOR NON-U.S. PARTICIPANTS</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Addendum A includes additional terms and conditions that govern the Performance Stock Units granted to the Participant if the Participant works or resides outside of the United States.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but not defined herein are defined in the Plan or the Performance Stock Unit Agreement and have the meanings set forth therein.</w:t>
      </w:r>
    </w:p>
    <w:p>
      <w:pPr>
        <w:pStyle w:val="TextBody"/>
        <w:bidi w:val="0"/>
        <w:spacing w:lineRule="auto" w:line="288" w:before="0" w:after="240"/>
        <w:jc w:val="both"/>
        <w:rPr/>
      </w:pPr>
      <w:r>
        <w:rPr>
          <w:rFonts w:ascii="Times New Roman;serif" w:hAnsi="Times New Roman;serif"/>
          <w:b w:val="false"/>
          <w:color w:val="000000"/>
          <w:sz w:val="24"/>
        </w:rPr>
        <w:t>1.</w:t>
      </w:r>
      <w:r>
        <w:rPr>
          <w:rFonts w:ascii="Times New Roman;serif" w:hAnsi="Times New Roman;serif"/>
          <w:b/>
          <w:color w:val="000000"/>
          <w:sz w:val="24"/>
          <w:u w:val="single"/>
        </w:rPr>
        <w:t>Termination of Employment</w:t>
      </w:r>
      <w:r>
        <w:rPr>
          <w:rFonts w:ascii="Times New Roman;serif" w:hAnsi="Times New Roman;serif"/>
          <w:b w:val="false"/>
          <w:color w:val="000000"/>
          <w:sz w:val="24"/>
        </w:rPr>
        <w:t>. For purposes of the Performance Stock Unit Agreement and the Plan, including Section 4 of the Performance Stock Unit Agreement and Section 8(c)(ii) of the Plan, the date of the Participant’s Termination shall be deemed to be the date on which the Participant ceases to be actively employed by the Service Recipient, which shall not be extended by any notice period, whether mandated or implied under local law during which the Participant is not actually employed (e.g., garden leave or similar leave) or during or for which the Participant receives pay in lieu of notice or severance pay. The Company shall have the sole discretion to determine when the Participant is no longer an employee of the Service Recipient for purposes of the Performance Stock Unit Agreement without reference to any other agreement, written or oral, including the Participant’s contract of employment, if applicable.</w:t>
      </w:r>
    </w:p>
    <w:p>
      <w:pPr>
        <w:pStyle w:val="TextBody"/>
        <w:bidi w:val="0"/>
        <w:spacing w:lineRule="auto" w:line="288" w:before="0" w:after="240"/>
        <w:jc w:val="both"/>
        <w:rPr/>
      </w:pPr>
      <w:r>
        <w:rPr>
          <w:rFonts w:ascii="Times New Roman;serif" w:hAnsi="Times New Roman;serif"/>
          <w:b w:val="false"/>
          <w:color w:val="000000"/>
          <w:sz w:val="24"/>
        </w:rPr>
        <w:t>2.</w:t>
      </w:r>
      <w:r>
        <w:rPr>
          <w:rFonts w:ascii="Times New Roman;serif" w:hAnsi="Times New Roman;serif"/>
          <w:b/>
          <w:color w:val="000000"/>
          <w:sz w:val="24"/>
          <w:u w:val="single"/>
        </w:rPr>
        <w:t>No Acquired Right</w:t>
      </w:r>
      <w:r>
        <w:rPr>
          <w:rFonts w:ascii="Times New Roman;serif" w:hAnsi="Times New Roman;serif"/>
          <w:b w:val="false"/>
          <w:color w:val="000000"/>
          <w:sz w:val="24"/>
        </w:rPr>
        <w:t>. The Participant acknowledges and agrees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Plan is established voluntarily by the Company, the grant of awards under the Plan is made at the discretion of the Committee and the Plan may be modified, amended, suspended or terminated by the Company at any time. All decisions with respect to future awards, if any, will be at the sole discretion of the Committee.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Participant is voluntarily participating in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Performance Stock Units (and any similar awards the Company may in the future grant to the Participant, even if such awards are made repeatedly or regularly, and regardless of their amount) and the shares of Common Stock acquired under the Plan (i) are wholly discretionary and occasional, are not a term or condition of employment and do not form part of a contract of employment, or any other working arrangement, between the Participant and the Company, the Service Recipient or any Subsidiary, (ii) do not create any contractual entitlement to receive future awards under the Plan or benefits in lieu thereof and are not intended to replace any pension rights or compensation, as applicable, and (iii) do not form part of normal or expected salary or remuneration for purposes of determining pension payments or any other purposes, including without limitation termination indemnities, severance, resignation, payment in lieu of notice, redundancy, end of service payments, bonuses, long-term service awards, pension or retirement benefits, welfare benefits or similar payments, if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Performance Stock Units and the shares of Common Stock acquired under the Plan are not intended to replace any pension rights or compensation.</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In the event that the Participant is an employee and the Participant’s employer is not the Company, the grant of the Performance Stock Units and any similar awards the Company may grant in the future to the Participant will not be interpreted to form an employment contract or relationship with the Company and, furthermore, the grant of the Performance Stock Units and any similar awards the Company may grant in the future to the Participant will not be interpreted to form an employment contract with the Service Recipient or any Subsidiary.</w: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The future value of the underlying shares of Common Stock is unknown and cannot be predicted with certainty. The Company shall not be liable for any foreign exchange rate fluctuation between the Participant’s local currency and the United States Dollar that may affect the value of the Performance Stock Units or the shares of Common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The Participant shall have no rights, claim or entitlement to compensation or damages as a result of the Participant’s cessation of employment or service for any reason whatsoever, whether or not later found to be invalid or in breach of contract or local labor law, insofar as these rights, claim or entitlement arise or may arise from the Participant’s ceasing to have rights under the Performance Stock Units as a result of such cessation or loss or diminution in value of the Performance Stock Units or any of the shares of Common Stock issuable under the Performance Stock Units as a result of such cessation, and the Participant irrevocably releases the Company and its Subsidiaries from any such rights, entitlement or claim that may arise. If, notwithstanding the foregoing, any such right or claim is found by a court of competent jurisdiction to have arisen, then, by signing the Performance Stock Unit Agreement, the Participant shall be deemed to have irrevocably waived the Participant’s entitlement to pursue such rights or claim.</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u w:val="single"/>
        </w:rPr>
        <w:t>Foreign Asset/Account and Tax Reporting Requirements; Exchange Controls</w:t>
      </w:r>
      <w:r>
        <w:rPr>
          <w:rFonts w:ascii="Times New Roman;serif" w:hAnsi="Times New Roman;serif"/>
          <w:b w:val="false"/>
          <w:color w:val="000000"/>
          <w:sz w:val="24"/>
        </w:rPr>
        <w:t>. The Participant may be subject to foreign asset/account, exchange control and/or tax reporting requirements as a result of the vesting of the Performance Stock Units, the acquisition, holding and/or transfer of shares of Common Stock or cash (including dividends and the proceeds arising from the sale of shares) from the Participant’s participation in the Plan and/or the opening and maintaining of a brokerage or bank account in connection with the Plan. The Participant may be required to report such assets, accounts, account balances and values, any cross-border transactions, and/or related transactions to the applicable authorities in the Participant’s country and the Participant may be required to report any acquisition or sale of shares of Common Stock and any taxable income attributable to the Performance Stock Units to the applicable tax authority or other authority in the Participant’s country (including on the Participant’s annual tax return, if applicable). The Participant may also be required to repatriate sales proceeds or other funds received as a result of the Participant’s participation in the Plan to the Participant’s country through a designated bank or broker and/or within a certain period of time after receipt. The Participant acknowledges that the Participant is responsible for ensuring compliance with any applicable foreign asset/account, exchange control and tax reporting and other requirements and should consult the Participant’s own personal tax and legal advisors, as applicable, on these matters.</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u w:val="single"/>
        </w:rPr>
        <w:t>Data Protection (Jurisdictions other than European Union/European Economic Area/United Kingdom)</w:t>
      </w:r>
      <w:r>
        <w:rPr>
          <w:rFonts w:ascii="Times New Roman;serif" w:hAnsi="Times New Roman;serif"/>
          <w:b/>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color w:val="000000"/>
          <w:sz w:val="24"/>
        </w:rPr>
        <w:t>In order to facilitate the Participant’s participation in the Plan and the administration of the Performance Stock Units, it will be necessary for contractual and legal purposes for the Company (or the Service Recipient or their payroll administrators) to collect, hold and process certain personal information and sensitive personal information about the Participant (including, without limitation, the Participant’s name, home address, telephone number, date of birth, nationality, social insurance or other identification number and job title and details of the Performance Stock Units and other awards granted, cancelled, exercised, vested, unvested or outstanding and shares of Common Stock held by the Participant). The Participant consents explicitly, willingly, and unambiguously to the Company and the Service Recipient (and their Subsidiaries and payroll administrators) collecting, holding and processing the Participant’s personal data and transferring this data (in electronic or other form) by and among, as applicable, the Company, the Service Recipient and the Subsidiaries and other third parties (collectively, the “</w:t>
      </w:r>
      <w:r>
        <w:rPr>
          <w:rFonts w:ascii="Times New Roman;serif" w:hAnsi="Times New Roman;serif"/>
          <w:b/>
          <w:color w:val="000000"/>
          <w:sz w:val="24"/>
          <w:u w:val="single"/>
        </w:rPr>
        <w:t>Data Recipients</w:t>
      </w:r>
      <w:r>
        <w:rPr>
          <w:color w:val="000000"/>
        </w:rPr>
        <w:t>”</w:t>
      </w:r>
      <w:r>
        <w:rPr>
          <w:rFonts w:ascii="Times New Roman;serif" w:hAnsi="Times New Roman;serif"/>
          <w:b/>
          <w:color w:val="000000"/>
          <w:sz w:val="24"/>
        </w:rPr>
        <w:t>) insofar as is reasonably necessary to implement, administer and manage the Plan and the Performance Stock Units. The Participant authorizes the Data Recipients to receive, possess, use, retain and transfer the data for the purposes of implementing, administering and managing the Plan and the Performance Stock Units. The Participant understands that the data may be transferred to a broker or third party as may be selected by the Company in the future which is assisting the Company with the implementation, administration and management of the Plan. The Participant understands that the Data Recipients may be located in the United States or elsewhere, and that the Data Recipient’s country may have a lower standard of data privacy laws and protections than the Participant’s country.</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color w:val="000000"/>
          <w:sz w:val="24"/>
        </w:rPr>
        <w:t>The Data Recipients will treat the Participant’s personal data as private and confidential and will not disclose such data for purposes other than the management and administration of the Plan and the Performance Stock Units and will take reasonable measures to keep the Participant’s personal data private, confidential, accurate and current. The Participant understands that the data will be held only as long as is necessary to implement, administer and manage the Participant’s participation in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color w:val="000000"/>
          <w:sz w:val="24"/>
        </w:rPr>
        <w:t xml:space="preserve">The Participant understands that the Participant may, at any time, make a request to view the Participant’s personal data, require any necessary corrections to it or withdraw the consents herein in writing by contacting the Company and that these rights are subject to legal restrictions but acknowledges that without the use of such data it may not be practicable for the Company to administer the Participant’s involvement in the Plan in a timely fashion or at all and this may be detrimental to the Participant and may result in the possible exclusion of the Participant from continued participation with respect to the Performance Stock Units or any future awards under the Plan. </w:t>
      </w:r>
    </w:p>
    <w:p>
      <w:pPr>
        <w:pStyle w:val="TextBody"/>
        <w:bidi w:val="0"/>
        <w:spacing w:lineRule="auto" w:line="288" w:before="0" w:after="240"/>
        <w:jc w:val="both"/>
        <w:rPr/>
      </w:pPr>
      <w:r>
        <w:rPr>
          <w:rFonts w:ascii="Times New Roman;serif" w:hAnsi="Times New Roman;serif"/>
          <w:b w:val="false"/>
          <w:color w:val="000000"/>
          <w:sz w:val="24"/>
        </w:rPr>
        <w:t>5.</w:t>
      </w:r>
      <w:r>
        <w:rPr>
          <w:rFonts w:ascii="Times New Roman;serif" w:hAnsi="Times New Roman;serif"/>
          <w:b/>
          <w:color w:val="000000"/>
          <w:sz w:val="24"/>
          <w:u w:val="single"/>
        </w:rPr>
        <w:t>Data Protection (European Union/European Economic Area/United Kingdom)</w:t>
      </w:r>
      <w:r>
        <w:rPr>
          <w:rFonts w:ascii="Times New Roman;serif" w:hAnsi="Times New Roman;serif"/>
          <w:b/>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color w:val="000000"/>
          <w:sz w:val="24"/>
        </w:rPr>
        <w:t>In order to facilitate the Participant’s participation in the Plan and the administration of the Performance Stock Units, it will be necessary for contractual, legitimate interest and legal purposes for the Company (or the Service Recipient or their payroll administrators) to collect, hold and process certain personal data and, where required for legal purposes with the Participant’s freely given consent, any special category personal data about the Participant. Such personal data includes, without limitation, the Participant’s name, home address, telephone number, date of birth, nationality, social insurance or other identification number and job title and details of the Performance Stock Units and other awards granted, cancelled, exercised, vested, unvested or outstanding and shares of Common Stock held by the Participant. The Participant hereby acknowledges and agrees to the Company and the Service Recipient (and their Subsidiaries and payroll administrators) collecting, holding and processing the Participant’s personal data and transferring this data (in electronic or other form) by and among, as applicable, the Company, the Service Recipient and their Subsidiaries and other third parties (collectively, the “</w:t>
      </w:r>
      <w:r>
        <w:rPr>
          <w:rFonts w:ascii="Times New Roman;serif" w:hAnsi="Times New Roman;serif"/>
          <w:b/>
          <w:color w:val="000000"/>
          <w:sz w:val="24"/>
          <w:u w:val="single"/>
        </w:rPr>
        <w:t>Data Recipients</w:t>
      </w:r>
      <w:r>
        <w:rPr>
          <w:color w:val="000000"/>
        </w:rPr>
        <w:t>”</w:t>
      </w:r>
      <w:r>
        <w:rPr>
          <w:rFonts w:ascii="Times New Roman;serif" w:hAnsi="Times New Roman;serif"/>
          <w:b/>
          <w:color w:val="000000"/>
          <w:sz w:val="24"/>
        </w:rPr>
        <w:t>) insofar as is reasonably necessary to implement, administer and manage the Plan and the Performance Stock Units. The Participant understands that the Data Recipients will receive, possess, use, retain and transfer the data for the purposes of implementing, administering and managing the Plan and the Performance Stock Units. The Participant understands that the data may be transferred to a broker or third party as may be selected by the Company in the future which is assisting the Company with the implementation, administration and management of the Plan. The Participant understands that the Data Recipients may be located in the United States or elsewhere, and that the Data Recipient’s country may have a different or lower standard of data privacy laws and protections than the Participant’s country.</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color w:val="000000"/>
          <w:sz w:val="24"/>
        </w:rPr>
        <w:t>The Data Recipients will treat the Participant’s personal data as private and confidential and will not disclose such data for purposes other than the management and administration of the Plan and the Performance Stock Units and will take reasonable measures to keep the Participant’s personal data private, confidential, accurate and current. The Participant understands that the data will be held only as long as is necessary to implement, administer and manage the Participant’s participation in the Plan and for legal requirements thereafter. The Participant shall notify the Company of any changes to the Participant’s personal data.</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color w:val="000000"/>
          <w:sz w:val="24"/>
        </w:rPr>
        <w:t xml:space="preserve">The Participant understands that the Participant may, at any time, exercise the rights granted to the Participant by the Data Protection Laws (as defined below) and other applicable data protection laws including the right to make a request to access or be provided with a copy of the Participant’s personal data, request additional information about the storage and processing of the data, request that the personal data is restricted or otherwise object to its processing by the Company, require any necessary corrections to it or withdraw any consents provided by the Participant in writing by contacting the Company and that these rights are subject to legal restrictions. The Participant acknowledges that without the Company’s use of such data it may not be practicable for the Company to administer the Participant’s involvement in the Plan in a timely fashion or at all and this may be detrimental to the Participant and may result in the possible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exclusion of the Participant from continued participation with respect to the Performance Stock Units or any future awards under the Plan. The Participant is referred to the privacy notice provided by the employing Subsidiary for further information about the processing of the Participant’s personal data and rights under applicable data protection 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color w:val="000000"/>
          <w:sz w:val="24"/>
        </w:rPr>
        <w:t>For the purpose of this Section 5, “</w:t>
      </w:r>
      <w:r>
        <w:rPr>
          <w:rFonts w:ascii="Times New Roman;serif" w:hAnsi="Times New Roman;serif"/>
          <w:b/>
          <w:color w:val="000000"/>
          <w:sz w:val="24"/>
          <w:u w:val="single"/>
        </w:rPr>
        <w:t>Data Protection Laws</w:t>
      </w:r>
      <w:r>
        <w:rPr>
          <w:color w:val="000000"/>
        </w:rPr>
        <w:t xml:space="preserve">” </w:t>
      </w:r>
      <w:r>
        <w:rPr>
          <w:rFonts w:ascii="Times New Roman;serif" w:hAnsi="Times New Roman;serif"/>
          <w:b/>
          <w:color w:val="000000"/>
          <w:sz w:val="24"/>
        </w:rPr>
        <w:t>means any law, enactment, regulation or order concerning the processing of personal data including the Data Protection Act 2018 (“</w:t>
      </w:r>
      <w:r>
        <w:rPr>
          <w:rFonts w:ascii="Times New Roman;serif" w:hAnsi="Times New Roman;serif"/>
          <w:b/>
          <w:color w:val="000000"/>
          <w:sz w:val="24"/>
          <w:u w:val="single"/>
        </w:rPr>
        <w:t>DPA</w:t>
      </w:r>
      <w:r>
        <w:rPr>
          <w:color w:val="000000"/>
        </w:rPr>
        <w:t>”</w:t>
      </w:r>
      <w:r>
        <w:rPr>
          <w:rFonts w:ascii="Times New Roman;serif" w:hAnsi="Times New Roman;serif"/>
          <w:b/>
          <w:color w:val="000000"/>
          <w:sz w:val="24"/>
        </w:rPr>
        <w:t>), the General Data Protection Regulation (Regulation (EU) 2016/679) (the “</w:t>
      </w:r>
      <w:r>
        <w:rPr>
          <w:rFonts w:ascii="Times New Roman;serif" w:hAnsi="Times New Roman;serif"/>
          <w:b/>
          <w:color w:val="000000"/>
          <w:sz w:val="24"/>
          <w:u w:val="single"/>
        </w:rPr>
        <w:t>GDPR</w:t>
      </w:r>
      <w:r>
        <w:rPr>
          <w:color w:val="000000"/>
        </w:rPr>
        <w:t>”</w:t>
      </w:r>
      <w:r>
        <w:rPr>
          <w:rFonts w:ascii="Times New Roman;serif" w:hAnsi="Times New Roman;serif"/>
          <w:b/>
          <w:color w:val="000000"/>
          <w:sz w:val="24"/>
        </w:rPr>
        <w:t>), the GDPR as it forms part of retained EU law (as defined in the European Union (Withdrawal) Act 2018), the Privacy and Electronic Communications Regulations (EC Directive) Regulations 2003 (“</w:t>
      </w:r>
      <w:r>
        <w:rPr>
          <w:rFonts w:ascii="Times New Roman;serif" w:hAnsi="Times New Roman;serif"/>
          <w:b/>
          <w:color w:val="000000"/>
          <w:sz w:val="24"/>
          <w:u w:val="single"/>
        </w:rPr>
        <w:t>PECR</w:t>
      </w:r>
      <w:r>
        <w:rPr>
          <w:color w:val="000000"/>
        </w:rPr>
        <w:t>”</w:t>
      </w:r>
      <w:r>
        <w:rPr>
          <w:rFonts w:ascii="Times New Roman;serif" w:hAnsi="Times New Roman;serif"/>
          <w:b/>
          <w:color w:val="000000"/>
          <w:sz w:val="24"/>
        </w:rPr>
        <w:t>), and any subordinate legislation or statutory codes of practice implemented in connection with the DPA, GDPR, PECR and any law that is intended to supplement, amend or replace the foregoing together with any other applicable law in any jurisdiction that regulates the collection, protection or processing of personal data as may come into effect from time to time.</w:t>
      </w:r>
    </w:p>
    <w:p>
      <w:pPr>
        <w:pStyle w:val="TextBody"/>
        <w:bidi w:val="0"/>
        <w:spacing w:lineRule="auto" w:line="288" w:before="0" w:after="240"/>
        <w:jc w:val="both"/>
        <w:rPr/>
      </w:pPr>
      <w:r>
        <w:rPr>
          <w:rFonts w:ascii="Times New Roman;serif" w:hAnsi="Times New Roman;serif"/>
          <w:b w:val="false"/>
          <w:color w:val="000000"/>
          <w:sz w:val="24"/>
        </w:rPr>
        <w:t>6.</w:t>
      </w:r>
      <w:r>
        <w:rPr>
          <w:rFonts w:ascii="Times New Roman;serif" w:hAnsi="Times New Roman;serif"/>
          <w:b/>
          <w:color w:val="000000"/>
          <w:sz w:val="24"/>
          <w:u w:val="single"/>
        </w:rPr>
        <w:t>Withholding; Responsibility for Taxes</w:t>
      </w:r>
      <w:r>
        <w:rPr>
          <w:rFonts w:ascii="Times New Roman;serif" w:hAnsi="Times New Roman;serif"/>
          <w:b w:val="false"/>
          <w:color w:val="000000"/>
          <w:sz w:val="24"/>
        </w:rPr>
        <w:t xml:space="preserve">. This provision supplements Section 8 of the Performance Stock Unit Agreement and Section 14(d) of the Plan. </w:t>
      </w:r>
    </w:p>
    <w:p>
      <w:pPr>
        <w:pStyle w:val="TextBody"/>
        <w:bidi w:val="0"/>
        <w:spacing w:lineRule="auto" w:line="288" w:before="0" w:after="240"/>
        <w:ind w:left="0" w:right="0" w:firstLine="720"/>
        <w:jc w:val="both"/>
        <w:rPr/>
      </w:pPr>
      <w:r>
        <w:rPr>
          <w:rFonts w:ascii="Times New Roman;serif" w:hAnsi="Times New Roman;serif"/>
          <w:b w:val="false"/>
          <w:color w:val="000000"/>
          <w:sz w:val="24"/>
        </w:rPr>
        <w:t>For purposes of Section 8 of the Performance Stock Unit Agreement, applicable tax withholding obligations shall include applicable income taxes, employment taxes, social insurance, social security, national insurance contribution, payroll taxes, contributions, levies, payment on account obligations or other amounts (collectively, “</w:t>
      </w:r>
      <w:r>
        <w:rPr>
          <w:rFonts w:ascii="Times New Roman;serif" w:hAnsi="Times New Roman;serif"/>
          <w:b w:val="false"/>
          <w:color w:val="000000"/>
          <w:sz w:val="24"/>
          <w:u w:val="single"/>
        </w:rPr>
        <w:t>Applicable Taxes</w:t>
      </w:r>
      <w:r>
        <w:rPr>
          <w:color w:val="000000"/>
        </w:rPr>
        <w:t>”</w:t>
      </w:r>
      <w:r>
        <w:rPr>
          <w:rFonts w:ascii="Times New Roman;serif" w:hAnsi="Times New Roman;serif"/>
          <w:b w:val="false"/>
          <w:color w:val="000000"/>
          <w:sz w:val="24"/>
        </w:rPr>
        <w:t>) required to be collected, withheld or accounted for with respect to the grant or vesting of the Performance Stock Units. The Participant acknowledges that regardless of any action the Company (or the Service Recipient) takes, the ultimate liability for the Applicable Taxes is and remains the Participant’s responsibility and that the Company (and the Service Recipient) (i) make no representations or undertakings regarding the treatment of any Applicable Taxes in connection with any aspect of the Performance Stock Units, including the grant, vesting or settlement of the Performance Stock Units, and the subsequent sale of any shares of Common Stock acquired at settlement; and (ii) do not commit to structure the terms of the grant or any aspect of the Performance Stock Units to reduce or eliminate the Participant’s liability for any Applicable Taxes. Further, if the Participant is subject to taxation in more than one jurisdiction between the Date of Grant and the date of any relevant taxable or tax withholding event, as applicable, the Participant acknowledges that the Company and/or the Service Recipient (or former Service Recipient, as applicable) may be required to withhold or account for Applicable Taxes (if any) in more than one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ADDENDUM B </w:t>
      </w:r>
    </w:p>
    <w:p>
      <w:pPr>
        <w:pStyle w:val="TextBody"/>
        <w:bidi w:val="0"/>
        <w:spacing w:before="0" w:after="0"/>
        <w:ind w:left="0" w:right="0" w:firstLine="72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COUNTRY-SPECIFIC TERMS AND CONDITIONS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These Country-Specific Terms and Conditions include additional terms and conditions and disclosures (if any) that govern the Performance Stock Units granted to the Participant under the Plan if the Participant resides or works in one of the countries listed below. Capitalized terms used but not defined in these Country-Specific Terms and Conditions are defined in the Plan or the Performance Stock Unit Agreement and have the meanings set forth therein.</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Australia</w:t>
      </w:r>
    </w:p>
    <w:p>
      <w:pPr>
        <w:pStyle w:val="TextBody"/>
        <w:bidi w:val="0"/>
        <w:spacing w:lineRule="auto" w:line="288" w:before="0" w:after="240"/>
        <w:jc w:val="both"/>
        <w:rPr/>
      </w:pPr>
      <w:r>
        <w:rPr>
          <w:rFonts w:ascii="Times New Roman;serif" w:hAnsi="Times New Roman;serif"/>
          <w:b w:val="false"/>
          <w:color w:val="000000"/>
          <w:sz w:val="24"/>
          <w:u w:val="single"/>
        </w:rPr>
        <w:t>Offer Document</w:t>
      </w:r>
      <w:r>
        <w:rPr>
          <w:color w:val="000000"/>
        </w:rPr>
        <w:t xml:space="preserve"> </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The information below (the “</w:t>
      </w:r>
      <w:r>
        <w:rPr>
          <w:rFonts w:ascii="Times New Roman;serif" w:hAnsi="Times New Roman;serif"/>
          <w:b w:val="false"/>
          <w:color w:val="000000"/>
          <w:sz w:val="24"/>
          <w:u w:val="single"/>
        </w:rPr>
        <w:t>Offer Document</w:t>
      </w:r>
      <w:r>
        <w:rPr>
          <w:color w:val="000000"/>
        </w:rPr>
        <w:t>”</w:t>
      </w:r>
      <w:r>
        <w:rPr>
          <w:rFonts w:ascii="Times New Roman;serif" w:hAnsi="Times New Roman;serif"/>
          <w:b w:val="false"/>
          <w:color w:val="000000"/>
          <w:sz w:val="24"/>
        </w:rPr>
        <w:t>) sets out information regarding the participation of Australian resident employees of the Company and its Australian subsidiaries in the Plan.</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Offer Document</w:t>
      </w:r>
    </w:p>
    <w:tbl>
      <w:tblPr>
        <w:tblW w:w="10205" w:type="dxa"/>
        <w:jc w:val="left"/>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shd w:fill="F2F2F2" w:val="clear"/>
            <w:tcMar>
              <w:top w:w="30" w:type="dxa"/>
              <w:bottom w:w="30" w:type="dxa"/>
            </w:tcMar>
            <w:vAlign w:val="center"/>
          </w:tcPr>
          <w:p>
            <w:pPr>
              <w:pStyle w:val="TableContents"/>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 xml:space="preserve">Investment in securities involves a degree of risk and there is no guarantee of the future value of, or returns from, securities the Participant may acquire under the Plan. Employees who elect to participate in the Plan should consider all risk factors relevant to the acquisition of securities under the Plan as set out in this document and any associated documents. </w:t>
            </w:r>
          </w:p>
          <w:p>
            <w:pPr>
              <w:pStyle w:val="TableContents"/>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The information contained in this document and any associated documents is general information only. It is not advice or information specific to the Participant’s objectives, financial situation or needs. Australian employees should consider obtaining their own financial product advice from an independent person who is licensed by the Australian Securities and Investments Commission to give advice about participation in the Plan.</w:t>
            </w:r>
          </w:p>
        </w:tc>
      </w:tr>
    </w:tbl>
    <w:p>
      <w:pPr>
        <w:pStyle w:val="TextBody"/>
        <w:bidi w:val="0"/>
        <w:spacing w:before="0" w:after="240"/>
        <w:jc w:val="both"/>
        <w:rPr/>
      </w:pPr>
      <w:r>
        <w:rPr/>
      </w:r>
    </w:p>
    <w:p>
      <w:pPr>
        <w:pStyle w:val="TextBody"/>
        <w:bidi w:val="0"/>
        <w:spacing w:lineRule="auto" w:line="288" w:before="0" w:after="240"/>
        <w:jc w:val="both"/>
        <w:rPr/>
      </w:pPr>
      <w:r>
        <w:rPr>
          <w:rFonts w:ascii="Times New Roman;serif" w:hAnsi="Times New Roman;serif"/>
          <w:b w:val="false"/>
          <w:color w:val="000000"/>
          <w:sz w:val="24"/>
        </w:rPr>
        <w:t>1.</w:t>
      </w:r>
      <w:r>
        <w:rPr>
          <w:rFonts w:ascii="Times New Roman;serif" w:hAnsi="Times New Roman;serif"/>
          <w:b/>
          <w:color w:val="000000"/>
          <w:sz w:val="24"/>
        </w:rPr>
        <w:t>OFFER AND TERMS OF PARTICIPATION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Offer Document relates to an invitation by the Company to eligible employees in Australia to participate in the Plan.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terms of the Participant’s participation are set out in the Plan, the Prospectus, the Performance Stock Unit Agreement and this Offer Document.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participating in the Plan, the Participant will be bound by terms set out in the Plan, the Prospectus, the Performance Stock Unit Agreement and this Offer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2.</w:t>
      </w:r>
      <w:r>
        <w:rPr>
          <w:rFonts w:ascii="Times New Roman;serif" w:hAnsi="Times New Roman;serif"/>
          <w:b/>
          <w:color w:val="000000"/>
          <w:sz w:val="24"/>
        </w:rPr>
        <w:t>HOW CAN A PARTICIPANT ASCERTAIN THE CURRENT MARKET PRICE OF SHARES UNDERLYING THE PERFORMANCE STOCK UNIT AWARD IN AUSTRALIAN DOLLARS?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Participant could, from time to time, ascertain the market price of a share of Common Stock by obtaining that price from the NASDAQ website, the Company website or The Wall Street Journal, and multiplying that price by a published exchange rate to convert U.S. Dollars into Australian Dollars, to determine the Australian dollar equivalent of that current market price.</w:t>
      </w:r>
    </w:p>
    <w:p>
      <w:pPr>
        <w:pStyle w:val="TextBody"/>
        <w:bidi w:val="0"/>
        <w:spacing w:lineRule="auto" w:line="288" w:before="0" w:after="240"/>
        <w:jc w:val="both"/>
        <w:rPr/>
      </w:pPr>
      <w:r>
        <w:rPr>
          <w:rFonts w:ascii="Times New Roman;serif" w:hAnsi="Times New Roman;serif"/>
          <w:b w:val="false"/>
          <w:color w:val="000000"/>
          <w:sz w:val="24"/>
        </w:rPr>
        <w:t>3.</w:t>
      </w:r>
      <w:r>
        <w:rPr>
          <w:rFonts w:ascii="Times New Roman;serif" w:hAnsi="Times New Roman;serif"/>
          <w:b/>
          <w:color w:val="000000"/>
          <w:sz w:val="24"/>
        </w:rPr>
        <w:t>RISKS OF ACQUIRING AND HOLDING SHARES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Acquiring and holding shares of Common Stock involves risk. These risks include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There is no guarantee that the shares of Common Stock will grow in value - they may decline in value. Stock markets are subject to fluctuations and the price of shares can rise and fall, depending upon the Company’s performance and other internal and external factors.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There is no assurance that the Company will pay dividends even if its earnings increase.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There are tax implications involved in acquiring and holding shares of Common Stock and the tax regime applying to the Participant may change.</w:t>
      </w:r>
    </w:p>
    <w:p>
      <w:pPr>
        <w:pStyle w:val="TextBody"/>
        <w:bidi w:val="0"/>
        <w:spacing w:lineRule="auto" w:line="288" w:before="0" w:after="240"/>
        <w:jc w:val="left"/>
        <w:rPr/>
      </w:pPr>
      <w:r>
        <w:rPr>
          <w:rFonts w:ascii="Times New Roman;serif" w:hAnsi="Times New Roman;serif"/>
          <w:b w:val="false"/>
          <w:color w:val="000000"/>
          <w:sz w:val="24"/>
          <w:u w:val="single"/>
        </w:rPr>
        <w:t>Tax Deferred Scheme</w:t>
      </w:r>
      <w:r>
        <w:rPr>
          <w:rFonts w:ascii="Times New Roman;serif" w:hAnsi="Times New Roman;serif"/>
          <w:b w:val="false"/>
          <w:color w:val="000000"/>
          <w:sz w:val="24"/>
        </w:rPr>
        <w:t>. Subdivision 83A-C of the Income Tax Assessment Act 1997 (Cth) applies to the scheme (subject to the requirements of applicable Australian tax legislation).</w:t>
      </w:r>
    </w:p>
    <w:p>
      <w:pPr>
        <w:pStyle w:val="TextBody"/>
        <w:bidi w:val="0"/>
        <w:spacing w:lineRule="auto" w:line="288" w:before="0" w:after="240"/>
        <w:jc w:val="left"/>
        <w:rPr/>
      </w:pPr>
      <w:r>
        <w:rPr>
          <w:rFonts w:ascii="Times New Roman;serif" w:hAnsi="Times New Roman;serif"/>
          <w:b w:val="false"/>
          <w:color w:val="000000"/>
          <w:sz w:val="24"/>
          <w:u w:val="single"/>
        </w:rPr>
        <w:t>Data Privacy</w:t>
      </w:r>
      <w:r>
        <w:rPr>
          <w:rFonts w:ascii="Times New Roman;serif" w:hAnsi="Times New Roman;serif"/>
          <w:b w:val="false"/>
          <w:color w:val="000000"/>
          <w:sz w:val="24"/>
        </w:rPr>
        <w:t>. The following supplements Section 4 of Addendum A of the Performance Stock Unit Agreement:</w:t>
      </w:r>
    </w:p>
    <w:p>
      <w:pPr>
        <w:pStyle w:val="TextBody"/>
        <w:bidi w:val="0"/>
        <w:spacing w:lineRule="auto" w:line="288" w:before="0" w:after="240"/>
        <w:ind w:left="0" w:right="0" w:firstLine="810"/>
        <w:jc w:val="both"/>
        <w:rPr/>
      </w:pPr>
      <w:r>
        <w:rPr>
          <w:rFonts w:ascii="Times New Roman;serif" w:hAnsi="Times New Roman;serif"/>
          <w:b w:val="false"/>
          <w:color w:val="000000"/>
          <w:sz w:val="24"/>
        </w:rPr>
        <w:t>(i) The Participant understands that recipients of the data described in Section 4 of Addendum A of the Performance Stock Unit Agreement (the “</w:t>
      </w:r>
      <w:r>
        <w:rPr>
          <w:rFonts w:ascii="Times New Roman;serif" w:hAnsi="Times New Roman;serif"/>
          <w:b w:val="false"/>
          <w:color w:val="000000"/>
          <w:sz w:val="24"/>
          <w:u w:val="single"/>
        </w:rPr>
        <w:t>Data</w:t>
      </w:r>
      <w:r>
        <w:rPr>
          <w:color w:val="000000"/>
        </w:rPr>
        <w:t>”</w:t>
      </w:r>
      <w:r>
        <w:rPr>
          <w:rFonts w:ascii="Times New Roman;serif" w:hAnsi="Times New Roman;serif"/>
          <w:b w:val="false"/>
          <w:color w:val="000000"/>
          <w:sz w:val="24"/>
        </w:rPr>
        <w:t>) may be located in the United States.</w:t>
      </w:r>
    </w:p>
    <w:p>
      <w:pPr>
        <w:pStyle w:val="TextBody"/>
        <w:bidi w:val="0"/>
        <w:spacing w:lineRule="auto" w:line="288" w:before="0" w:after="240"/>
        <w:ind w:left="0" w:right="0" w:firstLine="810"/>
        <w:jc w:val="both"/>
        <w:rPr/>
      </w:pPr>
      <w:r>
        <w:rPr>
          <w:rFonts w:ascii="Times New Roman;serif" w:hAnsi="Times New Roman;serif"/>
          <w:b w:val="false"/>
          <w:color w:val="000000"/>
          <w:sz w:val="24"/>
        </w:rPr>
        <w:t>(ii) The Participant understands that, by consenting to the disclosure of the Data to recipients located overseas, Australian Privacy Principle (“</w:t>
      </w:r>
      <w:r>
        <w:rPr>
          <w:rFonts w:ascii="Times New Roman;serif" w:hAnsi="Times New Roman;serif"/>
          <w:b w:val="false"/>
          <w:color w:val="000000"/>
          <w:sz w:val="24"/>
          <w:u w:val="single"/>
        </w:rPr>
        <w:t>APP</w:t>
      </w:r>
      <w:r>
        <w:rPr>
          <w:color w:val="000000"/>
        </w:rPr>
        <w:t>”</w:t>
      </w:r>
      <w:r>
        <w:rPr>
          <w:rFonts w:ascii="Times New Roman;serif" w:hAnsi="Times New Roman;serif"/>
          <w:b w:val="false"/>
          <w:color w:val="000000"/>
          <w:sz w:val="24"/>
        </w:rPr>
        <w:t>) 8.1 will not apply to the disclosure and as a result the Company and the Service Recipient will not be accountable under the Privacy Act 1988 (Cth) and the Participant may not be able to seek redress under the Privacy Act 1988 (Cth) in respect of this Data.</w:t>
      </w:r>
    </w:p>
    <w:p>
      <w:pPr>
        <w:pStyle w:val="TextBody"/>
        <w:bidi w:val="0"/>
        <w:spacing w:lineRule="auto" w:line="288" w:before="0" w:after="240"/>
        <w:ind w:left="0" w:right="0" w:firstLine="810"/>
        <w:jc w:val="both"/>
        <w:rPr>
          <w:rFonts w:ascii="Times New Roman;serif" w:hAnsi="Times New Roman;serif"/>
          <w:b w:val="false"/>
          <w:color w:val="000000"/>
          <w:sz w:val="24"/>
        </w:rPr>
      </w:pPr>
      <w:r>
        <w:rPr>
          <w:rFonts w:ascii="Times New Roman;serif" w:hAnsi="Times New Roman;serif"/>
          <w:b w:val="false"/>
          <w:color w:val="000000"/>
          <w:sz w:val="24"/>
        </w:rPr>
        <w:t>(iii) The Participant acknowledges that the privacy policy of the Service Recipient contains information about how the Participant may access the Data about the Participant that it holds and seek the correction of such Data. It also contains information about how the Participant may complain about a breach of the APPs and how the Service Recipient will deal with such a complaint.</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Canada (Ontario)</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Award Payable Only in Shares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 discretion in the Plan or anything to the contrary in the Performance Stock Unit Agreement, including Section 8(d) of the Plan, the grant of the Performance Stock Units does not provide the Participant any right to receive a cash payment and the Performance Stock Units may be settled only by delivery of shares of Common Stock. </w:t>
      </w:r>
    </w:p>
    <w:p>
      <w:pPr>
        <w:pStyle w:val="TextBody"/>
        <w:bidi w:val="0"/>
        <w:spacing w:lineRule="auto" w:line="288" w:before="0" w:after="240"/>
        <w:jc w:val="left"/>
        <w:rPr/>
      </w:pPr>
      <w:r>
        <w:rPr>
          <w:rFonts w:ascii="Times New Roman;serif" w:hAnsi="Times New Roman;serif"/>
          <w:b w:val="false"/>
          <w:color w:val="000000"/>
          <w:sz w:val="24"/>
          <w:u w:val="single"/>
        </w:rPr>
        <w:t>Securities Law Information</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Shares of Common Stock acquired under the Plan are subject to certain restrictions on resale imposed by Canadian provincial and territorial securities laws, as applicable. Notwithstanding any other provision of the Plan to the contrary, any transfer or resale of any shares of Common Stock acquired by the Participant pursuant to the Plan must be in accordance with the resale rules under applicable Canadian provincial and territorial securities laws, including Ontario Securities Commission Rule 72-503 Distributions Outside Canada (“</w:t>
      </w:r>
      <w:r>
        <w:rPr>
          <w:rFonts w:ascii="Times New Roman;serif" w:hAnsi="Times New Roman;serif"/>
          <w:b w:val="false"/>
          <w:color w:val="000000"/>
          <w:sz w:val="24"/>
          <w:u w:val="single"/>
        </w:rPr>
        <w:t>72-503</w:t>
      </w:r>
      <w:r>
        <w:rPr>
          <w:color w:val="000000"/>
        </w:rPr>
        <w:t>”</w:t>
      </w:r>
      <w:r>
        <w:rPr>
          <w:rFonts w:ascii="Times New Roman;serif" w:hAnsi="Times New Roman;serif"/>
          <w:b w:val="false"/>
          <w:color w:val="000000"/>
          <w:sz w:val="24"/>
        </w:rPr>
        <w:t>), if the Participant is a resident in the Province of Ontario. In Ontario, the prospectus requirement does not apply to the first trade of shares of Common Stock issued in connection with the Performance Stock Units, provided the conditions set forth in section 2.8 of 72-503 are satisfied. The shares of Common Stock acquired under the Plan may not be transferred or sold in Canada or to a Canadian resident other than in accordance with applicable provincial or territorial securities laws. The Participant is advised to consult the Participant’s own legal advisor prior to any resale of shares of Common Stock.</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Data Protection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3 of Addendum A of the Performance Stock Unit Agreement is amended to add the following to the end of Section 4(a): In connection therewith, it is possible that personal data may be disclosed to governments, courts or law enforcement or regulatory agencies in that other country in accordance with the laws of that country.</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Termination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the Performance Stock Unit Agreement and the Plan, including Section 4 of the Performance Stock Unit Agreement and Section 8(c)(ii) of the Plan, the date of the Participant’s Termination shall be deemed to be the date on which the Participant ceases to be actively employed by the Service Recipient, which term “actively employed” shall include any period for which the Participant is deemed to be actively employed for purposes of applicable employment standards legislation, and shall exclude any other period of non-working notice of termination or any notice period, whether mandated or implied under local law during which the Participant is not actually employed (e.g., garden leave or similar leave) or during or for which the Participant receives pay in lieu of notice or severance pay. The Company shall have the sole discretion to determine when the Participant is no longer actively employed for purposes of the Performance Stock Unit Agreement and the Plan without reference to any other agreement, written or oral, including the Participant’s contract of employment, if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India</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Exchange Control Notification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Participant’s participation in the Plan and purchase of shares of Common Stock is subject to and conditional upon the Participant’s compliance with all applicable laws including but not limited to the (Indian) Foreign Exchange Management Act, 1999 and the regulations thereunder, as amended.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Participant must repatriate any proceeds from the sale of shares of Common Stock acquired under the Plan and any dividends on such shares to India within the stipulated period. The Participant should consult the Participant’s own advisor with respect to such requirements.</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UK</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Sub-Plan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Performance Stock Units are granted subject to the Sub-Plan for U.K. Employees and all references to the Plan shall include the Sub-Plan.</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Award Payable Only in Common Stock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 discretion in the Plan or anything to the contrary in the Performance Stock Unit Agreement or the Plan, including Section 8(d) of the Plan, the grant of the Performance Stock Units does not provide the Participant any right to receive a cash payment and the Performance Stock Units may be settled only in shares of Common Stock.</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Termination of Service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Participant has no right to compensation or damages on account of any loss in respect of Performance Stock Units under the Plan where the loss arises or is claimed to arise in whole or part from: (a) the termination of the Participant’s office or employment; or (b) notice to terminate the Participant’s office or employment. This exclusion of liability shall apply however termination of office or employment, or the giving of notice, is caused, and however compensation or damages are claimed. For the purpose of the Plan, the implied duty of trust and confidence is expressly excluded.</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Taxes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Participant agrees to indemnify the Company and the Service Recipient (as applicable) for any Applicable Taxes that may be payable with respect to the full number of shares of Common Stock vested and issued (including those shares of Common Stock that are deemed issued). </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Employer NIC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As a condition to the issuance of shares of Common Stock under the Performance Stock Units, the Company may require the Participant to agree to accept all liability for and pay all secondary Class 1 National Insurance Contributions, and (and to the extent lawful for the Participant to bear the cost) any employer’s health and social care levy or similar payments, which would otherwise be payable by the Company or the Service Recipient (or any successor or any affiliate employing or previously employing the Participant) with respect to the issuance of shares of Common stock under the Performance Stock Units or any other event giving rise to taxation under the Performance Stock Units (the “</w:t>
      </w:r>
      <w:r>
        <w:rPr>
          <w:rFonts w:ascii="Times New Roman;serif" w:hAnsi="Times New Roman;serif"/>
          <w:b w:val="false"/>
          <w:color w:val="000000"/>
          <w:sz w:val="24"/>
          <w:u w:val="single"/>
        </w:rPr>
        <w:t>Employer NIC</w:t>
      </w:r>
      <w:r>
        <w:rPr>
          <w:color w:val="000000"/>
        </w:rPr>
        <w:t>”</w:t>
      </w:r>
      <w:r>
        <w:rPr>
          <w:rFonts w:ascii="Times New Roman;serif" w:hAnsi="Times New Roman;serif"/>
          <w:b w:val="false"/>
          <w:color w:val="000000"/>
          <w:sz w:val="24"/>
        </w:rPr>
        <w:t>). The Participant agrees that the Participant will execute, within the time period specified by the Company, a joint election (the “</w:t>
      </w:r>
      <w:r>
        <w:rPr>
          <w:rFonts w:ascii="Times New Roman;serif" w:hAnsi="Times New Roman;serif"/>
          <w:b w:val="false"/>
          <w:color w:val="000000"/>
          <w:sz w:val="24"/>
          <w:u w:val="single"/>
        </w:rPr>
        <w:t>Joint Election</w:t>
      </w:r>
      <w:r>
        <w:rPr>
          <w:color w:val="000000"/>
        </w:rPr>
        <w:t>”</w:t>
      </w:r>
      <w:r>
        <w:rPr>
          <w:rFonts w:ascii="Times New Roman;serif" w:hAnsi="Times New Roman;serif"/>
          <w:b w:val="false"/>
          <w:color w:val="000000"/>
          <w:sz w:val="24"/>
        </w:rPr>
        <w:t>) provided by the Company and any other consent or elections required to effect the transfer of the Employer NIC. The Participant further agrees to execute such other joint elections and any other consent or elections as may be required between the Participant and any successor to the Company and/or the Service Recipient. The Participant further agrees that the Company and/or the Service Recipient may collect the Employer NIC by any of the means set forth in the Joint Election or other applicable consent or election.</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u w:val="single"/>
        </w:rPr>
        <w:t>Exhibit A</w:t>
      </w:r>
      <w:r>
        <w:rPr>
          <w:rFonts w:ascii="Times New Roman;serif" w:hAnsi="Times New Roman;serif"/>
          <w:b/>
          <w:color w:val="000000"/>
          <w:sz w:val="16"/>
          <w:u w:val="single"/>
        </w:rPr>
        <w:t>1</w:t>
      </w:r>
    </w:p>
    <w:p>
      <w:pPr>
        <w:pStyle w:val="TextBody"/>
        <w:bidi w:val="0"/>
        <w:spacing w:lineRule="auto" w:line="288" w:before="0" w:after="0"/>
        <w:jc w:val="left"/>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0"/>
        </w:rPr>
        <w:t>Note to Draft: Performance metrics for award to be determined.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RESTRICTIVE COVENANT AGREEMENT</w:t>
      </w:r>
    </w:p>
    <w:p>
      <w:pPr>
        <w:pStyle w:val="TextBody"/>
        <w:bidi w:val="0"/>
        <w:spacing w:before="4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Management Certification Pursuant to</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Henry Schuck,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ZoomInfo Technologies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color w:val="000000"/>
        </w:rPr>
        <w: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tbl>
      <w:tblPr>
        <w:tblW w:w="5002"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733"/>
        <w:gridCol w:w="733"/>
        <w:gridCol w:w="103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500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Henry Schuck</w:t>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Henry Schuck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Management Certification Pursuant to</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 Graham O'Brien,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ZoomInfo Technologies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color w:val="000000"/>
        </w:rPr>
        <w: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2"/>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tbl>
      <w:tblPr>
        <w:tblW w:w="5018"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736"/>
        <w:gridCol w:w="736"/>
        <w:gridCol w:w="104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501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 Graham O'Brien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 Graham O'Brien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1" w:before="0" w:after="0"/>
        <w:jc w:val="center"/>
        <w:rPr>
          <w:rFonts w:ascii="Times New Roman;serif" w:hAnsi="Times New Roman;serif"/>
          <w:b/>
          <w:color w:val="000000"/>
          <w:sz w:val="20"/>
        </w:rPr>
      </w:pPr>
      <w:r>
        <w:rPr>
          <w:rFonts w:ascii="Times New Roman;serif" w:hAnsi="Times New Roman;serif"/>
          <w:b/>
          <w:color w:val="000000"/>
          <w:sz w:val="20"/>
        </w:rPr>
        <w:t>Certification of CEO and CFO Pursuant to</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331"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ZoomInfo Technologies Inc. (the “Company”) for the quarterly period ended June 30, 2026 as filed with the Securities and Exchange Commission on the date hereof (the “Report”), Henry Schuck, as Chief Executive Officer of the Company, and M. Graham O'Brien, as Chief Financial Officer of the Company, each hereby certifies, pursuant to 18 U.S.C. § 1350, as adopted pursuant to § 906 of the Sarbanes-Oxley Act of 2002, that, to the best of his knowledge:</w:t>
      </w:r>
    </w:p>
    <w:p>
      <w:pPr>
        <w:pStyle w:val="TextBody"/>
        <w:bidi w:val="0"/>
        <w:spacing w:before="0" w:after="0"/>
        <w:ind w:left="0" w:right="0" w:firstLine="72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pStyle w:val="TextBody"/>
        <w:bidi w:val="0"/>
        <w:spacing w:before="0" w:after="0"/>
        <w:ind w:left="0" w:right="0" w:firstLine="72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351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51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Henry Schuck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Henry Schuck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 Graham O'Brien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 Graham O'Brien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4515/000179451522000095/zi-ex31x20220518.htm" TargetMode="External"/><Relationship Id="rId3" Type="http://schemas.openxmlformats.org/officeDocument/2006/relationships/hyperlink" Target="https://www.sec.gov/Archives/edgar/data/1794515/000179451523000169/zi-ex32x20231030.htm" TargetMode="External"/><Relationship Id="rId4" Type="http://schemas.openxmlformats.org/officeDocument/2006/relationships/hyperlink" Target="https://www.sec.gov/Archives/edgar/data/0001794515/000179451521000034/exhibit041xclosingxindent.htm" TargetMode="External"/><Relationship Id="rId5" Type="http://schemas.openxmlformats.org/officeDocument/2006/relationships/hyperlink" Target="https://www.sec.gov/Archives/edgar/data/0001794515/000179451521000174/zi-8kex42x20210715.htm" TargetMode="External"/><Relationship Id="rId6" Type="http://schemas.openxmlformats.org/officeDocument/2006/relationships/hyperlink" Target="https://www.sec.gov/Archives/edgar/data/1794515/000179451521000034/exhibit041xclosingxindent.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77</Pages>
  <Words>55745</Words>
  <Characters>305390</Characters>
  <CharactersWithSpaces>358408</CharactersWithSpaces>
  <Paragraphs>4232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